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5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October, 2017</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Brendan Brennan, CFO</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Brendan.Brennan@iconplc.com</w:t>
      </w:r>
    </w:p>
    <w:p>
      <w:pPr>
        <w:jc w:val="center"/>
        <w:ind w:right="-119"/>
        <w:spacing w:after="0" w:line="231" w:lineRule="auto"/>
        <w:rPr>
          <w:sz w:val="20"/>
          <w:szCs w:val="20"/>
          <w:color w:val="auto"/>
        </w:rPr>
      </w:pPr>
      <w:r>
        <w:rPr>
          <w:rFonts w:ascii="Arial" w:cs="Arial" w:eastAsia="Arial" w:hAnsi="Arial"/>
          <w:sz w:val="22"/>
          <w:szCs w:val="22"/>
          <w:color w:val="auto"/>
        </w:rPr>
        <w:t>00-353-1-291-2000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468"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68" w:right="359" w:bottom="1440" w:gutter="0" w:footer="0" w:header="0"/>
          <w:type w:val="continuous"/>
        </w:sectPr>
      </w:pPr>
    </w:p>
    <w:bookmarkStart w:id="1" w:name="page2"/>
    <w:bookmarkEnd w:id="1"/>
    <w:p>
      <w:pPr>
        <w:ind w:left="5100"/>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6"/>
          <w:szCs w:val="16"/>
          <w:u w:val="single" w:color="auto"/>
          <w:color w:val="0000EE"/>
        </w:rPr>
        <w:t>ICON plc Press Release issued October 26, 2017 - ICON Reports Third Quarter 2017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Brendan Brennan</w:t>
      </w:r>
    </w:p>
    <w:p>
      <w:pPr>
        <w:spacing w:after="0" w:line="36" w:lineRule="exact"/>
        <w:rPr>
          <w:sz w:val="20"/>
          <w:szCs w:val="20"/>
          <w:color w:val="auto"/>
        </w:rPr>
      </w:pPr>
    </w:p>
    <w:p>
      <w:pPr>
        <w:ind w:left="580" w:right="2700" w:hanging="6846"/>
        <w:spacing w:after="0" w:line="274" w:lineRule="auto"/>
        <w:tabs>
          <w:tab w:leader="none" w:pos="560" w:val="left"/>
        </w:tabs>
        <w:rPr>
          <w:sz w:val="20"/>
          <w:szCs w:val="20"/>
          <w:color w:val="auto"/>
        </w:rPr>
      </w:pPr>
      <w:r>
        <w:rPr>
          <w:rFonts w:ascii="Arial" w:cs="Arial" w:eastAsia="Arial" w:hAnsi="Arial"/>
          <w:sz w:val="18"/>
          <w:szCs w:val="18"/>
          <w:color w:val="auto"/>
        </w:rPr>
        <w:t>Date:</w:t>
        <w:tab/>
        <w:t>October 26, 2017 Brendan Brennan Chief Financial Officer</w:t>
      </w:r>
    </w:p>
    <w:p>
      <w:pPr>
        <w:sectPr>
          <w:pgSz w:w="11900" w:h="16838" w:orient="portrait"/>
          <w:cols w:equalWidth="0" w:num="1">
            <w:col w:w="11240"/>
          </w:cols>
          <w:pgMar w:left="240" w:top="121"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ICON Reports Third Quarter 2017 Results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w:t>
      </w:r>
    </w:p>
    <w:p>
      <w:pPr>
        <w:spacing w:after="0" w:line="206" w:lineRule="exact"/>
        <w:rPr>
          <w:sz w:val="20"/>
          <w:szCs w:val="20"/>
          <w:color w:val="auto"/>
        </w:rPr>
      </w:pPr>
    </w:p>
    <w:p>
      <w:pPr>
        <w:ind w:left="540" w:right="360"/>
        <w:spacing w:after="0" w:line="256" w:lineRule="auto"/>
        <w:rPr>
          <w:sz w:val="20"/>
          <w:szCs w:val="20"/>
          <w:color w:val="auto"/>
        </w:rPr>
      </w:pPr>
      <w:r>
        <w:rPr>
          <w:rFonts w:ascii="Arial" w:cs="Arial" w:eastAsia="Arial" w:hAnsi="Arial"/>
          <w:sz w:val="22"/>
          <w:szCs w:val="22"/>
          <w:b w:val="1"/>
          <w:bCs w:val="1"/>
          <w:color w:val="auto"/>
        </w:rPr>
        <w:t>Record gross and net business wins of $691 million and $581 million respectively; gross book to bill of 1.57 and net book to bill of 1.32. Backlog of business grew 13% year on year to $4.78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62" w:lineRule="exact"/>
        <w:rPr>
          <w:sz w:val="20"/>
          <w:szCs w:val="20"/>
          <w:color w:val="auto"/>
        </w:rPr>
      </w:pPr>
    </w:p>
    <w:p>
      <w:pPr>
        <w:ind w:left="540" w:right="480"/>
        <w:spacing w:after="0" w:line="256" w:lineRule="auto"/>
        <w:rPr>
          <w:sz w:val="20"/>
          <w:szCs w:val="20"/>
          <w:color w:val="auto"/>
        </w:rPr>
      </w:pPr>
      <w:r>
        <w:rPr>
          <w:rFonts w:ascii="Arial" w:cs="Arial" w:eastAsia="Arial" w:hAnsi="Arial"/>
          <w:sz w:val="22"/>
          <w:szCs w:val="22"/>
          <w:b w:val="1"/>
          <w:bCs w:val="1"/>
          <w:color w:val="auto"/>
        </w:rPr>
        <w:t>Net revenue increased 4.8% to $440 million compared to the same quarter last year, 3.2% on a constant currency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62" w:lineRule="exact"/>
        <w:rPr>
          <w:sz w:val="20"/>
          <w:szCs w:val="20"/>
          <w:color w:val="auto"/>
        </w:rPr>
      </w:pPr>
    </w:p>
    <w:p>
      <w:pPr>
        <w:ind w:left="540" w:right="360"/>
        <w:spacing w:after="0" w:line="256" w:lineRule="auto"/>
        <w:rPr>
          <w:sz w:val="20"/>
          <w:szCs w:val="20"/>
          <w:color w:val="auto"/>
        </w:rPr>
      </w:pPr>
      <w:r>
        <w:rPr>
          <w:rFonts w:ascii="Arial" w:cs="Arial" w:eastAsia="Arial" w:hAnsi="Arial"/>
          <w:sz w:val="22"/>
          <w:szCs w:val="22"/>
          <w:b w:val="1"/>
          <w:bCs w:val="1"/>
          <w:color w:val="auto"/>
        </w:rPr>
        <w:t>Top customer revenue concentration reduced from 25.2% of revenue in Q3 2016 to 16.6% in Q3 2017. Outside our top customer revenue growth over the last twelve months increased by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62" w:lineRule="exact"/>
        <w:rPr>
          <w:sz w:val="20"/>
          <w:szCs w:val="20"/>
          <w:color w:val="auto"/>
        </w:rPr>
      </w:pPr>
    </w:p>
    <w:p>
      <w:pPr>
        <w:ind w:left="540" w:right="320"/>
        <w:spacing w:after="0" w:line="256" w:lineRule="auto"/>
        <w:rPr>
          <w:sz w:val="20"/>
          <w:szCs w:val="20"/>
          <w:color w:val="auto"/>
        </w:rPr>
      </w:pPr>
      <w:r>
        <w:rPr>
          <w:rFonts w:ascii="Arial" w:cs="Arial" w:eastAsia="Arial" w:hAnsi="Arial"/>
          <w:sz w:val="22"/>
          <w:szCs w:val="22"/>
          <w:b w:val="1"/>
          <w:bCs w:val="1"/>
          <w:color w:val="auto"/>
        </w:rPr>
        <w:t>Income from operations in the quarter increased by 4.6% to $84.9 million, or 19.3% of revenue, compared to $81.2 million or 19.3% for the same quarter last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62" w:lineRule="exact"/>
        <w:rPr>
          <w:sz w:val="20"/>
          <w:szCs w:val="20"/>
          <w:color w:val="auto"/>
        </w:rPr>
      </w:pPr>
    </w:p>
    <w:p>
      <w:pPr>
        <w:ind w:left="540" w:right="620"/>
        <w:spacing w:after="0" w:line="256" w:lineRule="auto"/>
        <w:rPr>
          <w:sz w:val="20"/>
          <w:szCs w:val="20"/>
          <w:color w:val="auto"/>
        </w:rPr>
      </w:pPr>
      <w:r>
        <w:rPr>
          <w:rFonts w:ascii="Arial" w:cs="Arial" w:eastAsia="Arial" w:hAnsi="Arial"/>
          <w:sz w:val="22"/>
          <w:szCs w:val="22"/>
          <w:b w:val="1"/>
          <w:bCs w:val="1"/>
          <w:color w:val="auto"/>
        </w:rPr>
        <w:t>Earnings per share increased by 13.4% to $1.35 per share on a diluted basis compared to a pro-forma $1.19 per diluted share for the same quarter last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62" w:lineRule="exact"/>
        <w:rPr>
          <w:sz w:val="20"/>
          <w:szCs w:val="20"/>
          <w:color w:val="auto"/>
        </w:rPr>
      </w:pPr>
    </w:p>
    <w:p>
      <w:pPr>
        <w:ind w:left="540" w:right="100"/>
        <w:spacing w:after="0" w:line="256" w:lineRule="auto"/>
        <w:rPr>
          <w:sz w:val="20"/>
          <w:szCs w:val="20"/>
          <w:color w:val="auto"/>
        </w:rPr>
      </w:pPr>
      <w:r>
        <w:rPr>
          <w:rFonts w:ascii="Arial" w:cs="Arial" w:eastAsia="Arial" w:hAnsi="Arial"/>
          <w:sz w:val="22"/>
          <w:szCs w:val="22"/>
          <w:b w:val="1"/>
          <w:bCs w:val="1"/>
          <w:color w:val="auto"/>
        </w:rPr>
        <w:t>Earnings guidance for 2017 increased from a range of $5.18 - $5.38 to $5.30 - $5.40 and revenue guidance re-affirmed in the range of $1,740 – 1,770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3" w:lineRule="exact"/>
        <w:rPr>
          <w:sz w:val="20"/>
          <w:szCs w:val="20"/>
          <w:color w:val="auto"/>
        </w:rPr>
      </w:pPr>
    </w:p>
    <w:p>
      <w:pPr>
        <w:ind w:right="280"/>
        <w:spacing w:after="0" w:line="243" w:lineRule="auto"/>
        <w:rPr>
          <w:sz w:val="20"/>
          <w:szCs w:val="20"/>
          <w:color w:val="auto"/>
        </w:rPr>
      </w:pPr>
      <w:r>
        <w:rPr>
          <w:rFonts w:ascii="Arial" w:cs="Arial" w:eastAsia="Arial" w:hAnsi="Arial"/>
          <w:sz w:val="22"/>
          <w:szCs w:val="22"/>
          <w:color w:val="auto"/>
        </w:rPr>
        <w:t>DUBLIN--(BUSINESS WIRE)--October 26, 2017--</w:t>
      </w:r>
      <w:r>
        <w:rPr>
          <w:rFonts w:ascii="Arial" w:cs="Arial" w:eastAsia="Arial" w:hAnsi="Arial"/>
          <w:sz w:val="22"/>
          <w:szCs w:val="22"/>
          <w:b w:val="1"/>
          <w:bCs w:val="1"/>
          <w:color w:val="auto"/>
        </w:rPr>
        <w:t>ICON plc (NASDAQ: ICLR),</w:t>
      </w:r>
      <w:r>
        <w:rPr>
          <w:rFonts w:ascii="Arial" w:cs="Arial" w:eastAsia="Arial" w:hAnsi="Arial"/>
          <w:sz w:val="22"/>
          <w:szCs w:val="22"/>
          <w:color w:val="auto"/>
        </w:rPr>
        <w:t xml:space="preserve"> a global provider of drug development solutions and services to the pharmaceutical, biotechnology and medical device industries, today reported its financial results for the third quarter ended September 30, 2017.</w:t>
      </w:r>
    </w:p>
    <w:p>
      <w:pPr>
        <w:spacing w:after="0" w:line="183"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Gross business wins in the third quarter were $691 million and cancellations in the quarter were $110 million, resulting in net business wins of $581 million, a net book to bill of 1.32.</w:t>
      </w:r>
    </w:p>
    <w:p>
      <w:pPr>
        <w:spacing w:after="0" w:line="173" w:lineRule="exact"/>
        <w:rPr>
          <w:sz w:val="20"/>
          <w:szCs w:val="20"/>
          <w:color w:val="auto"/>
        </w:rPr>
      </w:pPr>
    </w:p>
    <w:p>
      <w:pPr>
        <w:ind w:right="620"/>
        <w:spacing w:after="0" w:line="328" w:lineRule="auto"/>
        <w:rPr>
          <w:sz w:val="20"/>
          <w:szCs w:val="20"/>
          <w:color w:val="auto"/>
        </w:rPr>
      </w:pPr>
      <w:r>
        <w:rPr>
          <w:rFonts w:ascii="Arial" w:cs="Arial" w:eastAsia="Arial" w:hAnsi="Arial"/>
          <w:sz w:val="19"/>
          <w:szCs w:val="19"/>
          <w:color w:val="auto"/>
        </w:rPr>
        <w:t>In the third quarter net revenue grew 4.8% year on year to $440 million from $420 million in the same quarter last year. This represented 3.2% constant currency growth with revenue outside of our top customer growing 17% year over year.</w:t>
      </w:r>
    </w:p>
    <w:p>
      <w:pPr>
        <w:spacing w:after="0" w:line="105" w:lineRule="exact"/>
        <w:rPr>
          <w:sz w:val="20"/>
          <w:szCs w:val="20"/>
          <w:color w:val="auto"/>
        </w:rPr>
      </w:pPr>
    </w:p>
    <w:p>
      <w:pPr>
        <w:ind w:right="540"/>
        <w:spacing w:after="0" w:line="251" w:lineRule="auto"/>
        <w:rPr>
          <w:sz w:val="20"/>
          <w:szCs w:val="20"/>
          <w:color w:val="auto"/>
        </w:rPr>
      </w:pPr>
      <w:r>
        <w:rPr>
          <w:rFonts w:ascii="Arial" w:cs="Arial" w:eastAsia="Arial" w:hAnsi="Arial"/>
          <w:sz w:val="22"/>
          <w:szCs w:val="22"/>
          <w:color w:val="auto"/>
        </w:rPr>
        <w:t>Income from operations in the quarter increased by 4.6% to $84.9 million, or 19.3% of revenue, compared to $81.2 million or 19.3% on a non GAAP basis for the same quarter last year.</w:t>
      </w:r>
    </w:p>
    <w:p>
      <w:pPr>
        <w:spacing w:after="0" w:line="173" w:lineRule="exact"/>
        <w:rPr>
          <w:sz w:val="20"/>
          <w:szCs w:val="20"/>
          <w:color w:val="auto"/>
        </w:rPr>
      </w:pPr>
    </w:p>
    <w:p>
      <w:pPr>
        <w:ind w:right="640"/>
        <w:spacing w:after="0" w:line="251" w:lineRule="auto"/>
        <w:rPr>
          <w:sz w:val="20"/>
          <w:szCs w:val="20"/>
          <w:color w:val="auto"/>
        </w:rPr>
      </w:pPr>
      <w:r>
        <w:rPr>
          <w:rFonts w:ascii="Arial" w:cs="Arial" w:eastAsia="Arial" w:hAnsi="Arial"/>
          <w:sz w:val="22"/>
          <w:szCs w:val="22"/>
          <w:color w:val="auto"/>
        </w:rPr>
        <w:t>Net income in the quarter increased by 10% to $74.2 million compared with $67.4 million on a non GAAP basis in the same quarter last year.</w:t>
      </w:r>
    </w:p>
    <w:p>
      <w:pPr>
        <w:spacing w:after="0" w:line="173"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Earnings per share increased to $1.35 per share on a diluted basis, from $1.19 per share on a non GAAP basis for the same quarter last year, an increase of 13.4%.</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Year to date revenue for 2017 increased by 5.8% to $1,303.3 million from $1,231.4 million in 2016.</w:t>
      </w:r>
    </w:p>
    <w:p>
      <w:pPr>
        <w:spacing w:after="0" w:line="206" w:lineRule="exact"/>
        <w:rPr>
          <w:sz w:val="20"/>
          <w:szCs w:val="20"/>
          <w:color w:val="auto"/>
        </w:rPr>
      </w:pPr>
    </w:p>
    <w:p>
      <w:pPr>
        <w:ind w:right="520"/>
        <w:spacing w:after="0" w:line="251" w:lineRule="auto"/>
        <w:rPr>
          <w:sz w:val="20"/>
          <w:szCs w:val="20"/>
          <w:color w:val="auto"/>
        </w:rPr>
      </w:pPr>
      <w:r>
        <w:rPr>
          <w:rFonts w:ascii="Arial" w:cs="Arial" w:eastAsia="Arial" w:hAnsi="Arial"/>
          <w:sz w:val="22"/>
          <w:szCs w:val="22"/>
          <w:color w:val="auto"/>
        </w:rPr>
        <w:t>Year to date income from operations for 2017, before non-recurring charges, increased by 9.0% to $256.3 million or 19.7% of revenue compared with $235.2 million or 19.1% of revenue in the previous year.</w:t>
      </w:r>
    </w:p>
    <w:p>
      <w:pPr>
        <w:spacing w:after="0" w:line="173" w:lineRule="exact"/>
        <w:rPr>
          <w:sz w:val="20"/>
          <w:szCs w:val="20"/>
          <w:color w:val="auto"/>
        </w:rPr>
      </w:pPr>
    </w:p>
    <w:p>
      <w:pPr>
        <w:ind w:right="620"/>
        <w:spacing w:after="0" w:line="251" w:lineRule="auto"/>
        <w:rPr>
          <w:sz w:val="20"/>
          <w:szCs w:val="20"/>
          <w:color w:val="auto"/>
        </w:rPr>
      </w:pPr>
      <w:r>
        <w:rPr>
          <w:rFonts w:ascii="Arial" w:cs="Arial" w:eastAsia="Arial" w:hAnsi="Arial"/>
          <w:sz w:val="22"/>
          <w:szCs w:val="22"/>
          <w:color w:val="auto"/>
        </w:rPr>
        <w:t>Year to date net income for 2017, before non-recurring charges, increased by 11.3% to $217.2 million compared with $195.1 million last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27202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ind w:right="60"/>
        <w:spacing w:after="0" w:line="251" w:lineRule="auto"/>
        <w:rPr>
          <w:sz w:val="20"/>
          <w:szCs w:val="20"/>
          <w:color w:val="auto"/>
        </w:rPr>
      </w:pPr>
      <w:r>
        <w:rPr>
          <w:rFonts w:ascii="Arial" w:cs="Arial" w:eastAsia="Arial" w:hAnsi="Arial"/>
          <w:sz w:val="22"/>
          <w:szCs w:val="22"/>
          <w:color w:val="auto"/>
        </w:rPr>
        <w:t>Year to date earnings per share, before non-recurring charges, increased to $3.96 per share on a diluted basis from $3.45 per diluted share last year, an increase of 14.8%.</w:t>
      </w:r>
    </w:p>
    <w:p>
      <w:pPr>
        <w:spacing w:after="0" w:line="174" w:lineRule="exact"/>
        <w:rPr>
          <w:sz w:val="20"/>
          <w:szCs w:val="20"/>
          <w:color w:val="auto"/>
        </w:rPr>
      </w:pPr>
    </w:p>
    <w:p>
      <w:pPr>
        <w:ind w:right="960"/>
        <w:spacing w:after="0" w:line="328" w:lineRule="auto"/>
        <w:rPr>
          <w:sz w:val="20"/>
          <w:szCs w:val="20"/>
          <w:color w:val="auto"/>
        </w:rPr>
      </w:pPr>
      <w:r>
        <w:rPr>
          <w:rFonts w:ascii="Arial" w:cs="Arial" w:eastAsia="Arial" w:hAnsi="Arial"/>
          <w:sz w:val="19"/>
          <w:szCs w:val="19"/>
          <w:color w:val="auto"/>
        </w:rPr>
        <w:t>Day’s sales outstanding, comprising accounts receivable and unbilled revenue less payments on account, were 50 days at September 30, 2017, compared with 53 days at the end of June 2017 and 50 days at the end of September 2016.</w:t>
      </w:r>
    </w:p>
    <w:p>
      <w:pPr>
        <w:spacing w:after="0" w:line="105"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Cash generated from operating activities for the quarter was $108.8 million. Capital expenditure for the quarter was $8.5 million and the acquisition of Mapi Group was completed for an initial cash consideration of $144.1 million. As a result, at September 30, 2017, the company had net debt of $56 million, compared to net debt of $34 million at June 30, 2017 and net debt of $98 million at the end of September 2016.</w:t>
      </w:r>
    </w:p>
    <w:p>
      <w:pPr>
        <w:spacing w:after="0" w:line="185" w:lineRule="exact"/>
        <w:rPr>
          <w:sz w:val="20"/>
          <w:szCs w:val="20"/>
          <w:color w:val="auto"/>
        </w:rPr>
      </w:pPr>
    </w:p>
    <w:p>
      <w:pPr>
        <w:ind w:right="60"/>
        <w:spacing w:after="0" w:line="275" w:lineRule="auto"/>
        <w:rPr>
          <w:sz w:val="20"/>
          <w:szCs w:val="20"/>
          <w:color w:val="auto"/>
        </w:rPr>
      </w:pPr>
      <w:r>
        <w:rPr>
          <w:rFonts w:ascii="Arial" w:cs="Arial" w:eastAsia="Arial" w:hAnsi="Arial"/>
          <w:sz w:val="19"/>
          <w:szCs w:val="19"/>
          <w:color w:val="auto"/>
        </w:rPr>
        <w:t xml:space="preserve">CEO Dr. Steve Cutler commented, </w:t>
      </w:r>
      <w:r>
        <w:rPr>
          <w:rFonts w:ascii="Arial" w:cs="Arial" w:eastAsia="Arial" w:hAnsi="Arial"/>
          <w:sz w:val="19"/>
          <w:szCs w:val="19"/>
          <w:i w:val="1"/>
          <w:iCs w:val="1"/>
          <w:color w:val="auto"/>
        </w:rPr>
        <w:t>“We continue to execute well on our strategic plans, and quarter three represented another very</w:t>
      </w:r>
      <w:r>
        <w:rPr>
          <w:rFonts w:ascii="Arial" w:cs="Arial" w:eastAsia="Arial" w:hAnsi="Arial"/>
          <w:sz w:val="19"/>
          <w:szCs w:val="19"/>
          <w:color w:val="auto"/>
        </w:rPr>
        <w:t xml:space="preserve"> </w:t>
      </w:r>
      <w:r>
        <w:rPr>
          <w:rFonts w:ascii="Arial" w:cs="Arial" w:eastAsia="Arial" w:hAnsi="Arial"/>
          <w:sz w:val="19"/>
          <w:szCs w:val="19"/>
          <w:i w:val="1"/>
          <w:iCs w:val="1"/>
          <w:color w:val="auto"/>
        </w:rPr>
        <w:t>strong quarter for ICON. We achieved record gross and net business wins of $691 million and $581 million respectively, resulting in a gross book to bill of 1.57 and a net book to bill of 1.32. We grew our backlog by 13% year on year to nearly $5 billion, revenues grew 4.8% to $440 million and our top customer concentration reduced further to 16.6% from 25.2% last year. Revenue growth outside our top customer was 17% year over year. In addition, earnings per share grew 13.4% year over year to $1.35. Levels of business opportunity continue to be strong and we remain optimistic for the future as we continue to strive to be the CRO partner of choice for the biopharma industry. We are therefore increasing our 2017 earnings guidance from a range of $5.18 - $5.38 to $5.30 - $5.40 and reaffirming our revenue guidance to be in the range of $1,740 - $1,770 million.”</w:t>
      </w:r>
    </w:p>
    <w:p>
      <w:pPr>
        <w:spacing w:after="0" w:line="158" w:lineRule="exact"/>
        <w:rPr>
          <w:sz w:val="20"/>
          <w:szCs w:val="20"/>
          <w:color w:val="auto"/>
        </w:rPr>
      </w:pPr>
    </w:p>
    <w:p>
      <w:pPr>
        <w:jc w:val="both"/>
        <w:ind w:right="360"/>
        <w:spacing w:after="0" w:line="287" w:lineRule="auto"/>
        <w:rPr>
          <w:sz w:val="20"/>
          <w:szCs w:val="20"/>
          <w:color w:val="auto"/>
        </w:rPr>
      </w:pPr>
      <w:r>
        <w:rPr>
          <w:rFonts w:ascii="Arial" w:cs="Arial" w:eastAsia="Arial" w:hAnsi="Arial"/>
          <w:sz w:val="19"/>
          <w:szCs w:val="19"/>
          <w:color w:val="auto"/>
        </w:rPr>
        <w:t>In addition to the financial measures prepared in accordance with generally accepted accounting principles (GAAP), this press release contains certain non-GAAP financial measures, including non-GAAP operating and net income and non-GAAP diluted earnings per share. While non-GAAP financial measures are not superior to or a substitute for the comparable GAAP measures, ICON believes certain non-GAAP information is useful to investors for historical comparison purposes.</w:t>
      </w:r>
    </w:p>
    <w:p>
      <w:pPr>
        <w:spacing w:after="0" w:line="143" w:lineRule="exact"/>
        <w:rPr>
          <w:sz w:val="20"/>
          <w:szCs w:val="20"/>
          <w:color w:val="auto"/>
        </w:rPr>
      </w:pPr>
    </w:p>
    <w:p>
      <w:pPr>
        <w:ind w:right="140"/>
        <w:spacing w:after="0" w:line="252" w:lineRule="auto"/>
        <w:rPr>
          <w:sz w:val="20"/>
          <w:szCs w:val="20"/>
          <w:color w:val="auto"/>
        </w:rPr>
      </w:pPr>
      <w:r>
        <w:rPr>
          <w:rFonts w:ascii="Arial" w:cs="Arial" w:eastAsia="Arial" w:hAnsi="Arial"/>
          <w:sz w:val="21"/>
          <w:szCs w:val="21"/>
          <w:color w:val="auto"/>
        </w:rPr>
        <w:t xml:space="preserve">ICON will hold its third quarter conference call today, October 26, 2017 at 10:00 EDT [15:00 Ireland &amp; UK]. This call and linked slide presentation can be accessed live from our website at </w:t>
      </w:r>
      <w:r>
        <w:rPr>
          <w:rFonts w:ascii="Arial" w:cs="Arial" w:eastAsia="Arial" w:hAnsi="Arial"/>
          <w:sz w:val="21"/>
          <w:szCs w:val="21"/>
          <w:u w:val="single" w:color="auto"/>
          <w:color w:val="auto"/>
        </w:rPr>
        <w:t>http://investor.iconplc.com</w:t>
      </w:r>
      <w:r>
        <w:rPr>
          <w:rFonts w:ascii="Arial" w:cs="Arial" w:eastAsia="Arial" w:hAnsi="Arial"/>
          <w:sz w:val="21"/>
          <w:szCs w:val="21"/>
          <w:color w:val="auto"/>
        </w:rPr>
        <w:t>. A recording will also be available on the website for 90 days following the call. In addition, a calendar of company events, including upcoming conference presentations, is available on our website, under “Investors”. This calendar will be updated regularly.</w:t>
      </w:r>
    </w:p>
    <w:p>
      <w:pPr>
        <w:spacing w:after="0" w:line="174"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 xml:space="preserve">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w:t>
      </w:r>
      <w:r>
        <w:rPr>
          <w:rFonts w:ascii="Arial" w:cs="Arial" w:eastAsia="Arial" w:hAnsi="Arial"/>
          <w:sz w:val="19"/>
          <w:szCs w:val="19"/>
          <w:u w:val="single" w:color="auto"/>
          <w:color w:val="auto"/>
        </w:rPr>
        <w:t>http://www.sec.gov</w:t>
      </w:r>
      <w:r>
        <w:rPr>
          <w:rFonts w:ascii="Arial" w:cs="Arial" w:eastAsia="Arial" w:hAnsi="Arial"/>
          <w:sz w:val="19"/>
          <w:szCs w:val="19"/>
          <w:color w:val="auto"/>
        </w:rPr>
        <w:t>.</w:t>
      </w:r>
    </w:p>
    <w:p>
      <w:pPr>
        <w:spacing w:after="0" w:line="165"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 xml:space="preserve">ICON plc is a global provider of drug development solutions and services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currently, operates from 97 locations in 38 countries and has approximately 13,100 employees. Further information is available at </w:t>
      </w:r>
      <w:r>
        <w:rPr>
          <w:rFonts w:ascii="Arial" w:cs="Arial" w:eastAsia="Arial" w:hAnsi="Arial"/>
          <w:sz w:val="22"/>
          <w:szCs w:val="22"/>
          <w:u w:val="single" w:color="auto"/>
          <w:color w:val="auto"/>
        </w:rPr>
        <w:t>www.iconplc.com</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272020" cy="59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ICON plc</w:t>
      </w:r>
    </w:p>
    <w:p>
      <w:pPr>
        <w:jc w:val="center"/>
        <w:spacing w:after="0" w:line="226" w:lineRule="auto"/>
        <w:rPr>
          <w:sz w:val="20"/>
          <w:szCs w:val="20"/>
          <w:color w:val="auto"/>
        </w:rPr>
      </w:pPr>
      <w:r>
        <w:rPr>
          <w:rFonts w:ascii="Arial" w:cs="Arial" w:eastAsia="Arial" w:hAnsi="Arial"/>
          <w:sz w:val="14"/>
          <w:szCs w:val="14"/>
          <w:b w:val="1"/>
          <w:bCs w:val="1"/>
          <w:color w:val="auto"/>
        </w:rPr>
        <w:t>Consolidated Income Statements (Unaudited)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(Before restructuring and other items)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and Nine Months ended September 30, 2017 and September 30, 2016</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share and per share data)</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20" w:type="dxa"/>
            <w:vAlign w:val="bottom"/>
            <w:gridSpan w:val="11"/>
          </w:tcPr>
          <w:p>
            <w:pPr>
              <w:jc w:val="right"/>
              <w:ind w:right="820"/>
              <w:spacing w:after="0"/>
              <w:rPr>
                <w:sz w:val="20"/>
                <w:szCs w:val="20"/>
                <w:color w:val="auto"/>
              </w:rPr>
            </w:pPr>
            <w:r>
              <w:rPr>
                <w:rFonts w:ascii="Arial" w:cs="Arial" w:eastAsia="Arial" w:hAnsi="Arial"/>
                <w:sz w:val="14"/>
                <w:szCs w:val="14"/>
                <w:b w:val="1"/>
                <w:bCs w:val="1"/>
                <w:color w:val="auto"/>
                <w:w w:val="99"/>
              </w:rPr>
              <w:t>Three Months Ended</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11"/>
          </w:tcPr>
          <w:p>
            <w:pPr>
              <w:jc w:val="right"/>
              <w:ind w:right="6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8"/>
        </w:trPr>
        <w:tc>
          <w:tcPr>
            <w:tcW w:w="4940" w:type="dxa"/>
            <w:vAlign w:val="bottom"/>
          </w:tcPr>
          <w:p>
            <w:pPr>
              <w:spacing w:after="0"/>
              <w:rPr>
                <w:sz w:val="13"/>
                <w:szCs w:val="13"/>
                <w:color w:val="auto"/>
              </w:rPr>
            </w:pPr>
          </w:p>
        </w:tc>
        <w:tc>
          <w:tcPr>
            <w:tcW w:w="2660" w:type="dxa"/>
            <w:vAlign w:val="bottom"/>
            <w:gridSpan w:val="7"/>
          </w:tcPr>
          <w:p>
            <w:pPr>
              <w:jc w:val="right"/>
              <w:ind w:right="460"/>
              <w:spacing w:after="0" w:line="158" w:lineRule="exact"/>
              <w:rPr>
                <w:sz w:val="20"/>
                <w:szCs w:val="20"/>
                <w:color w:val="auto"/>
              </w:rPr>
            </w:pPr>
            <w:r>
              <w:rPr>
                <w:rFonts w:ascii="Arial" w:cs="Arial" w:eastAsia="Arial" w:hAnsi="Arial"/>
                <w:sz w:val="14"/>
                <w:szCs w:val="14"/>
                <w:b w:val="1"/>
                <w:bCs w:val="1"/>
                <w:color w:val="auto"/>
              </w:rPr>
              <w:t>September</w:t>
            </w:r>
          </w:p>
        </w:tc>
        <w:tc>
          <w:tcPr>
            <w:tcW w:w="1340" w:type="dxa"/>
            <w:vAlign w:val="bottom"/>
            <w:gridSpan w:val="7"/>
          </w:tcPr>
          <w:p>
            <w:pPr>
              <w:jc w:val="right"/>
              <w:ind w:right="460"/>
              <w:spacing w:after="0" w:line="158" w:lineRule="exact"/>
              <w:rPr>
                <w:sz w:val="20"/>
                <w:szCs w:val="20"/>
                <w:color w:val="auto"/>
              </w:rPr>
            </w:pPr>
            <w:r>
              <w:rPr>
                <w:rFonts w:ascii="Arial" w:cs="Arial" w:eastAsia="Arial" w:hAnsi="Arial"/>
                <w:sz w:val="14"/>
                <w:szCs w:val="14"/>
                <w:b w:val="1"/>
                <w:bCs w:val="1"/>
                <w:color w:val="auto"/>
              </w:rPr>
              <w:t>September</w:t>
            </w:r>
          </w:p>
        </w:tc>
        <w:tc>
          <w:tcPr>
            <w:tcW w:w="1340" w:type="dxa"/>
            <w:vAlign w:val="bottom"/>
            <w:gridSpan w:val="7"/>
          </w:tcPr>
          <w:p>
            <w:pPr>
              <w:jc w:val="right"/>
              <w:ind w:right="480"/>
              <w:spacing w:after="0" w:line="158" w:lineRule="exact"/>
              <w:rPr>
                <w:sz w:val="20"/>
                <w:szCs w:val="20"/>
                <w:color w:val="auto"/>
              </w:rPr>
            </w:pPr>
            <w:r>
              <w:rPr>
                <w:rFonts w:ascii="Arial" w:cs="Arial" w:eastAsia="Arial" w:hAnsi="Arial"/>
                <w:sz w:val="14"/>
                <w:szCs w:val="14"/>
                <w:b w:val="1"/>
                <w:bCs w:val="1"/>
                <w:color w:val="auto"/>
              </w:rPr>
              <w:t>September</w:t>
            </w:r>
          </w:p>
        </w:tc>
        <w:tc>
          <w:tcPr>
            <w:tcW w:w="1140" w:type="dxa"/>
            <w:vAlign w:val="bottom"/>
            <w:gridSpan w:val="7"/>
          </w:tcPr>
          <w:p>
            <w:pPr>
              <w:jc w:val="right"/>
              <w:ind w:right="280"/>
              <w:spacing w:after="0" w:line="158" w:lineRule="exact"/>
              <w:rPr>
                <w:sz w:val="20"/>
                <w:szCs w:val="20"/>
                <w:color w:val="auto"/>
              </w:rPr>
            </w:pPr>
            <w:r>
              <w:rPr>
                <w:rFonts w:ascii="Arial" w:cs="Arial" w:eastAsia="Arial" w:hAnsi="Arial"/>
                <w:sz w:val="14"/>
                <w:szCs w:val="14"/>
                <w:b w:val="1"/>
                <w:bCs w:val="1"/>
                <w:color w:val="auto"/>
              </w:rPr>
              <w:t>September</w:t>
            </w:r>
          </w:p>
        </w:tc>
        <w:tc>
          <w:tcPr>
            <w:tcW w:w="0" w:type="dxa"/>
            <w:vAlign w:val="bottom"/>
          </w:tcPr>
          <w:p>
            <w:pPr>
              <w:spacing w:after="0"/>
              <w:rPr>
                <w:sz w:val="1"/>
                <w:szCs w:val="1"/>
                <w:color w:val="auto"/>
              </w:rPr>
            </w:pPr>
          </w:p>
        </w:tc>
      </w:tr>
      <w:tr>
        <w:trPr>
          <w:trHeight w:val="129"/>
        </w:trPr>
        <w:tc>
          <w:tcPr>
            <w:tcW w:w="49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42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30,</w:t>
            </w:r>
          </w:p>
        </w:tc>
        <w:tc>
          <w:tcPr>
            <w:tcW w:w="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Borders>
              <w:top w:val="single" w:sz="8" w:color="auto"/>
            </w:tcBorders>
            <w:gridSpan w:val="4"/>
          </w:tcPr>
          <w:p>
            <w:pPr>
              <w:jc w:val="right"/>
              <w:ind w:right="60"/>
              <w:spacing w:after="0" w:line="129" w:lineRule="exact"/>
              <w:rPr>
                <w:sz w:val="20"/>
                <w:szCs w:val="20"/>
                <w:color w:val="auto"/>
              </w:rPr>
            </w:pPr>
            <w:r>
              <w:rPr>
                <w:rFonts w:ascii="Arial" w:cs="Arial" w:eastAsia="Arial" w:hAnsi="Arial"/>
                <w:sz w:val="14"/>
                <w:szCs w:val="14"/>
                <w:b w:val="1"/>
                <w:bCs w:val="1"/>
                <w:color w:val="auto"/>
              </w:rPr>
              <w:t>30,</w:t>
            </w:r>
          </w:p>
        </w:tc>
        <w:tc>
          <w:tcPr>
            <w:tcW w:w="180" w:type="dxa"/>
            <w:vAlign w:val="bottom"/>
            <w:tcBorders>
              <w:top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Borders>
              <w:top w:val="single" w:sz="8" w:color="auto"/>
            </w:tcBorders>
            <w:gridSpan w:val="4"/>
          </w:tcPr>
          <w:p>
            <w:pPr>
              <w:jc w:val="right"/>
              <w:ind w:right="60"/>
              <w:spacing w:after="0" w:line="129" w:lineRule="exact"/>
              <w:rPr>
                <w:sz w:val="20"/>
                <w:szCs w:val="20"/>
                <w:color w:val="auto"/>
              </w:rPr>
            </w:pPr>
            <w:r>
              <w:rPr>
                <w:rFonts w:ascii="Arial" w:cs="Arial" w:eastAsia="Arial" w:hAnsi="Arial"/>
                <w:sz w:val="14"/>
                <w:szCs w:val="14"/>
                <w:b w:val="1"/>
                <w:bCs w:val="1"/>
                <w:color w:val="auto"/>
              </w:rPr>
              <w:t>30,</w:t>
            </w:r>
          </w:p>
        </w:tc>
        <w:tc>
          <w:tcPr>
            <w:tcW w:w="180" w:type="dxa"/>
            <w:vAlign w:val="bottom"/>
            <w:tcBorders>
              <w:top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Borders>
              <w:top w:val="single" w:sz="8" w:color="auto"/>
            </w:tcBorders>
            <w:gridSpan w:val="4"/>
          </w:tcPr>
          <w:p>
            <w:pPr>
              <w:jc w:val="right"/>
              <w:ind w:right="60"/>
              <w:spacing w:after="0" w:line="129" w:lineRule="exact"/>
              <w:rPr>
                <w:sz w:val="20"/>
                <w:szCs w:val="20"/>
                <w:color w:val="auto"/>
              </w:rPr>
            </w:pPr>
            <w:r>
              <w:rPr>
                <w:rFonts w:ascii="Arial" w:cs="Arial" w:eastAsia="Arial" w:hAnsi="Arial"/>
                <w:sz w:val="14"/>
                <w:szCs w:val="14"/>
                <w:b w:val="1"/>
                <w:bCs w:val="1"/>
                <w:color w:val="auto"/>
              </w:rPr>
              <w:t>30,</w:t>
            </w:r>
          </w:p>
        </w:tc>
        <w:tc>
          <w:tcPr>
            <w:tcW w:w="18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940" w:type="dxa"/>
            <w:vAlign w:val="bottom"/>
            <w:vMerge w:val="restart"/>
          </w:tcPr>
          <w:p>
            <w:pPr>
              <w:spacing w:after="0"/>
              <w:rPr>
                <w:sz w:val="20"/>
                <w:szCs w:val="20"/>
                <w:color w:val="auto"/>
              </w:rPr>
            </w:pPr>
            <w:r>
              <w:rPr>
                <w:rFonts w:ascii="Arial" w:cs="Arial" w:eastAsia="Arial" w:hAnsi="Arial"/>
                <w:sz w:val="14"/>
                <w:szCs w:val="14"/>
                <w:color w:val="auto"/>
              </w:rPr>
              <w:t>Revenue:</w:t>
            </w:r>
          </w:p>
        </w:tc>
        <w:tc>
          <w:tcPr>
            <w:tcW w:w="2020" w:type="dxa"/>
            <w:vAlign w:val="bottom"/>
            <w:gridSpan w:val="5"/>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gridSpan w:val="6"/>
          </w:tcPr>
          <w:p>
            <w:pPr>
              <w:jc w:val="right"/>
              <w:ind w:right="180"/>
              <w:spacing w:after="0" w:line="155" w:lineRule="exact"/>
              <w:rPr>
                <w:sz w:val="20"/>
                <w:szCs w:val="20"/>
                <w:color w:val="auto"/>
              </w:rPr>
            </w:pPr>
            <w:r>
              <w:rPr>
                <w:rFonts w:ascii="Arial" w:cs="Arial" w:eastAsia="Arial" w:hAnsi="Arial"/>
                <w:sz w:val="14"/>
                <w:szCs w:val="14"/>
                <w:b w:val="1"/>
                <w:bCs w:val="1"/>
                <w:color w:val="auto"/>
              </w:rPr>
              <w:t>2016</w:t>
            </w:r>
          </w:p>
        </w:tc>
        <w:tc>
          <w:tcPr>
            <w:tcW w:w="480" w:type="dxa"/>
            <w:vAlign w:val="bottom"/>
          </w:tcPr>
          <w:p>
            <w:pPr>
              <w:spacing w:after="0"/>
              <w:rPr>
                <w:sz w:val="13"/>
                <w:szCs w:val="13"/>
                <w:color w:val="auto"/>
              </w:rPr>
            </w:pPr>
          </w:p>
        </w:tc>
        <w:tc>
          <w:tcPr>
            <w:tcW w:w="860" w:type="dxa"/>
            <w:vAlign w:val="bottom"/>
            <w:gridSpan w:val="6"/>
          </w:tcPr>
          <w:p>
            <w:pPr>
              <w:jc w:val="right"/>
              <w:ind w:right="180"/>
              <w:spacing w:after="0" w:line="155" w:lineRule="exact"/>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13"/>
                <w:szCs w:val="13"/>
                <w:color w:val="auto"/>
              </w:rPr>
            </w:pPr>
          </w:p>
        </w:tc>
        <w:tc>
          <w:tcPr>
            <w:tcW w:w="860" w:type="dxa"/>
            <w:vAlign w:val="bottom"/>
            <w:gridSpan w:val="6"/>
          </w:tcPr>
          <w:p>
            <w:pPr>
              <w:jc w:val="right"/>
              <w:ind w:right="180"/>
              <w:spacing w:after="0" w:line="155"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4940" w:type="dxa"/>
            <w:vAlign w:val="bottom"/>
            <w:vMerge w:val="continue"/>
          </w:tcPr>
          <w:p>
            <w:pPr>
              <w:spacing w:after="0"/>
              <w:rPr>
                <w:sz w:val="15"/>
                <w:szCs w:val="15"/>
                <w:color w:val="auto"/>
              </w:rPr>
            </w:pPr>
          </w:p>
        </w:tc>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40" w:type="dxa"/>
            <w:vAlign w:val="bottom"/>
          </w:tcPr>
          <w:p>
            <w:pPr>
              <w:spacing w:after="0"/>
              <w:rPr>
                <w:sz w:val="20"/>
                <w:szCs w:val="20"/>
                <w:color w:val="auto"/>
              </w:rPr>
            </w:pPr>
            <w:r>
              <w:rPr>
                <w:rFonts w:ascii="Arial" w:cs="Arial" w:eastAsia="Arial" w:hAnsi="Arial"/>
                <w:sz w:val="14"/>
                <w:szCs w:val="14"/>
                <w:color w:val="auto"/>
              </w:rPr>
              <w:t>Gross revenue</w:t>
            </w:r>
          </w:p>
        </w:tc>
        <w:tc>
          <w:tcPr>
            <w:tcW w:w="2660" w:type="dxa"/>
            <w:vAlign w:val="bottom"/>
            <w:gridSpan w:val="7"/>
          </w:tcPr>
          <w:p>
            <w:pPr>
              <w:jc w:val="right"/>
              <w:ind w:right="200"/>
              <w:spacing w:after="0"/>
              <w:rPr>
                <w:sz w:val="20"/>
                <w:szCs w:val="20"/>
                <w:color w:val="auto"/>
              </w:rPr>
            </w:pPr>
            <w:r>
              <w:rPr>
                <w:rFonts w:ascii="Arial" w:cs="Arial" w:eastAsia="Arial" w:hAnsi="Arial"/>
                <w:sz w:val="14"/>
                <w:szCs w:val="14"/>
                <w:color w:val="auto"/>
              </w:rPr>
              <w:t>596,169</w:t>
            </w:r>
          </w:p>
        </w:tc>
        <w:tc>
          <w:tcPr>
            <w:tcW w:w="1340" w:type="dxa"/>
            <w:vAlign w:val="bottom"/>
            <w:gridSpan w:val="7"/>
          </w:tcPr>
          <w:p>
            <w:pPr>
              <w:jc w:val="right"/>
              <w:ind w:right="200"/>
              <w:spacing w:after="0"/>
              <w:rPr>
                <w:sz w:val="20"/>
                <w:szCs w:val="20"/>
                <w:color w:val="auto"/>
              </w:rPr>
            </w:pPr>
            <w:r>
              <w:rPr>
                <w:rFonts w:ascii="Arial" w:cs="Arial" w:eastAsia="Arial" w:hAnsi="Arial"/>
                <w:sz w:val="14"/>
                <w:szCs w:val="14"/>
                <w:color w:val="auto"/>
              </w:rPr>
              <w:t>622,261</w:t>
            </w:r>
          </w:p>
        </w:tc>
        <w:tc>
          <w:tcPr>
            <w:tcW w:w="1340" w:type="dxa"/>
            <w:vAlign w:val="bottom"/>
            <w:gridSpan w:val="7"/>
          </w:tcPr>
          <w:p>
            <w:pPr>
              <w:jc w:val="right"/>
              <w:ind w:right="200"/>
              <w:spacing w:after="0"/>
              <w:rPr>
                <w:sz w:val="20"/>
                <w:szCs w:val="20"/>
                <w:color w:val="auto"/>
              </w:rPr>
            </w:pPr>
            <w:r>
              <w:rPr>
                <w:rFonts w:ascii="Arial" w:cs="Arial" w:eastAsia="Arial" w:hAnsi="Arial"/>
                <w:sz w:val="14"/>
                <w:szCs w:val="14"/>
                <w:color w:val="auto"/>
              </w:rPr>
              <w:t>1,766,016</w:t>
            </w:r>
          </w:p>
        </w:tc>
        <w:tc>
          <w:tcPr>
            <w:tcW w:w="1140" w:type="dxa"/>
            <w:vAlign w:val="bottom"/>
            <w:gridSpan w:val="7"/>
          </w:tcPr>
          <w:p>
            <w:pPr>
              <w:jc w:val="right"/>
              <w:spacing w:after="0"/>
              <w:rPr>
                <w:sz w:val="20"/>
                <w:szCs w:val="20"/>
                <w:color w:val="auto"/>
              </w:rPr>
            </w:pPr>
            <w:r>
              <w:rPr>
                <w:rFonts w:ascii="Arial" w:cs="Arial" w:eastAsia="Arial" w:hAnsi="Arial"/>
                <w:sz w:val="14"/>
                <w:szCs w:val="14"/>
                <w:color w:val="auto"/>
              </w:rPr>
              <w:t>1,754,491</w:t>
            </w:r>
          </w:p>
        </w:tc>
        <w:tc>
          <w:tcPr>
            <w:tcW w:w="0" w:type="dxa"/>
            <w:vAlign w:val="bottom"/>
          </w:tcPr>
          <w:p>
            <w:pPr>
              <w:spacing w:after="0"/>
              <w:rPr>
                <w:sz w:val="1"/>
                <w:szCs w:val="1"/>
                <w:color w:val="auto"/>
              </w:rPr>
            </w:pPr>
          </w:p>
        </w:tc>
      </w:tr>
      <w:tr>
        <w:trPr>
          <w:trHeight w:val="181"/>
        </w:trPr>
        <w:tc>
          <w:tcPr>
            <w:tcW w:w="49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Reimbursable expenses</w:t>
            </w:r>
          </w:p>
        </w:tc>
        <w:tc>
          <w:tcPr>
            <w:tcW w:w="266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color w:val="auto"/>
              </w:rPr>
              <w:t>(155,846)</w:t>
            </w:r>
          </w:p>
        </w:tc>
        <w:tc>
          <w:tcPr>
            <w:tcW w:w="134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color w:val="auto"/>
              </w:rPr>
              <w:t>(202,060)</w:t>
            </w:r>
          </w:p>
        </w:tc>
        <w:tc>
          <w:tcPr>
            <w:tcW w:w="134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color w:val="auto"/>
              </w:rPr>
              <w:t>(462,716)</w:t>
            </w:r>
          </w:p>
        </w:tc>
        <w:tc>
          <w:tcPr>
            <w:tcW w:w="11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color w:val="auto"/>
              </w:rPr>
              <w:t>(523,138)</w:t>
            </w:r>
          </w:p>
        </w:tc>
        <w:tc>
          <w:tcPr>
            <w:tcW w:w="0" w:type="dxa"/>
            <w:vAlign w:val="bottom"/>
          </w:tcPr>
          <w:p>
            <w:pPr>
              <w:spacing w:after="0"/>
              <w:rPr>
                <w:sz w:val="1"/>
                <w:szCs w:val="1"/>
                <w:color w:val="auto"/>
              </w:rPr>
            </w:pPr>
          </w:p>
        </w:tc>
      </w:tr>
      <w:tr>
        <w:trPr>
          <w:trHeight w:val="346"/>
        </w:trPr>
        <w:tc>
          <w:tcPr>
            <w:tcW w:w="4940" w:type="dxa"/>
            <w:vAlign w:val="bottom"/>
          </w:tcPr>
          <w:p>
            <w:pPr>
              <w:spacing w:after="0"/>
              <w:rPr>
                <w:sz w:val="20"/>
                <w:szCs w:val="20"/>
                <w:color w:val="auto"/>
              </w:rPr>
            </w:pPr>
            <w:r>
              <w:rPr>
                <w:rFonts w:ascii="Arial" w:cs="Arial" w:eastAsia="Arial" w:hAnsi="Arial"/>
                <w:sz w:val="14"/>
                <w:szCs w:val="14"/>
                <w:b w:val="1"/>
                <w:bCs w:val="1"/>
                <w:color w:val="auto"/>
              </w:rPr>
              <w:t>Net revenue</w:t>
            </w:r>
          </w:p>
        </w:tc>
        <w:tc>
          <w:tcPr>
            <w:tcW w:w="2660" w:type="dxa"/>
            <w:vAlign w:val="bottom"/>
            <w:gridSpan w:val="7"/>
          </w:tcPr>
          <w:p>
            <w:pPr>
              <w:jc w:val="right"/>
              <w:ind w:right="200"/>
              <w:spacing w:after="0"/>
              <w:rPr>
                <w:sz w:val="20"/>
                <w:szCs w:val="20"/>
                <w:color w:val="auto"/>
              </w:rPr>
            </w:pPr>
            <w:r>
              <w:rPr>
                <w:rFonts w:ascii="Arial" w:cs="Arial" w:eastAsia="Arial" w:hAnsi="Arial"/>
                <w:sz w:val="14"/>
                <w:szCs w:val="14"/>
                <w:color w:val="auto"/>
              </w:rPr>
              <w:t>440,323</w:t>
            </w:r>
          </w:p>
        </w:tc>
        <w:tc>
          <w:tcPr>
            <w:tcW w:w="1340" w:type="dxa"/>
            <w:vAlign w:val="bottom"/>
            <w:gridSpan w:val="7"/>
          </w:tcPr>
          <w:p>
            <w:pPr>
              <w:jc w:val="right"/>
              <w:ind w:right="200"/>
              <w:spacing w:after="0"/>
              <w:rPr>
                <w:sz w:val="20"/>
                <w:szCs w:val="20"/>
                <w:color w:val="auto"/>
              </w:rPr>
            </w:pPr>
            <w:r>
              <w:rPr>
                <w:rFonts w:ascii="Arial" w:cs="Arial" w:eastAsia="Arial" w:hAnsi="Arial"/>
                <w:sz w:val="14"/>
                <w:szCs w:val="14"/>
                <w:color w:val="auto"/>
              </w:rPr>
              <w:t>420,201</w:t>
            </w:r>
          </w:p>
        </w:tc>
        <w:tc>
          <w:tcPr>
            <w:tcW w:w="1340" w:type="dxa"/>
            <w:vAlign w:val="bottom"/>
            <w:gridSpan w:val="7"/>
          </w:tcPr>
          <w:p>
            <w:pPr>
              <w:jc w:val="right"/>
              <w:ind w:right="200"/>
              <w:spacing w:after="0"/>
              <w:rPr>
                <w:sz w:val="20"/>
                <w:szCs w:val="20"/>
                <w:color w:val="auto"/>
              </w:rPr>
            </w:pPr>
            <w:r>
              <w:rPr>
                <w:rFonts w:ascii="Arial" w:cs="Arial" w:eastAsia="Arial" w:hAnsi="Arial"/>
                <w:sz w:val="14"/>
                <w:szCs w:val="14"/>
                <w:color w:val="auto"/>
              </w:rPr>
              <w:t>1,303,300</w:t>
            </w:r>
          </w:p>
        </w:tc>
        <w:tc>
          <w:tcPr>
            <w:tcW w:w="1140" w:type="dxa"/>
            <w:vAlign w:val="bottom"/>
            <w:gridSpan w:val="7"/>
          </w:tcPr>
          <w:p>
            <w:pPr>
              <w:jc w:val="right"/>
              <w:spacing w:after="0"/>
              <w:rPr>
                <w:sz w:val="20"/>
                <w:szCs w:val="20"/>
                <w:color w:val="auto"/>
              </w:rPr>
            </w:pPr>
            <w:r>
              <w:rPr>
                <w:rFonts w:ascii="Arial" w:cs="Arial" w:eastAsia="Arial" w:hAnsi="Arial"/>
                <w:sz w:val="14"/>
                <w:szCs w:val="14"/>
                <w:color w:val="auto"/>
              </w:rPr>
              <w:t>1,231,353</w:t>
            </w:r>
          </w:p>
        </w:tc>
        <w:tc>
          <w:tcPr>
            <w:tcW w:w="0" w:type="dxa"/>
            <w:vAlign w:val="bottom"/>
          </w:tcPr>
          <w:p>
            <w:pPr>
              <w:spacing w:after="0"/>
              <w:rPr>
                <w:sz w:val="1"/>
                <w:szCs w:val="1"/>
                <w:color w:val="auto"/>
              </w:rPr>
            </w:pPr>
          </w:p>
        </w:tc>
      </w:tr>
      <w:tr>
        <w:trPr>
          <w:trHeight w:val="344"/>
        </w:trPr>
        <w:tc>
          <w:tcPr>
            <w:tcW w:w="4940" w:type="dxa"/>
            <w:vAlign w:val="bottom"/>
          </w:tcPr>
          <w:p>
            <w:pPr>
              <w:spacing w:after="0"/>
              <w:rPr>
                <w:sz w:val="20"/>
                <w:szCs w:val="20"/>
                <w:color w:val="auto"/>
              </w:rPr>
            </w:pPr>
            <w:r>
              <w:rPr>
                <w:rFonts w:ascii="Arial" w:cs="Arial" w:eastAsia="Arial" w:hAnsi="Arial"/>
                <w:sz w:val="14"/>
                <w:szCs w:val="14"/>
                <w:b w:val="1"/>
                <w:bCs w:val="1"/>
                <w:color w:val="auto"/>
              </w:rPr>
              <w:t>Costs and expenses:</w:t>
            </w: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940" w:type="dxa"/>
            <w:vAlign w:val="bottom"/>
          </w:tcPr>
          <w:p>
            <w:pPr>
              <w:spacing w:after="0"/>
              <w:rPr>
                <w:sz w:val="20"/>
                <w:szCs w:val="20"/>
                <w:color w:val="auto"/>
              </w:rPr>
            </w:pPr>
            <w:r>
              <w:rPr>
                <w:rFonts w:ascii="Arial" w:cs="Arial" w:eastAsia="Arial" w:hAnsi="Arial"/>
                <w:sz w:val="14"/>
                <w:szCs w:val="14"/>
                <w:color w:val="auto"/>
              </w:rPr>
              <w:t>Direct costs</w:t>
            </w:r>
          </w:p>
        </w:tc>
        <w:tc>
          <w:tcPr>
            <w:tcW w:w="2660" w:type="dxa"/>
            <w:vAlign w:val="bottom"/>
            <w:gridSpan w:val="7"/>
          </w:tcPr>
          <w:p>
            <w:pPr>
              <w:jc w:val="right"/>
              <w:ind w:right="200"/>
              <w:spacing w:after="0"/>
              <w:rPr>
                <w:sz w:val="20"/>
                <w:szCs w:val="20"/>
                <w:color w:val="auto"/>
              </w:rPr>
            </w:pPr>
            <w:r>
              <w:rPr>
                <w:rFonts w:ascii="Arial" w:cs="Arial" w:eastAsia="Arial" w:hAnsi="Arial"/>
                <w:sz w:val="14"/>
                <w:szCs w:val="14"/>
                <w:color w:val="auto"/>
              </w:rPr>
              <w:t>(259,672)</w:t>
            </w:r>
          </w:p>
        </w:tc>
        <w:tc>
          <w:tcPr>
            <w:tcW w:w="1340" w:type="dxa"/>
            <w:vAlign w:val="bottom"/>
            <w:gridSpan w:val="7"/>
          </w:tcPr>
          <w:p>
            <w:pPr>
              <w:jc w:val="right"/>
              <w:ind w:right="200"/>
              <w:spacing w:after="0"/>
              <w:rPr>
                <w:sz w:val="20"/>
                <w:szCs w:val="20"/>
                <w:color w:val="auto"/>
              </w:rPr>
            </w:pPr>
            <w:r>
              <w:rPr>
                <w:rFonts w:ascii="Arial" w:cs="Arial" w:eastAsia="Arial" w:hAnsi="Arial"/>
                <w:sz w:val="14"/>
                <w:szCs w:val="14"/>
                <w:color w:val="auto"/>
              </w:rPr>
              <w:t>(243,244)</w:t>
            </w:r>
          </w:p>
        </w:tc>
        <w:tc>
          <w:tcPr>
            <w:tcW w:w="1340" w:type="dxa"/>
            <w:vAlign w:val="bottom"/>
            <w:gridSpan w:val="7"/>
          </w:tcPr>
          <w:p>
            <w:pPr>
              <w:jc w:val="right"/>
              <w:ind w:right="200"/>
              <w:spacing w:after="0"/>
              <w:rPr>
                <w:sz w:val="20"/>
                <w:szCs w:val="20"/>
                <w:color w:val="auto"/>
              </w:rPr>
            </w:pPr>
            <w:r>
              <w:rPr>
                <w:rFonts w:ascii="Arial" w:cs="Arial" w:eastAsia="Arial" w:hAnsi="Arial"/>
                <w:sz w:val="14"/>
                <w:szCs w:val="14"/>
                <w:color w:val="auto"/>
              </w:rPr>
              <w:t>(760,175)</w:t>
            </w:r>
          </w:p>
        </w:tc>
        <w:tc>
          <w:tcPr>
            <w:tcW w:w="1140" w:type="dxa"/>
            <w:vAlign w:val="bottom"/>
            <w:gridSpan w:val="7"/>
          </w:tcPr>
          <w:p>
            <w:pPr>
              <w:jc w:val="right"/>
              <w:spacing w:after="0"/>
              <w:rPr>
                <w:sz w:val="20"/>
                <w:szCs w:val="20"/>
                <w:color w:val="auto"/>
              </w:rPr>
            </w:pPr>
            <w:r>
              <w:rPr>
                <w:rFonts w:ascii="Arial" w:cs="Arial" w:eastAsia="Arial" w:hAnsi="Arial"/>
                <w:sz w:val="14"/>
                <w:szCs w:val="14"/>
                <w:color w:val="auto"/>
              </w:rPr>
              <w:t>(709,831)</w:t>
            </w:r>
          </w:p>
        </w:tc>
        <w:tc>
          <w:tcPr>
            <w:tcW w:w="0" w:type="dxa"/>
            <w:vAlign w:val="bottom"/>
          </w:tcPr>
          <w:p>
            <w:pPr>
              <w:spacing w:after="0"/>
              <w:rPr>
                <w:sz w:val="1"/>
                <w:szCs w:val="1"/>
                <w:color w:val="auto"/>
              </w:rPr>
            </w:pPr>
          </w:p>
        </w:tc>
      </w:tr>
      <w:tr>
        <w:trPr>
          <w:trHeight w:val="176"/>
        </w:trPr>
        <w:tc>
          <w:tcPr>
            <w:tcW w:w="4940" w:type="dxa"/>
            <w:vAlign w:val="bottom"/>
          </w:tcPr>
          <w:p>
            <w:pPr>
              <w:spacing w:after="0"/>
              <w:rPr>
                <w:sz w:val="20"/>
                <w:szCs w:val="20"/>
                <w:color w:val="auto"/>
              </w:rPr>
            </w:pPr>
            <w:r>
              <w:rPr>
                <w:rFonts w:ascii="Arial" w:cs="Arial" w:eastAsia="Arial" w:hAnsi="Arial"/>
                <w:sz w:val="14"/>
                <w:szCs w:val="14"/>
                <w:color w:val="auto"/>
              </w:rPr>
              <w:t>Selling, general and administrative expense</w:t>
            </w:r>
          </w:p>
        </w:tc>
        <w:tc>
          <w:tcPr>
            <w:tcW w:w="2660" w:type="dxa"/>
            <w:vAlign w:val="bottom"/>
            <w:gridSpan w:val="7"/>
          </w:tcPr>
          <w:p>
            <w:pPr>
              <w:jc w:val="right"/>
              <w:ind w:right="200"/>
              <w:spacing w:after="0"/>
              <w:rPr>
                <w:sz w:val="20"/>
                <w:szCs w:val="20"/>
                <w:color w:val="auto"/>
              </w:rPr>
            </w:pPr>
            <w:r>
              <w:rPr>
                <w:rFonts w:ascii="Arial" w:cs="Arial" w:eastAsia="Arial" w:hAnsi="Arial"/>
                <w:sz w:val="14"/>
                <w:szCs w:val="14"/>
                <w:color w:val="auto"/>
              </w:rPr>
              <w:t>(79,433)</w:t>
            </w:r>
          </w:p>
        </w:tc>
        <w:tc>
          <w:tcPr>
            <w:tcW w:w="1340" w:type="dxa"/>
            <w:vAlign w:val="bottom"/>
            <w:gridSpan w:val="7"/>
          </w:tcPr>
          <w:p>
            <w:pPr>
              <w:jc w:val="right"/>
              <w:ind w:right="200"/>
              <w:spacing w:after="0"/>
              <w:rPr>
                <w:sz w:val="20"/>
                <w:szCs w:val="20"/>
                <w:color w:val="auto"/>
              </w:rPr>
            </w:pPr>
            <w:r>
              <w:rPr>
                <w:rFonts w:ascii="Arial" w:cs="Arial" w:eastAsia="Arial" w:hAnsi="Arial"/>
                <w:sz w:val="14"/>
                <w:szCs w:val="14"/>
                <w:color w:val="auto"/>
              </w:rPr>
              <w:t>(81,235)</w:t>
            </w:r>
          </w:p>
        </w:tc>
        <w:tc>
          <w:tcPr>
            <w:tcW w:w="1340" w:type="dxa"/>
            <w:vAlign w:val="bottom"/>
            <w:gridSpan w:val="7"/>
          </w:tcPr>
          <w:p>
            <w:pPr>
              <w:jc w:val="right"/>
              <w:ind w:right="200"/>
              <w:spacing w:after="0"/>
              <w:rPr>
                <w:sz w:val="20"/>
                <w:szCs w:val="20"/>
                <w:color w:val="auto"/>
              </w:rPr>
            </w:pPr>
            <w:r>
              <w:rPr>
                <w:rFonts w:ascii="Arial" w:cs="Arial" w:eastAsia="Arial" w:hAnsi="Arial"/>
                <w:sz w:val="14"/>
                <w:szCs w:val="14"/>
                <w:color w:val="auto"/>
              </w:rPr>
              <w:t>(241,655)</w:t>
            </w:r>
          </w:p>
        </w:tc>
        <w:tc>
          <w:tcPr>
            <w:tcW w:w="1140" w:type="dxa"/>
            <w:vAlign w:val="bottom"/>
            <w:gridSpan w:val="7"/>
          </w:tcPr>
          <w:p>
            <w:pPr>
              <w:jc w:val="right"/>
              <w:spacing w:after="0"/>
              <w:rPr>
                <w:sz w:val="20"/>
                <w:szCs w:val="20"/>
                <w:color w:val="auto"/>
              </w:rPr>
            </w:pPr>
            <w:r>
              <w:rPr>
                <w:rFonts w:ascii="Arial" w:cs="Arial" w:eastAsia="Arial" w:hAnsi="Arial"/>
                <w:sz w:val="14"/>
                <w:szCs w:val="14"/>
                <w:color w:val="auto"/>
              </w:rPr>
              <w:t>(242,192)</w:t>
            </w:r>
          </w:p>
        </w:tc>
        <w:tc>
          <w:tcPr>
            <w:tcW w:w="0" w:type="dxa"/>
            <w:vAlign w:val="bottom"/>
          </w:tcPr>
          <w:p>
            <w:pPr>
              <w:spacing w:after="0"/>
              <w:rPr>
                <w:sz w:val="1"/>
                <w:szCs w:val="1"/>
                <w:color w:val="auto"/>
              </w:rPr>
            </w:pPr>
          </w:p>
        </w:tc>
      </w:tr>
      <w:tr>
        <w:trPr>
          <w:trHeight w:val="181"/>
        </w:trPr>
        <w:tc>
          <w:tcPr>
            <w:tcW w:w="49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Depreciation and amortization</w:t>
            </w:r>
          </w:p>
        </w:tc>
        <w:tc>
          <w:tcPr>
            <w:tcW w:w="266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color w:val="auto"/>
              </w:rPr>
              <w:t>(16,280)</w:t>
            </w:r>
          </w:p>
        </w:tc>
        <w:tc>
          <w:tcPr>
            <w:tcW w:w="134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color w:val="auto"/>
              </w:rPr>
              <w:t>(14,543)</w:t>
            </w:r>
          </w:p>
        </w:tc>
        <w:tc>
          <w:tcPr>
            <w:tcW w:w="134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color w:val="auto"/>
              </w:rPr>
              <w:t>(45,123)</w:t>
            </w:r>
          </w:p>
        </w:tc>
        <w:tc>
          <w:tcPr>
            <w:tcW w:w="11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color w:val="auto"/>
              </w:rPr>
              <w:t>(44,120)</w:t>
            </w:r>
          </w:p>
        </w:tc>
        <w:tc>
          <w:tcPr>
            <w:tcW w:w="0" w:type="dxa"/>
            <w:vAlign w:val="bottom"/>
          </w:tcPr>
          <w:p>
            <w:pPr>
              <w:spacing w:after="0"/>
              <w:rPr>
                <w:sz w:val="1"/>
                <w:szCs w:val="1"/>
                <w:color w:val="auto"/>
              </w:rPr>
            </w:pPr>
          </w:p>
        </w:tc>
      </w:tr>
      <w:tr>
        <w:trPr>
          <w:trHeight w:val="345"/>
        </w:trPr>
        <w:tc>
          <w:tcPr>
            <w:tcW w:w="4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 costs and expenses</w:t>
            </w:r>
          </w:p>
        </w:tc>
        <w:tc>
          <w:tcPr>
            <w:tcW w:w="266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color w:val="auto"/>
              </w:rPr>
              <w:t>(355,385)</w:t>
            </w:r>
          </w:p>
        </w:tc>
        <w:tc>
          <w:tcPr>
            <w:tcW w:w="134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color w:val="auto"/>
              </w:rPr>
              <w:t>(339,022)</w:t>
            </w:r>
          </w:p>
        </w:tc>
        <w:tc>
          <w:tcPr>
            <w:tcW w:w="134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color w:val="auto"/>
              </w:rPr>
              <w:t>(1,046,953)</w:t>
            </w:r>
          </w:p>
        </w:tc>
        <w:tc>
          <w:tcPr>
            <w:tcW w:w="11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color w:val="auto"/>
              </w:rPr>
              <w:t>(996,143)</w:t>
            </w:r>
          </w:p>
        </w:tc>
        <w:tc>
          <w:tcPr>
            <w:tcW w:w="0" w:type="dxa"/>
            <w:vAlign w:val="bottom"/>
          </w:tcPr>
          <w:p>
            <w:pPr>
              <w:spacing w:after="0"/>
              <w:rPr>
                <w:sz w:val="1"/>
                <w:szCs w:val="1"/>
                <w:color w:val="auto"/>
              </w:rPr>
            </w:pPr>
          </w:p>
        </w:tc>
      </w:tr>
      <w:tr>
        <w:trPr>
          <w:trHeight w:val="346"/>
        </w:trPr>
        <w:tc>
          <w:tcPr>
            <w:tcW w:w="4940" w:type="dxa"/>
            <w:vAlign w:val="bottom"/>
          </w:tcPr>
          <w:p>
            <w:pPr>
              <w:spacing w:after="0"/>
              <w:rPr>
                <w:sz w:val="20"/>
                <w:szCs w:val="20"/>
                <w:color w:val="auto"/>
              </w:rPr>
            </w:pPr>
            <w:r>
              <w:rPr>
                <w:rFonts w:ascii="Arial" w:cs="Arial" w:eastAsia="Arial" w:hAnsi="Arial"/>
                <w:sz w:val="14"/>
                <w:szCs w:val="14"/>
                <w:b w:val="1"/>
                <w:bCs w:val="1"/>
                <w:color w:val="auto"/>
              </w:rPr>
              <w:t>Income from operations</w:t>
            </w:r>
          </w:p>
        </w:tc>
        <w:tc>
          <w:tcPr>
            <w:tcW w:w="2660" w:type="dxa"/>
            <w:vAlign w:val="bottom"/>
            <w:gridSpan w:val="7"/>
          </w:tcPr>
          <w:p>
            <w:pPr>
              <w:jc w:val="right"/>
              <w:ind w:right="200"/>
              <w:spacing w:after="0"/>
              <w:rPr>
                <w:sz w:val="20"/>
                <w:szCs w:val="20"/>
                <w:color w:val="auto"/>
              </w:rPr>
            </w:pPr>
            <w:r>
              <w:rPr>
                <w:rFonts w:ascii="Arial" w:cs="Arial" w:eastAsia="Arial" w:hAnsi="Arial"/>
                <w:sz w:val="14"/>
                <w:szCs w:val="14"/>
                <w:color w:val="auto"/>
              </w:rPr>
              <w:t>84,938</w:t>
            </w:r>
          </w:p>
        </w:tc>
        <w:tc>
          <w:tcPr>
            <w:tcW w:w="1340" w:type="dxa"/>
            <w:vAlign w:val="bottom"/>
            <w:gridSpan w:val="7"/>
          </w:tcPr>
          <w:p>
            <w:pPr>
              <w:jc w:val="right"/>
              <w:ind w:right="200"/>
              <w:spacing w:after="0"/>
              <w:rPr>
                <w:sz w:val="20"/>
                <w:szCs w:val="20"/>
                <w:color w:val="auto"/>
              </w:rPr>
            </w:pPr>
            <w:r>
              <w:rPr>
                <w:rFonts w:ascii="Arial" w:cs="Arial" w:eastAsia="Arial" w:hAnsi="Arial"/>
                <w:sz w:val="14"/>
                <w:szCs w:val="14"/>
                <w:color w:val="auto"/>
              </w:rPr>
              <w:t>81,179</w:t>
            </w:r>
          </w:p>
        </w:tc>
        <w:tc>
          <w:tcPr>
            <w:tcW w:w="1340" w:type="dxa"/>
            <w:vAlign w:val="bottom"/>
            <w:gridSpan w:val="7"/>
          </w:tcPr>
          <w:p>
            <w:pPr>
              <w:jc w:val="right"/>
              <w:ind w:right="200"/>
              <w:spacing w:after="0"/>
              <w:rPr>
                <w:sz w:val="20"/>
                <w:szCs w:val="20"/>
                <w:color w:val="auto"/>
              </w:rPr>
            </w:pPr>
            <w:r>
              <w:rPr>
                <w:rFonts w:ascii="Arial" w:cs="Arial" w:eastAsia="Arial" w:hAnsi="Arial"/>
                <w:sz w:val="14"/>
                <w:szCs w:val="14"/>
                <w:color w:val="auto"/>
              </w:rPr>
              <w:t>256,347</w:t>
            </w:r>
          </w:p>
        </w:tc>
        <w:tc>
          <w:tcPr>
            <w:tcW w:w="1140" w:type="dxa"/>
            <w:vAlign w:val="bottom"/>
            <w:gridSpan w:val="7"/>
          </w:tcPr>
          <w:p>
            <w:pPr>
              <w:jc w:val="right"/>
              <w:spacing w:after="0"/>
              <w:rPr>
                <w:sz w:val="20"/>
                <w:szCs w:val="20"/>
                <w:color w:val="auto"/>
              </w:rPr>
            </w:pPr>
            <w:r>
              <w:rPr>
                <w:rFonts w:ascii="Arial" w:cs="Arial" w:eastAsia="Arial" w:hAnsi="Arial"/>
                <w:sz w:val="14"/>
                <w:szCs w:val="14"/>
                <w:color w:val="auto"/>
              </w:rPr>
              <w:t>235,210</w:t>
            </w:r>
          </w:p>
        </w:tc>
        <w:tc>
          <w:tcPr>
            <w:tcW w:w="0" w:type="dxa"/>
            <w:vAlign w:val="bottom"/>
          </w:tcPr>
          <w:p>
            <w:pPr>
              <w:spacing w:after="0"/>
              <w:rPr>
                <w:sz w:val="1"/>
                <w:szCs w:val="1"/>
                <w:color w:val="auto"/>
              </w:rPr>
            </w:pPr>
          </w:p>
        </w:tc>
      </w:tr>
      <w:tr>
        <w:trPr>
          <w:trHeight w:val="350"/>
        </w:trPr>
        <w:tc>
          <w:tcPr>
            <w:tcW w:w="49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Net interest expense</w:t>
            </w:r>
          </w:p>
        </w:tc>
        <w:tc>
          <w:tcPr>
            <w:tcW w:w="266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color w:val="auto"/>
              </w:rPr>
              <w:t>(2,545)</w:t>
            </w:r>
          </w:p>
        </w:tc>
        <w:tc>
          <w:tcPr>
            <w:tcW w:w="134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color w:val="auto"/>
              </w:rPr>
              <w:t>(2,765)</w:t>
            </w:r>
          </w:p>
        </w:tc>
        <w:tc>
          <w:tcPr>
            <w:tcW w:w="134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color w:val="auto"/>
              </w:rPr>
              <w:t>(7,769)</w:t>
            </w:r>
          </w:p>
        </w:tc>
        <w:tc>
          <w:tcPr>
            <w:tcW w:w="11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color w:val="auto"/>
              </w:rPr>
              <w:t>(8,485)</w:t>
            </w:r>
          </w:p>
        </w:tc>
        <w:tc>
          <w:tcPr>
            <w:tcW w:w="0" w:type="dxa"/>
            <w:vAlign w:val="bottom"/>
          </w:tcPr>
          <w:p>
            <w:pPr>
              <w:spacing w:after="0"/>
              <w:rPr>
                <w:sz w:val="1"/>
                <w:szCs w:val="1"/>
                <w:color w:val="auto"/>
              </w:rPr>
            </w:pPr>
          </w:p>
        </w:tc>
      </w:tr>
      <w:tr>
        <w:trPr>
          <w:trHeight w:val="346"/>
        </w:trPr>
        <w:tc>
          <w:tcPr>
            <w:tcW w:w="4940" w:type="dxa"/>
            <w:vAlign w:val="bottom"/>
          </w:tcPr>
          <w:p>
            <w:pPr>
              <w:spacing w:after="0"/>
              <w:rPr>
                <w:sz w:val="20"/>
                <w:szCs w:val="20"/>
                <w:color w:val="auto"/>
              </w:rPr>
            </w:pPr>
            <w:r>
              <w:rPr>
                <w:rFonts w:ascii="Arial" w:cs="Arial" w:eastAsia="Arial" w:hAnsi="Arial"/>
                <w:sz w:val="14"/>
                <w:szCs w:val="14"/>
                <w:b w:val="1"/>
                <w:bCs w:val="1"/>
                <w:color w:val="auto"/>
              </w:rPr>
              <w:t>Income before provision for income taxes</w:t>
            </w:r>
          </w:p>
        </w:tc>
        <w:tc>
          <w:tcPr>
            <w:tcW w:w="2660" w:type="dxa"/>
            <w:vAlign w:val="bottom"/>
            <w:gridSpan w:val="7"/>
          </w:tcPr>
          <w:p>
            <w:pPr>
              <w:jc w:val="right"/>
              <w:ind w:right="200"/>
              <w:spacing w:after="0"/>
              <w:rPr>
                <w:sz w:val="20"/>
                <w:szCs w:val="20"/>
                <w:color w:val="auto"/>
              </w:rPr>
            </w:pPr>
            <w:r>
              <w:rPr>
                <w:rFonts w:ascii="Arial" w:cs="Arial" w:eastAsia="Arial" w:hAnsi="Arial"/>
                <w:sz w:val="14"/>
                <w:szCs w:val="14"/>
                <w:color w:val="auto"/>
              </w:rPr>
              <w:t>82,393</w:t>
            </w:r>
          </w:p>
        </w:tc>
        <w:tc>
          <w:tcPr>
            <w:tcW w:w="1340" w:type="dxa"/>
            <w:vAlign w:val="bottom"/>
            <w:gridSpan w:val="7"/>
          </w:tcPr>
          <w:p>
            <w:pPr>
              <w:jc w:val="right"/>
              <w:ind w:right="200"/>
              <w:spacing w:after="0"/>
              <w:rPr>
                <w:sz w:val="20"/>
                <w:szCs w:val="20"/>
                <w:color w:val="auto"/>
              </w:rPr>
            </w:pPr>
            <w:r>
              <w:rPr>
                <w:rFonts w:ascii="Arial" w:cs="Arial" w:eastAsia="Arial" w:hAnsi="Arial"/>
                <w:sz w:val="14"/>
                <w:szCs w:val="14"/>
                <w:color w:val="auto"/>
              </w:rPr>
              <w:t>78,414</w:t>
            </w:r>
          </w:p>
        </w:tc>
        <w:tc>
          <w:tcPr>
            <w:tcW w:w="1340" w:type="dxa"/>
            <w:vAlign w:val="bottom"/>
            <w:gridSpan w:val="7"/>
          </w:tcPr>
          <w:p>
            <w:pPr>
              <w:jc w:val="right"/>
              <w:ind w:right="200"/>
              <w:spacing w:after="0"/>
              <w:rPr>
                <w:sz w:val="20"/>
                <w:szCs w:val="20"/>
                <w:color w:val="auto"/>
              </w:rPr>
            </w:pPr>
            <w:r>
              <w:rPr>
                <w:rFonts w:ascii="Arial" w:cs="Arial" w:eastAsia="Arial" w:hAnsi="Arial"/>
                <w:sz w:val="14"/>
                <w:szCs w:val="14"/>
                <w:color w:val="auto"/>
              </w:rPr>
              <w:t>248,578</w:t>
            </w:r>
          </w:p>
        </w:tc>
        <w:tc>
          <w:tcPr>
            <w:tcW w:w="1140" w:type="dxa"/>
            <w:vAlign w:val="bottom"/>
            <w:gridSpan w:val="7"/>
          </w:tcPr>
          <w:p>
            <w:pPr>
              <w:jc w:val="right"/>
              <w:spacing w:after="0"/>
              <w:rPr>
                <w:sz w:val="20"/>
                <w:szCs w:val="20"/>
                <w:color w:val="auto"/>
              </w:rPr>
            </w:pPr>
            <w:r>
              <w:rPr>
                <w:rFonts w:ascii="Arial" w:cs="Arial" w:eastAsia="Arial" w:hAnsi="Arial"/>
                <w:sz w:val="14"/>
                <w:szCs w:val="14"/>
                <w:color w:val="auto"/>
              </w:rPr>
              <w:t>226,725</w:t>
            </w:r>
          </w:p>
        </w:tc>
        <w:tc>
          <w:tcPr>
            <w:tcW w:w="0" w:type="dxa"/>
            <w:vAlign w:val="bottom"/>
          </w:tcPr>
          <w:p>
            <w:pPr>
              <w:spacing w:after="0"/>
              <w:rPr>
                <w:sz w:val="1"/>
                <w:szCs w:val="1"/>
                <w:color w:val="auto"/>
              </w:rPr>
            </w:pPr>
          </w:p>
        </w:tc>
      </w:tr>
      <w:tr>
        <w:trPr>
          <w:trHeight w:val="350"/>
        </w:trPr>
        <w:tc>
          <w:tcPr>
            <w:tcW w:w="49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Provision for income taxes</w:t>
            </w:r>
          </w:p>
        </w:tc>
        <w:tc>
          <w:tcPr>
            <w:tcW w:w="266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color w:val="auto"/>
              </w:rPr>
              <w:t>(8,239)</w:t>
            </w:r>
          </w:p>
        </w:tc>
        <w:tc>
          <w:tcPr>
            <w:tcW w:w="134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color w:val="auto"/>
              </w:rPr>
              <w:t>(10,979)</w:t>
            </w:r>
          </w:p>
        </w:tc>
        <w:tc>
          <w:tcPr>
            <w:tcW w:w="134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color w:val="auto"/>
              </w:rPr>
              <w:t>(31,414)</w:t>
            </w:r>
          </w:p>
        </w:tc>
        <w:tc>
          <w:tcPr>
            <w:tcW w:w="11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color w:val="auto"/>
              </w:rPr>
              <w:t>(31,669)</w:t>
            </w:r>
          </w:p>
        </w:tc>
        <w:tc>
          <w:tcPr>
            <w:tcW w:w="0" w:type="dxa"/>
            <w:vAlign w:val="bottom"/>
          </w:tcPr>
          <w:p>
            <w:pPr>
              <w:spacing w:after="0"/>
              <w:rPr>
                <w:sz w:val="1"/>
                <w:szCs w:val="1"/>
                <w:color w:val="auto"/>
              </w:rPr>
            </w:pPr>
          </w:p>
        </w:tc>
      </w:tr>
      <w:tr>
        <w:trPr>
          <w:trHeight w:val="345"/>
        </w:trPr>
        <w:tc>
          <w:tcPr>
            <w:tcW w:w="4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Net income</w:t>
            </w:r>
          </w:p>
        </w:tc>
        <w:tc>
          <w:tcPr>
            <w:tcW w:w="266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color w:val="auto"/>
              </w:rPr>
              <w:t>74,154</w:t>
            </w:r>
          </w:p>
        </w:tc>
        <w:tc>
          <w:tcPr>
            <w:tcW w:w="134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color w:val="auto"/>
              </w:rPr>
              <w:t>67,435</w:t>
            </w:r>
          </w:p>
        </w:tc>
        <w:tc>
          <w:tcPr>
            <w:tcW w:w="134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color w:val="auto"/>
              </w:rPr>
              <w:t>217,164</w:t>
            </w:r>
          </w:p>
        </w:tc>
        <w:tc>
          <w:tcPr>
            <w:tcW w:w="11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color w:val="auto"/>
              </w:rPr>
              <w:t>195,056</w:t>
            </w:r>
          </w:p>
        </w:tc>
        <w:tc>
          <w:tcPr>
            <w:tcW w:w="0" w:type="dxa"/>
            <w:vAlign w:val="bottom"/>
          </w:tcPr>
          <w:p>
            <w:pPr>
              <w:spacing w:after="0"/>
              <w:rPr>
                <w:sz w:val="1"/>
                <w:szCs w:val="1"/>
                <w:color w:val="auto"/>
              </w:rPr>
            </w:pPr>
          </w:p>
        </w:tc>
      </w:tr>
      <w:tr>
        <w:trPr>
          <w:trHeight w:val="346"/>
        </w:trPr>
        <w:tc>
          <w:tcPr>
            <w:tcW w:w="4940" w:type="dxa"/>
            <w:vAlign w:val="bottom"/>
          </w:tcPr>
          <w:p>
            <w:pPr>
              <w:spacing w:after="0"/>
              <w:rPr>
                <w:sz w:val="20"/>
                <w:szCs w:val="20"/>
                <w:color w:val="auto"/>
              </w:rPr>
            </w:pPr>
            <w:r>
              <w:rPr>
                <w:rFonts w:ascii="Arial" w:cs="Arial" w:eastAsia="Arial" w:hAnsi="Arial"/>
                <w:sz w:val="14"/>
                <w:szCs w:val="14"/>
                <w:color w:val="auto"/>
              </w:rPr>
              <w:t>Net income per Ordinary Share:</w:t>
            </w: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49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Basic</w:t>
            </w:r>
          </w:p>
        </w:tc>
        <w:tc>
          <w:tcPr>
            <w:tcW w:w="266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color w:val="auto"/>
              </w:rPr>
              <w:t>$1.37</w:t>
            </w:r>
          </w:p>
        </w:tc>
        <w:tc>
          <w:tcPr>
            <w:tcW w:w="134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color w:val="auto"/>
              </w:rPr>
              <w:t>$1.21</w:t>
            </w:r>
          </w:p>
        </w:tc>
        <w:tc>
          <w:tcPr>
            <w:tcW w:w="134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color w:val="auto"/>
              </w:rPr>
              <w:t>$4.01</w:t>
            </w:r>
          </w:p>
        </w:tc>
        <w:tc>
          <w:tcPr>
            <w:tcW w:w="11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color w:val="auto"/>
              </w:rPr>
              <w:t>$3.52</w:t>
            </w:r>
          </w:p>
        </w:tc>
        <w:tc>
          <w:tcPr>
            <w:tcW w:w="0" w:type="dxa"/>
            <w:vAlign w:val="bottom"/>
          </w:tcPr>
          <w:p>
            <w:pPr>
              <w:spacing w:after="0"/>
              <w:rPr>
                <w:sz w:val="1"/>
                <w:szCs w:val="1"/>
                <w:color w:val="auto"/>
              </w:rPr>
            </w:pPr>
          </w:p>
        </w:tc>
      </w:tr>
      <w:tr>
        <w:trPr>
          <w:trHeight w:val="345"/>
        </w:trPr>
        <w:tc>
          <w:tcPr>
            <w:tcW w:w="49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Diluted</w:t>
            </w:r>
          </w:p>
        </w:tc>
        <w:tc>
          <w:tcPr>
            <w:tcW w:w="266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color w:val="auto"/>
              </w:rPr>
              <w:t>$1.35</w:t>
            </w:r>
          </w:p>
        </w:tc>
        <w:tc>
          <w:tcPr>
            <w:tcW w:w="134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color w:val="auto"/>
              </w:rPr>
              <w:t>$1.19</w:t>
            </w:r>
          </w:p>
        </w:tc>
        <w:tc>
          <w:tcPr>
            <w:tcW w:w="134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color w:val="auto"/>
              </w:rPr>
              <w:t>$3.96</w:t>
            </w:r>
          </w:p>
        </w:tc>
        <w:tc>
          <w:tcPr>
            <w:tcW w:w="11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color w:val="auto"/>
              </w:rPr>
              <w:t>$3.45</w:t>
            </w:r>
          </w:p>
        </w:tc>
        <w:tc>
          <w:tcPr>
            <w:tcW w:w="0" w:type="dxa"/>
            <w:vAlign w:val="bottom"/>
          </w:tcPr>
          <w:p>
            <w:pPr>
              <w:spacing w:after="0"/>
              <w:rPr>
                <w:sz w:val="1"/>
                <w:szCs w:val="1"/>
                <w:color w:val="auto"/>
              </w:rPr>
            </w:pPr>
          </w:p>
        </w:tc>
      </w:tr>
      <w:tr>
        <w:trPr>
          <w:trHeight w:val="346"/>
        </w:trPr>
        <w:tc>
          <w:tcPr>
            <w:tcW w:w="4940" w:type="dxa"/>
            <w:vAlign w:val="bottom"/>
          </w:tcPr>
          <w:p>
            <w:pPr>
              <w:spacing w:after="0"/>
              <w:rPr>
                <w:sz w:val="20"/>
                <w:szCs w:val="20"/>
                <w:color w:val="auto"/>
              </w:rPr>
            </w:pPr>
            <w:r>
              <w:rPr>
                <w:rFonts w:ascii="Arial" w:cs="Arial" w:eastAsia="Arial" w:hAnsi="Arial"/>
                <w:sz w:val="14"/>
                <w:szCs w:val="14"/>
                <w:color w:val="auto"/>
              </w:rPr>
              <w:t>Weighted average number of Ordinary Shares outstanding:</w:t>
            </w: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49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Basic</w:t>
            </w:r>
          </w:p>
        </w:tc>
        <w:tc>
          <w:tcPr>
            <w:tcW w:w="266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color w:val="auto"/>
              </w:rPr>
              <w:t>54,109,566</w:t>
            </w:r>
          </w:p>
        </w:tc>
        <w:tc>
          <w:tcPr>
            <w:tcW w:w="134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color w:val="auto"/>
              </w:rPr>
              <w:t>55,734,773</w:t>
            </w:r>
          </w:p>
        </w:tc>
        <w:tc>
          <w:tcPr>
            <w:tcW w:w="134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color w:val="auto"/>
              </w:rPr>
              <w:t>54,110,022</w:t>
            </w:r>
          </w:p>
        </w:tc>
        <w:tc>
          <w:tcPr>
            <w:tcW w:w="11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color w:val="auto"/>
              </w:rPr>
              <w:t>55,355,020</w:t>
            </w:r>
          </w:p>
        </w:tc>
        <w:tc>
          <w:tcPr>
            <w:tcW w:w="0" w:type="dxa"/>
            <w:vAlign w:val="bottom"/>
          </w:tcPr>
          <w:p>
            <w:pPr>
              <w:spacing w:after="0"/>
              <w:rPr>
                <w:sz w:val="1"/>
                <w:szCs w:val="1"/>
                <w:color w:val="auto"/>
              </w:rPr>
            </w:pPr>
          </w:p>
        </w:tc>
      </w:tr>
      <w:tr>
        <w:trPr>
          <w:trHeight w:val="345"/>
        </w:trPr>
        <w:tc>
          <w:tcPr>
            <w:tcW w:w="49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Diluted</w:t>
            </w:r>
          </w:p>
        </w:tc>
        <w:tc>
          <w:tcPr>
            <w:tcW w:w="266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color w:val="auto"/>
              </w:rPr>
              <w:t>54,756,184</w:t>
            </w:r>
          </w:p>
        </w:tc>
        <w:tc>
          <w:tcPr>
            <w:tcW w:w="134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color w:val="auto"/>
              </w:rPr>
              <w:t>56,645,239</w:t>
            </w:r>
          </w:p>
        </w:tc>
        <w:tc>
          <w:tcPr>
            <w:tcW w:w="134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color w:val="auto"/>
              </w:rPr>
              <w:t>54,840,112</w:t>
            </w:r>
          </w:p>
        </w:tc>
        <w:tc>
          <w:tcPr>
            <w:tcW w:w="11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color w:val="auto"/>
              </w:rPr>
              <w:t>56,475,319</w:t>
            </w:r>
          </w:p>
        </w:tc>
        <w:tc>
          <w:tcPr>
            <w:tcW w:w="0" w:type="dxa"/>
            <w:vAlign w:val="bottom"/>
          </w:tcPr>
          <w:p>
            <w:pPr>
              <w:spacing w:after="0"/>
              <w:rPr>
                <w:sz w:val="1"/>
                <w:szCs w:val="1"/>
                <w:color w:val="auto"/>
              </w:rPr>
            </w:pPr>
          </w:p>
        </w:tc>
      </w:tr>
      <w:tr>
        <w:trPr>
          <w:trHeight w:val="304"/>
        </w:trPr>
        <w:tc>
          <w:tcPr>
            <w:tcW w:w="49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940" w:type="dxa"/>
            <w:vAlign w:val="bottom"/>
            <w:tcBorders>
              <w:bottom w:val="single" w:sz="8" w:color="EEEEEE"/>
            </w:tcBorders>
          </w:tcPr>
          <w:p>
            <w:pPr>
              <w:spacing w:after="0" w:line="20" w:lineRule="exact"/>
              <w:rPr>
                <w:sz w:val="1"/>
                <w:szCs w:val="1"/>
                <w:color w:val="auto"/>
              </w:rPr>
            </w:pPr>
          </w:p>
        </w:tc>
        <w:tc>
          <w:tcPr>
            <w:tcW w:w="15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Consolidated Income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 GAAP)</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and Nine Months ended September 30, 2017 and September 30, 2016</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share and per share data)</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20" w:type="dxa"/>
            <w:vAlign w:val="bottom"/>
            <w:gridSpan w:val="11"/>
          </w:tcPr>
          <w:p>
            <w:pPr>
              <w:jc w:val="right"/>
              <w:ind w:right="820"/>
              <w:spacing w:after="0"/>
              <w:rPr>
                <w:sz w:val="20"/>
                <w:szCs w:val="20"/>
                <w:color w:val="auto"/>
              </w:rPr>
            </w:pPr>
            <w:r>
              <w:rPr>
                <w:rFonts w:ascii="Arial" w:cs="Arial" w:eastAsia="Arial" w:hAnsi="Arial"/>
                <w:sz w:val="14"/>
                <w:szCs w:val="14"/>
                <w:b w:val="1"/>
                <w:bCs w:val="1"/>
                <w:color w:val="auto"/>
                <w:w w:val="99"/>
              </w:rPr>
              <w:t>Three Months Ended</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11"/>
          </w:tcPr>
          <w:p>
            <w:pPr>
              <w:jc w:val="right"/>
              <w:ind w:right="6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8"/>
        </w:trPr>
        <w:tc>
          <w:tcPr>
            <w:tcW w:w="4940" w:type="dxa"/>
            <w:vAlign w:val="bottom"/>
          </w:tcPr>
          <w:p>
            <w:pPr>
              <w:spacing w:after="0"/>
              <w:rPr>
                <w:sz w:val="13"/>
                <w:szCs w:val="13"/>
                <w:color w:val="auto"/>
              </w:rPr>
            </w:pPr>
          </w:p>
        </w:tc>
        <w:tc>
          <w:tcPr>
            <w:tcW w:w="2660" w:type="dxa"/>
            <w:vAlign w:val="bottom"/>
            <w:gridSpan w:val="7"/>
          </w:tcPr>
          <w:p>
            <w:pPr>
              <w:jc w:val="right"/>
              <w:ind w:right="460"/>
              <w:spacing w:after="0" w:line="158" w:lineRule="exact"/>
              <w:rPr>
                <w:sz w:val="20"/>
                <w:szCs w:val="20"/>
                <w:color w:val="auto"/>
              </w:rPr>
            </w:pPr>
            <w:r>
              <w:rPr>
                <w:rFonts w:ascii="Arial" w:cs="Arial" w:eastAsia="Arial" w:hAnsi="Arial"/>
                <w:sz w:val="14"/>
                <w:szCs w:val="14"/>
                <w:b w:val="1"/>
                <w:bCs w:val="1"/>
                <w:color w:val="auto"/>
              </w:rPr>
              <w:t>September</w:t>
            </w:r>
          </w:p>
        </w:tc>
        <w:tc>
          <w:tcPr>
            <w:tcW w:w="1340" w:type="dxa"/>
            <w:vAlign w:val="bottom"/>
            <w:gridSpan w:val="7"/>
          </w:tcPr>
          <w:p>
            <w:pPr>
              <w:jc w:val="right"/>
              <w:ind w:right="460"/>
              <w:spacing w:after="0" w:line="158" w:lineRule="exact"/>
              <w:rPr>
                <w:sz w:val="20"/>
                <w:szCs w:val="20"/>
                <w:color w:val="auto"/>
              </w:rPr>
            </w:pPr>
            <w:r>
              <w:rPr>
                <w:rFonts w:ascii="Arial" w:cs="Arial" w:eastAsia="Arial" w:hAnsi="Arial"/>
                <w:sz w:val="14"/>
                <w:szCs w:val="14"/>
                <w:b w:val="1"/>
                <w:bCs w:val="1"/>
                <w:color w:val="auto"/>
              </w:rPr>
              <w:t>September</w:t>
            </w:r>
          </w:p>
        </w:tc>
        <w:tc>
          <w:tcPr>
            <w:tcW w:w="1340" w:type="dxa"/>
            <w:vAlign w:val="bottom"/>
            <w:gridSpan w:val="7"/>
          </w:tcPr>
          <w:p>
            <w:pPr>
              <w:jc w:val="right"/>
              <w:ind w:right="480"/>
              <w:spacing w:after="0" w:line="158" w:lineRule="exact"/>
              <w:rPr>
                <w:sz w:val="20"/>
                <w:szCs w:val="20"/>
                <w:color w:val="auto"/>
              </w:rPr>
            </w:pPr>
            <w:r>
              <w:rPr>
                <w:rFonts w:ascii="Arial" w:cs="Arial" w:eastAsia="Arial" w:hAnsi="Arial"/>
                <w:sz w:val="14"/>
                <w:szCs w:val="14"/>
                <w:b w:val="1"/>
                <w:bCs w:val="1"/>
                <w:color w:val="auto"/>
              </w:rPr>
              <w:t>September</w:t>
            </w:r>
          </w:p>
        </w:tc>
        <w:tc>
          <w:tcPr>
            <w:tcW w:w="1140" w:type="dxa"/>
            <w:vAlign w:val="bottom"/>
            <w:gridSpan w:val="7"/>
          </w:tcPr>
          <w:p>
            <w:pPr>
              <w:jc w:val="right"/>
              <w:ind w:right="280"/>
              <w:spacing w:after="0" w:line="158" w:lineRule="exact"/>
              <w:rPr>
                <w:sz w:val="20"/>
                <w:szCs w:val="20"/>
                <w:color w:val="auto"/>
              </w:rPr>
            </w:pPr>
            <w:r>
              <w:rPr>
                <w:rFonts w:ascii="Arial" w:cs="Arial" w:eastAsia="Arial" w:hAnsi="Arial"/>
                <w:sz w:val="14"/>
                <w:szCs w:val="14"/>
                <w:b w:val="1"/>
                <w:bCs w:val="1"/>
                <w:color w:val="auto"/>
              </w:rPr>
              <w:t>September</w:t>
            </w:r>
          </w:p>
        </w:tc>
        <w:tc>
          <w:tcPr>
            <w:tcW w:w="0" w:type="dxa"/>
            <w:vAlign w:val="bottom"/>
          </w:tcPr>
          <w:p>
            <w:pPr>
              <w:spacing w:after="0"/>
              <w:rPr>
                <w:sz w:val="1"/>
                <w:szCs w:val="1"/>
                <w:color w:val="auto"/>
              </w:rPr>
            </w:pPr>
          </w:p>
        </w:tc>
      </w:tr>
      <w:tr>
        <w:trPr>
          <w:trHeight w:val="129"/>
        </w:trPr>
        <w:tc>
          <w:tcPr>
            <w:tcW w:w="49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42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30,</w:t>
            </w:r>
          </w:p>
        </w:tc>
        <w:tc>
          <w:tcPr>
            <w:tcW w:w="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Borders>
              <w:top w:val="single" w:sz="8" w:color="auto"/>
            </w:tcBorders>
            <w:gridSpan w:val="4"/>
          </w:tcPr>
          <w:p>
            <w:pPr>
              <w:jc w:val="right"/>
              <w:ind w:right="60"/>
              <w:spacing w:after="0" w:line="129" w:lineRule="exact"/>
              <w:rPr>
                <w:sz w:val="20"/>
                <w:szCs w:val="20"/>
                <w:color w:val="auto"/>
              </w:rPr>
            </w:pPr>
            <w:r>
              <w:rPr>
                <w:rFonts w:ascii="Arial" w:cs="Arial" w:eastAsia="Arial" w:hAnsi="Arial"/>
                <w:sz w:val="14"/>
                <w:szCs w:val="14"/>
                <w:b w:val="1"/>
                <w:bCs w:val="1"/>
                <w:color w:val="auto"/>
              </w:rPr>
              <w:t>30,</w:t>
            </w:r>
          </w:p>
        </w:tc>
        <w:tc>
          <w:tcPr>
            <w:tcW w:w="180" w:type="dxa"/>
            <w:vAlign w:val="bottom"/>
            <w:tcBorders>
              <w:top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Borders>
              <w:top w:val="single" w:sz="8" w:color="auto"/>
            </w:tcBorders>
            <w:gridSpan w:val="4"/>
          </w:tcPr>
          <w:p>
            <w:pPr>
              <w:jc w:val="right"/>
              <w:ind w:right="60"/>
              <w:spacing w:after="0" w:line="129" w:lineRule="exact"/>
              <w:rPr>
                <w:sz w:val="20"/>
                <w:szCs w:val="20"/>
                <w:color w:val="auto"/>
              </w:rPr>
            </w:pPr>
            <w:r>
              <w:rPr>
                <w:rFonts w:ascii="Arial" w:cs="Arial" w:eastAsia="Arial" w:hAnsi="Arial"/>
                <w:sz w:val="14"/>
                <w:szCs w:val="14"/>
                <w:b w:val="1"/>
                <w:bCs w:val="1"/>
                <w:color w:val="auto"/>
              </w:rPr>
              <w:t>30,</w:t>
            </w:r>
          </w:p>
        </w:tc>
        <w:tc>
          <w:tcPr>
            <w:tcW w:w="180" w:type="dxa"/>
            <w:vAlign w:val="bottom"/>
            <w:tcBorders>
              <w:top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Borders>
              <w:top w:val="single" w:sz="8" w:color="auto"/>
            </w:tcBorders>
            <w:gridSpan w:val="4"/>
          </w:tcPr>
          <w:p>
            <w:pPr>
              <w:jc w:val="right"/>
              <w:ind w:right="60"/>
              <w:spacing w:after="0" w:line="129" w:lineRule="exact"/>
              <w:rPr>
                <w:sz w:val="20"/>
                <w:szCs w:val="20"/>
                <w:color w:val="auto"/>
              </w:rPr>
            </w:pPr>
            <w:r>
              <w:rPr>
                <w:rFonts w:ascii="Arial" w:cs="Arial" w:eastAsia="Arial" w:hAnsi="Arial"/>
                <w:sz w:val="14"/>
                <w:szCs w:val="14"/>
                <w:b w:val="1"/>
                <w:bCs w:val="1"/>
                <w:color w:val="auto"/>
              </w:rPr>
              <w:t>30,</w:t>
            </w:r>
          </w:p>
        </w:tc>
        <w:tc>
          <w:tcPr>
            <w:tcW w:w="18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940" w:type="dxa"/>
            <w:vAlign w:val="bottom"/>
            <w:vMerge w:val="restart"/>
          </w:tcPr>
          <w:p>
            <w:pPr>
              <w:spacing w:after="0"/>
              <w:rPr>
                <w:sz w:val="20"/>
                <w:szCs w:val="20"/>
                <w:color w:val="auto"/>
              </w:rPr>
            </w:pPr>
            <w:r>
              <w:rPr>
                <w:rFonts w:ascii="Arial" w:cs="Arial" w:eastAsia="Arial" w:hAnsi="Arial"/>
                <w:sz w:val="14"/>
                <w:szCs w:val="14"/>
                <w:color w:val="auto"/>
              </w:rPr>
              <w:t>Revenue:</w:t>
            </w:r>
          </w:p>
        </w:tc>
        <w:tc>
          <w:tcPr>
            <w:tcW w:w="2020" w:type="dxa"/>
            <w:vAlign w:val="bottom"/>
            <w:gridSpan w:val="5"/>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gridSpan w:val="6"/>
          </w:tcPr>
          <w:p>
            <w:pPr>
              <w:jc w:val="right"/>
              <w:ind w:right="180"/>
              <w:spacing w:after="0" w:line="155" w:lineRule="exact"/>
              <w:rPr>
                <w:sz w:val="20"/>
                <w:szCs w:val="20"/>
                <w:color w:val="auto"/>
              </w:rPr>
            </w:pPr>
            <w:r>
              <w:rPr>
                <w:rFonts w:ascii="Arial" w:cs="Arial" w:eastAsia="Arial" w:hAnsi="Arial"/>
                <w:sz w:val="14"/>
                <w:szCs w:val="14"/>
                <w:b w:val="1"/>
                <w:bCs w:val="1"/>
                <w:color w:val="auto"/>
              </w:rPr>
              <w:t>2016</w:t>
            </w:r>
          </w:p>
        </w:tc>
        <w:tc>
          <w:tcPr>
            <w:tcW w:w="480" w:type="dxa"/>
            <w:vAlign w:val="bottom"/>
          </w:tcPr>
          <w:p>
            <w:pPr>
              <w:spacing w:after="0"/>
              <w:rPr>
                <w:sz w:val="13"/>
                <w:szCs w:val="13"/>
                <w:color w:val="auto"/>
              </w:rPr>
            </w:pPr>
          </w:p>
        </w:tc>
        <w:tc>
          <w:tcPr>
            <w:tcW w:w="860" w:type="dxa"/>
            <w:vAlign w:val="bottom"/>
            <w:gridSpan w:val="6"/>
          </w:tcPr>
          <w:p>
            <w:pPr>
              <w:jc w:val="right"/>
              <w:ind w:right="180"/>
              <w:spacing w:after="0" w:line="155" w:lineRule="exact"/>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13"/>
                <w:szCs w:val="13"/>
                <w:color w:val="auto"/>
              </w:rPr>
            </w:pPr>
          </w:p>
        </w:tc>
        <w:tc>
          <w:tcPr>
            <w:tcW w:w="860" w:type="dxa"/>
            <w:vAlign w:val="bottom"/>
            <w:gridSpan w:val="6"/>
          </w:tcPr>
          <w:p>
            <w:pPr>
              <w:jc w:val="right"/>
              <w:ind w:right="180"/>
              <w:spacing w:after="0" w:line="155"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4940" w:type="dxa"/>
            <w:vAlign w:val="bottom"/>
            <w:vMerge w:val="continue"/>
          </w:tcPr>
          <w:p>
            <w:pPr>
              <w:spacing w:after="0"/>
              <w:rPr>
                <w:sz w:val="15"/>
                <w:szCs w:val="15"/>
                <w:color w:val="auto"/>
              </w:rPr>
            </w:pPr>
          </w:p>
        </w:tc>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40" w:type="dxa"/>
            <w:vAlign w:val="bottom"/>
          </w:tcPr>
          <w:p>
            <w:pPr>
              <w:spacing w:after="0"/>
              <w:rPr>
                <w:sz w:val="20"/>
                <w:szCs w:val="20"/>
                <w:color w:val="auto"/>
              </w:rPr>
            </w:pPr>
            <w:r>
              <w:rPr>
                <w:rFonts w:ascii="Arial" w:cs="Arial" w:eastAsia="Arial" w:hAnsi="Arial"/>
                <w:sz w:val="14"/>
                <w:szCs w:val="14"/>
                <w:color w:val="auto"/>
              </w:rPr>
              <w:t>Gross revenue</w:t>
            </w:r>
          </w:p>
        </w:tc>
        <w:tc>
          <w:tcPr>
            <w:tcW w:w="2660" w:type="dxa"/>
            <w:vAlign w:val="bottom"/>
            <w:gridSpan w:val="7"/>
          </w:tcPr>
          <w:p>
            <w:pPr>
              <w:jc w:val="right"/>
              <w:ind w:right="200"/>
              <w:spacing w:after="0"/>
              <w:rPr>
                <w:sz w:val="20"/>
                <w:szCs w:val="20"/>
                <w:color w:val="auto"/>
              </w:rPr>
            </w:pPr>
            <w:r>
              <w:rPr>
                <w:rFonts w:ascii="Arial" w:cs="Arial" w:eastAsia="Arial" w:hAnsi="Arial"/>
                <w:sz w:val="14"/>
                <w:szCs w:val="14"/>
                <w:color w:val="auto"/>
              </w:rPr>
              <w:t>596,169</w:t>
            </w:r>
          </w:p>
        </w:tc>
        <w:tc>
          <w:tcPr>
            <w:tcW w:w="1340" w:type="dxa"/>
            <w:vAlign w:val="bottom"/>
            <w:gridSpan w:val="7"/>
          </w:tcPr>
          <w:p>
            <w:pPr>
              <w:jc w:val="right"/>
              <w:ind w:right="200"/>
              <w:spacing w:after="0"/>
              <w:rPr>
                <w:sz w:val="20"/>
                <w:szCs w:val="20"/>
                <w:color w:val="auto"/>
              </w:rPr>
            </w:pPr>
            <w:r>
              <w:rPr>
                <w:rFonts w:ascii="Arial" w:cs="Arial" w:eastAsia="Arial" w:hAnsi="Arial"/>
                <w:sz w:val="14"/>
                <w:szCs w:val="14"/>
                <w:color w:val="auto"/>
              </w:rPr>
              <w:t>622,261</w:t>
            </w:r>
          </w:p>
        </w:tc>
        <w:tc>
          <w:tcPr>
            <w:tcW w:w="1340" w:type="dxa"/>
            <w:vAlign w:val="bottom"/>
            <w:gridSpan w:val="7"/>
          </w:tcPr>
          <w:p>
            <w:pPr>
              <w:jc w:val="right"/>
              <w:ind w:right="200"/>
              <w:spacing w:after="0"/>
              <w:rPr>
                <w:sz w:val="20"/>
                <w:szCs w:val="20"/>
                <w:color w:val="auto"/>
              </w:rPr>
            </w:pPr>
            <w:r>
              <w:rPr>
                <w:rFonts w:ascii="Arial" w:cs="Arial" w:eastAsia="Arial" w:hAnsi="Arial"/>
                <w:sz w:val="14"/>
                <w:szCs w:val="14"/>
                <w:color w:val="auto"/>
              </w:rPr>
              <w:t>1,766,016</w:t>
            </w:r>
          </w:p>
        </w:tc>
        <w:tc>
          <w:tcPr>
            <w:tcW w:w="1140" w:type="dxa"/>
            <w:vAlign w:val="bottom"/>
            <w:gridSpan w:val="7"/>
          </w:tcPr>
          <w:p>
            <w:pPr>
              <w:jc w:val="right"/>
              <w:spacing w:after="0"/>
              <w:rPr>
                <w:sz w:val="20"/>
                <w:szCs w:val="20"/>
                <w:color w:val="auto"/>
              </w:rPr>
            </w:pPr>
            <w:r>
              <w:rPr>
                <w:rFonts w:ascii="Arial" w:cs="Arial" w:eastAsia="Arial" w:hAnsi="Arial"/>
                <w:sz w:val="14"/>
                <w:szCs w:val="14"/>
                <w:color w:val="auto"/>
              </w:rPr>
              <w:t>1,754,491</w:t>
            </w:r>
          </w:p>
        </w:tc>
        <w:tc>
          <w:tcPr>
            <w:tcW w:w="0" w:type="dxa"/>
            <w:vAlign w:val="bottom"/>
          </w:tcPr>
          <w:p>
            <w:pPr>
              <w:spacing w:after="0"/>
              <w:rPr>
                <w:sz w:val="1"/>
                <w:szCs w:val="1"/>
                <w:color w:val="auto"/>
              </w:rPr>
            </w:pPr>
          </w:p>
        </w:tc>
      </w:tr>
      <w:tr>
        <w:trPr>
          <w:trHeight w:val="181"/>
        </w:trPr>
        <w:tc>
          <w:tcPr>
            <w:tcW w:w="49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Reimbursable expenses</w:t>
            </w:r>
          </w:p>
        </w:tc>
        <w:tc>
          <w:tcPr>
            <w:tcW w:w="266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color w:val="auto"/>
              </w:rPr>
              <w:t>(155,846)</w:t>
            </w:r>
          </w:p>
        </w:tc>
        <w:tc>
          <w:tcPr>
            <w:tcW w:w="134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color w:val="auto"/>
              </w:rPr>
              <w:t>(202,060)</w:t>
            </w:r>
          </w:p>
        </w:tc>
        <w:tc>
          <w:tcPr>
            <w:tcW w:w="134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color w:val="auto"/>
              </w:rPr>
              <w:t>(462,716)</w:t>
            </w:r>
          </w:p>
        </w:tc>
        <w:tc>
          <w:tcPr>
            <w:tcW w:w="11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color w:val="auto"/>
              </w:rPr>
              <w:t>(523,138)</w:t>
            </w:r>
          </w:p>
        </w:tc>
        <w:tc>
          <w:tcPr>
            <w:tcW w:w="0" w:type="dxa"/>
            <w:vAlign w:val="bottom"/>
          </w:tcPr>
          <w:p>
            <w:pPr>
              <w:spacing w:after="0"/>
              <w:rPr>
                <w:sz w:val="1"/>
                <w:szCs w:val="1"/>
                <w:color w:val="auto"/>
              </w:rPr>
            </w:pPr>
          </w:p>
        </w:tc>
      </w:tr>
      <w:tr>
        <w:trPr>
          <w:trHeight w:val="346"/>
        </w:trPr>
        <w:tc>
          <w:tcPr>
            <w:tcW w:w="4940" w:type="dxa"/>
            <w:vAlign w:val="bottom"/>
          </w:tcPr>
          <w:p>
            <w:pPr>
              <w:spacing w:after="0"/>
              <w:rPr>
                <w:sz w:val="20"/>
                <w:szCs w:val="20"/>
                <w:color w:val="auto"/>
              </w:rPr>
            </w:pPr>
            <w:r>
              <w:rPr>
                <w:rFonts w:ascii="Arial" w:cs="Arial" w:eastAsia="Arial" w:hAnsi="Arial"/>
                <w:sz w:val="14"/>
                <w:szCs w:val="14"/>
                <w:b w:val="1"/>
                <w:bCs w:val="1"/>
                <w:color w:val="auto"/>
              </w:rPr>
              <w:t>Net revenue</w:t>
            </w:r>
          </w:p>
        </w:tc>
        <w:tc>
          <w:tcPr>
            <w:tcW w:w="2660" w:type="dxa"/>
            <w:vAlign w:val="bottom"/>
            <w:gridSpan w:val="7"/>
          </w:tcPr>
          <w:p>
            <w:pPr>
              <w:jc w:val="right"/>
              <w:ind w:right="200"/>
              <w:spacing w:after="0"/>
              <w:rPr>
                <w:sz w:val="20"/>
                <w:szCs w:val="20"/>
                <w:color w:val="auto"/>
              </w:rPr>
            </w:pPr>
            <w:r>
              <w:rPr>
                <w:rFonts w:ascii="Arial" w:cs="Arial" w:eastAsia="Arial" w:hAnsi="Arial"/>
                <w:sz w:val="14"/>
                <w:szCs w:val="14"/>
                <w:color w:val="auto"/>
              </w:rPr>
              <w:t>440,323</w:t>
            </w:r>
          </w:p>
        </w:tc>
        <w:tc>
          <w:tcPr>
            <w:tcW w:w="1340" w:type="dxa"/>
            <w:vAlign w:val="bottom"/>
            <w:gridSpan w:val="7"/>
          </w:tcPr>
          <w:p>
            <w:pPr>
              <w:jc w:val="right"/>
              <w:ind w:right="200"/>
              <w:spacing w:after="0"/>
              <w:rPr>
                <w:sz w:val="20"/>
                <w:szCs w:val="20"/>
                <w:color w:val="auto"/>
              </w:rPr>
            </w:pPr>
            <w:r>
              <w:rPr>
                <w:rFonts w:ascii="Arial" w:cs="Arial" w:eastAsia="Arial" w:hAnsi="Arial"/>
                <w:sz w:val="14"/>
                <w:szCs w:val="14"/>
                <w:color w:val="auto"/>
              </w:rPr>
              <w:t>420,201</w:t>
            </w:r>
          </w:p>
        </w:tc>
        <w:tc>
          <w:tcPr>
            <w:tcW w:w="1340" w:type="dxa"/>
            <w:vAlign w:val="bottom"/>
            <w:gridSpan w:val="7"/>
          </w:tcPr>
          <w:p>
            <w:pPr>
              <w:jc w:val="right"/>
              <w:ind w:right="200"/>
              <w:spacing w:after="0"/>
              <w:rPr>
                <w:sz w:val="20"/>
                <w:szCs w:val="20"/>
                <w:color w:val="auto"/>
              </w:rPr>
            </w:pPr>
            <w:r>
              <w:rPr>
                <w:rFonts w:ascii="Arial" w:cs="Arial" w:eastAsia="Arial" w:hAnsi="Arial"/>
                <w:sz w:val="14"/>
                <w:szCs w:val="14"/>
                <w:color w:val="auto"/>
              </w:rPr>
              <w:t>1,303,300</w:t>
            </w:r>
          </w:p>
        </w:tc>
        <w:tc>
          <w:tcPr>
            <w:tcW w:w="1140" w:type="dxa"/>
            <w:vAlign w:val="bottom"/>
            <w:gridSpan w:val="7"/>
          </w:tcPr>
          <w:p>
            <w:pPr>
              <w:jc w:val="right"/>
              <w:spacing w:after="0"/>
              <w:rPr>
                <w:sz w:val="20"/>
                <w:szCs w:val="20"/>
                <w:color w:val="auto"/>
              </w:rPr>
            </w:pPr>
            <w:r>
              <w:rPr>
                <w:rFonts w:ascii="Arial" w:cs="Arial" w:eastAsia="Arial" w:hAnsi="Arial"/>
                <w:sz w:val="14"/>
                <w:szCs w:val="14"/>
                <w:color w:val="auto"/>
              </w:rPr>
              <w:t>1,231,353</w:t>
            </w:r>
          </w:p>
        </w:tc>
        <w:tc>
          <w:tcPr>
            <w:tcW w:w="0" w:type="dxa"/>
            <w:vAlign w:val="bottom"/>
          </w:tcPr>
          <w:p>
            <w:pPr>
              <w:spacing w:after="0"/>
              <w:rPr>
                <w:sz w:val="1"/>
                <w:szCs w:val="1"/>
                <w:color w:val="auto"/>
              </w:rPr>
            </w:pPr>
          </w:p>
        </w:tc>
      </w:tr>
      <w:tr>
        <w:trPr>
          <w:trHeight w:val="344"/>
        </w:trPr>
        <w:tc>
          <w:tcPr>
            <w:tcW w:w="4940" w:type="dxa"/>
            <w:vAlign w:val="bottom"/>
          </w:tcPr>
          <w:p>
            <w:pPr>
              <w:spacing w:after="0"/>
              <w:rPr>
                <w:sz w:val="20"/>
                <w:szCs w:val="20"/>
                <w:color w:val="auto"/>
              </w:rPr>
            </w:pPr>
            <w:r>
              <w:rPr>
                <w:rFonts w:ascii="Arial" w:cs="Arial" w:eastAsia="Arial" w:hAnsi="Arial"/>
                <w:sz w:val="14"/>
                <w:szCs w:val="14"/>
                <w:b w:val="1"/>
                <w:bCs w:val="1"/>
                <w:color w:val="auto"/>
              </w:rPr>
              <w:t>Costs and expenses:</w:t>
            </w: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940" w:type="dxa"/>
            <w:vAlign w:val="bottom"/>
          </w:tcPr>
          <w:p>
            <w:pPr>
              <w:spacing w:after="0"/>
              <w:rPr>
                <w:sz w:val="20"/>
                <w:szCs w:val="20"/>
                <w:color w:val="auto"/>
              </w:rPr>
            </w:pPr>
            <w:r>
              <w:rPr>
                <w:rFonts w:ascii="Arial" w:cs="Arial" w:eastAsia="Arial" w:hAnsi="Arial"/>
                <w:sz w:val="14"/>
                <w:szCs w:val="14"/>
                <w:color w:val="auto"/>
              </w:rPr>
              <w:t>Direct costs</w:t>
            </w:r>
          </w:p>
        </w:tc>
        <w:tc>
          <w:tcPr>
            <w:tcW w:w="2660" w:type="dxa"/>
            <w:vAlign w:val="bottom"/>
            <w:gridSpan w:val="7"/>
          </w:tcPr>
          <w:p>
            <w:pPr>
              <w:jc w:val="right"/>
              <w:ind w:right="200"/>
              <w:spacing w:after="0"/>
              <w:rPr>
                <w:sz w:val="20"/>
                <w:szCs w:val="20"/>
                <w:color w:val="auto"/>
              </w:rPr>
            </w:pPr>
            <w:r>
              <w:rPr>
                <w:rFonts w:ascii="Arial" w:cs="Arial" w:eastAsia="Arial" w:hAnsi="Arial"/>
                <w:sz w:val="14"/>
                <w:szCs w:val="14"/>
                <w:color w:val="auto"/>
              </w:rPr>
              <w:t>259,672</w:t>
            </w:r>
          </w:p>
        </w:tc>
        <w:tc>
          <w:tcPr>
            <w:tcW w:w="1340" w:type="dxa"/>
            <w:vAlign w:val="bottom"/>
            <w:gridSpan w:val="7"/>
          </w:tcPr>
          <w:p>
            <w:pPr>
              <w:jc w:val="right"/>
              <w:ind w:right="200"/>
              <w:spacing w:after="0"/>
              <w:rPr>
                <w:sz w:val="20"/>
                <w:szCs w:val="20"/>
                <w:color w:val="auto"/>
              </w:rPr>
            </w:pPr>
            <w:r>
              <w:rPr>
                <w:rFonts w:ascii="Arial" w:cs="Arial" w:eastAsia="Arial" w:hAnsi="Arial"/>
                <w:sz w:val="14"/>
                <w:szCs w:val="14"/>
                <w:color w:val="auto"/>
              </w:rPr>
              <w:t>243,244</w:t>
            </w:r>
          </w:p>
        </w:tc>
        <w:tc>
          <w:tcPr>
            <w:tcW w:w="1340" w:type="dxa"/>
            <w:vAlign w:val="bottom"/>
            <w:gridSpan w:val="7"/>
          </w:tcPr>
          <w:p>
            <w:pPr>
              <w:jc w:val="right"/>
              <w:ind w:right="200"/>
              <w:spacing w:after="0"/>
              <w:rPr>
                <w:sz w:val="20"/>
                <w:szCs w:val="20"/>
                <w:color w:val="auto"/>
              </w:rPr>
            </w:pPr>
            <w:r>
              <w:rPr>
                <w:rFonts w:ascii="Arial" w:cs="Arial" w:eastAsia="Arial" w:hAnsi="Arial"/>
                <w:sz w:val="14"/>
                <w:szCs w:val="14"/>
                <w:color w:val="auto"/>
              </w:rPr>
              <w:t>760,175</w:t>
            </w:r>
          </w:p>
        </w:tc>
        <w:tc>
          <w:tcPr>
            <w:tcW w:w="1140" w:type="dxa"/>
            <w:vAlign w:val="bottom"/>
            <w:gridSpan w:val="7"/>
          </w:tcPr>
          <w:p>
            <w:pPr>
              <w:jc w:val="right"/>
              <w:spacing w:after="0"/>
              <w:rPr>
                <w:sz w:val="20"/>
                <w:szCs w:val="20"/>
                <w:color w:val="auto"/>
              </w:rPr>
            </w:pPr>
            <w:r>
              <w:rPr>
                <w:rFonts w:ascii="Arial" w:cs="Arial" w:eastAsia="Arial" w:hAnsi="Arial"/>
                <w:sz w:val="14"/>
                <w:szCs w:val="14"/>
                <w:color w:val="auto"/>
              </w:rPr>
              <w:t>709,831</w:t>
            </w:r>
          </w:p>
        </w:tc>
        <w:tc>
          <w:tcPr>
            <w:tcW w:w="0" w:type="dxa"/>
            <w:vAlign w:val="bottom"/>
          </w:tcPr>
          <w:p>
            <w:pPr>
              <w:spacing w:after="0"/>
              <w:rPr>
                <w:sz w:val="1"/>
                <w:szCs w:val="1"/>
                <w:color w:val="auto"/>
              </w:rPr>
            </w:pPr>
          </w:p>
        </w:tc>
      </w:tr>
      <w:tr>
        <w:trPr>
          <w:trHeight w:val="176"/>
        </w:trPr>
        <w:tc>
          <w:tcPr>
            <w:tcW w:w="4940" w:type="dxa"/>
            <w:vAlign w:val="bottom"/>
          </w:tcPr>
          <w:p>
            <w:pPr>
              <w:spacing w:after="0"/>
              <w:rPr>
                <w:sz w:val="20"/>
                <w:szCs w:val="20"/>
                <w:color w:val="auto"/>
              </w:rPr>
            </w:pPr>
            <w:r>
              <w:rPr>
                <w:rFonts w:ascii="Arial" w:cs="Arial" w:eastAsia="Arial" w:hAnsi="Arial"/>
                <w:sz w:val="14"/>
                <w:szCs w:val="14"/>
                <w:color w:val="auto"/>
              </w:rPr>
              <w:t>Selling, general and administrative expense</w:t>
            </w:r>
          </w:p>
        </w:tc>
        <w:tc>
          <w:tcPr>
            <w:tcW w:w="2660" w:type="dxa"/>
            <w:vAlign w:val="bottom"/>
            <w:gridSpan w:val="7"/>
          </w:tcPr>
          <w:p>
            <w:pPr>
              <w:jc w:val="right"/>
              <w:ind w:right="200"/>
              <w:spacing w:after="0"/>
              <w:rPr>
                <w:sz w:val="20"/>
                <w:szCs w:val="20"/>
                <w:color w:val="auto"/>
              </w:rPr>
            </w:pPr>
            <w:r>
              <w:rPr>
                <w:rFonts w:ascii="Arial" w:cs="Arial" w:eastAsia="Arial" w:hAnsi="Arial"/>
                <w:sz w:val="14"/>
                <w:szCs w:val="14"/>
                <w:color w:val="auto"/>
              </w:rPr>
              <w:t>79,433</w:t>
            </w:r>
          </w:p>
        </w:tc>
        <w:tc>
          <w:tcPr>
            <w:tcW w:w="1340" w:type="dxa"/>
            <w:vAlign w:val="bottom"/>
            <w:gridSpan w:val="7"/>
          </w:tcPr>
          <w:p>
            <w:pPr>
              <w:jc w:val="right"/>
              <w:ind w:right="200"/>
              <w:spacing w:after="0"/>
              <w:rPr>
                <w:sz w:val="20"/>
                <w:szCs w:val="20"/>
                <w:color w:val="auto"/>
              </w:rPr>
            </w:pPr>
            <w:r>
              <w:rPr>
                <w:rFonts w:ascii="Arial" w:cs="Arial" w:eastAsia="Arial" w:hAnsi="Arial"/>
                <w:sz w:val="14"/>
                <w:szCs w:val="14"/>
                <w:color w:val="auto"/>
              </w:rPr>
              <w:t>81,235</w:t>
            </w:r>
          </w:p>
        </w:tc>
        <w:tc>
          <w:tcPr>
            <w:tcW w:w="1340" w:type="dxa"/>
            <w:vAlign w:val="bottom"/>
            <w:gridSpan w:val="7"/>
          </w:tcPr>
          <w:p>
            <w:pPr>
              <w:jc w:val="right"/>
              <w:ind w:right="200"/>
              <w:spacing w:after="0"/>
              <w:rPr>
                <w:sz w:val="20"/>
                <w:szCs w:val="20"/>
                <w:color w:val="auto"/>
              </w:rPr>
            </w:pPr>
            <w:r>
              <w:rPr>
                <w:rFonts w:ascii="Arial" w:cs="Arial" w:eastAsia="Arial" w:hAnsi="Arial"/>
                <w:sz w:val="14"/>
                <w:szCs w:val="14"/>
                <w:color w:val="auto"/>
              </w:rPr>
              <w:t>241,655</w:t>
            </w:r>
          </w:p>
        </w:tc>
        <w:tc>
          <w:tcPr>
            <w:tcW w:w="1140" w:type="dxa"/>
            <w:vAlign w:val="bottom"/>
            <w:gridSpan w:val="7"/>
          </w:tcPr>
          <w:p>
            <w:pPr>
              <w:jc w:val="right"/>
              <w:spacing w:after="0"/>
              <w:rPr>
                <w:sz w:val="20"/>
                <w:szCs w:val="20"/>
                <w:color w:val="auto"/>
              </w:rPr>
            </w:pPr>
            <w:r>
              <w:rPr>
                <w:rFonts w:ascii="Arial" w:cs="Arial" w:eastAsia="Arial" w:hAnsi="Arial"/>
                <w:sz w:val="14"/>
                <w:szCs w:val="14"/>
                <w:color w:val="auto"/>
              </w:rPr>
              <w:t>242,192</w:t>
            </w:r>
          </w:p>
        </w:tc>
        <w:tc>
          <w:tcPr>
            <w:tcW w:w="0" w:type="dxa"/>
            <w:vAlign w:val="bottom"/>
          </w:tcPr>
          <w:p>
            <w:pPr>
              <w:spacing w:after="0"/>
              <w:rPr>
                <w:sz w:val="1"/>
                <w:szCs w:val="1"/>
                <w:color w:val="auto"/>
              </w:rPr>
            </w:pPr>
          </w:p>
        </w:tc>
      </w:tr>
      <w:tr>
        <w:trPr>
          <w:trHeight w:val="176"/>
        </w:trPr>
        <w:tc>
          <w:tcPr>
            <w:tcW w:w="494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2660" w:type="dxa"/>
            <w:vAlign w:val="bottom"/>
            <w:gridSpan w:val="7"/>
          </w:tcPr>
          <w:p>
            <w:pPr>
              <w:jc w:val="right"/>
              <w:ind w:right="200"/>
              <w:spacing w:after="0"/>
              <w:rPr>
                <w:sz w:val="20"/>
                <w:szCs w:val="20"/>
                <w:color w:val="auto"/>
              </w:rPr>
            </w:pPr>
            <w:r>
              <w:rPr>
                <w:rFonts w:ascii="Arial" w:cs="Arial" w:eastAsia="Arial" w:hAnsi="Arial"/>
                <w:sz w:val="14"/>
                <w:szCs w:val="14"/>
                <w:color w:val="auto"/>
              </w:rPr>
              <w:t>16,280</w:t>
            </w:r>
          </w:p>
        </w:tc>
        <w:tc>
          <w:tcPr>
            <w:tcW w:w="1340" w:type="dxa"/>
            <w:vAlign w:val="bottom"/>
            <w:gridSpan w:val="7"/>
          </w:tcPr>
          <w:p>
            <w:pPr>
              <w:jc w:val="right"/>
              <w:ind w:right="200"/>
              <w:spacing w:after="0"/>
              <w:rPr>
                <w:sz w:val="20"/>
                <w:szCs w:val="20"/>
                <w:color w:val="auto"/>
              </w:rPr>
            </w:pPr>
            <w:r>
              <w:rPr>
                <w:rFonts w:ascii="Arial" w:cs="Arial" w:eastAsia="Arial" w:hAnsi="Arial"/>
                <w:sz w:val="14"/>
                <w:szCs w:val="14"/>
                <w:color w:val="auto"/>
              </w:rPr>
              <w:t>14,543</w:t>
            </w:r>
          </w:p>
        </w:tc>
        <w:tc>
          <w:tcPr>
            <w:tcW w:w="1340" w:type="dxa"/>
            <w:vAlign w:val="bottom"/>
            <w:gridSpan w:val="7"/>
          </w:tcPr>
          <w:p>
            <w:pPr>
              <w:jc w:val="right"/>
              <w:ind w:right="200"/>
              <w:spacing w:after="0"/>
              <w:rPr>
                <w:sz w:val="20"/>
                <w:szCs w:val="20"/>
                <w:color w:val="auto"/>
              </w:rPr>
            </w:pPr>
            <w:r>
              <w:rPr>
                <w:rFonts w:ascii="Arial" w:cs="Arial" w:eastAsia="Arial" w:hAnsi="Arial"/>
                <w:sz w:val="14"/>
                <w:szCs w:val="14"/>
                <w:color w:val="auto"/>
              </w:rPr>
              <w:t>45,123</w:t>
            </w:r>
          </w:p>
        </w:tc>
        <w:tc>
          <w:tcPr>
            <w:tcW w:w="1140" w:type="dxa"/>
            <w:vAlign w:val="bottom"/>
            <w:gridSpan w:val="7"/>
          </w:tcPr>
          <w:p>
            <w:pPr>
              <w:jc w:val="right"/>
              <w:spacing w:after="0"/>
              <w:rPr>
                <w:sz w:val="20"/>
                <w:szCs w:val="20"/>
                <w:color w:val="auto"/>
              </w:rPr>
            </w:pPr>
            <w:r>
              <w:rPr>
                <w:rFonts w:ascii="Arial" w:cs="Arial" w:eastAsia="Arial" w:hAnsi="Arial"/>
                <w:sz w:val="14"/>
                <w:szCs w:val="14"/>
                <w:color w:val="auto"/>
              </w:rPr>
              <w:t>44,120</w:t>
            </w:r>
          </w:p>
        </w:tc>
        <w:tc>
          <w:tcPr>
            <w:tcW w:w="0" w:type="dxa"/>
            <w:vAlign w:val="bottom"/>
          </w:tcPr>
          <w:p>
            <w:pPr>
              <w:spacing w:after="0"/>
              <w:rPr>
                <w:sz w:val="1"/>
                <w:szCs w:val="1"/>
                <w:color w:val="auto"/>
              </w:rPr>
            </w:pPr>
          </w:p>
        </w:tc>
      </w:tr>
      <w:tr>
        <w:trPr>
          <w:trHeight w:val="181"/>
        </w:trPr>
        <w:tc>
          <w:tcPr>
            <w:tcW w:w="49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Restructuring costs</w:t>
            </w:r>
          </w:p>
        </w:tc>
        <w:tc>
          <w:tcPr>
            <w:tcW w:w="266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color w:val="auto"/>
              </w:rPr>
              <w:t>4,065</w:t>
            </w:r>
          </w:p>
        </w:tc>
        <w:tc>
          <w:tcPr>
            <w:tcW w:w="134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color w:val="auto"/>
              </w:rPr>
              <w:t>7,753</w:t>
            </w:r>
          </w:p>
        </w:tc>
        <w:tc>
          <w:tcPr>
            <w:tcW w:w="11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color w:val="auto"/>
              </w:rPr>
              <w:t>8,159</w:t>
            </w:r>
          </w:p>
        </w:tc>
        <w:tc>
          <w:tcPr>
            <w:tcW w:w="0" w:type="dxa"/>
            <w:vAlign w:val="bottom"/>
          </w:tcPr>
          <w:p>
            <w:pPr>
              <w:spacing w:after="0"/>
              <w:rPr>
                <w:sz w:val="1"/>
                <w:szCs w:val="1"/>
                <w:color w:val="auto"/>
              </w:rPr>
            </w:pPr>
          </w:p>
        </w:tc>
      </w:tr>
      <w:tr>
        <w:trPr>
          <w:trHeight w:val="345"/>
        </w:trPr>
        <w:tc>
          <w:tcPr>
            <w:tcW w:w="4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 costs and expenses</w:t>
            </w:r>
          </w:p>
        </w:tc>
        <w:tc>
          <w:tcPr>
            <w:tcW w:w="266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color w:val="auto"/>
              </w:rPr>
              <w:t>355,385</w:t>
            </w:r>
          </w:p>
        </w:tc>
        <w:tc>
          <w:tcPr>
            <w:tcW w:w="134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color w:val="auto"/>
              </w:rPr>
              <w:t>343,087</w:t>
            </w:r>
          </w:p>
        </w:tc>
        <w:tc>
          <w:tcPr>
            <w:tcW w:w="134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color w:val="auto"/>
              </w:rPr>
              <w:t>1,054,706</w:t>
            </w:r>
          </w:p>
        </w:tc>
        <w:tc>
          <w:tcPr>
            <w:tcW w:w="11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color w:val="auto"/>
              </w:rPr>
              <w:t>1,004,302</w:t>
            </w:r>
          </w:p>
        </w:tc>
        <w:tc>
          <w:tcPr>
            <w:tcW w:w="0" w:type="dxa"/>
            <w:vAlign w:val="bottom"/>
          </w:tcPr>
          <w:p>
            <w:pPr>
              <w:spacing w:after="0"/>
              <w:rPr>
                <w:sz w:val="1"/>
                <w:szCs w:val="1"/>
                <w:color w:val="auto"/>
              </w:rPr>
            </w:pPr>
          </w:p>
        </w:tc>
      </w:tr>
      <w:tr>
        <w:trPr>
          <w:trHeight w:val="346"/>
        </w:trPr>
        <w:tc>
          <w:tcPr>
            <w:tcW w:w="4940" w:type="dxa"/>
            <w:vAlign w:val="bottom"/>
          </w:tcPr>
          <w:p>
            <w:pPr>
              <w:spacing w:after="0"/>
              <w:rPr>
                <w:sz w:val="20"/>
                <w:szCs w:val="20"/>
                <w:color w:val="auto"/>
              </w:rPr>
            </w:pPr>
            <w:r>
              <w:rPr>
                <w:rFonts w:ascii="Arial" w:cs="Arial" w:eastAsia="Arial" w:hAnsi="Arial"/>
                <w:sz w:val="14"/>
                <w:szCs w:val="14"/>
                <w:b w:val="1"/>
                <w:bCs w:val="1"/>
                <w:color w:val="auto"/>
              </w:rPr>
              <w:t>Income from operations</w:t>
            </w:r>
          </w:p>
        </w:tc>
        <w:tc>
          <w:tcPr>
            <w:tcW w:w="2660" w:type="dxa"/>
            <w:vAlign w:val="bottom"/>
            <w:gridSpan w:val="7"/>
          </w:tcPr>
          <w:p>
            <w:pPr>
              <w:jc w:val="right"/>
              <w:ind w:right="200"/>
              <w:spacing w:after="0"/>
              <w:rPr>
                <w:sz w:val="20"/>
                <w:szCs w:val="20"/>
                <w:color w:val="auto"/>
              </w:rPr>
            </w:pPr>
            <w:r>
              <w:rPr>
                <w:rFonts w:ascii="Arial" w:cs="Arial" w:eastAsia="Arial" w:hAnsi="Arial"/>
                <w:sz w:val="14"/>
                <w:szCs w:val="14"/>
                <w:color w:val="auto"/>
              </w:rPr>
              <w:t>84,938</w:t>
            </w:r>
          </w:p>
        </w:tc>
        <w:tc>
          <w:tcPr>
            <w:tcW w:w="1340" w:type="dxa"/>
            <w:vAlign w:val="bottom"/>
            <w:gridSpan w:val="7"/>
          </w:tcPr>
          <w:p>
            <w:pPr>
              <w:jc w:val="right"/>
              <w:ind w:right="200"/>
              <w:spacing w:after="0"/>
              <w:rPr>
                <w:sz w:val="20"/>
                <w:szCs w:val="20"/>
                <w:color w:val="auto"/>
              </w:rPr>
            </w:pPr>
            <w:r>
              <w:rPr>
                <w:rFonts w:ascii="Arial" w:cs="Arial" w:eastAsia="Arial" w:hAnsi="Arial"/>
                <w:sz w:val="14"/>
                <w:szCs w:val="14"/>
                <w:color w:val="auto"/>
              </w:rPr>
              <w:t>77,114</w:t>
            </w:r>
          </w:p>
        </w:tc>
        <w:tc>
          <w:tcPr>
            <w:tcW w:w="1340" w:type="dxa"/>
            <w:vAlign w:val="bottom"/>
            <w:gridSpan w:val="7"/>
          </w:tcPr>
          <w:p>
            <w:pPr>
              <w:jc w:val="right"/>
              <w:ind w:right="200"/>
              <w:spacing w:after="0"/>
              <w:rPr>
                <w:sz w:val="20"/>
                <w:szCs w:val="20"/>
                <w:color w:val="auto"/>
              </w:rPr>
            </w:pPr>
            <w:r>
              <w:rPr>
                <w:rFonts w:ascii="Arial" w:cs="Arial" w:eastAsia="Arial" w:hAnsi="Arial"/>
                <w:sz w:val="14"/>
                <w:szCs w:val="14"/>
                <w:color w:val="auto"/>
              </w:rPr>
              <w:t>248,594</w:t>
            </w:r>
          </w:p>
        </w:tc>
        <w:tc>
          <w:tcPr>
            <w:tcW w:w="1140" w:type="dxa"/>
            <w:vAlign w:val="bottom"/>
            <w:gridSpan w:val="7"/>
          </w:tcPr>
          <w:p>
            <w:pPr>
              <w:jc w:val="right"/>
              <w:spacing w:after="0"/>
              <w:rPr>
                <w:sz w:val="20"/>
                <w:szCs w:val="20"/>
                <w:color w:val="auto"/>
              </w:rPr>
            </w:pPr>
            <w:r>
              <w:rPr>
                <w:rFonts w:ascii="Arial" w:cs="Arial" w:eastAsia="Arial" w:hAnsi="Arial"/>
                <w:sz w:val="14"/>
                <w:szCs w:val="14"/>
                <w:color w:val="auto"/>
              </w:rPr>
              <w:t>227,051</w:t>
            </w:r>
          </w:p>
        </w:tc>
        <w:tc>
          <w:tcPr>
            <w:tcW w:w="0" w:type="dxa"/>
            <w:vAlign w:val="bottom"/>
          </w:tcPr>
          <w:p>
            <w:pPr>
              <w:spacing w:after="0"/>
              <w:rPr>
                <w:sz w:val="1"/>
                <w:szCs w:val="1"/>
                <w:color w:val="auto"/>
              </w:rPr>
            </w:pPr>
          </w:p>
        </w:tc>
      </w:tr>
      <w:tr>
        <w:trPr>
          <w:trHeight w:val="350"/>
        </w:trPr>
        <w:tc>
          <w:tcPr>
            <w:tcW w:w="49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Net interest expense</w:t>
            </w:r>
          </w:p>
        </w:tc>
        <w:tc>
          <w:tcPr>
            <w:tcW w:w="266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color w:val="auto"/>
              </w:rPr>
              <w:t>(2,545)</w:t>
            </w:r>
          </w:p>
        </w:tc>
        <w:tc>
          <w:tcPr>
            <w:tcW w:w="134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color w:val="auto"/>
              </w:rPr>
              <w:t>(2,765)</w:t>
            </w:r>
          </w:p>
        </w:tc>
        <w:tc>
          <w:tcPr>
            <w:tcW w:w="134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color w:val="auto"/>
              </w:rPr>
              <w:t>(7,769)</w:t>
            </w:r>
          </w:p>
        </w:tc>
        <w:tc>
          <w:tcPr>
            <w:tcW w:w="11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color w:val="auto"/>
              </w:rPr>
              <w:t>(8,485)</w:t>
            </w:r>
          </w:p>
        </w:tc>
        <w:tc>
          <w:tcPr>
            <w:tcW w:w="0" w:type="dxa"/>
            <w:vAlign w:val="bottom"/>
          </w:tcPr>
          <w:p>
            <w:pPr>
              <w:spacing w:after="0"/>
              <w:rPr>
                <w:sz w:val="1"/>
                <w:szCs w:val="1"/>
                <w:color w:val="auto"/>
              </w:rPr>
            </w:pPr>
          </w:p>
        </w:tc>
      </w:tr>
      <w:tr>
        <w:trPr>
          <w:trHeight w:val="339"/>
        </w:trPr>
        <w:tc>
          <w:tcPr>
            <w:tcW w:w="4940" w:type="dxa"/>
            <w:vAlign w:val="bottom"/>
          </w:tcPr>
          <w:p>
            <w:pPr>
              <w:spacing w:after="0"/>
              <w:rPr>
                <w:sz w:val="20"/>
                <w:szCs w:val="20"/>
                <w:color w:val="auto"/>
              </w:rPr>
            </w:pPr>
            <w:r>
              <w:rPr>
                <w:rFonts w:ascii="Arial" w:cs="Arial" w:eastAsia="Arial" w:hAnsi="Arial"/>
                <w:sz w:val="14"/>
                <w:szCs w:val="14"/>
                <w:b w:val="1"/>
                <w:bCs w:val="1"/>
                <w:color w:val="auto"/>
              </w:rPr>
              <w:t>Income before provision for income taxes</w:t>
            </w:r>
          </w:p>
        </w:tc>
        <w:tc>
          <w:tcPr>
            <w:tcW w:w="2660" w:type="dxa"/>
            <w:vAlign w:val="bottom"/>
            <w:gridSpan w:val="7"/>
          </w:tcPr>
          <w:p>
            <w:pPr>
              <w:jc w:val="right"/>
              <w:ind w:right="200"/>
              <w:spacing w:after="0"/>
              <w:rPr>
                <w:sz w:val="20"/>
                <w:szCs w:val="20"/>
                <w:color w:val="auto"/>
              </w:rPr>
            </w:pPr>
            <w:r>
              <w:rPr>
                <w:rFonts w:ascii="Arial" w:cs="Arial" w:eastAsia="Arial" w:hAnsi="Arial"/>
                <w:sz w:val="14"/>
                <w:szCs w:val="14"/>
                <w:color w:val="auto"/>
              </w:rPr>
              <w:t>82,393</w:t>
            </w:r>
          </w:p>
        </w:tc>
        <w:tc>
          <w:tcPr>
            <w:tcW w:w="1340" w:type="dxa"/>
            <w:vAlign w:val="bottom"/>
            <w:gridSpan w:val="7"/>
          </w:tcPr>
          <w:p>
            <w:pPr>
              <w:jc w:val="right"/>
              <w:ind w:right="200"/>
              <w:spacing w:after="0"/>
              <w:rPr>
                <w:sz w:val="20"/>
                <w:szCs w:val="20"/>
                <w:color w:val="auto"/>
              </w:rPr>
            </w:pPr>
            <w:r>
              <w:rPr>
                <w:rFonts w:ascii="Arial" w:cs="Arial" w:eastAsia="Arial" w:hAnsi="Arial"/>
                <w:sz w:val="14"/>
                <w:szCs w:val="14"/>
                <w:color w:val="auto"/>
              </w:rPr>
              <w:t>74,349</w:t>
            </w:r>
          </w:p>
        </w:tc>
        <w:tc>
          <w:tcPr>
            <w:tcW w:w="1340" w:type="dxa"/>
            <w:vAlign w:val="bottom"/>
            <w:gridSpan w:val="7"/>
          </w:tcPr>
          <w:p>
            <w:pPr>
              <w:jc w:val="right"/>
              <w:ind w:right="200"/>
              <w:spacing w:after="0"/>
              <w:rPr>
                <w:sz w:val="20"/>
                <w:szCs w:val="20"/>
                <w:color w:val="auto"/>
              </w:rPr>
            </w:pPr>
            <w:r>
              <w:rPr>
                <w:rFonts w:ascii="Arial" w:cs="Arial" w:eastAsia="Arial" w:hAnsi="Arial"/>
                <w:sz w:val="14"/>
                <w:szCs w:val="14"/>
                <w:color w:val="auto"/>
              </w:rPr>
              <w:t>240,825</w:t>
            </w:r>
          </w:p>
        </w:tc>
        <w:tc>
          <w:tcPr>
            <w:tcW w:w="1140" w:type="dxa"/>
            <w:vAlign w:val="bottom"/>
            <w:gridSpan w:val="7"/>
          </w:tcPr>
          <w:p>
            <w:pPr>
              <w:jc w:val="right"/>
              <w:spacing w:after="0"/>
              <w:rPr>
                <w:sz w:val="20"/>
                <w:szCs w:val="20"/>
                <w:color w:val="auto"/>
              </w:rPr>
            </w:pPr>
            <w:r>
              <w:rPr>
                <w:rFonts w:ascii="Arial" w:cs="Arial" w:eastAsia="Arial" w:hAnsi="Arial"/>
                <w:sz w:val="14"/>
                <w:szCs w:val="14"/>
                <w:color w:val="auto"/>
              </w:rPr>
              <w:t>218,566</w:t>
            </w:r>
          </w:p>
        </w:tc>
        <w:tc>
          <w:tcPr>
            <w:tcW w:w="0" w:type="dxa"/>
            <w:vAlign w:val="bottom"/>
          </w:tcPr>
          <w:p>
            <w:pPr>
              <w:spacing w:after="0"/>
              <w:rPr>
                <w:sz w:val="1"/>
                <w:szCs w:val="1"/>
                <w:color w:val="auto"/>
              </w:rPr>
            </w:pPr>
          </w:p>
        </w:tc>
      </w:tr>
      <w:tr>
        <w:trPr>
          <w:trHeight w:val="181"/>
        </w:trPr>
        <w:tc>
          <w:tcPr>
            <w:tcW w:w="49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Provision for income taxes</w:t>
            </w:r>
          </w:p>
        </w:tc>
        <w:tc>
          <w:tcPr>
            <w:tcW w:w="266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color w:val="auto"/>
              </w:rPr>
              <w:t>(8,239)</w:t>
            </w:r>
          </w:p>
        </w:tc>
        <w:tc>
          <w:tcPr>
            <w:tcW w:w="134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color w:val="auto"/>
              </w:rPr>
              <w:t>(10,470)</w:t>
            </w:r>
          </w:p>
        </w:tc>
        <w:tc>
          <w:tcPr>
            <w:tcW w:w="134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color w:val="auto"/>
              </w:rPr>
              <w:t>(30,445)</w:t>
            </w:r>
          </w:p>
        </w:tc>
        <w:tc>
          <w:tcPr>
            <w:tcW w:w="11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color w:val="auto"/>
              </w:rPr>
              <w:t>(30,649)</w:t>
            </w:r>
          </w:p>
        </w:tc>
        <w:tc>
          <w:tcPr>
            <w:tcW w:w="0" w:type="dxa"/>
            <w:vAlign w:val="bottom"/>
          </w:tcPr>
          <w:p>
            <w:pPr>
              <w:spacing w:after="0"/>
              <w:rPr>
                <w:sz w:val="1"/>
                <w:szCs w:val="1"/>
                <w:color w:val="auto"/>
              </w:rPr>
            </w:pPr>
          </w:p>
        </w:tc>
      </w:tr>
      <w:tr>
        <w:trPr>
          <w:trHeight w:val="345"/>
        </w:trPr>
        <w:tc>
          <w:tcPr>
            <w:tcW w:w="4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Net income</w:t>
            </w:r>
          </w:p>
        </w:tc>
        <w:tc>
          <w:tcPr>
            <w:tcW w:w="266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color w:val="auto"/>
              </w:rPr>
              <w:t>74,154</w:t>
            </w:r>
          </w:p>
        </w:tc>
        <w:tc>
          <w:tcPr>
            <w:tcW w:w="134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color w:val="auto"/>
              </w:rPr>
              <w:t>63,879</w:t>
            </w:r>
          </w:p>
        </w:tc>
        <w:tc>
          <w:tcPr>
            <w:tcW w:w="134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color w:val="auto"/>
              </w:rPr>
              <w:t>210,380</w:t>
            </w:r>
          </w:p>
        </w:tc>
        <w:tc>
          <w:tcPr>
            <w:tcW w:w="11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color w:val="auto"/>
              </w:rPr>
              <w:t>187,917</w:t>
            </w:r>
          </w:p>
        </w:tc>
        <w:tc>
          <w:tcPr>
            <w:tcW w:w="0" w:type="dxa"/>
            <w:vAlign w:val="bottom"/>
          </w:tcPr>
          <w:p>
            <w:pPr>
              <w:spacing w:after="0"/>
              <w:rPr>
                <w:sz w:val="1"/>
                <w:szCs w:val="1"/>
                <w:color w:val="auto"/>
              </w:rPr>
            </w:pPr>
          </w:p>
        </w:tc>
      </w:tr>
      <w:tr>
        <w:trPr>
          <w:trHeight w:val="346"/>
        </w:trPr>
        <w:tc>
          <w:tcPr>
            <w:tcW w:w="4940" w:type="dxa"/>
            <w:vAlign w:val="bottom"/>
          </w:tcPr>
          <w:p>
            <w:pPr>
              <w:spacing w:after="0"/>
              <w:rPr>
                <w:sz w:val="20"/>
                <w:szCs w:val="20"/>
                <w:color w:val="auto"/>
              </w:rPr>
            </w:pPr>
            <w:r>
              <w:rPr>
                <w:rFonts w:ascii="Arial" w:cs="Arial" w:eastAsia="Arial" w:hAnsi="Arial"/>
                <w:sz w:val="14"/>
                <w:szCs w:val="14"/>
                <w:color w:val="auto"/>
              </w:rPr>
              <w:t>Net income per Ordinary Share:</w:t>
            </w: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49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Basic</w:t>
            </w:r>
          </w:p>
        </w:tc>
        <w:tc>
          <w:tcPr>
            <w:tcW w:w="266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color w:val="auto"/>
              </w:rPr>
              <w:t>$1.37</w:t>
            </w:r>
          </w:p>
        </w:tc>
        <w:tc>
          <w:tcPr>
            <w:tcW w:w="134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color w:val="auto"/>
              </w:rPr>
              <w:t>$1.15</w:t>
            </w:r>
          </w:p>
        </w:tc>
        <w:tc>
          <w:tcPr>
            <w:tcW w:w="134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color w:val="auto"/>
              </w:rPr>
              <w:t>$3.89</w:t>
            </w:r>
          </w:p>
        </w:tc>
        <w:tc>
          <w:tcPr>
            <w:tcW w:w="11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color w:val="auto"/>
              </w:rPr>
              <w:t>$3.39</w:t>
            </w:r>
          </w:p>
        </w:tc>
        <w:tc>
          <w:tcPr>
            <w:tcW w:w="0" w:type="dxa"/>
            <w:vAlign w:val="bottom"/>
          </w:tcPr>
          <w:p>
            <w:pPr>
              <w:spacing w:after="0"/>
              <w:rPr>
                <w:sz w:val="1"/>
                <w:szCs w:val="1"/>
                <w:color w:val="auto"/>
              </w:rPr>
            </w:pPr>
          </w:p>
        </w:tc>
      </w:tr>
      <w:tr>
        <w:trPr>
          <w:trHeight w:val="345"/>
        </w:trPr>
        <w:tc>
          <w:tcPr>
            <w:tcW w:w="49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Diluted</w:t>
            </w:r>
          </w:p>
        </w:tc>
        <w:tc>
          <w:tcPr>
            <w:tcW w:w="266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color w:val="auto"/>
              </w:rPr>
              <w:t>$1.35</w:t>
            </w:r>
          </w:p>
        </w:tc>
        <w:tc>
          <w:tcPr>
            <w:tcW w:w="134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color w:val="auto"/>
              </w:rPr>
              <w:t>$1.13</w:t>
            </w:r>
          </w:p>
        </w:tc>
        <w:tc>
          <w:tcPr>
            <w:tcW w:w="134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color w:val="auto"/>
              </w:rPr>
              <w:t>$3.84</w:t>
            </w:r>
          </w:p>
        </w:tc>
        <w:tc>
          <w:tcPr>
            <w:tcW w:w="11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color w:val="auto"/>
              </w:rPr>
              <w:t>$3.33</w:t>
            </w:r>
          </w:p>
        </w:tc>
        <w:tc>
          <w:tcPr>
            <w:tcW w:w="0" w:type="dxa"/>
            <w:vAlign w:val="bottom"/>
          </w:tcPr>
          <w:p>
            <w:pPr>
              <w:spacing w:after="0"/>
              <w:rPr>
                <w:sz w:val="1"/>
                <w:szCs w:val="1"/>
                <w:color w:val="auto"/>
              </w:rPr>
            </w:pPr>
          </w:p>
        </w:tc>
      </w:tr>
      <w:tr>
        <w:trPr>
          <w:trHeight w:val="346"/>
        </w:trPr>
        <w:tc>
          <w:tcPr>
            <w:tcW w:w="4940" w:type="dxa"/>
            <w:vAlign w:val="bottom"/>
          </w:tcPr>
          <w:p>
            <w:pPr>
              <w:spacing w:after="0"/>
              <w:rPr>
                <w:sz w:val="20"/>
                <w:szCs w:val="20"/>
                <w:color w:val="auto"/>
              </w:rPr>
            </w:pPr>
            <w:r>
              <w:rPr>
                <w:rFonts w:ascii="Arial" w:cs="Arial" w:eastAsia="Arial" w:hAnsi="Arial"/>
                <w:sz w:val="14"/>
                <w:szCs w:val="14"/>
                <w:color w:val="auto"/>
              </w:rPr>
              <w:t>Weighted average number of Ordinary Shares outstanding:</w:t>
            </w: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49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Basic</w:t>
            </w:r>
          </w:p>
        </w:tc>
        <w:tc>
          <w:tcPr>
            <w:tcW w:w="266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color w:val="auto"/>
              </w:rPr>
              <w:t>54,109,566</w:t>
            </w:r>
          </w:p>
        </w:tc>
        <w:tc>
          <w:tcPr>
            <w:tcW w:w="134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color w:val="auto"/>
              </w:rPr>
              <w:t>55,734,773</w:t>
            </w:r>
          </w:p>
        </w:tc>
        <w:tc>
          <w:tcPr>
            <w:tcW w:w="134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color w:val="auto"/>
              </w:rPr>
              <w:t>54,110,022</w:t>
            </w:r>
          </w:p>
        </w:tc>
        <w:tc>
          <w:tcPr>
            <w:tcW w:w="11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color w:val="auto"/>
              </w:rPr>
              <w:t>55,355,020</w:t>
            </w:r>
          </w:p>
        </w:tc>
        <w:tc>
          <w:tcPr>
            <w:tcW w:w="0" w:type="dxa"/>
            <w:vAlign w:val="bottom"/>
          </w:tcPr>
          <w:p>
            <w:pPr>
              <w:spacing w:after="0"/>
              <w:rPr>
                <w:sz w:val="1"/>
                <w:szCs w:val="1"/>
                <w:color w:val="auto"/>
              </w:rPr>
            </w:pPr>
          </w:p>
        </w:tc>
      </w:tr>
      <w:tr>
        <w:trPr>
          <w:trHeight w:val="345"/>
        </w:trPr>
        <w:tc>
          <w:tcPr>
            <w:tcW w:w="49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Diluted</w:t>
            </w:r>
          </w:p>
        </w:tc>
        <w:tc>
          <w:tcPr>
            <w:tcW w:w="266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color w:val="auto"/>
              </w:rPr>
              <w:t>54,756,184</w:t>
            </w:r>
          </w:p>
        </w:tc>
        <w:tc>
          <w:tcPr>
            <w:tcW w:w="134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color w:val="auto"/>
              </w:rPr>
              <w:t>56,645,239</w:t>
            </w:r>
          </w:p>
        </w:tc>
        <w:tc>
          <w:tcPr>
            <w:tcW w:w="134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color w:val="auto"/>
              </w:rPr>
              <w:t>54,840,112</w:t>
            </w:r>
          </w:p>
        </w:tc>
        <w:tc>
          <w:tcPr>
            <w:tcW w:w="11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color w:val="auto"/>
              </w:rPr>
              <w:t>56,475,319</w:t>
            </w:r>
          </w:p>
        </w:tc>
        <w:tc>
          <w:tcPr>
            <w:tcW w:w="0" w:type="dxa"/>
            <w:vAlign w:val="bottom"/>
          </w:tcPr>
          <w:p>
            <w:pPr>
              <w:spacing w:after="0"/>
              <w:rPr>
                <w:sz w:val="1"/>
                <w:szCs w:val="1"/>
                <w:color w:val="auto"/>
              </w:rPr>
            </w:pPr>
          </w:p>
        </w:tc>
      </w:tr>
      <w:tr>
        <w:trPr>
          <w:trHeight w:val="304"/>
        </w:trPr>
        <w:tc>
          <w:tcPr>
            <w:tcW w:w="49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940" w:type="dxa"/>
            <w:vAlign w:val="bottom"/>
            <w:tcBorders>
              <w:bottom w:val="single" w:sz="8" w:color="EEEEEE"/>
            </w:tcBorders>
          </w:tcPr>
          <w:p>
            <w:pPr>
              <w:spacing w:after="0" w:line="20" w:lineRule="exact"/>
              <w:rPr>
                <w:sz w:val="1"/>
                <w:szCs w:val="1"/>
                <w:color w:val="auto"/>
              </w:rPr>
            </w:pPr>
          </w:p>
        </w:tc>
        <w:tc>
          <w:tcPr>
            <w:tcW w:w="15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ICON plc</w:t>
      </w:r>
    </w:p>
    <w:p>
      <w:pPr>
        <w:jc w:val="center"/>
        <w:spacing w:after="0" w:line="226" w:lineRule="auto"/>
        <w:rPr>
          <w:sz w:val="20"/>
          <w:szCs w:val="20"/>
          <w:color w:val="auto"/>
        </w:rPr>
      </w:pPr>
      <w:r>
        <w:rPr>
          <w:rFonts w:ascii="Arial" w:cs="Arial" w:eastAsia="Arial" w:hAnsi="Arial"/>
          <w:sz w:val="14"/>
          <w:szCs w:val="14"/>
          <w:b w:val="1"/>
          <w:bCs w:val="1"/>
          <w:color w:val="auto"/>
        </w:rPr>
        <w:t>Summary Balance Sheet Data</w:t>
      </w:r>
    </w:p>
    <w:p>
      <w:pPr>
        <w:jc w:val="center"/>
        <w:spacing w:after="0" w:line="222" w:lineRule="auto"/>
        <w:rPr>
          <w:sz w:val="20"/>
          <w:szCs w:val="20"/>
          <w:color w:val="auto"/>
        </w:rPr>
      </w:pPr>
      <w:r>
        <w:rPr>
          <w:rFonts w:ascii="Arial" w:cs="Arial" w:eastAsia="Arial" w:hAnsi="Arial"/>
          <w:sz w:val="14"/>
          <w:szCs w:val="14"/>
          <w:b w:val="1"/>
          <w:bCs w:val="1"/>
          <w:color w:val="auto"/>
        </w:rPr>
        <w:t>September 30, 2017 and June 30, 2017</w:t>
      </w:r>
    </w:p>
    <w:p>
      <w:pPr>
        <w:jc w:val="center"/>
        <w:spacing w:after="0"/>
        <w:rPr>
          <w:sz w:val="20"/>
          <w:szCs w:val="20"/>
          <w:color w:val="auto"/>
        </w:rPr>
      </w:pPr>
      <w:r>
        <w:rPr>
          <w:rFonts w:ascii="Arial" w:cs="Arial" w:eastAsia="Arial" w:hAnsi="Arial"/>
          <w:sz w:val="14"/>
          <w:szCs w:val="14"/>
          <w:b w:val="1"/>
          <w:bCs w:val="1"/>
          <w:color w:val="auto"/>
        </w:rPr>
        <w:t>(Dollars,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980" w:type="dxa"/>
            <w:vAlign w:val="bottom"/>
          </w:tcPr>
          <w:p>
            <w:pPr>
              <w:jc w:val="center"/>
              <w:ind w:left="6668"/>
              <w:spacing w:after="0"/>
              <w:rPr>
                <w:sz w:val="20"/>
                <w:szCs w:val="20"/>
                <w:color w:val="auto"/>
              </w:rPr>
            </w:pPr>
            <w:r>
              <w:rPr>
                <w:rFonts w:ascii="Arial" w:cs="Arial" w:eastAsia="Arial" w:hAnsi="Arial"/>
                <w:sz w:val="14"/>
                <w:szCs w:val="14"/>
                <w:b w:val="1"/>
                <w:bCs w:val="1"/>
                <w:color w:val="auto"/>
                <w:w w:val="91"/>
              </w:rPr>
              <w:t>September 30,</w:t>
            </w:r>
          </w:p>
        </w:tc>
        <w:tc>
          <w:tcPr>
            <w:tcW w:w="1320" w:type="dxa"/>
            <w:vAlign w:val="bottom"/>
          </w:tcPr>
          <w:p>
            <w:pPr>
              <w:spacing w:after="0"/>
              <w:rPr>
                <w:sz w:val="15"/>
                <w:szCs w:val="15"/>
                <w:color w:val="auto"/>
              </w:rPr>
            </w:pPr>
          </w:p>
        </w:tc>
        <w:tc>
          <w:tcPr>
            <w:tcW w:w="2120" w:type="dxa"/>
            <w:vAlign w:val="bottom"/>
          </w:tcPr>
          <w:p>
            <w:pPr>
              <w:jc w:val="center"/>
              <w:ind w:right="128"/>
              <w:spacing w:after="0"/>
              <w:rPr>
                <w:sz w:val="20"/>
                <w:szCs w:val="20"/>
                <w:color w:val="auto"/>
              </w:rPr>
            </w:pPr>
            <w:r>
              <w:rPr>
                <w:rFonts w:ascii="Arial" w:cs="Arial" w:eastAsia="Arial" w:hAnsi="Arial"/>
                <w:sz w:val="14"/>
                <w:szCs w:val="14"/>
                <w:b w:val="1"/>
                <w:bCs w:val="1"/>
                <w:color w:val="auto"/>
                <w:w w:val="92"/>
              </w:rPr>
              <w:t>June 30,</w:t>
            </w:r>
          </w:p>
        </w:tc>
      </w:tr>
      <w:tr>
        <w:trPr>
          <w:trHeight w:val="176"/>
        </w:trPr>
        <w:tc>
          <w:tcPr>
            <w:tcW w:w="7980" w:type="dxa"/>
            <w:vAlign w:val="bottom"/>
          </w:tcPr>
          <w:p>
            <w:pPr>
              <w:jc w:val="center"/>
              <w:ind w:left="6708"/>
              <w:spacing w:after="0"/>
              <w:rPr>
                <w:sz w:val="20"/>
                <w:szCs w:val="20"/>
                <w:color w:val="auto"/>
              </w:rPr>
            </w:pPr>
            <w:r>
              <w:rPr>
                <w:rFonts w:ascii="Arial" w:cs="Arial" w:eastAsia="Arial" w:hAnsi="Arial"/>
                <w:sz w:val="14"/>
                <w:szCs w:val="14"/>
                <w:b w:val="1"/>
                <w:bCs w:val="1"/>
                <w:color w:val="auto"/>
                <w:w w:val="89"/>
              </w:rPr>
              <w:t>2017</w:t>
            </w:r>
          </w:p>
        </w:tc>
        <w:tc>
          <w:tcPr>
            <w:tcW w:w="1320" w:type="dxa"/>
            <w:vAlign w:val="bottom"/>
          </w:tcPr>
          <w:p>
            <w:pPr>
              <w:spacing w:after="0"/>
              <w:rPr>
                <w:sz w:val="15"/>
                <w:szCs w:val="15"/>
                <w:color w:val="auto"/>
              </w:rPr>
            </w:pPr>
          </w:p>
        </w:tc>
        <w:tc>
          <w:tcPr>
            <w:tcW w:w="2120" w:type="dxa"/>
            <w:vAlign w:val="bottom"/>
          </w:tcPr>
          <w:p>
            <w:pPr>
              <w:jc w:val="center"/>
              <w:ind w:right="128"/>
              <w:spacing w:after="0"/>
              <w:rPr>
                <w:sz w:val="20"/>
                <w:szCs w:val="20"/>
                <w:color w:val="auto"/>
              </w:rPr>
            </w:pPr>
            <w:r>
              <w:rPr>
                <w:rFonts w:ascii="Arial" w:cs="Arial" w:eastAsia="Arial" w:hAnsi="Arial"/>
                <w:sz w:val="14"/>
                <w:szCs w:val="14"/>
                <w:b w:val="1"/>
                <w:bCs w:val="1"/>
                <w:color w:val="auto"/>
                <w:w w:val="89"/>
              </w:rPr>
              <w:t>2017</w:t>
            </w:r>
          </w:p>
        </w:tc>
      </w:tr>
      <w:tr>
        <w:trPr>
          <w:trHeight w:val="186"/>
        </w:trPr>
        <w:tc>
          <w:tcPr>
            <w:tcW w:w="7980" w:type="dxa"/>
            <w:vAlign w:val="bottom"/>
          </w:tcPr>
          <w:p>
            <w:pPr>
              <w:jc w:val="center"/>
              <w:ind w:left="6688"/>
              <w:spacing w:after="0"/>
              <w:rPr>
                <w:sz w:val="20"/>
                <w:szCs w:val="20"/>
                <w:color w:val="auto"/>
              </w:rPr>
            </w:pPr>
            <w:r>
              <w:rPr>
                <w:rFonts w:ascii="Arial" w:cs="Arial" w:eastAsia="Arial" w:hAnsi="Arial"/>
                <w:sz w:val="14"/>
                <w:szCs w:val="14"/>
                <w:b w:val="1"/>
                <w:bCs w:val="1"/>
                <w:color w:val="auto"/>
                <w:w w:val="95"/>
              </w:rPr>
              <w:t>(Unaudited)</w:t>
            </w:r>
          </w:p>
        </w:tc>
        <w:tc>
          <w:tcPr>
            <w:tcW w:w="1320" w:type="dxa"/>
            <w:vAlign w:val="bottom"/>
          </w:tcPr>
          <w:p>
            <w:pPr>
              <w:spacing w:after="0"/>
              <w:rPr>
                <w:sz w:val="16"/>
                <w:szCs w:val="16"/>
                <w:color w:val="auto"/>
              </w:rPr>
            </w:pPr>
          </w:p>
        </w:tc>
        <w:tc>
          <w:tcPr>
            <w:tcW w:w="2120" w:type="dxa"/>
            <w:vAlign w:val="bottom"/>
          </w:tcPr>
          <w:p>
            <w:pPr>
              <w:jc w:val="center"/>
              <w:ind w:right="128"/>
              <w:spacing w:after="0"/>
              <w:rPr>
                <w:sz w:val="20"/>
                <w:szCs w:val="20"/>
                <w:color w:val="auto"/>
              </w:rPr>
            </w:pPr>
            <w:r>
              <w:rPr>
                <w:rFonts w:ascii="Arial" w:cs="Arial" w:eastAsia="Arial" w:hAnsi="Arial"/>
                <w:sz w:val="14"/>
                <w:szCs w:val="14"/>
                <w:b w:val="1"/>
                <w:bCs w:val="1"/>
                <w:color w:val="auto"/>
                <w:w w:val="97"/>
              </w:rPr>
              <w:t>(Unaudited)</w:t>
            </w:r>
          </w:p>
        </w:tc>
      </w:tr>
      <w:tr>
        <w:trPr>
          <w:trHeight w:val="520"/>
        </w:trPr>
        <w:tc>
          <w:tcPr>
            <w:tcW w:w="7980" w:type="dxa"/>
            <w:vAlign w:val="bottom"/>
          </w:tcPr>
          <w:p>
            <w:pPr>
              <w:spacing w:after="0"/>
              <w:rPr>
                <w:sz w:val="20"/>
                <w:szCs w:val="20"/>
                <w:color w:val="auto"/>
              </w:rPr>
            </w:pPr>
            <w:r>
              <w:rPr>
                <w:rFonts w:ascii="Arial" w:cs="Arial" w:eastAsia="Arial" w:hAnsi="Arial"/>
                <w:sz w:val="14"/>
                <w:szCs w:val="14"/>
                <w:color w:val="auto"/>
              </w:rPr>
              <w:t>Cash and short-term investments</w:t>
            </w:r>
          </w:p>
        </w:tc>
        <w:tc>
          <w:tcPr>
            <w:tcW w:w="1320" w:type="dxa"/>
            <w:vAlign w:val="bottom"/>
          </w:tcPr>
          <w:p>
            <w:pPr>
              <w:jc w:val="right"/>
              <w:ind w:right="508"/>
              <w:spacing w:after="0"/>
              <w:rPr>
                <w:sz w:val="20"/>
                <w:szCs w:val="20"/>
                <w:color w:val="auto"/>
              </w:rPr>
            </w:pPr>
            <w:r>
              <w:rPr>
                <w:rFonts w:ascii="Arial" w:cs="Arial" w:eastAsia="Arial" w:hAnsi="Arial"/>
                <w:sz w:val="14"/>
                <w:szCs w:val="14"/>
                <w:color w:val="auto"/>
              </w:rPr>
              <w:t>292,478</w:t>
            </w:r>
          </w:p>
        </w:tc>
        <w:tc>
          <w:tcPr>
            <w:tcW w:w="2120" w:type="dxa"/>
            <w:vAlign w:val="bottom"/>
          </w:tcPr>
          <w:p>
            <w:pPr>
              <w:jc w:val="right"/>
              <w:spacing w:after="0"/>
              <w:rPr>
                <w:sz w:val="20"/>
                <w:szCs w:val="20"/>
                <w:color w:val="auto"/>
              </w:rPr>
            </w:pPr>
            <w:r>
              <w:rPr>
                <w:rFonts w:ascii="Arial" w:cs="Arial" w:eastAsia="Arial" w:hAnsi="Arial"/>
                <w:sz w:val="14"/>
                <w:szCs w:val="14"/>
                <w:color w:val="auto"/>
              </w:rPr>
              <w:t>314,918</w:t>
            </w:r>
          </w:p>
        </w:tc>
      </w:tr>
      <w:tr>
        <w:trPr>
          <w:trHeight w:val="176"/>
        </w:trPr>
        <w:tc>
          <w:tcPr>
            <w:tcW w:w="7980" w:type="dxa"/>
            <w:vAlign w:val="bottom"/>
          </w:tcPr>
          <w:p>
            <w:pPr>
              <w:spacing w:after="0"/>
              <w:rPr>
                <w:sz w:val="20"/>
                <w:szCs w:val="20"/>
                <w:color w:val="auto"/>
              </w:rPr>
            </w:pPr>
            <w:r>
              <w:rPr>
                <w:rFonts w:ascii="Arial" w:cs="Arial" w:eastAsia="Arial" w:hAnsi="Arial"/>
                <w:sz w:val="14"/>
                <w:szCs w:val="14"/>
                <w:color w:val="auto"/>
              </w:rPr>
              <w:t>Debt</w:t>
            </w:r>
          </w:p>
        </w:tc>
        <w:tc>
          <w:tcPr>
            <w:tcW w:w="1320" w:type="dxa"/>
            <w:vAlign w:val="bottom"/>
          </w:tcPr>
          <w:p>
            <w:pPr>
              <w:jc w:val="right"/>
              <w:ind w:right="508"/>
              <w:spacing w:after="0"/>
              <w:rPr>
                <w:sz w:val="20"/>
                <w:szCs w:val="20"/>
                <w:color w:val="auto"/>
              </w:rPr>
            </w:pPr>
            <w:r>
              <w:rPr>
                <w:rFonts w:ascii="Arial" w:cs="Arial" w:eastAsia="Arial" w:hAnsi="Arial"/>
                <w:sz w:val="14"/>
                <w:szCs w:val="14"/>
                <w:color w:val="auto"/>
              </w:rPr>
              <w:t>(348,793)</w:t>
            </w:r>
          </w:p>
        </w:tc>
        <w:tc>
          <w:tcPr>
            <w:tcW w:w="2120" w:type="dxa"/>
            <w:vAlign w:val="bottom"/>
          </w:tcPr>
          <w:p>
            <w:pPr>
              <w:jc w:val="right"/>
              <w:spacing w:after="0"/>
              <w:rPr>
                <w:sz w:val="20"/>
                <w:szCs w:val="20"/>
                <w:color w:val="auto"/>
              </w:rPr>
            </w:pPr>
            <w:r>
              <w:rPr>
                <w:rFonts w:ascii="Arial" w:cs="Arial" w:eastAsia="Arial" w:hAnsi="Arial"/>
                <w:sz w:val="14"/>
                <w:szCs w:val="14"/>
                <w:color w:val="auto"/>
              </w:rPr>
              <w:t>(348,698)</w:t>
            </w:r>
          </w:p>
        </w:tc>
      </w:tr>
      <w:tr>
        <w:trPr>
          <w:trHeight w:val="182"/>
        </w:trPr>
        <w:tc>
          <w:tcPr>
            <w:tcW w:w="7980" w:type="dxa"/>
            <w:vAlign w:val="bottom"/>
          </w:tcPr>
          <w:p>
            <w:pPr>
              <w:spacing w:after="0"/>
              <w:rPr>
                <w:sz w:val="20"/>
                <w:szCs w:val="20"/>
                <w:color w:val="auto"/>
              </w:rPr>
            </w:pPr>
            <w:r>
              <w:rPr>
                <w:rFonts w:ascii="Arial" w:cs="Arial" w:eastAsia="Arial" w:hAnsi="Arial"/>
                <w:sz w:val="14"/>
                <w:szCs w:val="14"/>
                <w:color w:val="auto"/>
              </w:rPr>
              <w:t>Net (debt)/cash</w:t>
            </w:r>
          </w:p>
        </w:tc>
        <w:tc>
          <w:tcPr>
            <w:tcW w:w="1320" w:type="dxa"/>
            <w:vAlign w:val="bottom"/>
          </w:tcPr>
          <w:p>
            <w:pPr>
              <w:jc w:val="right"/>
              <w:ind w:right="508"/>
              <w:spacing w:after="0"/>
              <w:rPr>
                <w:sz w:val="20"/>
                <w:szCs w:val="20"/>
                <w:color w:val="auto"/>
              </w:rPr>
            </w:pPr>
            <w:r>
              <w:rPr>
                <w:rFonts w:ascii="Arial" w:cs="Arial" w:eastAsia="Arial" w:hAnsi="Arial"/>
                <w:sz w:val="14"/>
                <w:szCs w:val="14"/>
                <w:color w:val="auto"/>
              </w:rPr>
              <w:t>(56,315)</w:t>
            </w:r>
          </w:p>
        </w:tc>
        <w:tc>
          <w:tcPr>
            <w:tcW w:w="2120" w:type="dxa"/>
            <w:vAlign w:val="bottom"/>
          </w:tcPr>
          <w:p>
            <w:pPr>
              <w:jc w:val="right"/>
              <w:spacing w:after="0"/>
              <w:rPr>
                <w:sz w:val="20"/>
                <w:szCs w:val="20"/>
                <w:color w:val="auto"/>
              </w:rPr>
            </w:pPr>
            <w:r>
              <w:rPr>
                <w:rFonts w:ascii="Arial" w:cs="Arial" w:eastAsia="Arial" w:hAnsi="Arial"/>
                <w:sz w:val="14"/>
                <w:szCs w:val="14"/>
                <w:color w:val="auto"/>
              </w:rPr>
              <w:t>(33,780)</w:t>
            </w:r>
          </w:p>
        </w:tc>
      </w:tr>
      <w:tr>
        <w:trPr>
          <w:trHeight w:val="344"/>
        </w:trPr>
        <w:tc>
          <w:tcPr>
            <w:tcW w:w="7980" w:type="dxa"/>
            <w:vAlign w:val="bottom"/>
          </w:tcPr>
          <w:p>
            <w:pPr>
              <w:spacing w:after="0"/>
              <w:rPr>
                <w:sz w:val="20"/>
                <w:szCs w:val="20"/>
                <w:color w:val="auto"/>
              </w:rPr>
            </w:pPr>
            <w:r>
              <w:rPr>
                <w:rFonts w:ascii="Arial" w:cs="Arial" w:eastAsia="Arial" w:hAnsi="Arial"/>
                <w:sz w:val="14"/>
                <w:szCs w:val="14"/>
                <w:color w:val="auto"/>
              </w:rPr>
              <w:t>Accounts receivable</w:t>
            </w:r>
          </w:p>
        </w:tc>
        <w:tc>
          <w:tcPr>
            <w:tcW w:w="1320" w:type="dxa"/>
            <w:vAlign w:val="bottom"/>
          </w:tcPr>
          <w:p>
            <w:pPr>
              <w:jc w:val="right"/>
              <w:ind w:right="508"/>
              <w:spacing w:after="0"/>
              <w:rPr>
                <w:sz w:val="20"/>
                <w:szCs w:val="20"/>
                <w:color w:val="auto"/>
              </w:rPr>
            </w:pPr>
            <w:r>
              <w:rPr>
                <w:rFonts w:ascii="Arial" w:cs="Arial" w:eastAsia="Arial" w:hAnsi="Arial"/>
                <w:sz w:val="14"/>
                <w:szCs w:val="14"/>
                <w:color w:val="auto"/>
              </w:rPr>
              <w:t>344,898</w:t>
            </w:r>
          </w:p>
        </w:tc>
        <w:tc>
          <w:tcPr>
            <w:tcW w:w="2120" w:type="dxa"/>
            <w:vAlign w:val="bottom"/>
          </w:tcPr>
          <w:p>
            <w:pPr>
              <w:jc w:val="right"/>
              <w:spacing w:after="0"/>
              <w:rPr>
                <w:sz w:val="20"/>
                <w:szCs w:val="20"/>
                <w:color w:val="auto"/>
              </w:rPr>
            </w:pPr>
            <w:r>
              <w:rPr>
                <w:rFonts w:ascii="Arial" w:cs="Arial" w:eastAsia="Arial" w:hAnsi="Arial"/>
                <w:sz w:val="14"/>
                <w:szCs w:val="14"/>
                <w:color w:val="auto"/>
              </w:rPr>
              <w:t>359,899</w:t>
            </w:r>
          </w:p>
        </w:tc>
      </w:tr>
      <w:tr>
        <w:trPr>
          <w:trHeight w:val="176"/>
        </w:trPr>
        <w:tc>
          <w:tcPr>
            <w:tcW w:w="7980" w:type="dxa"/>
            <w:vAlign w:val="bottom"/>
          </w:tcPr>
          <w:p>
            <w:pPr>
              <w:spacing w:after="0"/>
              <w:rPr>
                <w:sz w:val="20"/>
                <w:szCs w:val="20"/>
                <w:color w:val="auto"/>
              </w:rPr>
            </w:pPr>
            <w:r>
              <w:rPr>
                <w:rFonts w:ascii="Arial" w:cs="Arial" w:eastAsia="Arial" w:hAnsi="Arial"/>
                <w:sz w:val="14"/>
                <w:szCs w:val="14"/>
                <w:color w:val="auto"/>
              </w:rPr>
              <w:t>Unbilled revenue</w:t>
            </w:r>
          </w:p>
        </w:tc>
        <w:tc>
          <w:tcPr>
            <w:tcW w:w="1320" w:type="dxa"/>
            <w:vAlign w:val="bottom"/>
          </w:tcPr>
          <w:p>
            <w:pPr>
              <w:jc w:val="right"/>
              <w:ind w:right="508"/>
              <w:spacing w:after="0"/>
              <w:rPr>
                <w:sz w:val="20"/>
                <w:szCs w:val="20"/>
                <w:color w:val="auto"/>
              </w:rPr>
            </w:pPr>
            <w:r>
              <w:rPr>
                <w:rFonts w:ascii="Arial" w:cs="Arial" w:eastAsia="Arial" w:hAnsi="Arial"/>
                <w:sz w:val="14"/>
                <w:szCs w:val="14"/>
                <w:color w:val="auto"/>
              </w:rPr>
              <w:t>255,349</w:t>
            </w:r>
          </w:p>
        </w:tc>
        <w:tc>
          <w:tcPr>
            <w:tcW w:w="2120" w:type="dxa"/>
            <w:vAlign w:val="bottom"/>
          </w:tcPr>
          <w:p>
            <w:pPr>
              <w:jc w:val="right"/>
              <w:spacing w:after="0"/>
              <w:rPr>
                <w:sz w:val="20"/>
                <w:szCs w:val="20"/>
                <w:color w:val="auto"/>
              </w:rPr>
            </w:pPr>
            <w:r>
              <w:rPr>
                <w:rFonts w:ascii="Arial" w:cs="Arial" w:eastAsia="Arial" w:hAnsi="Arial"/>
                <w:sz w:val="14"/>
                <w:szCs w:val="14"/>
                <w:color w:val="auto"/>
              </w:rPr>
              <w:t>249,234</w:t>
            </w:r>
          </w:p>
        </w:tc>
      </w:tr>
      <w:tr>
        <w:trPr>
          <w:trHeight w:val="176"/>
        </w:trPr>
        <w:tc>
          <w:tcPr>
            <w:tcW w:w="7980" w:type="dxa"/>
            <w:vAlign w:val="bottom"/>
          </w:tcPr>
          <w:p>
            <w:pPr>
              <w:spacing w:after="0"/>
              <w:rPr>
                <w:sz w:val="20"/>
                <w:szCs w:val="20"/>
                <w:color w:val="auto"/>
              </w:rPr>
            </w:pPr>
            <w:r>
              <w:rPr>
                <w:rFonts w:ascii="Arial" w:cs="Arial" w:eastAsia="Arial" w:hAnsi="Arial"/>
                <w:sz w:val="14"/>
                <w:szCs w:val="14"/>
                <w:color w:val="auto"/>
              </w:rPr>
              <w:t>Payments on account</w:t>
            </w:r>
          </w:p>
        </w:tc>
        <w:tc>
          <w:tcPr>
            <w:tcW w:w="1320" w:type="dxa"/>
            <w:vAlign w:val="bottom"/>
          </w:tcPr>
          <w:p>
            <w:pPr>
              <w:jc w:val="right"/>
              <w:ind w:right="508"/>
              <w:spacing w:after="0"/>
              <w:rPr>
                <w:sz w:val="20"/>
                <w:szCs w:val="20"/>
                <w:color w:val="auto"/>
              </w:rPr>
            </w:pPr>
            <w:r>
              <w:rPr>
                <w:rFonts w:ascii="Arial" w:cs="Arial" w:eastAsia="Arial" w:hAnsi="Arial"/>
                <w:sz w:val="14"/>
                <w:szCs w:val="14"/>
                <w:color w:val="auto"/>
              </w:rPr>
              <w:t>(261,503)</w:t>
            </w:r>
          </w:p>
        </w:tc>
        <w:tc>
          <w:tcPr>
            <w:tcW w:w="2120" w:type="dxa"/>
            <w:vAlign w:val="bottom"/>
          </w:tcPr>
          <w:p>
            <w:pPr>
              <w:jc w:val="right"/>
              <w:spacing w:after="0"/>
              <w:rPr>
                <w:sz w:val="20"/>
                <w:szCs w:val="20"/>
                <w:color w:val="auto"/>
              </w:rPr>
            </w:pPr>
            <w:r>
              <w:rPr>
                <w:rFonts w:ascii="Arial" w:cs="Arial" w:eastAsia="Arial" w:hAnsi="Arial"/>
                <w:sz w:val="14"/>
                <w:szCs w:val="14"/>
                <w:color w:val="auto"/>
              </w:rPr>
              <w:t>(261,484)</w:t>
            </w:r>
          </w:p>
        </w:tc>
      </w:tr>
      <w:tr>
        <w:trPr>
          <w:trHeight w:val="182"/>
        </w:trPr>
        <w:tc>
          <w:tcPr>
            <w:tcW w:w="7980" w:type="dxa"/>
            <w:vAlign w:val="bottom"/>
          </w:tcPr>
          <w:p>
            <w:pPr>
              <w:spacing w:after="0"/>
              <w:rPr>
                <w:sz w:val="20"/>
                <w:szCs w:val="20"/>
                <w:color w:val="auto"/>
              </w:rPr>
            </w:pPr>
            <w:r>
              <w:rPr>
                <w:rFonts w:ascii="Arial" w:cs="Arial" w:eastAsia="Arial" w:hAnsi="Arial"/>
                <w:sz w:val="14"/>
                <w:szCs w:val="14"/>
                <w:color w:val="auto"/>
              </w:rPr>
              <w:t>Total</w:t>
            </w:r>
          </w:p>
        </w:tc>
        <w:tc>
          <w:tcPr>
            <w:tcW w:w="1320" w:type="dxa"/>
            <w:vAlign w:val="bottom"/>
          </w:tcPr>
          <w:p>
            <w:pPr>
              <w:jc w:val="right"/>
              <w:ind w:right="508"/>
              <w:spacing w:after="0"/>
              <w:rPr>
                <w:sz w:val="20"/>
                <w:szCs w:val="20"/>
                <w:color w:val="auto"/>
              </w:rPr>
            </w:pPr>
            <w:r>
              <w:rPr>
                <w:rFonts w:ascii="Arial" w:cs="Arial" w:eastAsia="Arial" w:hAnsi="Arial"/>
                <w:sz w:val="14"/>
                <w:szCs w:val="14"/>
                <w:color w:val="auto"/>
              </w:rPr>
              <w:t>338,744</w:t>
            </w:r>
          </w:p>
        </w:tc>
        <w:tc>
          <w:tcPr>
            <w:tcW w:w="2120" w:type="dxa"/>
            <w:vAlign w:val="bottom"/>
          </w:tcPr>
          <w:p>
            <w:pPr>
              <w:jc w:val="right"/>
              <w:spacing w:after="0"/>
              <w:rPr>
                <w:sz w:val="20"/>
                <w:szCs w:val="20"/>
                <w:color w:val="auto"/>
              </w:rPr>
            </w:pPr>
            <w:r>
              <w:rPr>
                <w:rFonts w:ascii="Arial" w:cs="Arial" w:eastAsia="Arial" w:hAnsi="Arial"/>
                <w:sz w:val="14"/>
                <w:szCs w:val="14"/>
                <w:color w:val="auto"/>
              </w:rPr>
              <w:t>347,649</w:t>
            </w:r>
          </w:p>
        </w:tc>
      </w:tr>
      <w:tr>
        <w:trPr>
          <w:trHeight w:val="351"/>
        </w:trPr>
        <w:tc>
          <w:tcPr>
            <w:tcW w:w="7980" w:type="dxa"/>
            <w:vAlign w:val="bottom"/>
          </w:tcPr>
          <w:p>
            <w:pPr>
              <w:spacing w:after="0"/>
              <w:rPr>
                <w:sz w:val="20"/>
                <w:szCs w:val="20"/>
                <w:color w:val="auto"/>
              </w:rPr>
            </w:pPr>
            <w:r>
              <w:rPr>
                <w:rFonts w:ascii="Arial" w:cs="Arial" w:eastAsia="Arial" w:hAnsi="Arial"/>
                <w:sz w:val="14"/>
                <w:szCs w:val="14"/>
                <w:color w:val="auto"/>
              </w:rPr>
              <w:t>Working Capital</w:t>
            </w:r>
          </w:p>
        </w:tc>
        <w:tc>
          <w:tcPr>
            <w:tcW w:w="1320" w:type="dxa"/>
            <w:vAlign w:val="bottom"/>
          </w:tcPr>
          <w:p>
            <w:pPr>
              <w:jc w:val="right"/>
              <w:ind w:right="508"/>
              <w:spacing w:after="0"/>
              <w:rPr>
                <w:sz w:val="20"/>
                <w:szCs w:val="20"/>
                <w:color w:val="auto"/>
              </w:rPr>
            </w:pPr>
            <w:r>
              <w:rPr>
                <w:rFonts w:ascii="Arial" w:cs="Arial" w:eastAsia="Arial" w:hAnsi="Arial"/>
                <w:sz w:val="14"/>
                <w:szCs w:val="14"/>
                <w:color w:val="auto"/>
              </w:rPr>
              <w:t>474,761</w:t>
            </w:r>
          </w:p>
        </w:tc>
        <w:tc>
          <w:tcPr>
            <w:tcW w:w="2120" w:type="dxa"/>
            <w:vAlign w:val="bottom"/>
          </w:tcPr>
          <w:p>
            <w:pPr>
              <w:jc w:val="right"/>
              <w:spacing w:after="0"/>
              <w:rPr>
                <w:sz w:val="20"/>
                <w:szCs w:val="20"/>
                <w:color w:val="auto"/>
              </w:rPr>
            </w:pPr>
            <w:r>
              <w:rPr>
                <w:rFonts w:ascii="Arial" w:cs="Arial" w:eastAsia="Arial" w:hAnsi="Arial"/>
                <w:sz w:val="14"/>
                <w:szCs w:val="14"/>
                <w:color w:val="auto"/>
              </w:rPr>
              <w:t>538,473</w:t>
            </w:r>
          </w:p>
        </w:tc>
      </w:tr>
      <w:tr>
        <w:trPr>
          <w:trHeight w:val="351"/>
        </w:trPr>
        <w:tc>
          <w:tcPr>
            <w:tcW w:w="7980" w:type="dxa"/>
            <w:vAlign w:val="bottom"/>
          </w:tcPr>
          <w:p>
            <w:pPr>
              <w:spacing w:after="0"/>
              <w:rPr>
                <w:sz w:val="20"/>
                <w:szCs w:val="20"/>
                <w:color w:val="auto"/>
              </w:rPr>
            </w:pPr>
            <w:r>
              <w:rPr>
                <w:rFonts w:ascii="Arial" w:cs="Arial" w:eastAsia="Arial" w:hAnsi="Arial"/>
                <w:sz w:val="14"/>
                <w:szCs w:val="14"/>
                <w:color w:val="auto"/>
              </w:rPr>
              <w:t>Total Assets</w:t>
            </w:r>
          </w:p>
        </w:tc>
        <w:tc>
          <w:tcPr>
            <w:tcW w:w="1320" w:type="dxa"/>
            <w:vAlign w:val="bottom"/>
          </w:tcPr>
          <w:p>
            <w:pPr>
              <w:jc w:val="right"/>
              <w:ind w:right="508"/>
              <w:spacing w:after="0"/>
              <w:rPr>
                <w:sz w:val="20"/>
                <w:szCs w:val="20"/>
                <w:color w:val="auto"/>
              </w:rPr>
            </w:pPr>
            <w:r>
              <w:rPr>
                <w:rFonts w:ascii="Arial" w:cs="Arial" w:eastAsia="Arial" w:hAnsi="Arial"/>
                <w:sz w:val="14"/>
                <w:szCs w:val="14"/>
                <w:color w:val="auto"/>
              </w:rPr>
              <w:t>2,053,349</w:t>
            </w:r>
          </w:p>
        </w:tc>
        <w:tc>
          <w:tcPr>
            <w:tcW w:w="2120" w:type="dxa"/>
            <w:vAlign w:val="bottom"/>
          </w:tcPr>
          <w:p>
            <w:pPr>
              <w:jc w:val="right"/>
              <w:spacing w:after="0"/>
              <w:rPr>
                <w:sz w:val="20"/>
                <w:szCs w:val="20"/>
                <w:color w:val="auto"/>
              </w:rPr>
            </w:pPr>
            <w:r>
              <w:rPr>
                <w:rFonts w:ascii="Arial" w:cs="Arial" w:eastAsia="Arial" w:hAnsi="Arial"/>
                <w:sz w:val="14"/>
                <w:szCs w:val="14"/>
                <w:color w:val="auto"/>
              </w:rPr>
              <w:t>1,904,310</w:t>
            </w:r>
          </w:p>
        </w:tc>
      </w:tr>
      <w:tr>
        <w:trPr>
          <w:trHeight w:val="351"/>
        </w:trPr>
        <w:tc>
          <w:tcPr>
            <w:tcW w:w="7980" w:type="dxa"/>
            <w:vAlign w:val="bottom"/>
          </w:tcPr>
          <w:p>
            <w:pPr>
              <w:spacing w:after="0"/>
              <w:rPr>
                <w:sz w:val="20"/>
                <w:szCs w:val="20"/>
                <w:color w:val="auto"/>
              </w:rPr>
            </w:pPr>
            <w:r>
              <w:rPr>
                <w:rFonts w:ascii="Arial" w:cs="Arial" w:eastAsia="Arial" w:hAnsi="Arial"/>
                <w:sz w:val="14"/>
                <w:szCs w:val="14"/>
                <w:color w:val="auto"/>
              </w:rPr>
              <w:t>Shareholder's Equity</w:t>
            </w:r>
          </w:p>
        </w:tc>
        <w:tc>
          <w:tcPr>
            <w:tcW w:w="1320" w:type="dxa"/>
            <w:vAlign w:val="bottom"/>
          </w:tcPr>
          <w:p>
            <w:pPr>
              <w:jc w:val="right"/>
              <w:ind w:right="508"/>
              <w:spacing w:after="0"/>
              <w:rPr>
                <w:sz w:val="20"/>
                <w:szCs w:val="20"/>
                <w:color w:val="auto"/>
              </w:rPr>
            </w:pPr>
            <w:r>
              <w:rPr>
                <w:rFonts w:ascii="Arial" w:cs="Arial" w:eastAsia="Arial" w:hAnsi="Arial"/>
                <w:sz w:val="14"/>
                <w:szCs w:val="14"/>
                <w:color w:val="auto"/>
              </w:rPr>
              <w:t>1,127,554</w:t>
            </w:r>
          </w:p>
        </w:tc>
        <w:tc>
          <w:tcPr>
            <w:tcW w:w="2120" w:type="dxa"/>
            <w:vAlign w:val="bottom"/>
          </w:tcPr>
          <w:p>
            <w:pPr>
              <w:jc w:val="right"/>
              <w:spacing w:after="0"/>
              <w:rPr>
                <w:sz w:val="20"/>
                <w:szCs w:val="20"/>
                <w:color w:val="auto"/>
              </w:rPr>
            </w:pPr>
            <w:r>
              <w:rPr>
                <w:rFonts w:ascii="Arial" w:cs="Arial" w:eastAsia="Arial" w:hAnsi="Arial"/>
                <w:sz w:val="14"/>
                <w:szCs w:val="14"/>
                <w:color w:val="auto"/>
              </w:rPr>
              <w:t>1,029,592</w:t>
            </w:r>
          </w:p>
        </w:tc>
      </w:tr>
    </w:tbl>
    <w:p>
      <w:pPr>
        <w:spacing w:after="0" w:line="3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ICON plc</w:t>
      </w:r>
    </w:p>
    <w:p>
      <w:pPr>
        <w:spacing w:after="0" w:line="230" w:lineRule="auto"/>
        <w:rPr>
          <w:sz w:val="20"/>
          <w:szCs w:val="20"/>
          <w:color w:val="auto"/>
        </w:rPr>
      </w:pPr>
      <w:r>
        <w:rPr>
          <w:rFonts w:ascii="Arial" w:cs="Arial" w:eastAsia="Arial" w:hAnsi="Arial"/>
          <w:sz w:val="22"/>
          <w:szCs w:val="22"/>
          <w:color w:val="auto"/>
        </w:rPr>
        <w:t>Investor Relations, 1-888-381-7923</w:t>
      </w:r>
    </w:p>
    <w:p>
      <w:pPr>
        <w:spacing w:after="0" w:line="231"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Brendan Brennan, + 353 1 291 2000</w:t>
      </w:r>
    </w:p>
    <w:p>
      <w:pPr>
        <w:spacing w:after="0" w:line="230" w:lineRule="auto"/>
        <w:rPr>
          <w:sz w:val="20"/>
          <w:szCs w:val="20"/>
          <w:color w:val="auto"/>
        </w:rPr>
      </w:pPr>
      <w:r>
        <w:rPr>
          <w:rFonts w:ascii="Arial" w:cs="Arial" w:eastAsia="Arial" w:hAnsi="Arial"/>
          <w:sz w:val="22"/>
          <w:szCs w:val="22"/>
          <w:color w:val="auto"/>
        </w:rPr>
        <w:t>Chief Financial Officer</w:t>
      </w:r>
    </w:p>
    <w:p>
      <w:pPr>
        <w:spacing w:after="0" w:line="231"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Jonathan Curtain, +1-215-616-3000</w:t>
      </w:r>
    </w:p>
    <w:p>
      <w:pPr>
        <w:spacing w:after="0" w:line="230" w:lineRule="auto"/>
        <w:rPr>
          <w:sz w:val="20"/>
          <w:szCs w:val="20"/>
          <w:color w:val="auto"/>
        </w:rPr>
      </w:pPr>
      <w:r>
        <w:rPr>
          <w:rFonts w:ascii="Arial" w:cs="Arial" w:eastAsia="Arial" w:hAnsi="Arial"/>
          <w:sz w:val="22"/>
          <w:szCs w:val="22"/>
          <w:color w:val="auto"/>
        </w:rPr>
        <w:t>Vice President Corporate Finance &amp; Investor Relations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http://www.iconplc.com</w:t>
      </w:r>
    </w:p>
    <w:sectPr>
      <w:pgSz w:w="11900" w:h="16838" w:orient="portrait"/>
      <w:cols w:equalWidth="0" w:num="1">
        <w:col w:w="11420"/>
      </w:cols>
      <w:pgMar w:left="240" w:top="30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2019-12-06T09:28:03Z</dcterms:created>
  <dcterms:modified xsi:type="dcterms:W3CDTF">2019-12-06T09:28:03Z</dcterms:modified>
</cp:coreProperties>
</file>