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120"/>
        <w:spacing w:after="0"/>
        <w:rPr>
          <w:sz w:val="20"/>
          <w:szCs w:val="20"/>
          <w:color w:val="auto"/>
        </w:rPr>
      </w:pPr>
      <w:r>
        <w:rPr>
          <w:rFonts w:ascii="Courier New" w:cs="Courier New" w:eastAsia="Courier New" w:hAnsi="Courier New"/>
          <w:sz w:val="15"/>
          <w:szCs w:val="15"/>
          <w:color w:val="auto"/>
        </w:rPr>
        <w:t>FORM 6-K/A</w:t>
      </w:r>
    </w:p>
    <w:p>
      <w:pPr>
        <w:spacing w:after="0" w:line="200" w:lineRule="exact"/>
        <w:rPr>
          <w:sz w:val="24"/>
          <w:szCs w:val="24"/>
          <w:color w:val="auto"/>
        </w:rPr>
      </w:pPr>
    </w:p>
    <w:p>
      <w:pPr>
        <w:spacing w:after="0" w:line="318" w:lineRule="exact"/>
        <w:rPr>
          <w:sz w:val="24"/>
          <w:szCs w:val="24"/>
          <w:color w:val="auto"/>
        </w:rPr>
      </w:pPr>
    </w:p>
    <w:p>
      <w:pPr>
        <w:ind w:left="204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00" w:lineRule="exact"/>
        <w:rPr>
          <w:sz w:val="24"/>
          <w:szCs w:val="24"/>
          <w:color w:val="auto"/>
        </w:rPr>
      </w:pPr>
    </w:p>
    <w:p>
      <w:pPr>
        <w:spacing w:after="0" w:line="318"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318"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Report of Foreign Private Issuer</w:t>
      </w:r>
    </w:p>
    <w:p>
      <w:pPr>
        <w:spacing w:after="0" w:line="2"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Pursuant to Rule 13a - 16 under</w:t>
      </w:r>
    </w:p>
    <w:p>
      <w:pPr>
        <w:spacing w:after="0" w:line="2"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346"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Supplement for the quarterly period ended November 30, 2002</w:t>
      </w:r>
    </w:p>
    <w:p>
      <w:pPr>
        <w:spacing w:after="0" w:line="200" w:lineRule="exact"/>
        <w:rPr>
          <w:sz w:val="24"/>
          <w:szCs w:val="24"/>
          <w:color w:val="auto"/>
        </w:rPr>
      </w:pPr>
    </w:p>
    <w:p>
      <w:pPr>
        <w:spacing w:after="0" w:line="318" w:lineRule="exact"/>
        <w:rPr>
          <w:sz w:val="24"/>
          <w:szCs w:val="24"/>
          <w:color w:val="auto"/>
        </w:rPr>
      </w:pPr>
    </w:p>
    <w:p>
      <w:pPr>
        <w:ind w:left="3220"/>
        <w:spacing w:after="0"/>
        <w:rPr>
          <w:sz w:val="20"/>
          <w:szCs w:val="20"/>
          <w:color w:val="auto"/>
        </w:rPr>
      </w:pPr>
      <w:r>
        <w:rPr>
          <w:rFonts w:ascii="Courier New" w:cs="Courier New" w:eastAsia="Courier New" w:hAnsi="Courier New"/>
          <w:sz w:val="15"/>
          <w:szCs w:val="15"/>
          <w:color w:val="auto"/>
        </w:rPr>
        <w:t>ICON plc</w:t>
      </w:r>
    </w:p>
    <w:p>
      <w:pPr>
        <w:spacing w:after="0" w:line="2" w:lineRule="exact"/>
        <w:rPr>
          <w:sz w:val="24"/>
          <w:szCs w:val="24"/>
          <w:color w:val="auto"/>
        </w:rPr>
      </w:pPr>
    </w:p>
    <w:p>
      <w:pPr>
        <w:ind w:left="2760"/>
        <w:spacing w:after="0"/>
        <w:rPr>
          <w:sz w:val="20"/>
          <w:szCs w:val="20"/>
          <w:color w:val="auto"/>
        </w:rPr>
      </w:pPr>
      <w:r>
        <w:rPr>
          <w:rFonts w:ascii="Courier New" w:cs="Courier New" w:eastAsia="Courier New" w:hAnsi="Courier New"/>
          <w:sz w:val="15"/>
          <w:szCs w:val="15"/>
          <w:color w:val="auto"/>
        </w:rPr>
        <w:t>(Registrant's name)</w:t>
      </w:r>
    </w:p>
    <w:p>
      <w:pPr>
        <w:spacing w:after="0" w:line="200" w:lineRule="exact"/>
        <w:rPr>
          <w:sz w:val="24"/>
          <w:szCs w:val="24"/>
          <w:color w:val="auto"/>
        </w:rPr>
      </w:pPr>
    </w:p>
    <w:p>
      <w:pPr>
        <w:spacing w:after="0" w:line="318" w:lineRule="exact"/>
        <w:rPr>
          <w:sz w:val="24"/>
          <w:szCs w:val="24"/>
          <w:color w:val="auto"/>
        </w:rPr>
      </w:pPr>
    </w:p>
    <w:p>
      <w:pPr>
        <w:ind w:left="3300"/>
        <w:spacing w:after="0"/>
        <w:rPr>
          <w:sz w:val="20"/>
          <w:szCs w:val="20"/>
          <w:color w:val="auto"/>
        </w:rPr>
      </w:pPr>
      <w:r>
        <w:rPr>
          <w:rFonts w:ascii="Courier New" w:cs="Courier New" w:eastAsia="Courier New" w:hAnsi="Courier New"/>
          <w:sz w:val="15"/>
          <w:szCs w:val="15"/>
          <w:color w:val="auto"/>
        </w:rPr>
        <w:t>0-29714</w:t>
      </w:r>
    </w:p>
    <w:p>
      <w:pPr>
        <w:spacing w:after="0" w:line="2"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(Commission file number)</w:t>
      </w:r>
    </w:p>
    <w:p>
      <w:pPr>
        <w:spacing w:after="0" w:line="346"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South County Business Park, Leopardstown, Dublin 18, Ireland.</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348" w:lineRule="exact"/>
        <w:rPr>
          <w:sz w:val="24"/>
          <w:szCs w:val="24"/>
          <w:color w:val="auto"/>
        </w:rPr>
      </w:pPr>
    </w:p>
    <w:p>
      <w:pPr>
        <w:ind w:right="3159"/>
        <w:spacing w:after="0"/>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pacing w:after="0" w:line="174" w:lineRule="exact"/>
        <w:rPr>
          <w:sz w:val="24"/>
          <w:szCs w:val="24"/>
          <w:color w:val="auto"/>
        </w:rPr>
      </w:pPr>
    </w:p>
    <w:p>
      <w:pPr>
        <w:ind w:left="1780"/>
        <w:spacing w:after="0"/>
        <w:tabs>
          <w:tab w:leader="none" w:pos="4180" w:val="left"/>
        </w:tabs>
        <w:rPr>
          <w:sz w:val="20"/>
          <w:szCs w:val="20"/>
          <w:color w:val="auto"/>
        </w:rPr>
      </w:pPr>
      <w:r>
        <w:rPr>
          <w:rFonts w:ascii="Courier New" w:cs="Courier New" w:eastAsia="Courier New" w:hAnsi="Courier New"/>
          <w:sz w:val="15"/>
          <w:szCs w:val="15"/>
          <w:color w:val="auto"/>
        </w:rPr>
        <w:t>Yes___X___</w:t>
      </w:r>
      <w:r>
        <w:rPr>
          <w:sz w:val="20"/>
          <w:szCs w:val="20"/>
          <w:color w:val="auto"/>
        </w:rPr>
        <w:tab/>
      </w:r>
      <w:r>
        <w:rPr>
          <w:rFonts w:ascii="Courier New" w:cs="Courier New" w:eastAsia="Courier New" w:hAnsi="Courier New"/>
          <w:sz w:val="14"/>
          <w:szCs w:val="14"/>
          <w:color w:val="auto"/>
        </w:rPr>
        <w:t>No_______</w:t>
      </w:r>
    </w:p>
    <w:p>
      <w:pPr>
        <w:spacing w:after="0" w:line="176" w:lineRule="exact"/>
        <w:rPr>
          <w:sz w:val="24"/>
          <w:szCs w:val="24"/>
          <w:color w:val="auto"/>
        </w:rPr>
      </w:pPr>
    </w:p>
    <w:p>
      <w:pPr>
        <w:ind w:right="3519"/>
        <w:spacing w:after="0"/>
        <w:rPr>
          <w:sz w:val="20"/>
          <w:szCs w:val="20"/>
          <w:color w:val="auto"/>
        </w:rPr>
      </w:pPr>
      <w:r>
        <w:rPr>
          <w:rFonts w:ascii="Courier New" w:cs="Courier New" w:eastAsia="Courier New" w:hAnsi="Courier New"/>
          <w:sz w:val="15"/>
          <w:szCs w:val="15"/>
          <w:color w:val="auto"/>
        </w:rPr>
        <w:t>Indicate by check mark whether the registrant is submitting the Form 6-K in paper as permitted by Regulation S-T Rule 101(b)(1):</w:t>
      </w:r>
    </w:p>
    <w:p>
      <w:pPr>
        <w:spacing w:after="0" w:line="174" w:lineRule="exact"/>
        <w:rPr>
          <w:sz w:val="24"/>
          <w:szCs w:val="24"/>
          <w:color w:val="auto"/>
        </w:rPr>
      </w:pPr>
    </w:p>
    <w:p>
      <w:pPr>
        <w:ind w:left="1780"/>
        <w:spacing w:after="0"/>
        <w:tabs>
          <w:tab w:leader="none" w:pos="4180" w:val="left"/>
        </w:tabs>
        <w:rPr>
          <w:sz w:val="20"/>
          <w:szCs w:val="20"/>
          <w:color w:val="auto"/>
        </w:rPr>
      </w:pPr>
      <w:r>
        <w:rPr>
          <w:rFonts w:ascii="Courier New" w:cs="Courier New" w:eastAsia="Courier New" w:hAnsi="Courier New"/>
          <w:sz w:val="15"/>
          <w:szCs w:val="15"/>
          <w:color w:val="auto"/>
        </w:rPr>
        <w:t>Yes______</w:t>
      </w:r>
      <w:r>
        <w:rPr>
          <w:sz w:val="20"/>
          <w:szCs w:val="20"/>
          <w:color w:val="auto"/>
        </w:rPr>
        <w:tab/>
      </w:r>
      <w:r>
        <w:rPr>
          <w:rFonts w:ascii="Courier New" w:cs="Courier New" w:eastAsia="Courier New" w:hAnsi="Courier New"/>
          <w:sz w:val="14"/>
          <w:szCs w:val="14"/>
          <w:color w:val="auto"/>
        </w:rPr>
        <w:t>No___X___</w:t>
      </w:r>
    </w:p>
    <w:p>
      <w:pPr>
        <w:spacing w:after="0" w:line="176" w:lineRule="exact"/>
        <w:rPr>
          <w:sz w:val="24"/>
          <w:szCs w:val="24"/>
          <w:color w:val="auto"/>
        </w:rPr>
      </w:pPr>
    </w:p>
    <w:p>
      <w:pPr>
        <w:ind w:right="3519"/>
        <w:spacing w:after="0"/>
        <w:rPr>
          <w:sz w:val="20"/>
          <w:szCs w:val="20"/>
          <w:color w:val="auto"/>
        </w:rPr>
      </w:pPr>
      <w:r>
        <w:rPr>
          <w:rFonts w:ascii="Courier New" w:cs="Courier New" w:eastAsia="Courier New" w:hAnsi="Courier New"/>
          <w:sz w:val="15"/>
          <w:szCs w:val="15"/>
          <w:color w:val="auto"/>
        </w:rPr>
        <w:t>Indicate by check mark whether the registrant is submitting the Form 6-K in paper as permitted by Regulation S-T Rule 101(b)(7):</w:t>
      </w:r>
    </w:p>
    <w:p>
      <w:pPr>
        <w:spacing w:after="0" w:line="174" w:lineRule="exact"/>
        <w:rPr>
          <w:sz w:val="24"/>
          <w:szCs w:val="24"/>
          <w:color w:val="auto"/>
        </w:rPr>
      </w:pPr>
    </w:p>
    <w:p>
      <w:pPr>
        <w:ind w:left="1780"/>
        <w:spacing w:after="0"/>
        <w:tabs>
          <w:tab w:leader="none" w:pos="4180" w:val="left"/>
        </w:tabs>
        <w:rPr>
          <w:sz w:val="20"/>
          <w:szCs w:val="20"/>
          <w:color w:val="auto"/>
        </w:rPr>
      </w:pPr>
      <w:r>
        <w:rPr>
          <w:rFonts w:ascii="Courier New" w:cs="Courier New" w:eastAsia="Courier New" w:hAnsi="Courier New"/>
          <w:sz w:val="15"/>
          <w:szCs w:val="15"/>
          <w:color w:val="auto"/>
        </w:rPr>
        <w:t>Yes______</w:t>
      </w:r>
      <w:r>
        <w:rPr>
          <w:sz w:val="20"/>
          <w:szCs w:val="20"/>
          <w:color w:val="auto"/>
        </w:rPr>
        <w:tab/>
      </w:r>
      <w:r>
        <w:rPr>
          <w:rFonts w:ascii="Courier New" w:cs="Courier New" w:eastAsia="Courier New" w:hAnsi="Courier New"/>
          <w:sz w:val="14"/>
          <w:szCs w:val="14"/>
          <w:color w:val="auto"/>
        </w:rPr>
        <w:t>No___X___</w:t>
      </w:r>
    </w:p>
    <w:p>
      <w:pPr>
        <w:spacing w:after="0" w:line="176" w:lineRule="exact"/>
        <w:rPr>
          <w:sz w:val="24"/>
          <w:szCs w:val="24"/>
          <w:color w:val="auto"/>
        </w:rPr>
      </w:pPr>
    </w:p>
    <w:p>
      <w:pPr>
        <w:ind w:right="3079"/>
        <w:spacing w:after="0" w:line="267"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57" w:lineRule="exact"/>
        <w:rPr>
          <w:sz w:val="24"/>
          <w:szCs w:val="24"/>
          <w:color w:val="auto"/>
        </w:rPr>
      </w:pPr>
    </w:p>
    <w:p>
      <w:pPr>
        <w:ind w:left="1780"/>
        <w:spacing w:after="0"/>
        <w:tabs>
          <w:tab w:leader="none" w:pos="4180" w:val="left"/>
        </w:tabs>
        <w:rPr>
          <w:sz w:val="20"/>
          <w:szCs w:val="20"/>
          <w:color w:val="auto"/>
        </w:rPr>
      </w:pPr>
      <w:r>
        <w:rPr>
          <w:rFonts w:ascii="Courier New" w:cs="Courier New" w:eastAsia="Courier New" w:hAnsi="Courier New"/>
          <w:sz w:val="15"/>
          <w:szCs w:val="15"/>
          <w:color w:val="auto"/>
        </w:rPr>
        <w:t>Yes_______</w:t>
      </w:r>
      <w:r>
        <w:rPr>
          <w:sz w:val="20"/>
          <w:szCs w:val="20"/>
          <w:color w:val="auto"/>
        </w:rPr>
        <w:tab/>
      </w:r>
      <w:r>
        <w:rPr>
          <w:rFonts w:ascii="Courier New" w:cs="Courier New" w:eastAsia="Courier New" w:hAnsi="Courier New"/>
          <w:sz w:val="14"/>
          <w:szCs w:val="14"/>
          <w:color w:val="auto"/>
        </w:rPr>
        <w:t>No___X___</w:t>
      </w:r>
    </w:p>
    <w:p>
      <w:pPr>
        <w:spacing w:after="0" w:line="176" w:lineRule="exact"/>
        <w:rPr>
          <w:sz w:val="24"/>
          <w:szCs w:val="24"/>
          <w:color w:val="auto"/>
        </w:rPr>
      </w:pPr>
    </w:p>
    <w:p>
      <w:pPr>
        <w:ind w:right="3079"/>
        <w:spacing w:after="0"/>
        <w:rPr>
          <w:sz w:val="20"/>
          <w:szCs w:val="20"/>
          <w:color w:val="auto"/>
        </w:rPr>
      </w:pPr>
      <w:r>
        <w:rPr>
          <w:rFonts w:ascii="Courier New" w:cs="Courier New" w:eastAsia="Courier New" w:hAnsi="Courier New"/>
          <w:sz w:val="15"/>
          <w:szCs w:val="15"/>
          <w:color w:val="auto"/>
        </w:rPr>
        <w:t>If "Yes" is marked, indicate below the file number assigned to the registrant in connection with Rule 12g3-2(b):82 N/A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220"/>
        <w:spacing w:after="0"/>
        <w:rPr>
          <w:sz w:val="20"/>
          <w:szCs w:val="20"/>
          <w:color w:val="auto"/>
        </w:rPr>
      </w:pPr>
      <w:r>
        <w:rPr>
          <w:rFonts w:ascii="Courier New" w:cs="Courier New" w:eastAsia="Courier New" w:hAnsi="Courier New"/>
          <w:sz w:val="15"/>
          <w:szCs w:val="15"/>
          <w:color w:val="auto"/>
        </w:rPr>
        <w:t>ICON plc</w:t>
      </w:r>
    </w:p>
    <w:p>
      <w:pPr>
        <w:spacing w:after="0" w:line="174" w:lineRule="exact"/>
        <w:rPr>
          <w:sz w:val="24"/>
          <w:szCs w:val="24"/>
          <w:color w:val="auto"/>
        </w:rPr>
      </w:pPr>
    </w:p>
    <w:p>
      <w:pPr>
        <w:ind w:left="1780"/>
        <w:spacing w:after="0"/>
        <w:rPr>
          <w:sz w:val="20"/>
          <w:szCs w:val="20"/>
          <w:color w:val="auto"/>
        </w:rPr>
      </w:pPr>
      <w:r>
        <w:rPr>
          <w:rFonts w:ascii="Courier New" w:cs="Courier New" w:eastAsia="Courier New" w:hAnsi="Courier New"/>
          <w:sz w:val="15"/>
          <w:szCs w:val="15"/>
          <w:color w:val="auto"/>
        </w:rPr>
        <w:t>Quarterly Period Ended November 30, 2002</w:t>
      </w:r>
    </w:p>
    <w:p>
      <w:pPr>
        <w:spacing w:after="0" w:line="346" w:lineRule="exact"/>
        <w:rPr>
          <w:sz w:val="24"/>
          <w:szCs w:val="24"/>
          <w:color w:val="auto"/>
        </w:rPr>
      </w:pPr>
    </w:p>
    <w:p>
      <w:pPr>
        <w:spacing w:after="0"/>
        <w:tabs>
          <w:tab w:leader="none" w:pos="6420" w:val="left"/>
        </w:tabs>
        <w:rPr>
          <w:sz w:val="20"/>
          <w:szCs w:val="20"/>
          <w:color w:val="auto"/>
        </w:rPr>
      </w:pPr>
      <w:r>
        <w:rPr>
          <w:rFonts w:ascii="Courier New" w:cs="Courier New" w:eastAsia="Courier New" w:hAnsi="Courier New"/>
          <w:sz w:val="15"/>
          <w:szCs w:val="15"/>
          <w:color w:val="auto"/>
        </w:rPr>
        <w:t>CONTENTS</w:t>
      </w:r>
      <w:r>
        <w:rPr>
          <w:sz w:val="20"/>
          <w:szCs w:val="20"/>
          <w:color w:val="auto"/>
        </w:rPr>
        <w:tab/>
      </w:r>
      <w:r>
        <w:rPr>
          <w:rFonts w:ascii="Courier New" w:cs="Courier New" w:eastAsia="Courier New" w:hAnsi="Courier New"/>
          <w:sz w:val="14"/>
          <w:szCs w:val="14"/>
          <w:color w:val="auto"/>
        </w:rPr>
        <w:t>Page</w:t>
      </w:r>
    </w:p>
    <w:p>
      <w:pPr>
        <w:spacing w:after="0" w:line="346" w:lineRule="exact"/>
        <w:rPr>
          <w:sz w:val="24"/>
          <w:szCs w:val="24"/>
          <w:color w:val="auto"/>
        </w:rPr>
      </w:pPr>
    </w:p>
    <w:p>
      <w:pPr>
        <w:spacing w:after="0"/>
        <w:tabs>
          <w:tab w:leader="dot" w:pos="668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3"/>
          <w:szCs w:val="13"/>
          <w:color w:val="auto"/>
        </w:rPr>
        <w:t>1</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Balance sheets -</w:t>
      </w:r>
    </w:p>
    <w:p>
      <w:pPr>
        <w:spacing w:after="0" w:line="2" w:lineRule="exact"/>
        <w:rPr>
          <w:sz w:val="24"/>
          <w:szCs w:val="24"/>
          <w:color w:val="auto"/>
        </w:rPr>
      </w:pPr>
    </w:p>
    <w:p>
      <w:pPr>
        <w:spacing w:after="0"/>
        <w:tabs>
          <w:tab w:leader="dot" w:pos="6680" w:val="left"/>
        </w:tabs>
        <w:rPr>
          <w:sz w:val="20"/>
          <w:szCs w:val="20"/>
          <w:color w:val="auto"/>
        </w:rPr>
      </w:pPr>
      <w:r>
        <w:rPr>
          <w:rFonts w:ascii="Courier New" w:cs="Courier New" w:eastAsia="Courier New" w:hAnsi="Courier New"/>
          <w:sz w:val="15"/>
          <w:szCs w:val="15"/>
          <w:color w:val="auto"/>
        </w:rPr>
        <w:t>November 30, 2002 and May 31, 2002</w:t>
      </w:r>
      <w:r>
        <w:rPr>
          <w:sz w:val="20"/>
          <w:szCs w:val="20"/>
          <w:color w:val="auto"/>
        </w:rPr>
        <w:tab/>
      </w:r>
      <w:r>
        <w:rPr>
          <w:rFonts w:ascii="Courier New" w:cs="Courier New" w:eastAsia="Courier New" w:hAnsi="Courier New"/>
          <w:sz w:val="13"/>
          <w:szCs w:val="13"/>
          <w:color w:val="auto"/>
        </w:rPr>
        <w:t>2</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Operations for the</w:t>
      </w:r>
    </w:p>
    <w:p>
      <w:pPr>
        <w:spacing w:after="0" w:line="2" w:lineRule="exact"/>
        <w:rPr>
          <w:sz w:val="24"/>
          <w:szCs w:val="24"/>
          <w:color w:val="auto"/>
        </w:rPr>
      </w:pPr>
    </w:p>
    <w:p>
      <w:pPr>
        <w:spacing w:after="0"/>
        <w:tabs>
          <w:tab w:leader="dot" w:pos="6680" w:val="left"/>
        </w:tabs>
        <w:rPr>
          <w:sz w:val="20"/>
          <w:szCs w:val="20"/>
          <w:color w:val="auto"/>
        </w:rPr>
      </w:pPr>
      <w:r>
        <w:rPr>
          <w:rFonts w:ascii="Courier New" w:cs="Courier New" w:eastAsia="Courier New" w:hAnsi="Courier New"/>
          <w:sz w:val="15"/>
          <w:szCs w:val="15"/>
          <w:color w:val="auto"/>
        </w:rPr>
        <w:t>Three and Six months ended November 30, 2002 and 2001</w:t>
      </w:r>
      <w:r>
        <w:rPr>
          <w:sz w:val="20"/>
          <w:szCs w:val="20"/>
          <w:color w:val="auto"/>
        </w:rPr>
        <w:tab/>
      </w:r>
      <w:r>
        <w:rPr>
          <w:rFonts w:ascii="Courier New" w:cs="Courier New" w:eastAsia="Courier New" w:hAnsi="Courier New"/>
          <w:sz w:val="13"/>
          <w:szCs w:val="13"/>
          <w:color w:val="auto"/>
        </w:rPr>
        <w:t>3</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Cash Flows for the</w:t>
      </w:r>
    </w:p>
    <w:p>
      <w:pPr>
        <w:spacing w:after="0" w:line="2" w:lineRule="exact"/>
        <w:rPr>
          <w:sz w:val="24"/>
          <w:szCs w:val="24"/>
          <w:color w:val="auto"/>
        </w:rPr>
      </w:pPr>
    </w:p>
    <w:p>
      <w:pPr>
        <w:spacing w:after="0"/>
        <w:tabs>
          <w:tab w:leader="dot" w:pos="6680" w:val="left"/>
        </w:tabs>
        <w:rPr>
          <w:sz w:val="20"/>
          <w:szCs w:val="20"/>
          <w:color w:val="auto"/>
        </w:rPr>
      </w:pPr>
      <w:r>
        <w:rPr>
          <w:rFonts w:ascii="Courier New" w:cs="Courier New" w:eastAsia="Courier New" w:hAnsi="Courier New"/>
          <w:sz w:val="15"/>
          <w:szCs w:val="15"/>
          <w:color w:val="auto"/>
        </w:rPr>
        <w:t>six months ended November 30, 2002 and 2001.</w:t>
      </w:r>
      <w:r>
        <w:rPr>
          <w:sz w:val="20"/>
          <w:szCs w:val="20"/>
          <w:color w:val="auto"/>
        </w:rPr>
        <w:tab/>
      </w:r>
      <w:r>
        <w:rPr>
          <w:rFonts w:ascii="Courier New" w:cs="Courier New" w:eastAsia="Courier New" w:hAnsi="Courier New"/>
          <w:sz w:val="13"/>
          <w:szCs w:val="13"/>
          <w:color w:val="auto"/>
        </w:rPr>
        <w:t>4</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Shareholders' Equity</w:t>
      </w:r>
    </w:p>
    <w:p>
      <w:pPr>
        <w:spacing w:after="0" w:line="2" w:lineRule="exact"/>
        <w:rPr>
          <w:sz w:val="24"/>
          <w:szCs w:val="24"/>
          <w:color w:val="auto"/>
        </w:rPr>
      </w:pPr>
    </w:p>
    <w:p>
      <w:pPr>
        <w:spacing w:after="0"/>
        <w:tabs>
          <w:tab w:leader="dot" w:pos="6680" w:val="left"/>
        </w:tabs>
        <w:rPr>
          <w:sz w:val="20"/>
          <w:szCs w:val="20"/>
          <w:color w:val="auto"/>
        </w:rPr>
      </w:pPr>
      <w:r>
        <w:rPr>
          <w:rFonts w:ascii="Courier New" w:cs="Courier New" w:eastAsia="Courier New" w:hAnsi="Courier New"/>
          <w:sz w:val="15"/>
          <w:szCs w:val="15"/>
          <w:color w:val="auto"/>
        </w:rPr>
        <w:t>and Comprehensive Income</w:t>
      </w:r>
      <w:r>
        <w:rPr>
          <w:sz w:val="20"/>
          <w:szCs w:val="20"/>
          <w:color w:val="auto"/>
        </w:rPr>
        <w:tab/>
      </w:r>
      <w:r>
        <w:rPr>
          <w:rFonts w:ascii="Courier New" w:cs="Courier New" w:eastAsia="Courier New" w:hAnsi="Courier New"/>
          <w:sz w:val="13"/>
          <w:szCs w:val="13"/>
          <w:color w:val="auto"/>
        </w:rPr>
        <w:t>5</w:t>
      </w:r>
    </w:p>
    <w:p>
      <w:pPr>
        <w:spacing w:after="0" w:line="34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Notes to the Condensed Consolidated Financial</w:t>
      </w:r>
    </w:p>
    <w:p>
      <w:pPr>
        <w:spacing w:after="0" w:line="2" w:lineRule="exact"/>
        <w:rPr>
          <w:sz w:val="24"/>
          <w:szCs w:val="24"/>
          <w:color w:val="auto"/>
        </w:rPr>
      </w:pPr>
    </w:p>
    <w:p>
      <w:pPr>
        <w:spacing w:after="0"/>
        <w:tabs>
          <w:tab w:leader="dot" w:pos="6680" w:val="left"/>
        </w:tabs>
        <w:rPr>
          <w:sz w:val="20"/>
          <w:szCs w:val="20"/>
          <w:color w:val="auto"/>
        </w:rPr>
      </w:pPr>
      <w:r>
        <w:rPr>
          <w:rFonts w:ascii="Courier New" w:cs="Courier New" w:eastAsia="Courier New" w:hAnsi="Courier New"/>
          <w:sz w:val="15"/>
          <w:szCs w:val="15"/>
          <w:color w:val="auto"/>
        </w:rPr>
        <w:t>Statements</w:t>
      </w:r>
      <w:r>
        <w:rPr>
          <w:sz w:val="20"/>
          <w:szCs w:val="20"/>
          <w:color w:val="auto"/>
        </w:rPr>
        <w:tab/>
      </w:r>
      <w:r>
        <w:rPr>
          <w:rFonts w:ascii="Courier New" w:cs="Courier New" w:eastAsia="Courier New" w:hAnsi="Courier New"/>
          <w:sz w:val="13"/>
          <w:szCs w:val="13"/>
          <w:color w:val="auto"/>
        </w:rPr>
        <w:t>6</w:t>
      </w:r>
    </w:p>
    <w:p>
      <w:pPr>
        <w:spacing w:after="0" w:line="34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 Financial</w:t>
      </w:r>
    </w:p>
    <w:p>
      <w:pPr>
        <w:spacing w:after="0" w:line="2" w:lineRule="exact"/>
        <w:rPr>
          <w:sz w:val="24"/>
          <w:szCs w:val="24"/>
          <w:color w:val="auto"/>
        </w:rPr>
      </w:pPr>
    </w:p>
    <w:p>
      <w:pPr>
        <w:spacing w:after="0"/>
        <w:tabs>
          <w:tab w:leader="dot" w:pos="6600" w:val="left"/>
        </w:tabs>
        <w:rPr>
          <w:sz w:val="20"/>
          <w:szCs w:val="20"/>
          <w:color w:val="auto"/>
        </w:rPr>
      </w:pPr>
      <w:r>
        <w:rPr>
          <w:rFonts w:ascii="Courier New" w:cs="Courier New" w:eastAsia="Courier New" w:hAnsi="Courier New"/>
          <w:sz w:val="15"/>
          <w:szCs w:val="15"/>
          <w:color w:val="auto"/>
        </w:rPr>
        <w:t>Condition and Results of Operations</w:t>
      </w:r>
      <w:r>
        <w:rPr>
          <w:sz w:val="20"/>
          <w:szCs w:val="20"/>
          <w:color w:val="auto"/>
        </w:rPr>
        <w:tab/>
      </w:r>
      <w:r>
        <w:rPr>
          <w:rFonts w:ascii="Courier New" w:cs="Courier New" w:eastAsia="Courier New" w:hAnsi="Courier New"/>
          <w:sz w:val="13"/>
          <w:szCs w:val="13"/>
          <w:color w:val="auto"/>
        </w:rPr>
        <w:t>12</w:t>
      </w:r>
    </w:p>
    <w:p>
      <w:pPr>
        <w:spacing w:after="0" w:line="174" w:lineRule="exact"/>
        <w:rPr>
          <w:sz w:val="24"/>
          <w:szCs w:val="24"/>
          <w:color w:val="auto"/>
        </w:rPr>
      </w:pPr>
    </w:p>
    <w:p>
      <w:pPr>
        <w:spacing w:after="0"/>
        <w:tabs>
          <w:tab w:leader="dot" w:pos="6600" w:val="left"/>
        </w:tabs>
        <w:rPr>
          <w:sz w:val="20"/>
          <w:szCs w:val="20"/>
          <w:color w:val="auto"/>
        </w:rPr>
      </w:pPr>
      <w:r>
        <w:rPr>
          <w:rFonts w:ascii="Courier New" w:cs="Courier New" w:eastAsia="Courier New" w:hAnsi="Courier New"/>
          <w:sz w:val="15"/>
          <w:szCs w:val="15"/>
          <w:color w:val="auto"/>
        </w:rPr>
        <w:t>Signature Page</w:t>
      </w:r>
      <w:r>
        <w:rPr>
          <w:sz w:val="20"/>
          <w:szCs w:val="20"/>
          <w:color w:val="auto"/>
        </w:rPr>
        <w:tab/>
      </w:r>
      <w:r>
        <w:rPr>
          <w:rFonts w:ascii="Courier New" w:cs="Courier New" w:eastAsia="Courier New" w:hAnsi="Courier New"/>
          <w:sz w:val="13"/>
          <w:szCs w:val="13"/>
          <w:color w:val="auto"/>
        </w:rPr>
        <w:t>19</w:t>
      </w:r>
    </w:p>
    <w:p>
      <w:pPr>
        <w:sectPr>
          <w:pgSz w:w="11900" w:h="16838" w:orient="portrait"/>
          <w:cols w:equalWidth="0" w:num="1">
            <w:col w:w="10219"/>
          </w:cols>
          <w:pgMar w:left="240" w:top="403" w:right="1440" w:bottom="0" w:gutter="0" w:footer="0" w:header="0"/>
        </w:sectPr>
      </w:pPr>
    </w:p>
    <w:bookmarkStart w:id="1" w:name="page2"/>
    <w:bookmarkEnd w:id="1"/>
    <w:p>
      <w:pPr>
        <w:spacing w:after="0"/>
        <w:tabs>
          <w:tab w:leader="dot" w:pos="6600" w:val="left"/>
        </w:tabs>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left="3220"/>
        <w:spacing w:after="0"/>
        <w:rPr>
          <w:sz w:val="20"/>
          <w:szCs w:val="20"/>
          <w:color w:val="auto"/>
        </w:rPr>
      </w:pPr>
      <w:r>
        <w:rPr>
          <w:rFonts w:ascii="Courier New" w:cs="Courier New" w:eastAsia="Courier New" w:hAnsi="Courier New"/>
          <w:sz w:val="15"/>
          <w:szCs w:val="15"/>
          <w:color w:val="auto"/>
        </w:rPr>
        <w:t>ICON plc</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As used herein, "ICON", the "Company" and "we" refer to ICON plc and its consolidated subsidiaries, unless the context requires otherwise.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 - IV clinical trials management, study design, laboratory services and drug development support. Through our recent acquisition we have continued to expand our service offerings to include Phase I Clinical Trials. We believe that we are one of a select group of CROs with the capability and expertise to conduct clinical trials in most major therapeutic areas on a global basis. We have approximately 2,200 employees and operations in 27 locations in 16 countries. Our main operations are in the United States, South America, Europe and the Rest of the World. For the six months ended November 30, 2002, we derived approximately 70.3%, 27.1% and 2.6% of our net revenue in the United States, Europe and Rest of World, respectively.</w:t>
      </w:r>
    </w:p>
    <w:p>
      <w:pPr>
        <w:spacing w:after="0" w:line="182"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Headquartered in Dublin, Ireland, we began operations in 1990 and have expanded our business through internal growth and strategic acquisitions.</w:t>
      </w:r>
    </w:p>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On October 9, 2002, we acquired Barton &amp; Polansky Associates, Inc ("BPA") and its sister company, Managed Clinical Solutions, Inc ("MCS"), contract research organizations in New York.</w:t>
      </w:r>
    </w:p>
    <w:p>
      <w:pPr>
        <w:spacing w:after="0" w:line="176" w:lineRule="exact"/>
        <w:rPr>
          <w:sz w:val="20"/>
          <w:szCs w:val="20"/>
          <w:color w:val="auto"/>
        </w:rPr>
      </w:pPr>
    </w:p>
    <w:p>
      <w:pPr>
        <w:jc w:val="both"/>
        <w:ind w:right="3439"/>
        <w:spacing w:after="0" w:line="241" w:lineRule="auto"/>
        <w:rPr>
          <w:sz w:val="20"/>
          <w:szCs w:val="20"/>
          <w:color w:val="auto"/>
        </w:rPr>
      </w:pPr>
      <w:r>
        <w:rPr>
          <w:rFonts w:ascii="Courier New" w:cs="Courier New" w:eastAsia="Courier New" w:hAnsi="Courier New"/>
          <w:sz w:val="15"/>
          <w:szCs w:val="15"/>
          <w:color w:val="auto"/>
        </w:rPr>
        <w:t>Since the end of the quarter, we completed the acquisition of Medeval Group Limited, or Medeval, a specialist provider of Phase I clinical trials to the pharmaceutical and biotechnology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805" w:right="1440" w:bottom="1440" w:gutter="0" w:footer="0" w:header="0"/>
        </w:sectPr>
      </w:pPr>
    </w:p>
    <w:bookmarkStart w:id="3" w:name="page4"/>
    <w:bookmarkEnd w:id="3"/>
    <w:p>
      <w:pPr>
        <w:spacing w:after="0" w:line="53"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ICON plc</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4"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AS AT NOVEMBER 30, 2002 AND MAY 31, 2002</w:t>
      </w:r>
    </w:p>
    <w:p>
      <w:pPr>
        <w:sectPr>
          <w:pgSz w:w="11900" w:h="16838" w:orient="portrait"/>
          <w:cols w:equalWidth="0" w:num="1">
            <w:col w:w="10540"/>
          </w:cols>
          <w:pgMar w:left="240" w:top="1440" w:right="1119" w:bottom="1440" w:gutter="0" w:footer="0" w:header="0"/>
        </w:sectPr>
      </w:pPr>
    </w:p>
    <w:p>
      <w:pPr>
        <w:spacing w:after="0" w:line="184"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(Unaudited)</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November 30,</w:t>
      </w:r>
    </w:p>
    <w:p>
      <w:pPr>
        <w:spacing w:after="0" w:line="1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2002</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right"/>
        <w:ind w:right="360"/>
        <w:spacing w:after="0"/>
        <w:rPr>
          <w:sz w:val="20"/>
          <w:szCs w:val="20"/>
          <w:color w:val="auto"/>
        </w:rPr>
      </w:pPr>
      <w:r>
        <w:rPr>
          <w:rFonts w:ascii="Courier New" w:cs="Courier New" w:eastAsia="Courier New" w:hAnsi="Courier New"/>
          <w:sz w:val="14"/>
          <w:szCs w:val="14"/>
          <w:color w:val="auto"/>
        </w:rPr>
        <w:t>(Audited)</w:t>
      </w:r>
    </w:p>
    <w:p>
      <w:pPr>
        <w:spacing w:after="0" w:line="12" w:lineRule="exact"/>
        <w:rPr>
          <w:sz w:val="20"/>
          <w:szCs w:val="20"/>
          <w:color w:val="auto"/>
        </w:rPr>
      </w:pPr>
    </w:p>
    <w:p>
      <w:pPr>
        <w:jc w:val="right"/>
        <w:ind w:right="360"/>
        <w:spacing w:after="0"/>
        <w:rPr>
          <w:sz w:val="20"/>
          <w:szCs w:val="20"/>
          <w:color w:val="auto"/>
        </w:rPr>
      </w:pPr>
      <w:r>
        <w:rPr>
          <w:rFonts w:ascii="Courier New" w:cs="Courier New" w:eastAsia="Courier New" w:hAnsi="Courier New"/>
          <w:sz w:val="15"/>
          <w:szCs w:val="15"/>
          <w:color w:val="auto"/>
        </w:rPr>
        <w:t>May 31,</w:t>
      </w:r>
    </w:p>
    <w:p>
      <w:pPr>
        <w:spacing w:after="0" w:line="2" w:lineRule="exact"/>
        <w:rPr>
          <w:sz w:val="20"/>
          <w:szCs w:val="20"/>
          <w:color w:val="auto"/>
        </w:rPr>
      </w:pPr>
    </w:p>
    <w:p>
      <w:pPr>
        <w:jc w:val="right"/>
        <w:ind w:right="360"/>
        <w:spacing w:after="0"/>
        <w:rPr>
          <w:sz w:val="20"/>
          <w:szCs w:val="20"/>
          <w:color w:val="auto"/>
        </w:rPr>
      </w:pPr>
      <w:r>
        <w:rPr>
          <w:rFonts w:ascii="Courier New" w:cs="Courier New" w:eastAsia="Courier New" w:hAnsi="Courier New"/>
          <w:sz w:val="15"/>
          <w:szCs w:val="15"/>
          <w:color w:val="auto"/>
        </w:rPr>
        <w:t>2002</w:t>
      </w:r>
    </w:p>
    <w:p>
      <w:pPr>
        <w:spacing w:after="0" w:line="2" w:lineRule="exact"/>
        <w:rPr>
          <w:sz w:val="20"/>
          <w:szCs w:val="20"/>
          <w:color w:val="auto"/>
        </w:rPr>
      </w:pPr>
    </w:p>
    <w:p>
      <w:pPr>
        <w:sectPr>
          <w:pgSz w:w="11900" w:h="16838" w:orient="portrait"/>
          <w:cols w:equalWidth="0" w:num="2">
            <w:col w:w="8760" w:space="620"/>
            <w:col w:w="1160"/>
          </w:cols>
          <w:pgMar w:left="240" w:top="1440" w:right="1119" w:bottom="1440" w:gutter="0" w:footer="0" w:header="0"/>
          <w:type w:val="continuous"/>
        </w:sectPr>
      </w:pPr>
    </w:p>
    <w:p>
      <w:pPr>
        <w:ind w:left="8480"/>
        <w:spacing w:after="0"/>
        <w:rPr>
          <w:sz w:val="20"/>
          <w:szCs w:val="20"/>
          <w:color w:val="auto"/>
        </w:rPr>
      </w:pPr>
      <w:r>
        <w:rPr>
          <w:rFonts w:ascii="Courier New" w:cs="Courier New" w:eastAsia="Courier New" w:hAnsi="Courier New"/>
          <w:sz w:val="15"/>
          <w:szCs w:val="15"/>
          <w:color w:val="auto"/>
        </w:rPr>
        <w:t>(in thousands)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Assets: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Cash and cash equivalents.......................................................</w:t>
            </w: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$25,264</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$36,291</w:t>
            </w: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Short term investments (available for sale) ....................................</w:t>
            </w: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10,877</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18,551</w:t>
            </w: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Accounts receivable.............................................................</w:t>
            </w: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47,032</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41,306</w:t>
            </w: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Unbilled revenue................................................................</w:t>
            </w: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41,682</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26,387</w:t>
            </w: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Other receivables...............................................................</w:t>
            </w: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5,531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2,093</w:t>
            </w: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Deferred taxes..................................................................</w:t>
            </w: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408</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408</w:t>
            </w: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Prepayments and other current assets............................................</w:t>
            </w: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5,052</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5,183</w:t>
            </w:r>
          </w:p>
        </w:tc>
      </w:tr>
      <w:tr>
        <w:trPr>
          <w:trHeight w:val="172"/>
        </w:trPr>
        <w:tc>
          <w:tcPr>
            <w:tcW w:w="7820" w:type="dxa"/>
            <w:vAlign w:val="bottom"/>
          </w:tcPr>
          <w:p>
            <w:pPr>
              <w:spacing w:after="0"/>
              <w:rPr>
                <w:sz w:val="14"/>
                <w:szCs w:val="14"/>
                <w:color w:val="auto"/>
              </w:rPr>
            </w:pP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Total current assets............................................................</w:t>
            </w: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135,846</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130,219</w:t>
            </w:r>
          </w:p>
        </w:tc>
      </w:tr>
      <w:tr>
        <w:trPr>
          <w:trHeight w:val="172"/>
        </w:trPr>
        <w:tc>
          <w:tcPr>
            <w:tcW w:w="78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Property, plant and equipment, net..............................................</w:t>
            </w: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30,299</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25,482</w:t>
            </w: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Goodwill........................................................................</w:t>
            </w: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20,775</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10,093</w:t>
            </w:r>
          </w:p>
        </w:tc>
      </w:tr>
      <w:tr>
        <w:trPr>
          <w:trHeight w:val="172"/>
        </w:trPr>
        <w:tc>
          <w:tcPr>
            <w:tcW w:w="7820" w:type="dxa"/>
            <w:vAlign w:val="bottom"/>
          </w:tcPr>
          <w:p>
            <w:pPr>
              <w:spacing w:after="0"/>
              <w:rPr>
                <w:sz w:val="14"/>
                <w:szCs w:val="14"/>
                <w:color w:val="auto"/>
              </w:rPr>
            </w:pP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8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$186,920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$165,794</w:t>
            </w:r>
          </w:p>
        </w:tc>
      </w:tr>
      <w:tr>
        <w:trPr>
          <w:trHeight w:val="172"/>
        </w:trPr>
        <w:tc>
          <w:tcPr>
            <w:tcW w:w="7820" w:type="dxa"/>
            <w:vAlign w:val="bottom"/>
          </w:tcPr>
          <w:p>
            <w:pPr>
              <w:spacing w:after="0"/>
              <w:rPr>
                <w:sz w:val="14"/>
                <w:szCs w:val="14"/>
                <w:color w:val="auto"/>
              </w:rPr>
            </w:pP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8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78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Accounts payable................................................................</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$3,248</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$5,788</w:t>
            </w: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Payments on account.............................................................</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33,427</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19,854</w:t>
            </w: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Other liabilities...............................................................</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17,217</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16,308</w:t>
            </w: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Taxes payable...................................................................</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4,894</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3,601</w:t>
            </w: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Bank creditlines and loan facilities............................................</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8,691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11,745</w:t>
            </w:r>
          </w:p>
        </w:tc>
      </w:tr>
      <w:tr>
        <w:trPr>
          <w:trHeight w:val="172"/>
        </w:trPr>
        <w:tc>
          <w:tcPr>
            <w:tcW w:w="7820" w:type="dxa"/>
            <w:vAlign w:val="bottom"/>
          </w:tcPr>
          <w:p>
            <w:pPr>
              <w:spacing w:after="0"/>
              <w:rPr>
                <w:sz w:val="14"/>
                <w:szCs w:val="14"/>
                <w:color w:val="auto"/>
              </w:rPr>
            </w:pP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820" w:type="dxa"/>
            <w:vAlign w:val="bottom"/>
          </w:tcPr>
          <w:p>
            <w:pPr>
              <w:ind w:left="620"/>
              <w:spacing w:after="0"/>
              <w:rPr>
                <w:sz w:val="20"/>
                <w:szCs w:val="20"/>
                <w:color w:val="auto"/>
              </w:rPr>
            </w:pPr>
            <w:r>
              <w:rPr>
                <w:rFonts w:ascii="Courier New" w:cs="Courier New" w:eastAsia="Courier New" w:hAnsi="Courier New"/>
                <w:sz w:val="15"/>
                <w:szCs w:val="15"/>
                <w:color w:val="auto"/>
              </w:rPr>
              <w:t>Total current liabilities......................................................</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67,477</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57,296</w:t>
            </w:r>
          </w:p>
        </w:tc>
      </w:tr>
      <w:tr>
        <w:trPr>
          <w:trHeight w:val="172"/>
        </w:trPr>
        <w:tc>
          <w:tcPr>
            <w:tcW w:w="782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Long term government grants.....................................................</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937</w:t>
            </w:r>
          </w:p>
        </w:tc>
      </w:tr>
      <w:tr>
        <w:trPr>
          <w:trHeight w:val="172"/>
        </w:trPr>
        <w:tc>
          <w:tcPr>
            <w:tcW w:w="7820" w:type="dxa"/>
            <w:vAlign w:val="bottom"/>
          </w:tcPr>
          <w:p>
            <w:pPr>
              <w:ind w:left="180"/>
              <w:spacing w:after="0"/>
              <w:rPr>
                <w:sz w:val="20"/>
                <w:szCs w:val="20"/>
                <w:color w:val="auto"/>
              </w:rPr>
            </w:pPr>
            <w:r>
              <w:rPr>
                <w:rFonts w:ascii="Courier New" w:cs="Courier New" w:eastAsia="Courier New" w:hAnsi="Courier New"/>
                <w:sz w:val="15"/>
                <w:szCs w:val="15"/>
                <w:color w:val="auto"/>
              </w:rPr>
              <w:t>Shareholders' Equity:</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Ordinary Shares, par value 6 euro cents per share; 20,000,000 shares</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authorized, 11,814,117 shares issued and outstanding at November 30, 2002</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and</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11,798,501 shares issued and outstanding at May 31, 2002</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839</w:t>
            </w: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Additional paid-in capital......................................................</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60,638</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60,348</w:t>
            </w: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Accumulated other comprehensive income..........................................</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(242)</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(2,461)</w:t>
            </w: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Merger reserve..................................................................</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Retained earnings...............................................................</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57,180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48,788</w:t>
            </w:r>
          </w:p>
        </w:tc>
      </w:tr>
      <w:tr>
        <w:trPr>
          <w:trHeight w:val="172"/>
        </w:trPr>
        <w:tc>
          <w:tcPr>
            <w:tcW w:w="7820" w:type="dxa"/>
            <w:vAlign w:val="bottom"/>
          </w:tcPr>
          <w:p>
            <w:pPr>
              <w:spacing w:after="0"/>
              <w:rPr>
                <w:sz w:val="14"/>
                <w:szCs w:val="14"/>
                <w:color w:val="auto"/>
              </w:rPr>
            </w:pP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82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118,463</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107,561</w:t>
            </w:r>
          </w:p>
        </w:tc>
      </w:tr>
      <w:tr>
        <w:trPr>
          <w:trHeight w:val="172"/>
        </w:trPr>
        <w:tc>
          <w:tcPr>
            <w:tcW w:w="7820" w:type="dxa"/>
            <w:vAlign w:val="bottom"/>
          </w:tcPr>
          <w:p>
            <w:pPr>
              <w:spacing w:after="0"/>
              <w:rPr>
                <w:sz w:val="14"/>
                <w:szCs w:val="14"/>
                <w:color w:val="auto"/>
              </w:rPr>
            </w:pP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82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$186,920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$165,794</w:t>
            </w:r>
          </w:p>
        </w:tc>
      </w:tr>
      <w:tr>
        <w:trPr>
          <w:trHeight w:val="172"/>
        </w:trPr>
        <w:tc>
          <w:tcPr>
            <w:tcW w:w="7820" w:type="dxa"/>
            <w:vAlign w:val="bottom"/>
          </w:tcPr>
          <w:p>
            <w:pPr>
              <w:spacing w:after="0"/>
              <w:rPr>
                <w:sz w:val="14"/>
                <w:szCs w:val="14"/>
                <w:color w:val="auto"/>
              </w:rPr>
            </w:pP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6" w:lineRule="exact"/>
        <w:rPr>
          <w:sz w:val="20"/>
          <w:szCs w:val="20"/>
          <w:color w:val="auto"/>
        </w:rPr>
      </w:pPr>
    </w:p>
    <w:p>
      <w:pPr>
        <w:ind w:right="3760" w:firstLine="89"/>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540"/>
          </w:cols>
          <w:pgMar w:left="240" w:top="1440" w:right="1119" w:bottom="1440" w:gutter="0" w:footer="0" w:header="0"/>
          <w:type w:val="continuous"/>
        </w:sectPr>
      </w:pPr>
    </w:p>
    <w:bookmarkStart w:id="4" w:name="page5"/>
    <w:bookmarkEnd w:id="4"/>
    <w:p>
      <w:pPr>
        <w:jc w:val="center"/>
        <w:ind w:right="4220"/>
        <w:spacing w:after="0"/>
        <w:rPr>
          <w:sz w:val="20"/>
          <w:szCs w:val="20"/>
          <w:color w:val="auto"/>
        </w:rPr>
      </w:pPr>
      <w:r>
        <w:rPr>
          <w:rFonts w:ascii="Courier New" w:cs="Courier New" w:eastAsia="Courier New" w:hAnsi="Courier New"/>
          <w:sz w:val="15"/>
          <w:szCs w:val="15"/>
          <w:color w:val="auto"/>
        </w:rPr>
        <w:t>ICON plc</w:t>
      </w:r>
    </w:p>
    <w:p>
      <w:pPr>
        <w:spacing w:after="0" w:line="174"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2"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5"/>
          <w:szCs w:val="15"/>
          <w:color w:val="auto"/>
        </w:rPr>
        <w:t>FOR THE THREE AND SIX MONTHS ENDED NOVEMBER 30, 2002 AND 2001</w:t>
      </w:r>
    </w:p>
    <w:p>
      <w:pPr>
        <w:spacing w:after="0" w:line="2"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60" w:type="dxa"/>
            <w:vAlign w:val="bottom"/>
          </w:tcPr>
          <w:p>
            <w:pPr>
              <w:spacing w:after="0"/>
              <w:rPr>
                <w:sz w:val="14"/>
                <w:szCs w:val="14"/>
                <w:color w:val="auto"/>
              </w:rPr>
            </w:pPr>
          </w:p>
        </w:tc>
        <w:tc>
          <w:tcPr>
            <w:tcW w:w="29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Three Months Ended</w:t>
            </w:r>
          </w:p>
        </w:tc>
        <w:tc>
          <w:tcPr>
            <w:tcW w:w="270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5760" w:type="dxa"/>
            <w:vAlign w:val="bottom"/>
          </w:tcPr>
          <w:p>
            <w:pPr>
              <w:spacing w:after="0"/>
              <w:rPr>
                <w:sz w:val="14"/>
                <w:szCs w:val="14"/>
                <w:color w:val="auto"/>
              </w:rPr>
            </w:pPr>
          </w:p>
        </w:tc>
        <w:tc>
          <w:tcPr>
            <w:tcW w:w="290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November 30,</w:t>
            </w:r>
          </w:p>
        </w:tc>
        <w:tc>
          <w:tcPr>
            <w:tcW w:w="270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November 30,</w:t>
            </w:r>
          </w:p>
        </w:tc>
      </w:tr>
      <w:tr>
        <w:trPr>
          <w:trHeight w:val="172"/>
        </w:trPr>
        <w:tc>
          <w:tcPr>
            <w:tcW w:w="5760" w:type="dxa"/>
            <w:vAlign w:val="bottom"/>
          </w:tcPr>
          <w:p>
            <w:pPr>
              <w:spacing w:after="0"/>
              <w:rPr>
                <w:sz w:val="14"/>
                <w:szCs w:val="14"/>
                <w:color w:val="auto"/>
              </w:rPr>
            </w:pPr>
          </w:p>
        </w:tc>
        <w:tc>
          <w:tcPr>
            <w:tcW w:w="1480" w:type="dxa"/>
            <w:vAlign w:val="bottom"/>
          </w:tcPr>
          <w:p>
            <w:pPr>
              <w:ind w:left="580"/>
              <w:spacing w:after="0"/>
              <w:rPr>
                <w:sz w:val="20"/>
                <w:szCs w:val="20"/>
                <w:color w:val="auto"/>
              </w:rPr>
            </w:pPr>
            <w:r>
              <w:rPr>
                <w:rFonts w:ascii="Courier New" w:cs="Courier New" w:eastAsia="Courier New" w:hAnsi="Courier New"/>
                <w:sz w:val="15"/>
                <w:szCs w:val="15"/>
                <w:color w:val="auto"/>
              </w:rPr>
              <w:t>2002</w:t>
            </w:r>
          </w:p>
        </w:tc>
        <w:tc>
          <w:tcPr>
            <w:tcW w:w="14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2001</w:t>
            </w:r>
          </w:p>
        </w:tc>
        <w:tc>
          <w:tcPr>
            <w:tcW w:w="13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2002</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5760" w:type="dxa"/>
            <w:vAlign w:val="bottom"/>
          </w:tcPr>
          <w:p>
            <w:pPr>
              <w:spacing w:after="0"/>
              <w:rPr>
                <w:sz w:val="14"/>
                <w:szCs w:val="14"/>
                <w:color w:val="auto"/>
              </w:rPr>
            </w:pPr>
          </w:p>
        </w:tc>
        <w:tc>
          <w:tcPr>
            <w:tcW w:w="5600" w:type="dxa"/>
            <w:vAlign w:val="bottom"/>
            <w:gridSpan w:val="4"/>
          </w:tcPr>
          <w:p>
            <w:pPr>
              <w:ind w:left="860"/>
              <w:spacing w:after="0"/>
              <w:rPr>
                <w:sz w:val="20"/>
                <w:szCs w:val="20"/>
                <w:color w:val="auto"/>
              </w:rPr>
            </w:pPr>
            <w:r>
              <w:rPr>
                <w:rFonts w:ascii="Courier New" w:cs="Courier New" w:eastAsia="Courier New" w:hAnsi="Courier New"/>
                <w:sz w:val="15"/>
                <w:szCs w:val="15"/>
                <w:color w:val="auto"/>
              </w:rPr>
              <w:t>(in thousands except share and per share data)</w:t>
            </w:r>
          </w:p>
        </w:tc>
      </w:tr>
      <w:tr>
        <w:trPr>
          <w:trHeight w:val="172"/>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rPr>
              <w:t>Revenue:</w:t>
            </w:r>
          </w:p>
        </w:tc>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44"/>
        </w:trPr>
        <w:tc>
          <w:tcPr>
            <w:tcW w:w="5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Gross revenue............................................</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$84,978</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$52,648</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$157,065</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$100,301</w:t>
            </w:r>
          </w:p>
        </w:tc>
      </w:tr>
      <w:tr>
        <w:trPr>
          <w:trHeight w:val="172"/>
        </w:trPr>
        <w:tc>
          <w:tcPr>
            <w:tcW w:w="5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Subcontractor costs......................................</w:t>
            </w: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(31,443)</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(14,879)</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(56,671)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(26,313)</w:t>
            </w:r>
          </w:p>
        </w:tc>
      </w:tr>
      <w:tr>
        <w:trPr>
          <w:trHeight w:val="172"/>
        </w:trPr>
        <w:tc>
          <w:tcPr>
            <w:tcW w:w="5760" w:type="dxa"/>
            <w:vAlign w:val="bottom"/>
          </w:tcPr>
          <w:p>
            <w:pPr>
              <w:spacing w:after="0"/>
              <w:rPr>
                <w:sz w:val="14"/>
                <w:szCs w:val="14"/>
                <w:color w:val="auto"/>
              </w:rPr>
            </w:pP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Net revenue..............................................</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53,535</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37,769</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100,394</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73,988</w:t>
            </w:r>
          </w:p>
        </w:tc>
      </w:tr>
      <w:tr>
        <w:trPr>
          <w:trHeight w:val="516"/>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rPr>
              <w:t>Costs and expenses:</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2"/>
        </w:trPr>
        <w:tc>
          <w:tcPr>
            <w:tcW w:w="5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Direct costs.............................................</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28,716</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20,575</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54,141</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39,514</w:t>
            </w:r>
          </w:p>
        </w:tc>
      </w:tr>
      <w:tr>
        <w:trPr>
          <w:trHeight w:val="172"/>
        </w:trPr>
        <w:tc>
          <w:tcPr>
            <w:tcW w:w="5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Selling, general and administrative expense..............</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16,948</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11,359</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31,591</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23,088</w:t>
            </w:r>
          </w:p>
        </w:tc>
      </w:tr>
      <w:tr>
        <w:trPr>
          <w:trHeight w:val="172"/>
        </w:trPr>
        <w:tc>
          <w:tcPr>
            <w:tcW w:w="5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Depreciation ............................................</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1,578</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1,430</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3,148</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2,878</w:t>
            </w:r>
          </w:p>
        </w:tc>
      </w:tr>
      <w:tr>
        <w:trPr>
          <w:trHeight w:val="172"/>
        </w:trPr>
        <w:tc>
          <w:tcPr>
            <w:tcW w:w="5760" w:type="dxa"/>
            <w:vAlign w:val="bottom"/>
          </w:tcPr>
          <w:p>
            <w:pPr>
              <w:spacing w:after="0"/>
              <w:rPr>
                <w:sz w:val="14"/>
                <w:szCs w:val="14"/>
                <w:color w:val="auto"/>
              </w:rPr>
            </w:pP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costs and expenses.................................</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47,242</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33,364</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88,880</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65,480</w:t>
            </w:r>
          </w:p>
        </w:tc>
      </w:tr>
      <w:tr>
        <w:trPr>
          <w:trHeight w:val="172"/>
        </w:trPr>
        <w:tc>
          <w:tcPr>
            <w:tcW w:w="5760" w:type="dxa"/>
            <w:vAlign w:val="bottom"/>
          </w:tcPr>
          <w:p>
            <w:pPr>
              <w:spacing w:after="0"/>
              <w:rPr>
                <w:sz w:val="14"/>
                <w:szCs w:val="14"/>
                <w:color w:val="auto"/>
              </w:rPr>
            </w:pP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Income from operations......................................</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6,293</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4,405</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11,514</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8,508</w:t>
            </w:r>
          </w:p>
        </w:tc>
      </w:tr>
      <w:tr>
        <w:trPr>
          <w:trHeight w:val="172"/>
        </w:trPr>
        <w:tc>
          <w:tcPr>
            <w:tcW w:w="5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Interest income.............................................</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145</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366</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416</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911</w:t>
            </w:r>
          </w:p>
        </w:tc>
      </w:tr>
      <w:tr>
        <w:trPr>
          <w:trHeight w:val="172"/>
        </w:trPr>
        <w:tc>
          <w:tcPr>
            <w:tcW w:w="5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Interest expense............................................</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(157)</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(332)</w:t>
            </w:r>
          </w:p>
        </w:tc>
      </w:tr>
      <w:tr>
        <w:trPr>
          <w:trHeight w:val="172"/>
        </w:trPr>
        <w:tc>
          <w:tcPr>
            <w:tcW w:w="5760" w:type="dxa"/>
            <w:vAlign w:val="bottom"/>
          </w:tcPr>
          <w:p>
            <w:pPr>
              <w:spacing w:after="0"/>
              <w:rPr>
                <w:sz w:val="14"/>
                <w:szCs w:val="14"/>
                <w:color w:val="auto"/>
              </w:rPr>
            </w:pP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Income before provision for income taxes....................</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6,366</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4,640</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11,773</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9,087</w:t>
            </w:r>
          </w:p>
        </w:tc>
      </w:tr>
      <w:tr>
        <w:trPr>
          <w:trHeight w:val="172"/>
        </w:trPr>
        <w:tc>
          <w:tcPr>
            <w:tcW w:w="5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Provision for income taxes..................................</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(1,947)</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(1,183)</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(3,381)</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(2,300)</w:t>
            </w:r>
          </w:p>
        </w:tc>
      </w:tr>
      <w:tr>
        <w:trPr>
          <w:trHeight w:val="172"/>
        </w:trPr>
        <w:tc>
          <w:tcPr>
            <w:tcW w:w="5760" w:type="dxa"/>
            <w:vAlign w:val="bottom"/>
          </w:tcPr>
          <w:p>
            <w:pPr>
              <w:spacing w:after="0"/>
              <w:rPr>
                <w:sz w:val="14"/>
                <w:szCs w:val="14"/>
                <w:color w:val="auto"/>
              </w:rPr>
            </w:pP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Net income..................................................</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$4,419</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$3,457</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$8,392</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$6,787</w:t>
            </w:r>
          </w:p>
        </w:tc>
      </w:tr>
      <w:tr>
        <w:trPr>
          <w:trHeight w:val="172"/>
        </w:trPr>
        <w:tc>
          <w:tcPr>
            <w:tcW w:w="5760" w:type="dxa"/>
            <w:vAlign w:val="bottom"/>
          </w:tcPr>
          <w:p>
            <w:pPr>
              <w:spacing w:after="0"/>
              <w:rPr>
                <w:sz w:val="14"/>
                <w:szCs w:val="14"/>
                <w:color w:val="auto"/>
              </w:rPr>
            </w:pP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rPr>
              <w:t>Net income per Ordinary Share:</w:t>
            </w:r>
          </w:p>
        </w:tc>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2"/>
        </w:trPr>
        <w:tc>
          <w:tcPr>
            <w:tcW w:w="5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Basic....................................................</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$0.37</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$0.30</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$0.71</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$0.59</w:t>
            </w:r>
          </w:p>
        </w:tc>
      </w:tr>
      <w:tr>
        <w:trPr>
          <w:trHeight w:val="172"/>
        </w:trPr>
        <w:tc>
          <w:tcPr>
            <w:tcW w:w="5760" w:type="dxa"/>
            <w:vAlign w:val="bottom"/>
          </w:tcPr>
          <w:p>
            <w:pPr>
              <w:spacing w:after="0"/>
              <w:rPr>
                <w:sz w:val="14"/>
                <w:szCs w:val="14"/>
                <w:color w:val="auto"/>
              </w:rPr>
            </w:pP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Diluted.................................................</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$0.36</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$0.28</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$0.69</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$0.56</w:t>
            </w:r>
          </w:p>
        </w:tc>
      </w:tr>
      <w:tr>
        <w:trPr>
          <w:trHeight w:val="172"/>
        </w:trPr>
        <w:tc>
          <w:tcPr>
            <w:tcW w:w="5760" w:type="dxa"/>
            <w:vAlign w:val="bottom"/>
          </w:tcPr>
          <w:p>
            <w:pPr>
              <w:spacing w:after="0"/>
              <w:rPr>
                <w:sz w:val="14"/>
                <w:szCs w:val="14"/>
                <w:color w:val="auto"/>
              </w:rPr>
            </w:pP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760" w:type="dxa"/>
            <w:vAlign w:val="bottom"/>
          </w:tcPr>
          <w:p>
            <w:pPr>
              <w:jc w:val="right"/>
              <w:ind w:right="765"/>
              <w:spacing w:after="0"/>
              <w:rPr>
                <w:sz w:val="20"/>
                <w:szCs w:val="20"/>
                <w:color w:val="auto"/>
              </w:rPr>
            </w:pPr>
            <w:r>
              <w:rPr>
                <w:rFonts w:ascii="Courier New" w:cs="Courier New" w:eastAsia="Courier New" w:hAnsi="Courier New"/>
                <w:sz w:val="15"/>
                <w:szCs w:val="15"/>
                <w:color w:val="auto"/>
                <w:w w:val="98"/>
              </w:rPr>
              <w:t>Weighted average number of Ordinary Shares outstanding:</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44"/>
        </w:trPr>
        <w:tc>
          <w:tcPr>
            <w:tcW w:w="5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Basic..................................................</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11,804,345</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11,667,504</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11,799,125</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11,507,105</w:t>
            </w:r>
          </w:p>
        </w:tc>
      </w:tr>
      <w:tr>
        <w:trPr>
          <w:trHeight w:val="172"/>
        </w:trPr>
        <w:tc>
          <w:tcPr>
            <w:tcW w:w="5760" w:type="dxa"/>
            <w:vAlign w:val="bottom"/>
          </w:tcPr>
          <w:p>
            <w:pPr>
              <w:spacing w:after="0"/>
              <w:rPr>
                <w:sz w:val="14"/>
                <w:szCs w:val="14"/>
                <w:color w:val="auto"/>
              </w:rPr>
            </w:pP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Diluted................................................</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12,147,702</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12,242,463</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12,143,034</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12,224,841</w:t>
            </w:r>
          </w:p>
        </w:tc>
      </w:tr>
      <w:tr>
        <w:trPr>
          <w:trHeight w:val="172"/>
        </w:trPr>
        <w:tc>
          <w:tcPr>
            <w:tcW w:w="5760" w:type="dxa"/>
            <w:vAlign w:val="bottom"/>
          </w:tcPr>
          <w:p>
            <w:pPr>
              <w:spacing w:after="0"/>
              <w:rPr>
                <w:sz w:val="14"/>
                <w:szCs w:val="14"/>
                <w:color w:val="auto"/>
              </w:rPr>
            </w:pP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360"/>
          </w:cols>
          <w:pgMar w:left="240" w:top="1321" w:right="2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6560" w:type="dxa"/>
            <w:vAlign w:val="bottom"/>
          </w:tcPr>
          <w:p>
            <w:pPr>
              <w:jc w:val="right"/>
              <w:ind w:right="2565"/>
              <w:spacing w:after="0"/>
              <w:rPr>
                <w:sz w:val="20"/>
                <w:szCs w:val="20"/>
                <w:color w:val="auto"/>
              </w:rPr>
            </w:pPr>
            <w:r>
              <w:rPr>
                <w:rFonts w:ascii="Courier New" w:cs="Courier New" w:eastAsia="Courier New" w:hAnsi="Courier New"/>
                <w:sz w:val="15"/>
                <w:szCs w:val="15"/>
                <w:color w:val="auto"/>
              </w:rPr>
              <w:t>ICON plc</w:t>
            </w:r>
          </w:p>
        </w:tc>
        <w:tc>
          <w:tcPr>
            <w:tcW w:w="2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4"/>
        </w:trPr>
        <w:tc>
          <w:tcPr>
            <w:tcW w:w="6560" w:type="dxa"/>
            <w:vAlign w:val="bottom"/>
          </w:tcPr>
          <w:p>
            <w:pPr>
              <w:jc w:val="center"/>
              <w:ind w:left="605"/>
              <w:spacing w:after="0"/>
              <w:rPr>
                <w:sz w:val="20"/>
                <w:szCs w:val="20"/>
                <w:color w:val="auto"/>
              </w:rPr>
            </w:pPr>
            <w:r>
              <w:rPr>
                <w:rFonts w:ascii="Courier New" w:cs="Courier New" w:eastAsia="Courier New" w:hAnsi="Courier New"/>
                <w:sz w:val="15"/>
                <w:szCs w:val="15"/>
                <w:color w:val="auto"/>
                <w:w w:val="99"/>
              </w:rPr>
              <w:t>CONDENSED CONSOLIDATED STATEMENTS OF CASH FLOWS</w:t>
            </w:r>
          </w:p>
        </w:tc>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2"/>
        </w:trPr>
        <w:tc>
          <w:tcPr>
            <w:tcW w:w="6560" w:type="dxa"/>
            <w:vAlign w:val="bottom"/>
          </w:tcPr>
          <w:p>
            <w:pPr>
              <w:jc w:val="center"/>
              <w:ind w:left="605"/>
              <w:spacing w:after="0"/>
              <w:rPr>
                <w:sz w:val="20"/>
                <w:szCs w:val="20"/>
                <w:color w:val="auto"/>
              </w:rPr>
            </w:pPr>
            <w:r>
              <w:rPr>
                <w:rFonts w:ascii="Courier New" w:cs="Courier New" w:eastAsia="Courier New" w:hAnsi="Courier New"/>
                <w:sz w:val="15"/>
                <w:szCs w:val="15"/>
                <w:color w:val="auto"/>
                <w:w w:val="99"/>
              </w:rPr>
              <w:t>FOR THE SIX MONTHS ENDED NOVEMBER 30, 2002 AND 2001</w:t>
            </w:r>
          </w:p>
        </w:tc>
        <w:tc>
          <w:tcPr>
            <w:tcW w:w="2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6560" w:type="dxa"/>
            <w:vAlign w:val="bottom"/>
          </w:tcPr>
          <w:p>
            <w:pPr>
              <w:jc w:val="center"/>
              <w:ind w:left="585"/>
              <w:spacing w:after="0"/>
              <w:rPr>
                <w:sz w:val="20"/>
                <w:szCs w:val="20"/>
                <w:color w:val="auto"/>
              </w:rPr>
            </w:pPr>
            <w:r>
              <w:rPr>
                <w:rFonts w:ascii="Courier New" w:cs="Courier New" w:eastAsia="Courier New" w:hAnsi="Courier New"/>
                <w:sz w:val="15"/>
                <w:szCs w:val="15"/>
                <w:color w:val="auto"/>
                <w:w w:val="98"/>
              </w:rPr>
              <w:t>(UNAUDITED)</w:t>
            </w:r>
          </w:p>
        </w:tc>
        <w:tc>
          <w:tcPr>
            <w:tcW w:w="2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6560" w:type="dxa"/>
            <w:vAlign w:val="bottom"/>
          </w:tcPr>
          <w:p>
            <w:pPr>
              <w:spacing w:after="0"/>
              <w:rPr>
                <w:sz w:val="14"/>
                <w:szCs w:val="14"/>
                <w:color w:val="auto"/>
              </w:rPr>
            </w:pPr>
          </w:p>
        </w:tc>
        <w:tc>
          <w:tcPr>
            <w:tcW w:w="3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 November 30,</w:t>
            </w:r>
          </w:p>
        </w:tc>
      </w:tr>
      <w:tr>
        <w:trPr>
          <w:trHeight w:val="172"/>
        </w:trPr>
        <w:tc>
          <w:tcPr>
            <w:tcW w:w="6560" w:type="dxa"/>
            <w:vAlign w:val="bottom"/>
          </w:tcPr>
          <w:p>
            <w:pPr>
              <w:spacing w:after="0"/>
              <w:rPr>
                <w:sz w:val="14"/>
                <w:szCs w:val="14"/>
                <w:color w:val="auto"/>
              </w:rPr>
            </w:pPr>
          </w:p>
        </w:tc>
        <w:tc>
          <w:tcPr>
            <w:tcW w:w="2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2002</w:t>
            </w:r>
          </w:p>
        </w:tc>
        <w:tc>
          <w:tcPr>
            <w:tcW w:w="1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6560" w:type="dxa"/>
            <w:vAlign w:val="bottom"/>
          </w:tcPr>
          <w:p>
            <w:pPr>
              <w:spacing w:after="0"/>
              <w:rPr>
                <w:sz w:val="14"/>
                <w:szCs w:val="14"/>
                <w:color w:val="auto"/>
              </w:rPr>
            </w:pPr>
          </w:p>
        </w:tc>
        <w:tc>
          <w:tcPr>
            <w:tcW w:w="372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(in thousands)</w:t>
            </w:r>
          </w:p>
        </w:tc>
      </w:tr>
      <w:tr>
        <w:trPr>
          <w:trHeight w:val="172"/>
        </w:trPr>
        <w:tc>
          <w:tcPr>
            <w:tcW w:w="65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4"/>
        </w:trPr>
        <w:tc>
          <w:tcPr>
            <w:tcW w:w="65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$8,392</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$6,787</w:t>
            </w:r>
          </w:p>
        </w:tc>
      </w:tr>
      <w:tr>
        <w:trPr>
          <w:trHeight w:val="172"/>
        </w:trPr>
        <w:tc>
          <w:tcPr>
            <w:tcW w:w="656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2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6560" w:type="dxa"/>
            <w:vAlign w:val="bottom"/>
          </w:tcPr>
          <w:p>
            <w:pPr>
              <w:spacing w:after="0"/>
              <w:rPr>
                <w:sz w:val="20"/>
                <w:szCs w:val="20"/>
                <w:color w:val="auto"/>
              </w:rPr>
            </w:pPr>
            <w:r>
              <w:rPr>
                <w:rFonts w:ascii="Courier New" w:cs="Courier New" w:eastAsia="Courier New" w:hAnsi="Courier New"/>
                <w:sz w:val="15"/>
                <w:szCs w:val="15"/>
                <w:color w:val="auto"/>
              </w:rPr>
              <w:t>provided by/ (used in) operating activities:..............</w:t>
            </w:r>
          </w:p>
        </w:tc>
        <w:tc>
          <w:tcPr>
            <w:tcW w:w="2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Loss on disposal of fixed assets.......................</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w:t>
            </w: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Depreciation...........................................</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3,148</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2,878</w:t>
            </w: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Amortization of grants.................................</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w:t>
            </w:r>
          </w:p>
        </w:tc>
      </w:tr>
      <w:tr>
        <w:trPr>
          <w:trHeight w:val="172"/>
        </w:trPr>
        <w:tc>
          <w:tcPr>
            <w:tcW w:w="6560" w:type="dxa"/>
            <w:vAlign w:val="bottom"/>
          </w:tcPr>
          <w:p>
            <w:pPr>
              <w:spacing w:after="0"/>
              <w:rPr>
                <w:sz w:val="20"/>
                <w:szCs w:val="20"/>
                <w:color w:val="auto"/>
              </w:rPr>
            </w:pPr>
            <w:r>
              <w:rPr>
                <w:rFonts w:ascii="Courier New" w:cs="Courier New" w:eastAsia="Courier New" w:hAnsi="Courier New"/>
                <w:sz w:val="15"/>
                <w:szCs w:val="15"/>
                <w:color w:val="auto"/>
              </w:rPr>
              <w:t>Changes in assets and liabilities:</w:t>
            </w:r>
          </w:p>
        </w:tc>
        <w:tc>
          <w:tcPr>
            <w:tcW w:w="2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Decrease /(increase) in accounts receivable............</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59</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(4,938)</w:t>
            </w: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(Increase) /decrease in unbilled revenue...............</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(12,058)</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w:t>
            </w: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(Increase) /decrease in other receivables..............</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(1,959)</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1,422</w:t>
            </w:r>
          </w:p>
        </w:tc>
      </w:tr>
      <w:tr>
        <w:trPr>
          <w:trHeight w:val="172"/>
        </w:trPr>
        <w:tc>
          <w:tcPr>
            <w:tcW w:w="656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Decrease /(increase) in prepayments and other current assets</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457</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(920)</w:t>
            </w: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Increase in payments on account........................</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13,158</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6,852</w:t>
            </w: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(Decrease)/ increase in other liabilities..............</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(155)</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1,803</w:t>
            </w: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Increase in income taxes payable.......................</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1,178</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1,489</w:t>
            </w: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(Decrease)/ increase in accounts payable...............</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(2,708)</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1,792</w:t>
            </w:r>
          </w:p>
        </w:tc>
      </w:tr>
      <w:tr>
        <w:trPr>
          <w:trHeight w:val="172"/>
        </w:trPr>
        <w:tc>
          <w:tcPr>
            <w:tcW w:w="6560" w:type="dxa"/>
            <w:vAlign w:val="bottom"/>
          </w:tcPr>
          <w:p>
            <w:pPr>
              <w:spacing w:after="0"/>
              <w:rPr>
                <w:sz w:val="14"/>
                <w:szCs w:val="14"/>
                <w:color w:val="auto"/>
              </w:rPr>
            </w:pPr>
          </w:p>
        </w:tc>
        <w:tc>
          <w:tcPr>
            <w:tcW w:w="2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w w:val="98"/>
              </w:rPr>
              <w:t>Net cash provided by operating activities.................</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9,504</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17,212</w:t>
            </w:r>
          </w:p>
        </w:tc>
      </w:tr>
      <w:tr>
        <w:trPr>
          <w:trHeight w:val="172"/>
        </w:trPr>
        <w:tc>
          <w:tcPr>
            <w:tcW w:w="65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Purchase of fixed assets...............................</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(7,110)</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(5,725)</w:t>
            </w: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Sale of short term investments.........................</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12,313</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17,417</w:t>
            </w: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Purchase of short term investments.....................</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(4,639)</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Purchase of subsidiary.................................</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(15,861)</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Cash acquired with subsidiary .........................</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1,559</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560" w:type="dxa"/>
            <w:vAlign w:val="bottom"/>
          </w:tcPr>
          <w:p>
            <w:pPr>
              <w:jc w:val="right"/>
              <w:ind w:right="1925"/>
              <w:spacing w:after="0"/>
              <w:rPr>
                <w:sz w:val="20"/>
                <w:szCs w:val="20"/>
                <w:color w:val="auto"/>
              </w:rPr>
            </w:pPr>
            <w:r>
              <w:rPr>
                <w:rFonts w:ascii="Courier New" w:cs="Courier New" w:eastAsia="Courier New" w:hAnsi="Courier New"/>
                <w:sz w:val="15"/>
                <w:szCs w:val="15"/>
                <w:color w:val="auto"/>
              </w:rPr>
              <w:t>Payments in respect of prior year acquisitions</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(3,078)</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(2,591)</w:t>
            </w:r>
          </w:p>
        </w:tc>
      </w:tr>
      <w:tr>
        <w:trPr>
          <w:trHeight w:val="172"/>
        </w:trPr>
        <w:tc>
          <w:tcPr>
            <w:tcW w:w="6560" w:type="dxa"/>
            <w:vAlign w:val="bottom"/>
          </w:tcPr>
          <w:p>
            <w:pPr>
              <w:spacing w:after="0"/>
              <w:rPr>
                <w:sz w:val="14"/>
                <w:szCs w:val="14"/>
                <w:color w:val="auto"/>
              </w:rPr>
            </w:pPr>
          </w:p>
        </w:tc>
        <w:tc>
          <w:tcPr>
            <w:tcW w:w="2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w w:val="98"/>
              </w:rPr>
              <w:t>Net cash (used in)/ provided by investing activities......</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(16,816)</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9,101</w:t>
            </w:r>
          </w:p>
        </w:tc>
      </w:tr>
      <w:tr>
        <w:trPr>
          <w:trHeight w:val="172"/>
        </w:trPr>
        <w:tc>
          <w:tcPr>
            <w:tcW w:w="65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w w:val="98"/>
              </w:rPr>
              <w:t>(Repayment of) / proceeds from bank overdraft.............</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(3,753)</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174</w:t>
            </w: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w w:val="98"/>
              </w:rPr>
              <w:t>Repayment of long term debt...............................</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(338)</w:t>
            </w: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w w:val="98"/>
              </w:rPr>
              <w:t>Proceeds from exercise of share options...................</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214</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2,067</w:t>
            </w: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w w:val="98"/>
              </w:rPr>
              <w:t>Repayment of  other liabilities...........................</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w:t>
            </w:r>
          </w:p>
        </w:tc>
      </w:tr>
      <w:tr>
        <w:trPr>
          <w:trHeight w:val="172"/>
        </w:trPr>
        <w:tc>
          <w:tcPr>
            <w:tcW w:w="6560" w:type="dxa"/>
            <w:vAlign w:val="bottom"/>
          </w:tcPr>
          <w:p>
            <w:pPr>
              <w:spacing w:after="0"/>
              <w:rPr>
                <w:sz w:val="14"/>
                <w:szCs w:val="14"/>
                <w:color w:val="auto"/>
              </w:rPr>
            </w:pPr>
          </w:p>
        </w:tc>
        <w:tc>
          <w:tcPr>
            <w:tcW w:w="2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w w:val="98"/>
              </w:rPr>
              <w:t>Net cash (used in)/ provided by financing activities......</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(3,539)</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1,872</w:t>
            </w: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w w:val="98"/>
              </w:rPr>
              <w:t>Effect of exchange rate movements on cash.................</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(176)</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331</w:t>
            </w:r>
          </w:p>
        </w:tc>
      </w:tr>
      <w:tr>
        <w:trPr>
          <w:trHeight w:val="172"/>
        </w:trPr>
        <w:tc>
          <w:tcPr>
            <w:tcW w:w="6560" w:type="dxa"/>
            <w:vAlign w:val="bottom"/>
          </w:tcPr>
          <w:p>
            <w:pPr>
              <w:spacing w:after="0"/>
              <w:rPr>
                <w:sz w:val="14"/>
                <w:szCs w:val="14"/>
                <w:color w:val="auto"/>
              </w:rPr>
            </w:pPr>
          </w:p>
        </w:tc>
        <w:tc>
          <w:tcPr>
            <w:tcW w:w="2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w w:val="98"/>
              </w:rPr>
              <w:t>Net (decrease)/ increase in cash and cash equivalents.....</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(11,027)</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28,516</w:t>
            </w: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w w:val="98"/>
              </w:rPr>
              <w:t>Cash and cash equivalents at beginning of period..........</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36,291</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11,179</w:t>
            </w:r>
          </w:p>
        </w:tc>
      </w:tr>
      <w:tr>
        <w:trPr>
          <w:trHeight w:val="172"/>
        </w:trPr>
        <w:tc>
          <w:tcPr>
            <w:tcW w:w="6560" w:type="dxa"/>
            <w:vAlign w:val="bottom"/>
          </w:tcPr>
          <w:p>
            <w:pPr>
              <w:spacing w:after="0"/>
              <w:rPr>
                <w:sz w:val="14"/>
                <w:szCs w:val="14"/>
                <w:color w:val="auto"/>
              </w:rPr>
            </w:pPr>
          </w:p>
        </w:tc>
        <w:tc>
          <w:tcPr>
            <w:tcW w:w="2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w w:val="98"/>
              </w:rPr>
              <w:t>Cash and cash equivalents at end of period................</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$25,264</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$39,695</w:t>
            </w:r>
          </w:p>
        </w:tc>
      </w:tr>
      <w:tr>
        <w:trPr>
          <w:trHeight w:val="172"/>
        </w:trPr>
        <w:tc>
          <w:tcPr>
            <w:tcW w:w="6560" w:type="dxa"/>
            <w:vAlign w:val="bottom"/>
          </w:tcPr>
          <w:p>
            <w:pPr>
              <w:spacing w:after="0"/>
              <w:rPr>
                <w:sz w:val="14"/>
                <w:szCs w:val="14"/>
                <w:color w:val="auto"/>
              </w:rPr>
            </w:pPr>
          </w:p>
        </w:tc>
        <w:tc>
          <w:tcPr>
            <w:tcW w:w="2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80"/>
          </w:cols>
          <w:pgMar w:left="240" w:top="1321" w:right="1379" w:bottom="1440" w:gutter="0" w:footer="0" w:header="0"/>
        </w:sectPr>
      </w:pPr>
    </w:p>
    <w:bookmarkStart w:id="6" w:name="page7"/>
    <w:bookmarkEnd w:id="6"/>
    <w:p>
      <w:pPr>
        <w:spacing w:after="0" w:line="53"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466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ICON plc</w:t>
            </w: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4"/>
        </w:trPr>
        <w:tc>
          <w:tcPr>
            <w:tcW w:w="8680" w:type="dxa"/>
            <w:vAlign w:val="bottom"/>
            <w:gridSpan w:val="5"/>
          </w:tcPr>
          <w:p>
            <w:pPr>
              <w:jc w:val="right"/>
              <w:ind w:right="1265"/>
              <w:spacing w:after="0"/>
              <w:rPr>
                <w:sz w:val="20"/>
                <w:szCs w:val="20"/>
                <w:color w:val="auto"/>
              </w:rPr>
            </w:pPr>
            <w:r>
              <w:rPr>
                <w:rFonts w:ascii="Courier New" w:cs="Courier New" w:eastAsia="Courier New" w:hAnsi="Courier New"/>
                <w:sz w:val="15"/>
                <w:szCs w:val="15"/>
                <w:color w:val="auto"/>
                <w:w w:val="99"/>
              </w:rPr>
              <w:t>CONDENSED CONSOLIDATED STATEMENTS OF SHAREHOLDERS' EQUITY AND COMPREHENSIVE INCOME</w:t>
            </w: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66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(UNAUDITED)</w:t>
            </w: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4"/>
        </w:trPr>
        <w:tc>
          <w:tcPr>
            <w:tcW w:w="3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Accumulated</w:t>
            </w: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3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Additional</w:t>
            </w:r>
          </w:p>
        </w:tc>
        <w:tc>
          <w:tcPr>
            <w:tcW w:w="1660" w:type="dxa"/>
            <w:vAlign w:val="bottom"/>
          </w:tcPr>
          <w:p>
            <w:pPr>
              <w:ind w:left="580"/>
              <w:spacing w:after="0"/>
              <w:rPr>
                <w:sz w:val="20"/>
                <w:szCs w:val="20"/>
                <w:color w:val="auto"/>
              </w:rPr>
            </w:pPr>
            <w:r>
              <w:rPr>
                <w:rFonts w:ascii="Courier New" w:cs="Courier New" w:eastAsia="Courier New" w:hAnsi="Courier New"/>
                <w:sz w:val="15"/>
                <w:szCs w:val="15"/>
                <w:color w:val="auto"/>
              </w:rPr>
              <w:t>Other</w:t>
            </w: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Paid-in</w:t>
            </w:r>
          </w:p>
        </w:tc>
        <w:tc>
          <w:tcPr>
            <w:tcW w:w="16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Comprehensive</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Retained</w:t>
            </w:r>
          </w:p>
        </w:tc>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Merger</w:t>
            </w:r>
          </w:p>
        </w:tc>
        <w:tc>
          <w:tcPr>
            <w:tcW w:w="800" w:type="dxa"/>
            <w:vAlign w:val="bottom"/>
          </w:tcPr>
          <w:p>
            <w:pPr>
              <w:spacing w:after="0"/>
              <w:rPr>
                <w:sz w:val="14"/>
                <w:szCs w:val="14"/>
                <w:color w:val="auto"/>
              </w:rPr>
            </w:pPr>
          </w:p>
        </w:tc>
      </w:tr>
      <w:tr>
        <w:trPr>
          <w:trHeight w:val="172"/>
        </w:trPr>
        <w:tc>
          <w:tcPr>
            <w:tcW w:w="35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Shares</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Amount</w:t>
            </w:r>
          </w:p>
        </w:tc>
        <w:tc>
          <w:tcPr>
            <w:tcW w:w="13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Capital</w:t>
            </w:r>
          </w:p>
        </w:tc>
        <w:tc>
          <w:tcPr>
            <w:tcW w:w="1660" w:type="dxa"/>
            <w:vAlign w:val="bottom"/>
          </w:tcPr>
          <w:p>
            <w:pPr>
              <w:ind w:left="580"/>
              <w:spacing w:after="0"/>
              <w:rPr>
                <w:sz w:val="20"/>
                <w:szCs w:val="20"/>
                <w:color w:val="auto"/>
              </w:rPr>
            </w:pPr>
            <w:r>
              <w:rPr>
                <w:rFonts w:ascii="Courier New" w:cs="Courier New" w:eastAsia="Courier New" w:hAnsi="Courier New"/>
                <w:sz w:val="15"/>
                <w:szCs w:val="15"/>
                <w:color w:val="auto"/>
              </w:rPr>
              <w:t>Income</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Earnings</w:t>
            </w:r>
          </w:p>
        </w:tc>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Reserve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5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2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w w:val="98"/>
              </w:rPr>
              <w:t>(dollars in thousands, except share data)</w:t>
            </w: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88"/>
        </w:trPr>
        <w:tc>
          <w:tcPr>
            <w:tcW w:w="3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Balance at May 31, 2002............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11,798,501</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$839</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$60,348</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($2,461)</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$48,788</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$107,561</w:t>
            </w:r>
          </w:p>
        </w:tc>
      </w:tr>
      <w:tr>
        <w:trPr>
          <w:trHeight w:val="516"/>
        </w:trPr>
        <w:tc>
          <w:tcPr>
            <w:tcW w:w="358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Comprehensive Income:</w:t>
            </w: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3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8,392</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8,392</w:t>
            </w:r>
          </w:p>
        </w:tc>
      </w:tr>
      <w:tr>
        <w:trPr>
          <w:trHeight w:val="172"/>
        </w:trPr>
        <w:tc>
          <w:tcPr>
            <w:tcW w:w="3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Currency translation adjustment..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2,219</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2,219</w:t>
            </w:r>
          </w:p>
        </w:tc>
      </w:tr>
      <w:tr>
        <w:trPr>
          <w:trHeight w:val="172"/>
        </w:trPr>
        <w:tc>
          <w:tcPr>
            <w:tcW w:w="3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comprehensive income.......</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10,611</w:t>
            </w:r>
          </w:p>
        </w:tc>
      </w:tr>
      <w:tr>
        <w:trPr>
          <w:trHeight w:val="172"/>
        </w:trPr>
        <w:tc>
          <w:tcPr>
            <w:tcW w:w="3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Exercise of Share Options........</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11,980</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213</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214</w:t>
            </w:r>
          </w:p>
        </w:tc>
      </w:tr>
      <w:tr>
        <w:trPr>
          <w:trHeight w:val="172"/>
        </w:trPr>
        <w:tc>
          <w:tcPr>
            <w:tcW w:w="3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Shares issued....................</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3,696</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2"/>
        </w:trPr>
        <w:tc>
          <w:tcPr>
            <w:tcW w:w="35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Balance at November 30, 2002.......</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11,814,177</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$840</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$60,638</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($242)</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$57,180</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$118,463</w:t>
            </w:r>
          </w:p>
        </w:tc>
      </w:tr>
      <w:tr>
        <w:trPr>
          <w:trHeight w:val="172"/>
        </w:trPr>
        <w:tc>
          <w:tcPr>
            <w:tcW w:w="35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6" w:lineRule="exact"/>
        <w:rPr>
          <w:sz w:val="20"/>
          <w:szCs w:val="20"/>
          <w:color w:val="auto"/>
        </w:rPr>
      </w:pPr>
    </w:p>
    <w:p>
      <w:pPr>
        <w:ind w:right="4820"/>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520"/>
          </w:cols>
          <w:pgMar w:left="240" w:top="1440" w:right="139" w:bottom="1440" w:gutter="0" w:footer="0" w:header="0"/>
        </w:sectPr>
      </w:pPr>
    </w:p>
    <w:bookmarkStart w:id="7" w:name="page8"/>
    <w:bookmarkEnd w:id="7"/>
    <w:p>
      <w:pPr>
        <w:jc w:val="center"/>
        <w:ind w:right="3079"/>
        <w:spacing w:after="0"/>
        <w:rPr>
          <w:sz w:val="20"/>
          <w:szCs w:val="20"/>
          <w:color w:val="auto"/>
        </w:rPr>
      </w:pPr>
      <w:r>
        <w:rPr>
          <w:rFonts w:ascii="Courier New" w:cs="Courier New" w:eastAsia="Courier New" w:hAnsi="Courier New"/>
          <w:sz w:val="15"/>
          <w:szCs w:val="15"/>
          <w:color w:val="auto"/>
        </w:rPr>
        <w:t>ICON plc</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NOTES TO THE CONDENSED CONSOLIDATED FINANCIAL STATEMENTS</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(UNAUDITED)</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NOVEMBER 30, 2002</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Basis of Presentation</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These condensed consolidated financial statements, which have been prepared in accordance with United States generally accepted accounting principles,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United States generally accepted accounting principles requires management to make estimates and assumptions that affect reported amounts and disclosures in the condensed consolidated financial statements. Actual results could differ from those estimates. There has been no significant change in ICON plc's accounting policies from those outlined in ICON's annual report on Form 20-F for the year ended May 31, 2002, except as described below.</w:t>
      </w:r>
    </w:p>
    <w:p>
      <w:pPr>
        <w:spacing w:after="0" w:line="180"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Certain information and footnote disclosure normally included in financial statements prepared in accordance with the United States generally accepted accounting principles have been condensed or omitted pursuant to the rules and regulations of the Securities and Exchange Commission ("SEC"). The condensed consolidated financial statements should be read in conjunction with the accounting policies and notes to the consolidated financial statements included in ICON's 2002 annual report on Form 20-F. Operating results for the six months ended November 30, 2002 are not necessarily indicative of the results that may be expected for the fiscal year ending May 31, 2003.</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Acquisitions</w:t>
      </w:r>
    </w:p>
    <w:p>
      <w:pPr>
        <w:spacing w:after="0" w:line="176" w:lineRule="exact"/>
        <w:rPr>
          <w:sz w:val="20"/>
          <w:szCs w:val="20"/>
          <w:color w:val="auto"/>
        </w:rPr>
      </w:pPr>
    </w:p>
    <w:p>
      <w:pPr>
        <w:ind w:right="3959"/>
        <w:spacing w:after="0"/>
        <w:rPr>
          <w:sz w:val="20"/>
          <w:szCs w:val="20"/>
          <w:color w:val="auto"/>
        </w:rPr>
      </w:pPr>
      <w:r>
        <w:rPr>
          <w:rFonts w:ascii="Courier New" w:cs="Courier New" w:eastAsia="Courier New" w:hAnsi="Courier New"/>
          <w:sz w:val="15"/>
          <w:szCs w:val="15"/>
          <w:color w:val="auto"/>
        </w:rPr>
        <w:t>Acquisition of Barton &amp; Polansky Associates, Inc. and Managed Clinical Solutions, Inc.</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On October 9, 2002, the Company acquired 100% of the outstanding shares of Barton &amp; Polansky Associates, Inc. ("BPA") and its sister company Managed Clinical Solutions, Inc. ("MCS"), both based in New York, USA, for initial cash consideration of U.S.$15.7 million, excluding costs of acquisition. Earn-out and working capital provisions have been built into the acquisition contract requiring the potential payment of additional deferred consideration up to a maximum of U.S.$18 million depending on the performance of MCS over the period to May 31, 2006. Such potential additional consideration will be accounted as goodwill. The total amount of goodwill is expected to be tax deductible.</w:t>
      </w:r>
    </w:p>
    <w:p>
      <w:pPr>
        <w:spacing w:after="0" w:line="17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acquisitions of BPA and MCS have been accounted for as a purchase in accordance with SFAS No. 141, "Business Combinations". The following table summarises the fair values of the assets acquired and the liabilities assumed at the date of acquisition.</w:t>
      </w:r>
    </w:p>
    <w:p>
      <w:pPr>
        <w:spacing w:after="0" w:line="173"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At October 9,</w:t>
      </w:r>
    </w:p>
    <w:p>
      <w:pPr>
        <w:spacing w:after="0" w:line="2"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2002</w:t>
      </w:r>
    </w:p>
    <w:p>
      <w:pPr>
        <w:spacing w:after="0" w:line="2"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(in thousands)</w:t>
      </w:r>
    </w:p>
    <w:p>
      <w:pPr>
        <w:spacing w:after="0" w:line="2" w:lineRule="exact"/>
        <w:rPr>
          <w:sz w:val="20"/>
          <w:szCs w:val="20"/>
          <w:color w:val="auto"/>
        </w:rPr>
      </w:pPr>
    </w:p>
    <w:p>
      <w:pPr>
        <w:ind w:left="620"/>
        <w:spacing w:after="0"/>
        <w:tabs>
          <w:tab w:leader="none" w:pos="6600" w:val="left"/>
        </w:tabs>
        <w:rPr>
          <w:sz w:val="20"/>
          <w:szCs w:val="20"/>
          <w:color w:val="auto"/>
        </w:rPr>
      </w:pPr>
      <w:r>
        <w:rPr>
          <w:rFonts w:ascii="Courier New" w:cs="Courier New" w:eastAsia="Courier New" w:hAnsi="Courier New"/>
          <w:sz w:val="15"/>
          <w:szCs w:val="15"/>
          <w:color w:val="auto"/>
        </w:rPr>
        <w:t>Property, Plant &amp; Equipment</w:t>
      </w:r>
      <w:r>
        <w:rPr>
          <w:sz w:val="20"/>
          <w:szCs w:val="20"/>
          <w:color w:val="auto"/>
        </w:rPr>
        <w:tab/>
      </w:r>
      <w:r>
        <w:rPr>
          <w:rFonts w:ascii="Courier New" w:cs="Courier New" w:eastAsia="Courier New" w:hAnsi="Courier New"/>
          <w:sz w:val="13"/>
          <w:szCs w:val="13"/>
          <w:color w:val="auto"/>
        </w:rPr>
        <w:t>$2</w:t>
      </w:r>
    </w:p>
    <w:p>
      <w:pPr>
        <w:spacing w:after="0" w:line="2" w:lineRule="exact"/>
        <w:rPr>
          <w:sz w:val="20"/>
          <w:szCs w:val="20"/>
          <w:color w:val="auto"/>
        </w:rPr>
      </w:pPr>
    </w:p>
    <w:p>
      <w:pPr>
        <w:ind w:left="620"/>
        <w:spacing w:after="0"/>
        <w:tabs>
          <w:tab w:leader="none" w:pos="6140" w:val="left"/>
        </w:tabs>
        <w:rPr>
          <w:sz w:val="20"/>
          <w:szCs w:val="20"/>
          <w:color w:val="auto"/>
        </w:rPr>
      </w:pPr>
      <w:r>
        <w:rPr>
          <w:rFonts w:ascii="Courier New" w:cs="Courier New" w:eastAsia="Courier New" w:hAnsi="Courier New"/>
          <w:sz w:val="15"/>
          <w:szCs w:val="15"/>
          <w:color w:val="auto"/>
        </w:rPr>
        <w:t>Goodwill</w:t>
      </w:r>
      <w:r>
        <w:rPr>
          <w:sz w:val="20"/>
          <w:szCs w:val="20"/>
          <w:color w:val="auto"/>
        </w:rPr>
        <w:tab/>
      </w:r>
      <w:r>
        <w:rPr>
          <w:rFonts w:ascii="Courier New" w:cs="Courier New" w:eastAsia="Courier New" w:hAnsi="Courier New"/>
          <w:sz w:val="14"/>
          <w:szCs w:val="14"/>
          <w:color w:val="auto"/>
        </w:rPr>
        <w:t>$10,477</w:t>
      </w:r>
    </w:p>
    <w:p>
      <w:pPr>
        <w:spacing w:after="0" w:line="2" w:lineRule="exact"/>
        <w:rPr>
          <w:sz w:val="20"/>
          <w:szCs w:val="20"/>
          <w:color w:val="auto"/>
        </w:rPr>
      </w:pPr>
    </w:p>
    <w:p>
      <w:pPr>
        <w:ind w:left="620"/>
        <w:spacing w:after="0"/>
        <w:tabs>
          <w:tab w:leader="none" w:pos="6240" w:val="left"/>
        </w:tabs>
        <w:rPr>
          <w:sz w:val="20"/>
          <w:szCs w:val="20"/>
          <w:color w:val="auto"/>
        </w:rPr>
      </w:pPr>
      <w:r>
        <w:rPr>
          <w:rFonts w:ascii="Courier New" w:cs="Courier New" w:eastAsia="Courier New" w:hAnsi="Courier New"/>
          <w:sz w:val="15"/>
          <w:szCs w:val="15"/>
          <w:color w:val="auto"/>
        </w:rPr>
        <w:t>Current Assets</w:t>
      </w:r>
      <w:r>
        <w:rPr>
          <w:sz w:val="20"/>
          <w:szCs w:val="20"/>
          <w:color w:val="auto"/>
        </w:rPr>
        <w:tab/>
      </w:r>
      <w:r>
        <w:rPr>
          <w:rFonts w:ascii="Courier New" w:cs="Courier New" w:eastAsia="Courier New" w:hAnsi="Courier New"/>
          <w:sz w:val="14"/>
          <w:szCs w:val="14"/>
          <w:color w:val="auto"/>
        </w:rPr>
        <w:t>$9,533</w:t>
      </w:r>
    </w:p>
    <w:p>
      <w:pPr>
        <w:spacing w:after="0" w:line="2" w:lineRule="exact"/>
        <w:rPr>
          <w:sz w:val="20"/>
          <w:szCs w:val="20"/>
          <w:color w:val="auto"/>
        </w:rPr>
      </w:pPr>
    </w:p>
    <w:p>
      <w:pPr>
        <w:ind w:left="620"/>
        <w:spacing w:after="0"/>
        <w:tabs>
          <w:tab w:leader="none" w:pos="6060" w:val="left"/>
        </w:tabs>
        <w:rPr>
          <w:sz w:val="20"/>
          <w:szCs w:val="20"/>
          <w:color w:val="auto"/>
        </w:rPr>
      </w:pPr>
      <w:r>
        <w:rPr>
          <w:rFonts w:ascii="Courier New" w:cs="Courier New" w:eastAsia="Courier New" w:hAnsi="Courier New"/>
          <w:sz w:val="15"/>
          <w:szCs w:val="15"/>
          <w:color w:val="auto"/>
        </w:rPr>
        <w:t>Current liabilities</w:t>
      </w:r>
      <w:r>
        <w:rPr>
          <w:sz w:val="20"/>
          <w:szCs w:val="20"/>
          <w:color w:val="auto"/>
        </w:rPr>
        <w:tab/>
      </w:r>
      <w:r>
        <w:rPr>
          <w:rFonts w:ascii="Courier New" w:cs="Courier New" w:eastAsia="Courier New" w:hAnsi="Courier New"/>
          <w:sz w:val="14"/>
          <w:szCs w:val="14"/>
          <w:color w:val="auto"/>
        </w:rPr>
        <w:t>($2,795)</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620"/>
        <w:spacing w:after="0"/>
        <w:tabs>
          <w:tab w:leader="none" w:pos="6140" w:val="left"/>
        </w:tabs>
        <w:rPr>
          <w:sz w:val="20"/>
          <w:szCs w:val="20"/>
          <w:color w:val="auto"/>
        </w:rPr>
      </w:pPr>
      <w:r>
        <w:rPr>
          <w:rFonts w:ascii="Courier New" w:cs="Courier New" w:eastAsia="Courier New" w:hAnsi="Courier New"/>
          <w:sz w:val="15"/>
          <w:szCs w:val="15"/>
          <w:color w:val="auto"/>
        </w:rPr>
        <w:t>Purchase Price</w:t>
      </w:r>
      <w:r>
        <w:rPr>
          <w:sz w:val="20"/>
          <w:szCs w:val="20"/>
          <w:color w:val="auto"/>
        </w:rPr>
        <w:tab/>
      </w:r>
      <w:r>
        <w:rPr>
          <w:rFonts w:ascii="Courier New" w:cs="Courier New" w:eastAsia="Courier New" w:hAnsi="Courier New"/>
          <w:sz w:val="14"/>
          <w:szCs w:val="14"/>
          <w:color w:val="auto"/>
        </w:rPr>
        <w:t>$17,217</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1149" w:right="1440" w:bottom="1440" w:gutter="0" w:footer="0" w:header="0"/>
        </w:sectPr>
      </w:pPr>
    </w:p>
    <w:bookmarkStart w:id="8" w:name="page9"/>
    <w:bookmarkEnd w:id="8"/>
    <w:p>
      <w:pPr>
        <w:jc w:val="both"/>
        <w:ind w:right="3159"/>
        <w:spacing w:after="0" w:line="263" w:lineRule="auto"/>
        <w:rPr>
          <w:sz w:val="20"/>
          <w:szCs w:val="20"/>
          <w:color w:val="auto"/>
        </w:rPr>
      </w:pPr>
      <w:r>
        <w:rPr>
          <w:rFonts w:ascii="Courier New" w:cs="Courier New" w:eastAsia="Courier New" w:hAnsi="Courier New"/>
          <w:sz w:val="14"/>
          <w:szCs w:val="14"/>
          <w:color w:val="auto"/>
        </w:rPr>
        <w:t>The primary purpose of the acquisition was to expand our expertise in the US in the area of immuno-suppressant drugs, including those used to treat transplant patients, and to provide contract staffing solutions to the pharmaceutical and biotechnology industries. The results of BPA and MCS have been included in the condensed consolidated financial statements from October 1, 2002.</w:t>
      </w:r>
    </w:p>
    <w:p>
      <w:pPr>
        <w:spacing w:after="0" w:line="163"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The proforma effect of the acquisition if completed on June 1, 2002 would have resulted in net revenue, net income and earnings per share for the three and six months ended November 30, 2002 and 2001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30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Three months ended</w:t>
            </w:r>
          </w:p>
        </w:tc>
        <w:tc>
          <w:tcPr>
            <w:tcW w:w="26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3000" w:type="dxa"/>
            <w:vAlign w:val="bottom"/>
          </w:tcPr>
          <w:p>
            <w:pPr>
              <w:spacing w:after="0"/>
              <w:rPr>
                <w:sz w:val="14"/>
                <w:szCs w:val="14"/>
                <w:color w:val="auto"/>
              </w:rPr>
            </w:pPr>
          </w:p>
        </w:tc>
        <w:tc>
          <w:tcPr>
            <w:tcW w:w="308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November 30,</w:t>
            </w:r>
          </w:p>
        </w:tc>
        <w:tc>
          <w:tcPr>
            <w:tcW w:w="980" w:type="dxa"/>
            <w:vAlign w:val="bottom"/>
          </w:tcPr>
          <w:p>
            <w:pPr>
              <w:spacing w:after="0"/>
              <w:rPr>
                <w:sz w:val="14"/>
                <w:szCs w:val="14"/>
                <w:color w:val="auto"/>
              </w:rPr>
            </w:pP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8"/>
              </w:rPr>
              <w:t>November 30,</w:t>
            </w:r>
          </w:p>
        </w:tc>
      </w:tr>
      <w:tr>
        <w:trPr>
          <w:trHeight w:val="172"/>
        </w:trPr>
        <w:tc>
          <w:tcPr>
            <w:tcW w:w="3000" w:type="dxa"/>
            <w:vAlign w:val="bottom"/>
          </w:tcPr>
          <w:p>
            <w:pPr>
              <w:spacing w:after="0"/>
              <w:rPr>
                <w:sz w:val="14"/>
                <w:szCs w:val="14"/>
                <w:color w:val="auto"/>
              </w:rPr>
            </w:pP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2002</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3000" w:type="dxa"/>
            <w:vAlign w:val="bottom"/>
          </w:tcPr>
          <w:p>
            <w:pPr>
              <w:spacing w:after="0"/>
              <w:rPr>
                <w:sz w:val="14"/>
                <w:szCs w:val="14"/>
                <w:color w:val="auto"/>
              </w:rPr>
            </w:pP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00" w:type="dxa"/>
            <w:vAlign w:val="bottom"/>
          </w:tcPr>
          <w:p>
            <w:pPr>
              <w:spacing w:after="0"/>
              <w:rPr>
                <w:sz w:val="14"/>
                <w:szCs w:val="14"/>
                <w:color w:val="auto"/>
              </w:rPr>
            </w:pPr>
          </w:p>
        </w:tc>
        <w:tc>
          <w:tcPr>
            <w:tcW w:w="308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(in thousands)</w:t>
            </w:r>
          </w:p>
        </w:tc>
        <w:tc>
          <w:tcPr>
            <w:tcW w:w="980" w:type="dxa"/>
            <w:vAlign w:val="bottom"/>
          </w:tcPr>
          <w:p>
            <w:pPr>
              <w:spacing w:after="0"/>
              <w:rPr>
                <w:sz w:val="14"/>
                <w:szCs w:val="14"/>
                <w:color w:val="auto"/>
              </w:rPr>
            </w:pP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(in thousands)</w:t>
            </w:r>
          </w:p>
        </w:tc>
      </w:tr>
      <w:tr>
        <w:trPr>
          <w:trHeight w:val="344"/>
        </w:trPr>
        <w:tc>
          <w:tcPr>
            <w:tcW w:w="300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$55,513</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$43,934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$108,017</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$85,403</w:t>
            </w:r>
          </w:p>
        </w:tc>
      </w:tr>
      <w:tr>
        <w:trPr>
          <w:trHeight w:val="172"/>
        </w:trPr>
        <w:tc>
          <w:tcPr>
            <w:tcW w:w="30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4,650</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4,306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8,578</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8,146</w:t>
            </w:r>
          </w:p>
        </w:tc>
      </w:tr>
      <w:tr>
        <w:trPr>
          <w:trHeight w:val="172"/>
        </w:trPr>
        <w:tc>
          <w:tcPr>
            <w:tcW w:w="30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$0.39</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$0.37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$0.73</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$0.71</w:t>
            </w:r>
          </w:p>
        </w:tc>
      </w:tr>
      <w:tr>
        <w:trPr>
          <w:trHeight w:val="172"/>
        </w:trPr>
        <w:tc>
          <w:tcPr>
            <w:tcW w:w="30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$0.38</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$0.35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$0.71</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$0.67</w:t>
            </w:r>
          </w:p>
        </w:tc>
      </w:tr>
    </w:tbl>
    <w:p>
      <w:pPr>
        <w:spacing w:after="0" w:line="200" w:lineRule="exact"/>
        <w:rPr>
          <w:sz w:val="20"/>
          <w:szCs w:val="20"/>
          <w:color w:val="auto"/>
        </w:rPr>
      </w:pPr>
    </w:p>
    <w:p>
      <w:pPr>
        <w:spacing w:after="0" w:line="320" w:lineRule="exact"/>
        <w:rPr>
          <w:sz w:val="20"/>
          <w:szCs w:val="20"/>
          <w:color w:val="auto"/>
        </w:rPr>
      </w:pPr>
    </w:p>
    <w:p>
      <w:pPr>
        <w:jc w:val="both"/>
        <w:ind w:right="3079"/>
        <w:spacing w:after="0"/>
        <w:rPr>
          <w:sz w:val="20"/>
          <w:szCs w:val="20"/>
          <w:color w:val="auto"/>
        </w:rPr>
      </w:pPr>
      <w:r>
        <w:rPr>
          <w:rFonts w:ascii="Courier New" w:cs="Courier New" w:eastAsia="Courier New" w:hAnsi="Courier New"/>
          <w:sz w:val="15"/>
          <w:szCs w:val="15"/>
          <w:color w:val="auto"/>
        </w:rPr>
        <w:t>In August 2002 a $900,000 distribution was made to the former shareholders which was recorded as other expenses. This is included in the proforma results.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Prior Period Acquisitions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August 31, 2002 the Company made a payment of Sterling (pound)100,000</w:t>
      </w:r>
    </w:p>
    <w:p>
      <w:pPr>
        <w:spacing w:after="0" w:line="4" w:lineRule="exact"/>
        <w:rPr>
          <w:sz w:val="20"/>
          <w:szCs w:val="20"/>
          <w:color w:val="auto"/>
        </w:rPr>
      </w:pPr>
    </w:p>
    <w:p>
      <w:pPr>
        <w:jc w:val="both"/>
        <w:ind w:right="3079"/>
        <w:spacing w:after="0" w:line="241" w:lineRule="auto"/>
        <w:rPr>
          <w:sz w:val="20"/>
          <w:szCs w:val="20"/>
          <w:color w:val="auto"/>
        </w:rPr>
      </w:pPr>
      <w:r>
        <w:rPr>
          <w:rFonts w:ascii="Courier New" w:cs="Courier New" w:eastAsia="Courier New" w:hAnsi="Courier New"/>
          <w:sz w:val="15"/>
          <w:szCs w:val="15"/>
          <w:color w:val="auto"/>
        </w:rPr>
        <w:t>(US$146,602) to the former shareholders of YRCR Limited ("YRCR") in the form 50% cash and 50% shares under the terms of an earn out provision entered into on the acquisition of YRCR on January 27,2000.</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On September 1, 2002 the Company made a cash payment of $3,000,000 to the former shareholders of UCT (U.S.) Inc., ("UCT") under the terms of an earn out provision entered into on the acquisition of UCT on June 8, 2000.</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3. Goodwill</w:t>
            </w:r>
          </w:p>
        </w:tc>
        <w:tc>
          <w:tcPr>
            <w:tcW w:w="22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516"/>
        </w:trPr>
        <w:tc>
          <w:tcPr>
            <w:tcW w:w="2320" w:type="dxa"/>
            <w:vAlign w:val="bottom"/>
          </w:tcPr>
          <w:p>
            <w:pPr>
              <w:spacing w:after="0"/>
              <w:rPr>
                <w:sz w:val="24"/>
                <w:szCs w:val="24"/>
                <w:color w:val="auto"/>
              </w:rPr>
            </w:pPr>
          </w:p>
        </w:tc>
        <w:tc>
          <w:tcPr>
            <w:tcW w:w="22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Six months ended</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Year ended</w:t>
            </w:r>
          </w:p>
        </w:tc>
      </w:tr>
      <w:tr>
        <w:trPr>
          <w:trHeight w:val="172"/>
        </w:trPr>
        <w:tc>
          <w:tcPr>
            <w:tcW w:w="2320" w:type="dxa"/>
            <w:vAlign w:val="bottom"/>
          </w:tcPr>
          <w:p>
            <w:pPr>
              <w:spacing w:after="0"/>
              <w:rPr>
                <w:sz w:val="14"/>
                <w:szCs w:val="14"/>
                <w:color w:val="auto"/>
              </w:rPr>
            </w:pPr>
          </w:p>
        </w:tc>
        <w:tc>
          <w:tcPr>
            <w:tcW w:w="22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2320" w:type="dxa"/>
            <w:vAlign w:val="bottom"/>
          </w:tcPr>
          <w:p>
            <w:pPr>
              <w:spacing w:after="0"/>
              <w:rPr>
                <w:sz w:val="24"/>
                <w:szCs w:val="24"/>
                <w:color w:val="auto"/>
              </w:rPr>
            </w:pPr>
          </w:p>
        </w:tc>
        <w:tc>
          <w:tcPr>
            <w:tcW w:w="2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November 30</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May 31</w:t>
            </w:r>
          </w:p>
        </w:tc>
      </w:tr>
      <w:tr>
        <w:trPr>
          <w:trHeight w:val="172"/>
        </w:trPr>
        <w:tc>
          <w:tcPr>
            <w:tcW w:w="2320" w:type="dxa"/>
            <w:vAlign w:val="bottom"/>
          </w:tcPr>
          <w:p>
            <w:pPr>
              <w:spacing w:after="0"/>
              <w:rPr>
                <w:sz w:val="14"/>
                <w:szCs w:val="14"/>
                <w:color w:val="auto"/>
              </w:rPr>
            </w:pPr>
          </w:p>
        </w:tc>
        <w:tc>
          <w:tcPr>
            <w:tcW w:w="2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2002</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2320" w:type="dxa"/>
            <w:vAlign w:val="bottom"/>
          </w:tcPr>
          <w:p>
            <w:pPr>
              <w:spacing w:after="0"/>
              <w:rPr>
                <w:sz w:val="14"/>
                <w:szCs w:val="14"/>
                <w:color w:val="auto"/>
              </w:rPr>
            </w:pPr>
          </w:p>
        </w:tc>
        <w:tc>
          <w:tcPr>
            <w:tcW w:w="22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(in thousands)</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172"/>
        </w:trPr>
        <w:tc>
          <w:tcPr>
            <w:tcW w:w="2320" w:type="dxa"/>
            <w:vAlign w:val="bottom"/>
          </w:tcPr>
          <w:p>
            <w:pPr>
              <w:spacing w:after="0"/>
              <w:rPr>
                <w:sz w:val="14"/>
                <w:szCs w:val="14"/>
                <w:color w:val="auto"/>
              </w:rPr>
            </w:pPr>
          </w:p>
        </w:tc>
        <w:tc>
          <w:tcPr>
            <w:tcW w:w="22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Opening Balance</w:t>
            </w:r>
          </w:p>
        </w:tc>
        <w:tc>
          <w:tcPr>
            <w:tcW w:w="2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$10,093</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$6,642</w:t>
            </w: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Arising on earn out</w:t>
            </w:r>
          </w:p>
        </w:tc>
        <w:tc>
          <w:tcPr>
            <w:tcW w:w="2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3,287</w:t>
            </w: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Arising on acquisition</w:t>
            </w:r>
          </w:p>
        </w:tc>
        <w:tc>
          <w:tcPr>
            <w:tcW w:w="2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10,477</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Exchange Movement</w:t>
            </w:r>
          </w:p>
        </w:tc>
        <w:tc>
          <w:tcPr>
            <w:tcW w:w="2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205</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164</w:t>
            </w:r>
          </w:p>
        </w:tc>
      </w:tr>
    </w:tbl>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360" w:type="dxa"/>
            <w:vAlign w:val="bottom"/>
          </w:tcPr>
          <w:p>
            <w:pPr>
              <w:spacing w:after="0"/>
              <w:rPr>
                <w:sz w:val="20"/>
                <w:szCs w:val="20"/>
                <w:color w:val="auto"/>
              </w:rPr>
            </w:pPr>
            <w:r>
              <w:rPr>
                <w:rFonts w:ascii="Courier New" w:cs="Courier New" w:eastAsia="Courier New" w:hAnsi="Courier New"/>
                <w:sz w:val="15"/>
                <w:szCs w:val="15"/>
                <w:color w:val="auto"/>
              </w:rPr>
              <w:t>Closing Balance</w:t>
            </w:r>
          </w:p>
        </w:tc>
        <w:tc>
          <w:tcPr>
            <w:tcW w:w="22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$20,775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$10,093</w:t>
            </w:r>
          </w:p>
        </w:tc>
      </w:tr>
    </w:tbl>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599"/>
        <w:spacing w:after="0" w:line="241" w:lineRule="auto"/>
        <w:rPr>
          <w:sz w:val="20"/>
          <w:szCs w:val="20"/>
          <w:color w:val="auto"/>
        </w:rPr>
      </w:pPr>
      <w:r>
        <w:rPr>
          <w:rFonts w:ascii="Courier New" w:cs="Courier New" w:eastAsia="Courier New" w:hAnsi="Courier New"/>
          <w:sz w:val="15"/>
          <w:szCs w:val="15"/>
          <w:color w:val="auto"/>
        </w:rPr>
        <w:t>Goodwill arising on acquisition for the six months ended November 30, 2002 wholly relates to the acquisition of Barton &amp; Polansky, Inc. and Managed Clinical Solutions (see note 2)</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Net income per Ordinary Share</w:t>
      </w:r>
    </w:p>
    <w:p>
      <w:pPr>
        <w:spacing w:after="0" w:line="176"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200" w:lineRule="exact"/>
        <w:rPr>
          <w:sz w:val="20"/>
          <w:szCs w:val="20"/>
          <w:color w:val="auto"/>
        </w:rPr>
      </w:pPr>
    </w:p>
    <w:p>
      <w:pPr>
        <w:spacing w:after="0" w:line="30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5" w:right="1440" w:bottom="1440" w:gutter="0" w:footer="0" w:header="0"/>
        </w:sectPr>
      </w:pPr>
    </w:p>
    <w:bookmarkStart w:id="9" w:name="page10"/>
    <w:bookmarkEnd w:id="9"/>
    <w:p>
      <w:pPr>
        <w:ind w:left="8" w:right="4400"/>
        <w:spacing w:after="0" w:line="241" w:lineRule="auto"/>
        <w:rPr>
          <w:sz w:val="20"/>
          <w:szCs w:val="20"/>
          <w:color w:val="auto"/>
        </w:rPr>
      </w:pPr>
      <w:r>
        <w:rPr>
          <w:rFonts w:ascii="Courier New" w:cs="Courier New" w:eastAsia="Courier New" w:hAnsi="Courier New"/>
          <w:sz w:val="15"/>
          <w:szCs w:val="15"/>
          <w:color w:val="auto"/>
        </w:rPr>
        <w:t>There is no difference in net income used for basic and diluted net income per Ordinary Share. The reconciliation of the number of shares used in the computation of basic and diluted net income per Ordinary Share is as follows:</w:t>
      </w:r>
    </w:p>
    <w:p>
      <w:pPr>
        <w:sectPr>
          <w:pgSz w:w="11900" w:h="16838" w:orient="portrait"/>
          <w:cols w:equalWidth="0" w:num="1">
            <w:col w:w="11368"/>
          </w:cols>
          <w:pgMar w:left="232" w:top="63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788"/>
        <w:spacing w:after="0"/>
        <w:rPr>
          <w:sz w:val="20"/>
          <w:szCs w:val="20"/>
          <w:color w:val="auto"/>
        </w:rPr>
      </w:pPr>
      <w:r>
        <w:rPr>
          <w:rFonts w:ascii="Courier New" w:cs="Courier New" w:eastAsia="Courier New" w:hAnsi="Courier New"/>
          <w:sz w:val="15"/>
          <w:szCs w:val="15"/>
          <w:color w:val="auto"/>
        </w:rPr>
        <w:t>Three Months Ended</w:t>
      </w:r>
    </w:p>
    <w:p>
      <w:pPr>
        <w:spacing w:after="0" w:line="2" w:lineRule="exact"/>
        <w:rPr>
          <w:sz w:val="20"/>
          <w:szCs w:val="20"/>
          <w:color w:val="auto"/>
        </w:rPr>
      </w:pPr>
    </w:p>
    <w:p>
      <w:pPr>
        <w:ind w:left="7148"/>
        <w:spacing w:after="0"/>
        <w:rPr>
          <w:sz w:val="20"/>
          <w:szCs w:val="20"/>
          <w:color w:val="auto"/>
        </w:rPr>
      </w:pPr>
      <w:r>
        <w:rPr>
          <w:rFonts w:ascii="Courier New" w:cs="Courier New" w:eastAsia="Courier New" w:hAnsi="Courier New"/>
          <w:sz w:val="15"/>
          <w:szCs w:val="15"/>
          <w:color w:val="auto"/>
        </w:rPr>
        <w:t>November 30,</w:t>
      </w:r>
    </w:p>
    <w:p>
      <w:pPr>
        <w:spacing w:after="0" w:line="2" w:lineRule="exact"/>
        <w:rPr>
          <w:sz w:val="20"/>
          <w:szCs w:val="20"/>
          <w:color w:val="auto"/>
        </w:rPr>
      </w:pPr>
    </w:p>
    <w:p>
      <w:pPr>
        <w:ind w:left="71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6968"/>
        <w:spacing w:after="0"/>
        <w:tabs>
          <w:tab w:leader="none" w:pos="8308" w:val="left"/>
        </w:tabs>
        <w:rPr>
          <w:sz w:val="20"/>
          <w:szCs w:val="20"/>
          <w:color w:val="auto"/>
        </w:rPr>
      </w:pP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p>
    <w:p>
      <w:pPr>
        <w:spacing w:after="0" w:line="13" w:lineRule="exact"/>
        <w:rPr>
          <w:sz w:val="20"/>
          <w:szCs w:val="20"/>
          <w:color w:val="auto"/>
        </w:rPr>
      </w:pPr>
    </w:p>
    <w:p>
      <w:pPr>
        <w:ind w:left="6968"/>
        <w:spacing w:after="0"/>
        <w:tabs>
          <w:tab w:leader="none" w:pos="8308"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Six Months Ended</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November 30,</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8848" w:space="720"/>
            <w:col w:w="1800"/>
          </w:cols>
          <w:pgMar w:left="232" w:top="635" w:right="299" w:bottom="1440" w:gutter="0" w:footer="0" w:header="0"/>
          <w:type w:val="continuous"/>
        </w:sectPr>
      </w:pPr>
    </w:p>
    <w:p>
      <w:pPr>
        <w:spacing w:after="0" w:line="157"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Weighted average number of Ordinary Shares outstanding for</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basic net income per Ordinary Share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Effect of dilutive share options outstanding</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640"/>
        <w:spacing w:after="0"/>
        <w:tabs>
          <w:tab w:leader="none" w:pos="1960" w:val="left"/>
          <w:tab w:leader="none" w:pos="3200" w:val="left"/>
          <w:tab w:leader="none" w:pos="4540" w:val="left"/>
        </w:tabs>
        <w:rPr>
          <w:sz w:val="20"/>
          <w:szCs w:val="20"/>
          <w:color w:val="auto"/>
        </w:rPr>
      </w:pPr>
      <w:r>
        <w:rPr>
          <w:rFonts w:ascii="Courier New" w:cs="Courier New" w:eastAsia="Courier New" w:hAnsi="Courier New"/>
          <w:sz w:val="15"/>
          <w:szCs w:val="15"/>
          <w:color w:val="auto"/>
        </w:rPr>
        <w:t>11,804,345</w:t>
      </w:r>
      <w:r>
        <w:rPr>
          <w:sz w:val="20"/>
          <w:szCs w:val="20"/>
          <w:color w:val="auto"/>
        </w:rPr>
        <w:tab/>
      </w:r>
      <w:r>
        <w:rPr>
          <w:rFonts w:ascii="Courier New" w:cs="Courier New" w:eastAsia="Courier New" w:hAnsi="Courier New"/>
          <w:sz w:val="15"/>
          <w:szCs w:val="15"/>
          <w:color w:val="auto"/>
        </w:rPr>
        <w:t>11,667,504</w:t>
      </w:r>
      <w:r>
        <w:rPr>
          <w:sz w:val="20"/>
          <w:szCs w:val="20"/>
          <w:color w:val="auto"/>
        </w:rPr>
        <w:tab/>
      </w:r>
      <w:r>
        <w:rPr>
          <w:rFonts w:ascii="Courier New" w:cs="Courier New" w:eastAsia="Courier New" w:hAnsi="Courier New"/>
          <w:sz w:val="15"/>
          <w:szCs w:val="15"/>
          <w:color w:val="auto"/>
        </w:rPr>
        <w:t>11,799,125</w:t>
      </w:r>
      <w:r>
        <w:rPr>
          <w:sz w:val="20"/>
          <w:szCs w:val="20"/>
          <w:color w:val="auto"/>
        </w:rPr>
        <w:tab/>
      </w:r>
      <w:r>
        <w:rPr>
          <w:rFonts w:ascii="Courier New" w:cs="Courier New" w:eastAsia="Courier New" w:hAnsi="Courier New"/>
          <w:sz w:val="15"/>
          <w:szCs w:val="15"/>
          <w:color w:val="auto"/>
        </w:rPr>
        <w:t>11,507,105</w:t>
      </w:r>
    </w:p>
    <w:p>
      <w:pPr>
        <w:spacing w:after="0" w:line="2" w:lineRule="exact"/>
        <w:rPr>
          <w:sz w:val="20"/>
          <w:szCs w:val="20"/>
          <w:color w:val="auto"/>
        </w:rPr>
      </w:pPr>
    </w:p>
    <w:p>
      <w:pPr>
        <w:ind w:left="900"/>
        <w:spacing w:after="0"/>
        <w:tabs>
          <w:tab w:leader="none" w:pos="2220" w:val="left"/>
          <w:tab w:leader="none" w:pos="3480" w:val="left"/>
          <w:tab w:leader="none" w:pos="4820" w:val="left"/>
        </w:tabs>
        <w:rPr>
          <w:sz w:val="20"/>
          <w:szCs w:val="20"/>
          <w:color w:val="auto"/>
        </w:rPr>
      </w:pPr>
      <w:r>
        <w:rPr>
          <w:rFonts w:ascii="Courier New" w:cs="Courier New" w:eastAsia="Courier New" w:hAnsi="Courier New"/>
          <w:sz w:val="15"/>
          <w:szCs w:val="15"/>
          <w:color w:val="auto"/>
        </w:rPr>
        <w:t>343,357</w:t>
      </w:r>
      <w:r>
        <w:rPr>
          <w:sz w:val="20"/>
          <w:szCs w:val="20"/>
          <w:color w:val="auto"/>
        </w:rPr>
        <w:tab/>
      </w:r>
      <w:r>
        <w:rPr>
          <w:rFonts w:ascii="Courier New" w:cs="Courier New" w:eastAsia="Courier New" w:hAnsi="Courier New"/>
          <w:sz w:val="15"/>
          <w:szCs w:val="15"/>
          <w:color w:val="auto"/>
        </w:rPr>
        <w:t>574,959</w:t>
      </w:r>
      <w:r>
        <w:rPr>
          <w:sz w:val="20"/>
          <w:szCs w:val="20"/>
          <w:color w:val="auto"/>
        </w:rPr>
        <w:tab/>
      </w:r>
      <w:r>
        <w:rPr>
          <w:rFonts w:ascii="Courier New" w:cs="Courier New" w:eastAsia="Courier New" w:hAnsi="Courier New"/>
          <w:sz w:val="15"/>
          <w:szCs w:val="15"/>
          <w:color w:val="auto"/>
        </w:rPr>
        <w:t>343,909</w:t>
      </w:r>
      <w:r>
        <w:rPr>
          <w:sz w:val="20"/>
          <w:szCs w:val="20"/>
          <w:color w:val="auto"/>
        </w:rPr>
        <w:tab/>
      </w:r>
      <w:r>
        <w:rPr>
          <w:rFonts w:ascii="Courier New" w:cs="Courier New" w:eastAsia="Courier New" w:hAnsi="Courier New"/>
          <w:sz w:val="14"/>
          <w:szCs w:val="14"/>
          <w:color w:val="auto"/>
        </w:rPr>
        <w:t>717,736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p>
      <w:pPr>
        <w:sectPr>
          <w:pgSz w:w="11900" w:h="16838" w:orient="portrait"/>
          <w:cols w:equalWidth="0" w:num="2">
            <w:col w:w="5188" w:space="620"/>
            <w:col w:w="5560"/>
          </w:cols>
          <w:pgMar w:left="232" w:top="635" w:right="299"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Weighted average number of Ordinary Shares for diluted net income per Ordinary Share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640"/>
        <w:spacing w:after="0"/>
        <w:tabs>
          <w:tab w:leader="none" w:pos="1960" w:val="left"/>
          <w:tab w:leader="none" w:pos="3200" w:val="left"/>
          <w:tab w:leader="none" w:pos="4540" w:val="left"/>
        </w:tabs>
        <w:rPr>
          <w:sz w:val="20"/>
          <w:szCs w:val="20"/>
          <w:color w:val="auto"/>
        </w:rPr>
      </w:pPr>
      <w:r>
        <w:rPr>
          <w:rFonts w:ascii="Courier New" w:cs="Courier New" w:eastAsia="Courier New" w:hAnsi="Courier New"/>
          <w:sz w:val="15"/>
          <w:szCs w:val="15"/>
          <w:color w:val="auto"/>
        </w:rPr>
        <w:t>12,147,702</w:t>
      </w:r>
      <w:r>
        <w:rPr>
          <w:sz w:val="20"/>
          <w:szCs w:val="20"/>
          <w:color w:val="auto"/>
        </w:rPr>
        <w:tab/>
      </w:r>
      <w:r>
        <w:rPr>
          <w:rFonts w:ascii="Courier New" w:cs="Courier New" w:eastAsia="Courier New" w:hAnsi="Courier New"/>
          <w:sz w:val="15"/>
          <w:szCs w:val="15"/>
          <w:color w:val="auto"/>
        </w:rPr>
        <w:t>12,242,463</w:t>
      </w:r>
      <w:r>
        <w:rPr>
          <w:sz w:val="20"/>
          <w:szCs w:val="20"/>
          <w:color w:val="auto"/>
        </w:rPr>
        <w:tab/>
      </w:r>
      <w:r>
        <w:rPr>
          <w:rFonts w:ascii="Courier New" w:cs="Courier New" w:eastAsia="Courier New" w:hAnsi="Courier New"/>
          <w:sz w:val="15"/>
          <w:szCs w:val="15"/>
          <w:color w:val="auto"/>
        </w:rPr>
        <w:t>12,143,034</w:t>
      </w:r>
      <w:r>
        <w:rPr>
          <w:sz w:val="20"/>
          <w:szCs w:val="20"/>
          <w:color w:val="auto"/>
        </w:rPr>
        <w:tab/>
      </w:r>
      <w:r>
        <w:rPr>
          <w:rFonts w:ascii="Courier New" w:cs="Courier New" w:eastAsia="Courier New" w:hAnsi="Courier New"/>
          <w:sz w:val="15"/>
          <w:szCs w:val="15"/>
          <w:color w:val="auto"/>
        </w:rPr>
        <w:t>12,224,841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ectPr>
          <w:pgSz w:w="11900" w:h="16838" w:orient="portrait"/>
          <w:cols w:equalWidth="0" w:num="2">
            <w:col w:w="5188" w:space="620"/>
            <w:col w:w="5560"/>
          </w:cols>
          <w:pgMar w:left="232" w:top="635" w:right="299" w:bottom="144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5. Business Segment Information</w:t>
      </w:r>
    </w:p>
    <w:p>
      <w:pPr>
        <w:spacing w:after="0" w:line="176" w:lineRule="exact"/>
        <w:rPr>
          <w:sz w:val="20"/>
          <w:szCs w:val="20"/>
          <w:color w:val="auto"/>
        </w:rPr>
      </w:pPr>
    </w:p>
    <w:p>
      <w:pPr>
        <w:ind w:left="8" w:right="4220"/>
        <w:spacing w:after="0" w:line="242" w:lineRule="auto"/>
        <w:rPr>
          <w:sz w:val="20"/>
          <w:szCs w:val="20"/>
          <w:color w:val="auto"/>
        </w:rPr>
      </w:pPr>
      <w:r>
        <w:rPr>
          <w:rFonts w:ascii="Courier New" w:cs="Courier New" w:eastAsia="Courier New" w:hAnsi="Courier New"/>
          <w:sz w:val="15"/>
          <w:szCs w:val="15"/>
          <w:color w:val="auto"/>
        </w:rPr>
        <w:t>The Company's areas of operation outside of Ireland principally include the United States, United Kingdom, Germany, France, The Netherlands, Latvia, Israel, Australia, Argentina, Japan, Singapore, South Africa, Canada and India. Segment information for the three and six month periods ended November 30, 2002 and 2001 are as follows:</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a) The distribution of net revenue by geographical area was as 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628" w:type="dxa"/>
        <w:tblCellMar>
          <w:top w:w="0" w:type="dxa"/>
          <w:left w:w="0" w:type="dxa"/>
          <w:bottom w:w="0" w:type="dxa"/>
          <w:right w:w="0" w:type="dxa"/>
        </w:tblCellMar>
      </w:tblPr>
      <w:tr>
        <w:trPr>
          <w:trHeight w:val="170"/>
        </w:trPr>
        <w:tc>
          <w:tcPr>
            <w:tcW w:w="2180" w:type="dxa"/>
            <w:vAlign w:val="bottom"/>
          </w:tcPr>
          <w:p>
            <w:pPr>
              <w:spacing w:after="0"/>
              <w:rPr>
                <w:sz w:val="14"/>
                <w:szCs w:val="14"/>
                <w:color w:val="auto"/>
              </w:rPr>
            </w:pPr>
          </w:p>
        </w:tc>
        <w:tc>
          <w:tcPr>
            <w:tcW w:w="33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Three Months Ended</w:t>
            </w:r>
          </w:p>
        </w:tc>
        <w:tc>
          <w:tcPr>
            <w:tcW w:w="2640" w:type="dxa"/>
            <w:vAlign w:val="bottom"/>
            <w:gridSpan w:val="2"/>
          </w:tcPr>
          <w:p>
            <w:pPr>
              <w:jc w:val="center"/>
              <w:ind w:left="245"/>
              <w:spacing w:after="0"/>
              <w:rPr>
                <w:sz w:val="20"/>
                <w:szCs w:val="20"/>
                <w:color w:val="auto"/>
              </w:rPr>
            </w:pPr>
            <w:r>
              <w:rPr>
                <w:rFonts w:ascii="Courier New" w:cs="Courier New" w:eastAsia="Courier New" w:hAnsi="Courier New"/>
                <w:sz w:val="15"/>
                <w:szCs w:val="15"/>
                <w:color w:val="auto"/>
                <w:w w:val="99"/>
              </w:rPr>
              <w:t>Six Months Ended</w:t>
            </w:r>
          </w:p>
        </w:tc>
      </w:tr>
      <w:tr>
        <w:trPr>
          <w:trHeight w:val="172"/>
        </w:trPr>
        <w:tc>
          <w:tcPr>
            <w:tcW w:w="2180" w:type="dxa"/>
            <w:vAlign w:val="bottom"/>
          </w:tcPr>
          <w:p>
            <w:pPr>
              <w:spacing w:after="0"/>
              <w:rPr>
                <w:sz w:val="14"/>
                <w:szCs w:val="14"/>
                <w:color w:val="auto"/>
              </w:rPr>
            </w:pPr>
          </w:p>
        </w:tc>
        <w:tc>
          <w:tcPr>
            <w:tcW w:w="3320" w:type="dxa"/>
            <w:vAlign w:val="bottom"/>
            <w:gridSpan w:val="2"/>
          </w:tcPr>
          <w:p>
            <w:pPr>
              <w:ind w:left="1480"/>
              <w:spacing w:after="0"/>
              <w:rPr>
                <w:sz w:val="20"/>
                <w:szCs w:val="20"/>
                <w:color w:val="auto"/>
              </w:rPr>
            </w:pPr>
            <w:r>
              <w:rPr>
                <w:rFonts w:ascii="Courier New" w:cs="Courier New" w:eastAsia="Courier New" w:hAnsi="Courier New"/>
                <w:sz w:val="15"/>
                <w:szCs w:val="15"/>
                <w:color w:val="auto"/>
              </w:rPr>
              <w:t>November 30,</w:t>
            </w:r>
          </w:p>
        </w:tc>
        <w:tc>
          <w:tcPr>
            <w:tcW w:w="940" w:type="dxa"/>
            <w:vAlign w:val="bottom"/>
          </w:tcPr>
          <w:p>
            <w:pPr>
              <w:spacing w:after="0"/>
              <w:rPr>
                <w:sz w:val="14"/>
                <w:szCs w:val="14"/>
                <w:color w:val="auto"/>
              </w:rPr>
            </w:pPr>
          </w:p>
        </w:tc>
        <w:tc>
          <w:tcPr>
            <w:tcW w:w="1700" w:type="dxa"/>
            <w:vAlign w:val="bottom"/>
          </w:tcPr>
          <w:p>
            <w:pPr>
              <w:jc w:val="center"/>
              <w:ind w:right="545"/>
              <w:spacing w:after="0"/>
              <w:rPr>
                <w:sz w:val="20"/>
                <w:szCs w:val="20"/>
                <w:color w:val="auto"/>
              </w:rPr>
            </w:pPr>
            <w:r>
              <w:rPr>
                <w:rFonts w:ascii="Courier New" w:cs="Courier New" w:eastAsia="Courier New" w:hAnsi="Courier New"/>
                <w:sz w:val="15"/>
                <w:szCs w:val="15"/>
                <w:color w:val="auto"/>
                <w:w w:val="99"/>
              </w:rPr>
              <w:t>November 30,</w:t>
            </w:r>
          </w:p>
        </w:tc>
      </w:tr>
      <w:tr>
        <w:trPr>
          <w:trHeight w:val="172"/>
        </w:trPr>
        <w:tc>
          <w:tcPr>
            <w:tcW w:w="2180" w:type="dxa"/>
            <w:vAlign w:val="bottom"/>
          </w:tcPr>
          <w:p>
            <w:pPr>
              <w:spacing w:after="0"/>
              <w:rPr>
                <w:sz w:val="14"/>
                <w:szCs w:val="14"/>
                <w:color w:val="auto"/>
              </w:rPr>
            </w:pPr>
          </w:p>
        </w:tc>
        <w:tc>
          <w:tcPr>
            <w:tcW w:w="3320" w:type="dxa"/>
            <w:vAlign w:val="bottom"/>
            <w:gridSpan w:val="2"/>
          </w:tcPr>
          <w:p>
            <w:pPr>
              <w:ind w:left="14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700" w:type="dxa"/>
            <w:vAlign w:val="bottom"/>
          </w:tcPr>
          <w:p>
            <w:pPr>
              <w:jc w:val="center"/>
              <w:ind w:right="54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2180" w:type="dxa"/>
            <w:vAlign w:val="bottom"/>
          </w:tcPr>
          <w:p>
            <w:pPr>
              <w:spacing w:after="0"/>
              <w:rPr>
                <w:sz w:val="14"/>
                <w:szCs w:val="14"/>
                <w:color w:val="auto"/>
              </w:rPr>
            </w:pPr>
          </w:p>
        </w:tc>
        <w:tc>
          <w:tcPr>
            <w:tcW w:w="24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2002</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2180" w:type="dxa"/>
            <w:vAlign w:val="bottom"/>
          </w:tcPr>
          <w:p>
            <w:pPr>
              <w:spacing w:after="0"/>
              <w:rPr>
                <w:sz w:val="14"/>
                <w:szCs w:val="14"/>
                <w:color w:val="auto"/>
              </w:rPr>
            </w:pPr>
          </w:p>
        </w:tc>
        <w:tc>
          <w:tcPr>
            <w:tcW w:w="24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spacing w:after="0"/>
              <w:rPr>
                <w:sz w:val="14"/>
                <w:szCs w:val="14"/>
                <w:color w:val="auto"/>
              </w:rPr>
            </w:pPr>
          </w:p>
        </w:tc>
        <w:tc>
          <w:tcPr>
            <w:tcW w:w="3320" w:type="dxa"/>
            <w:vAlign w:val="bottom"/>
            <w:gridSpan w:val="2"/>
          </w:tcPr>
          <w:p>
            <w:pPr>
              <w:ind w:left="1480"/>
              <w:spacing w:after="0"/>
              <w:rPr>
                <w:sz w:val="20"/>
                <w:szCs w:val="20"/>
                <w:color w:val="auto"/>
              </w:rPr>
            </w:pPr>
            <w:r>
              <w:rPr>
                <w:rFonts w:ascii="Courier New" w:cs="Courier New" w:eastAsia="Courier New" w:hAnsi="Courier New"/>
                <w:sz w:val="15"/>
                <w:szCs w:val="15"/>
                <w:color w:val="auto"/>
              </w:rPr>
              <w:t>(in thousands)</w:t>
            </w:r>
          </w:p>
        </w:tc>
        <w:tc>
          <w:tcPr>
            <w:tcW w:w="2640" w:type="dxa"/>
            <w:vAlign w:val="bottom"/>
            <w:gridSpan w:val="2"/>
          </w:tcPr>
          <w:p>
            <w:pPr>
              <w:jc w:val="center"/>
              <w:ind w:left="225"/>
              <w:spacing w:after="0"/>
              <w:rPr>
                <w:sz w:val="20"/>
                <w:szCs w:val="20"/>
                <w:color w:val="auto"/>
              </w:rPr>
            </w:pPr>
            <w:r>
              <w:rPr>
                <w:rFonts w:ascii="Courier New" w:cs="Courier New" w:eastAsia="Courier New" w:hAnsi="Courier New"/>
                <w:sz w:val="15"/>
                <w:szCs w:val="15"/>
                <w:color w:val="auto"/>
                <w:w w:val="99"/>
              </w:rPr>
              <w:t>(in thousands)</w:t>
            </w:r>
          </w:p>
        </w:tc>
      </w:tr>
      <w:tr>
        <w:trPr>
          <w:trHeight w:val="344"/>
        </w:trPr>
        <w:tc>
          <w:tcPr>
            <w:tcW w:w="218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4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$7,135</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$4,622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$12,301</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$9,028</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4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7,915</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7,070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14,930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13,184</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4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37,185</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25,097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70,579</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50,045</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4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1,300</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980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2,584</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1,731</w:t>
            </w:r>
          </w:p>
        </w:tc>
      </w:tr>
    </w:tbl>
    <w:p>
      <w:pPr>
        <w:spacing w:after="0" w:line="4" w:lineRule="exact"/>
        <w:rPr>
          <w:sz w:val="20"/>
          <w:szCs w:val="20"/>
          <w:color w:val="auto"/>
        </w:rPr>
      </w:pPr>
    </w:p>
    <w:p>
      <w:pPr>
        <w:ind w:left="628"/>
        <w:spacing w:after="0"/>
        <w:rPr>
          <w:sz w:val="20"/>
          <w:szCs w:val="20"/>
          <w:color w:val="auto"/>
        </w:rPr>
      </w:pPr>
      <w:r>
        <w:rPr>
          <w:rFonts w:ascii="Courier New" w:cs="Courier New" w:eastAsia="Courier New" w:hAnsi="Courier New"/>
          <w:sz w:val="14"/>
          <w:szCs w:val="14"/>
          <w:color w:val="auto"/>
        </w:rPr>
        <w:t>------------------------------------------ ---------------- ------------- ------------------</w:t>
      </w:r>
    </w:p>
    <w:p>
      <w:pPr>
        <w:spacing w:after="0" w:line="184" w:lineRule="exact"/>
        <w:rPr>
          <w:sz w:val="20"/>
          <w:szCs w:val="20"/>
          <w:color w:val="auto"/>
        </w:rPr>
      </w:pPr>
    </w:p>
    <w:tbl>
      <w:tblPr>
        <w:tblLayout w:type="fixed"/>
        <w:tblInd w:w="628" w:type="dxa"/>
        <w:tblCellMar>
          <w:top w:w="0" w:type="dxa"/>
          <w:left w:w="0" w:type="dxa"/>
          <w:bottom w:w="0" w:type="dxa"/>
          <w:right w:w="0" w:type="dxa"/>
        </w:tblCellMar>
      </w:tblPr>
      <w:tr>
        <w:trPr>
          <w:trHeight w:val="170"/>
        </w:trPr>
        <w:tc>
          <w:tcPr>
            <w:tcW w:w="17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3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$53,535</w:t>
            </w:r>
          </w:p>
        </w:tc>
        <w:tc>
          <w:tcPr>
            <w:tcW w:w="13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$37,769</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$100,394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$73,988</w:t>
            </w:r>
          </w:p>
        </w:tc>
      </w:tr>
    </w:tbl>
    <w:p>
      <w:pPr>
        <w:spacing w:after="0" w:line="4" w:lineRule="exact"/>
        <w:rPr>
          <w:sz w:val="20"/>
          <w:szCs w:val="20"/>
          <w:color w:val="auto"/>
        </w:rPr>
      </w:pPr>
    </w:p>
    <w:p>
      <w:pPr>
        <w:ind w:left="628"/>
        <w:spacing w:after="0"/>
        <w:rPr>
          <w:sz w:val="20"/>
          <w:szCs w:val="20"/>
          <w:color w:val="auto"/>
        </w:rPr>
      </w:pPr>
      <w:r>
        <w:rPr>
          <w:rFonts w:ascii="Courier New" w:cs="Courier New" w:eastAsia="Courier New" w:hAnsi="Courier New"/>
          <w:sz w:val="14"/>
          <w:szCs w:val="14"/>
          <w:color w:val="auto"/>
        </w:rPr>
        <w:t>------------------------------------------ ---------------- ------------- ------------------</w:t>
      </w:r>
    </w:p>
    <w:p>
      <w:pPr>
        <w:spacing w:after="0" w:line="12" w:lineRule="exact"/>
        <w:rPr>
          <w:sz w:val="20"/>
          <w:szCs w:val="20"/>
          <w:color w:val="auto"/>
        </w:rPr>
      </w:pPr>
    </w:p>
    <w:p>
      <w:pPr>
        <w:ind w:left="808" w:hanging="182"/>
        <w:spacing w:after="0"/>
        <w:tabs>
          <w:tab w:leader="none" w:pos="808"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sales shown for Ireland are export sales.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34"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net revenue by business segment was as 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628"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308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Three months ended</w:t>
            </w:r>
          </w:p>
        </w:tc>
        <w:tc>
          <w:tcPr>
            <w:tcW w:w="26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2320" w:type="dxa"/>
            <w:vAlign w:val="bottom"/>
          </w:tcPr>
          <w:p>
            <w:pPr>
              <w:spacing w:after="0"/>
              <w:rPr>
                <w:sz w:val="14"/>
                <w:szCs w:val="14"/>
                <w:color w:val="auto"/>
              </w:rPr>
            </w:pPr>
          </w:p>
        </w:tc>
        <w:tc>
          <w:tcPr>
            <w:tcW w:w="2240" w:type="dxa"/>
            <w:vAlign w:val="bottom"/>
          </w:tcPr>
          <w:p>
            <w:pPr>
              <w:ind w:left="1160"/>
              <w:spacing w:after="0"/>
              <w:rPr>
                <w:sz w:val="20"/>
                <w:szCs w:val="20"/>
                <w:color w:val="auto"/>
              </w:rPr>
            </w:pPr>
            <w:r>
              <w:rPr>
                <w:rFonts w:ascii="Courier New" w:cs="Courier New" w:eastAsia="Courier New" w:hAnsi="Courier New"/>
                <w:sz w:val="15"/>
                <w:szCs w:val="15"/>
                <w:color w:val="auto"/>
                <w:w w:val="98"/>
              </w:rPr>
              <w:t>November 30,</w:t>
            </w: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8"/>
              </w:rPr>
              <w:t>November 30,</w:t>
            </w:r>
          </w:p>
        </w:tc>
      </w:tr>
      <w:tr>
        <w:trPr>
          <w:trHeight w:val="172"/>
        </w:trPr>
        <w:tc>
          <w:tcPr>
            <w:tcW w:w="2320" w:type="dxa"/>
            <w:vAlign w:val="bottom"/>
          </w:tcPr>
          <w:p>
            <w:pPr>
              <w:spacing w:after="0"/>
              <w:rPr>
                <w:sz w:val="14"/>
                <w:szCs w:val="14"/>
                <w:color w:val="auto"/>
              </w:rPr>
            </w:pPr>
          </w:p>
        </w:tc>
        <w:tc>
          <w:tcPr>
            <w:tcW w:w="2240" w:type="dxa"/>
            <w:vAlign w:val="bottom"/>
          </w:tcPr>
          <w:p>
            <w:pPr>
              <w:ind w:left="1160"/>
              <w:spacing w:after="0"/>
              <w:rPr>
                <w:sz w:val="20"/>
                <w:szCs w:val="20"/>
                <w:color w:val="auto"/>
              </w:rPr>
            </w:pPr>
            <w:r>
              <w:rPr>
                <w:rFonts w:ascii="Courier New" w:cs="Courier New" w:eastAsia="Courier New" w:hAnsi="Courier New"/>
                <w:sz w:val="15"/>
                <w:szCs w:val="15"/>
                <w:color w:val="auto"/>
                <w:w w:val="98"/>
              </w:rPr>
              <w:t>------------</w:t>
            </w: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320" w:type="dxa"/>
            <w:vAlign w:val="bottom"/>
          </w:tcPr>
          <w:p>
            <w:pPr>
              <w:spacing w:after="0"/>
              <w:rPr>
                <w:sz w:val="14"/>
                <w:szCs w:val="14"/>
                <w:color w:val="auto"/>
              </w:rPr>
            </w:pPr>
          </w:p>
        </w:tc>
        <w:tc>
          <w:tcPr>
            <w:tcW w:w="22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2002</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2001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2320" w:type="dxa"/>
            <w:vAlign w:val="bottom"/>
          </w:tcPr>
          <w:p>
            <w:pPr>
              <w:spacing w:after="0"/>
              <w:rPr>
                <w:sz w:val="14"/>
                <w:szCs w:val="14"/>
                <w:color w:val="auto"/>
              </w:rPr>
            </w:pPr>
          </w:p>
        </w:tc>
        <w:tc>
          <w:tcPr>
            <w:tcW w:w="22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14"/>
                <w:szCs w:val="14"/>
                <w:color w:val="auto"/>
              </w:rPr>
            </w:pPr>
          </w:p>
        </w:tc>
        <w:tc>
          <w:tcPr>
            <w:tcW w:w="3080" w:type="dxa"/>
            <w:vAlign w:val="bottom"/>
            <w:gridSpan w:val="2"/>
          </w:tcPr>
          <w:p>
            <w:pPr>
              <w:ind w:left="1160"/>
              <w:spacing w:after="0"/>
              <w:rPr>
                <w:sz w:val="20"/>
                <w:szCs w:val="20"/>
                <w:color w:val="auto"/>
              </w:rPr>
            </w:pPr>
            <w:r>
              <w:rPr>
                <w:rFonts w:ascii="Courier New" w:cs="Courier New" w:eastAsia="Courier New" w:hAnsi="Courier New"/>
                <w:sz w:val="15"/>
                <w:szCs w:val="15"/>
                <w:color w:val="auto"/>
              </w:rPr>
              <w:t>(in thousands)</w:t>
            </w:r>
          </w:p>
        </w:tc>
        <w:tc>
          <w:tcPr>
            <w:tcW w:w="940" w:type="dxa"/>
            <w:vAlign w:val="bottom"/>
          </w:tcPr>
          <w:p>
            <w:pPr>
              <w:spacing w:after="0"/>
              <w:rPr>
                <w:sz w:val="14"/>
                <w:szCs w:val="14"/>
                <w:color w:val="auto"/>
              </w:rPr>
            </w:pPr>
          </w:p>
        </w:tc>
        <w:tc>
          <w:tcPr>
            <w:tcW w:w="17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(in thousands)</w:t>
            </w:r>
          </w:p>
        </w:tc>
      </w:tr>
      <w:tr>
        <w:trPr>
          <w:trHeight w:val="344"/>
        </w:trPr>
        <w:tc>
          <w:tcPr>
            <w:tcW w:w="232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2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$6,030</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$6,393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$13,217</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$11,393</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2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47,505</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31,376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87,177</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62,595</w:t>
            </w:r>
          </w:p>
        </w:tc>
      </w:tr>
    </w:tbl>
    <w:p>
      <w:pPr>
        <w:spacing w:after="0" w:line="2"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 ---------------- ------------- ------------------</w:t>
      </w:r>
    </w:p>
    <w:p>
      <w:pPr>
        <w:spacing w:after="0" w:line="174" w:lineRule="exact"/>
        <w:rPr>
          <w:sz w:val="20"/>
          <w:szCs w:val="20"/>
          <w:color w:val="auto"/>
        </w:rPr>
      </w:pPr>
    </w:p>
    <w:tbl>
      <w:tblPr>
        <w:tblLayout w:type="fixed"/>
        <w:tblInd w:w="628" w:type="dxa"/>
        <w:tblCellMar>
          <w:top w:w="0" w:type="dxa"/>
          <w:left w:w="0" w:type="dxa"/>
          <w:bottom w:w="0" w:type="dxa"/>
          <w:right w:w="0" w:type="dxa"/>
        </w:tblCellMar>
      </w:tblP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3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$53,535</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$37,769</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$100,394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$73,988</w:t>
            </w:r>
          </w:p>
        </w:tc>
      </w:tr>
    </w:tbl>
    <w:p>
      <w:pPr>
        <w:spacing w:after="0" w:line="2"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368"/>
          </w:cols>
          <w:pgMar w:left="232" w:top="635" w:right="299" w:bottom="1440" w:gutter="0" w:footer="0" w:header="0"/>
          <w:type w:val="continuous"/>
        </w:sectPr>
      </w:pPr>
    </w:p>
    <w:bookmarkStart w:id="10" w:name="page11"/>
    <w:bookmarkEnd w:id="10"/>
    <w:p>
      <w:pPr>
        <w:ind w:left="700" w:hanging="261"/>
        <w:spacing w:after="0"/>
        <w:tabs>
          <w:tab w:leader="none" w:pos="7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income from operations by geographical area was as</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334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rPr>
              <w:t>Three months ended</w:t>
            </w:r>
          </w:p>
        </w:tc>
        <w:tc>
          <w:tcPr>
            <w:tcW w:w="25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2240" w:type="dxa"/>
            <w:vAlign w:val="bottom"/>
          </w:tcPr>
          <w:p>
            <w:pPr>
              <w:spacing w:after="0"/>
              <w:rPr>
                <w:sz w:val="14"/>
                <w:szCs w:val="14"/>
                <w:color w:val="auto"/>
              </w:rPr>
            </w:pPr>
          </w:p>
        </w:tc>
        <w:tc>
          <w:tcPr>
            <w:tcW w:w="3340" w:type="dxa"/>
            <w:vAlign w:val="bottom"/>
            <w:gridSpan w:val="2"/>
          </w:tcPr>
          <w:p>
            <w:pPr>
              <w:jc w:val="right"/>
              <w:ind w:right="865"/>
              <w:spacing w:after="0"/>
              <w:rPr>
                <w:sz w:val="20"/>
                <w:szCs w:val="20"/>
                <w:color w:val="auto"/>
              </w:rPr>
            </w:pPr>
            <w:r>
              <w:rPr>
                <w:rFonts w:ascii="Courier New" w:cs="Courier New" w:eastAsia="Courier New" w:hAnsi="Courier New"/>
                <w:sz w:val="15"/>
                <w:szCs w:val="15"/>
                <w:color w:val="auto"/>
              </w:rPr>
              <w:t>November 30,</w:t>
            </w:r>
          </w:p>
        </w:tc>
        <w:tc>
          <w:tcPr>
            <w:tcW w:w="860" w:type="dxa"/>
            <w:vAlign w:val="bottom"/>
          </w:tcPr>
          <w:p>
            <w:pPr>
              <w:spacing w:after="0"/>
              <w:rPr>
                <w:sz w:val="14"/>
                <w:szCs w:val="14"/>
                <w:color w:val="auto"/>
              </w:rPr>
            </w:pPr>
          </w:p>
        </w:tc>
        <w:tc>
          <w:tcPr>
            <w:tcW w:w="1700" w:type="dxa"/>
            <w:vAlign w:val="bottom"/>
          </w:tcPr>
          <w:p>
            <w:pPr>
              <w:spacing w:after="0"/>
              <w:rPr>
                <w:sz w:val="20"/>
                <w:szCs w:val="20"/>
                <w:color w:val="auto"/>
              </w:rPr>
            </w:pPr>
            <w:r>
              <w:rPr>
                <w:rFonts w:ascii="Courier New" w:cs="Courier New" w:eastAsia="Courier New" w:hAnsi="Courier New"/>
                <w:sz w:val="15"/>
                <w:szCs w:val="15"/>
                <w:color w:val="auto"/>
              </w:rPr>
              <w:t>November 30,</w:t>
            </w:r>
          </w:p>
        </w:tc>
      </w:tr>
      <w:tr>
        <w:trPr>
          <w:trHeight w:val="172"/>
        </w:trPr>
        <w:tc>
          <w:tcPr>
            <w:tcW w:w="2240" w:type="dxa"/>
            <w:vAlign w:val="bottom"/>
          </w:tcPr>
          <w:p>
            <w:pPr>
              <w:spacing w:after="0"/>
              <w:rPr>
                <w:sz w:val="14"/>
                <w:szCs w:val="14"/>
                <w:color w:val="auto"/>
              </w:rPr>
            </w:pPr>
          </w:p>
        </w:tc>
        <w:tc>
          <w:tcPr>
            <w:tcW w:w="3340" w:type="dxa"/>
            <w:vAlign w:val="bottom"/>
            <w:gridSpan w:val="2"/>
          </w:tcPr>
          <w:p>
            <w:pPr>
              <w:jc w:val="right"/>
              <w:ind w:right="8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70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2"/>
        </w:trPr>
        <w:tc>
          <w:tcPr>
            <w:tcW w:w="2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2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20" w:type="dxa"/>
            <w:vAlign w:val="bottom"/>
          </w:tcPr>
          <w:p>
            <w:pPr>
              <w:jc w:val="right"/>
              <w:ind w:right="585"/>
              <w:spacing w:after="0"/>
              <w:rPr>
                <w:sz w:val="20"/>
                <w:szCs w:val="20"/>
                <w:color w:val="auto"/>
              </w:rPr>
            </w:pPr>
            <w:r>
              <w:rPr>
                <w:rFonts w:ascii="Courier New" w:cs="Courier New" w:eastAsia="Courier New" w:hAnsi="Courier New"/>
                <w:sz w:val="15"/>
                <w:szCs w:val="15"/>
                <w:color w:val="auto"/>
                <w:w w:val="98"/>
              </w:rPr>
              <w:t>(in thousands)</w:t>
            </w:r>
          </w:p>
        </w:tc>
        <w:tc>
          <w:tcPr>
            <w:tcW w:w="860" w:type="dxa"/>
            <w:vAlign w:val="bottom"/>
          </w:tcPr>
          <w:p>
            <w:pPr>
              <w:spacing w:after="0"/>
              <w:rPr>
                <w:sz w:val="14"/>
                <w:szCs w:val="14"/>
                <w:color w:val="auto"/>
              </w:rPr>
            </w:pPr>
          </w:p>
        </w:tc>
        <w:tc>
          <w:tcPr>
            <w:tcW w:w="1700" w:type="dxa"/>
            <w:vAlign w:val="bottom"/>
          </w:tcPr>
          <w:p>
            <w:pPr>
              <w:spacing w:after="0"/>
              <w:rPr>
                <w:sz w:val="20"/>
                <w:szCs w:val="20"/>
                <w:color w:val="auto"/>
              </w:rPr>
            </w:pPr>
            <w:r>
              <w:rPr>
                <w:rFonts w:ascii="Courier New" w:cs="Courier New" w:eastAsia="Courier New" w:hAnsi="Courier New"/>
                <w:sz w:val="15"/>
                <w:szCs w:val="15"/>
                <w:color w:val="auto"/>
              </w:rPr>
              <w:t>(in thousands)</w:t>
            </w:r>
          </w:p>
        </w:tc>
      </w:tr>
      <w:tr>
        <w:trPr>
          <w:trHeight w:val="344"/>
        </w:trPr>
        <w:tc>
          <w:tcPr>
            <w:tcW w:w="224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$882</w:t>
            </w:r>
          </w:p>
        </w:tc>
        <w:tc>
          <w:tcPr>
            <w:tcW w:w="1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$1,017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$899</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$2,063</w:t>
            </w:r>
          </w:p>
        </w:tc>
      </w:tr>
      <w:tr>
        <w:trPr>
          <w:trHeight w:val="172"/>
        </w:trPr>
        <w:tc>
          <w:tcPr>
            <w:tcW w:w="224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723</w:t>
            </w:r>
          </w:p>
        </w:tc>
        <w:tc>
          <w:tcPr>
            <w:tcW w:w="1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1,030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1,316</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893</w:t>
            </w:r>
          </w:p>
        </w:tc>
      </w:tr>
      <w:tr>
        <w:trPr>
          <w:trHeight w:val="172"/>
        </w:trPr>
        <w:tc>
          <w:tcPr>
            <w:tcW w:w="224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4,509</w:t>
            </w:r>
          </w:p>
        </w:tc>
        <w:tc>
          <w:tcPr>
            <w:tcW w:w="1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2,117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8,920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5,346</w:t>
            </w:r>
          </w:p>
        </w:tc>
      </w:tr>
      <w:tr>
        <w:trPr>
          <w:trHeight w:val="172"/>
        </w:trPr>
        <w:tc>
          <w:tcPr>
            <w:tcW w:w="22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179</w:t>
            </w:r>
          </w:p>
        </w:tc>
        <w:tc>
          <w:tcPr>
            <w:tcW w:w="1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379</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206</w:t>
            </w:r>
          </w:p>
        </w:tc>
      </w:tr>
    </w:tbl>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7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$6,293</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$4,405</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$11,514</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$8,508</w:t>
            </w:r>
          </w:p>
        </w:tc>
      </w:tr>
    </w:tbl>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00" w:hanging="261"/>
        <w:spacing w:after="0"/>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income from operations by business segment was as</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32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Three months ended</w:t>
            </w:r>
          </w:p>
        </w:tc>
        <w:tc>
          <w:tcPr>
            <w:tcW w:w="26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2500" w:type="dxa"/>
            <w:vAlign w:val="bottom"/>
          </w:tcPr>
          <w:p>
            <w:pPr>
              <w:spacing w:after="0"/>
              <w:rPr>
                <w:sz w:val="14"/>
                <w:szCs w:val="14"/>
                <w:color w:val="auto"/>
              </w:rPr>
            </w:pPr>
          </w:p>
        </w:tc>
        <w:tc>
          <w:tcPr>
            <w:tcW w:w="2380" w:type="dxa"/>
            <w:vAlign w:val="bottom"/>
          </w:tcPr>
          <w:p>
            <w:pPr>
              <w:ind w:left="1260"/>
              <w:spacing w:after="0"/>
              <w:rPr>
                <w:sz w:val="20"/>
                <w:szCs w:val="20"/>
                <w:color w:val="auto"/>
              </w:rPr>
            </w:pPr>
            <w:r>
              <w:rPr>
                <w:rFonts w:ascii="Courier New" w:cs="Courier New" w:eastAsia="Courier New" w:hAnsi="Courier New"/>
                <w:sz w:val="15"/>
                <w:szCs w:val="15"/>
                <w:color w:val="auto"/>
              </w:rPr>
              <w:t>November 30,</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spacing w:after="0"/>
              <w:rPr>
                <w:sz w:val="20"/>
                <w:szCs w:val="20"/>
                <w:color w:val="auto"/>
              </w:rPr>
            </w:pPr>
            <w:r>
              <w:rPr>
                <w:rFonts w:ascii="Courier New" w:cs="Courier New" w:eastAsia="Courier New" w:hAnsi="Courier New"/>
                <w:sz w:val="15"/>
                <w:szCs w:val="15"/>
                <w:color w:val="auto"/>
              </w:rPr>
              <w:t>November 30,</w:t>
            </w:r>
          </w:p>
        </w:tc>
      </w:tr>
      <w:tr>
        <w:trPr>
          <w:trHeight w:val="172"/>
        </w:trPr>
        <w:tc>
          <w:tcPr>
            <w:tcW w:w="2500" w:type="dxa"/>
            <w:vAlign w:val="bottom"/>
          </w:tcPr>
          <w:p>
            <w:pPr>
              <w:spacing w:after="0"/>
              <w:rPr>
                <w:sz w:val="14"/>
                <w:szCs w:val="14"/>
                <w:color w:val="auto"/>
              </w:rPr>
            </w:pPr>
          </w:p>
        </w:tc>
        <w:tc>
          <w:tcPr>
            <w:tcW w:w="2380" w:type="dxa"/>
            <w:vAlign w:val="bottom"/>
          </w:tcPr>
          <w:p>
            <w:pPr>
              <w:ind w:left="12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238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2002</w:t>
            </w: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2500" w:type="dxa"/>
            <w:vAlign w:val="bottom"/>
          </w:tcPr>
          <w:p>
            <w:pPr>
              <w:spacing w:after="0"/>
              <w:rPr>
                <w:sz w:val="14"/>
                <w:szCs w:val="14"/>
                <w:color w:val="auto"/>
              </w:rPr>
            </w:pPr>
          </w:p>
        </w:tc>
        <w:tc>
          <w:tcPr>
            <w:tcW w:w="238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322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(in thousands)</w:t>
            </w:r>
          </w:p>
        </w:tc>
        <w:tc>
          <w:tcPr>
            <w:tcW w:w="900" w:type="dxa"/>
            <w:vAlign w:val="bottom"/>
          </w:tcPr>
          <w:p>
            <w:pPr>
              <w:spacing w:after="0"/>
              <w:rPr>
                <w:sz w:val="14"/>
                <w:szCs w:val="14"/>
                <w:color w:val="auto"/>
              </w:rPr>
            </w:pPr>
          </w:p>
        </w:tc>
        <w:tc>
          <w:tcPr>
            <w:tcW w:w="1700" w:type="dxa"/>
            <w:vAlign w:val="bottom"/>
          </w:tcPr>
          <w:p>
            <w:pPr>
              <w:spacing w:after="0"/>
              <w:rPr>
                <w:sz w:val="20"/>
                <w:szCs w:val="20"/>
                <w:color w:val="auto"/>
              </w:rPr>
            </w:pPr>
            <w:r>
              <w:rPr>
                <w:rFonts w:ascii="Courier New" w:cs="Courier New" w:eastAsia="Courier New" w:hAnsi="Courier New"/>
                <w:sz w:val="15"/>
                <w:szCs w:val="15"/>
                <w:color w:val="auto"/>
              </w:rPr>
              <w:t>(in thousands)</w:t>
            </w: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38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($87)</w:t>
            </w: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$791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$710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$1,015</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38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6,380</w:t>
            </w: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3,614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10,804</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7,493</w:t>
            </w:r>
          </w:p>
        </w:tc>
      </w:tr>
    </w:tbl>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 ---------------- ------------- ------------------</w:t>
      </w:r>
    </w:p>
    <w:p>
      <w:pPr>
        <w:spacing w:after="0" w:line="184"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4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$6,293</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$4,405</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$11,514</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$8,508</w:t>
            </w:r>
          </w:p>
        </w:tc>
      </w:tr>
    </w:tbl>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159" w:firstLine="439"/>
        <w:spacing w:after="0"/>
        <w:tabs>
          <w:tab w:leader="none" w:pos="71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property, plant and equipment, net, by geographical area was as follows:</w:t>
      </w:r>
    </w:p>
    <w:p>
      <w:pPr>
        <w:spacing w:after="0" w:line="174"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November 30,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2"/>
        </w:trPr>
        <w:tc>
          <w:tcPr>
            <w:tcW w:w="202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02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202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0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(in thousands)</w:t>
            </w:r>
          </w:p>
        </w:tc>
      </w:tr>
      <w:tr>
        <w:trPr>
          <w:trHeight w:val="172"/>
        </w:trPr>
        <w:tc>
          <w:tcPr>
            <w:tcW w:w="202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$12,677</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$9,795</w:t>
            </w:r>
          </w:p>
        </w:tc>
      </w:tr>
      <w:tr>
        <w:trPr>
          <w:trHeight w:val="172"/>
        </w:trPr>
        <w:tc>
          <w:tcPr>
            <w:tcW w:w="202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4,131</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3,581</w:t>
            </w:r>
          </w:p>
        </w:tc>
      </w:tr>
      <w:tr>
        <w:trPr>
          <w:trHeight w:val="172"/>
        </w:trPr>
        <w:tc>
          <w:tcPr>
            <w:tcW w:w="202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12,652</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11,438</w:t>
            </w:r>
          </w:p>
        </w:tc>
      </w:tr>
      <w:tr>
        <w:trPr>
          <w:trHeight w:val="172"/>
        </w:trPr>
        <w:tc>
          <w:tcPr>
            <w:tcW w:w="20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839</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668</w:t>
            </w:r>
          </w:p>
        </w:tc>
      </w:tr>
    </w:tbl>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$30,299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$25,482</w:t>
            </w:r>
          </w:p>
        </w:tc>
      </w:tr>
    </w:tbl>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0" w:lineRule="exact"/>
        <w:rPr>
          <w:sz w:val="20"/>
          <w:szCs w:val="20"/>
          <w:color w:val="auto"/>
        </w:rPr>
      </w:pPr>
    </w:p>
    <w:p>
      <w:pPr>
        <w:ind w:right="3519" w:firstLine="439"/>
        <w:spacing w:after="0"/>
        <w:tabs>
          <w:tab w:leader="none" w:pos="71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property, plant and equipment, net, by business segment was as follows:</w:t>
      </w:r>
    </w:p>
    <w:p>
      <w:pPr>
        <w:spacing w:after="0" w:line="174"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November 30,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2"/>
        </w:trPr>
        <w:tc>
          <w:tcPr>
            <w:tcW w:w="22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22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(in thousands)</w:t>
            </w:r>
          </w:p>
        </w:tc>
      </w:tr>
      <w:tr>
        <w:trPr>
          <w:trHeight w:val="172"/>
        </w:trPr>
        <w:tc>
          <w:tcPr>
            <w:tcW w:w="224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$3,280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$2,721</w:t>
            </w:r>
          </w:p>
        </w:tc>
      </w:tr>
      <w:tr>
        <w:trPr>
          <w:trHeight w:val="172"/>
        </w:trPr>
        <w:tc>
          <w:tcPr>
            <w:tcW w:w="224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27,019</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22,761</w:t>
            </w:r>
          </w:p>
        </w:tc>
      </w:tr>
    </w:tbl>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6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$30,299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$25,482</w:t>
            </w:r>
          </w:p>
        </w:tc>
      </w:tr>
    </w:tbl>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3" w:right="1440" w:bottom="678"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g) The distribution of depreciation by geographical area was as 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308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rPr>
              <w:t>Three months ended</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Six months ended</w:t>
            </w:r>
          </w:p>
        </w:tc>
        <w:tc>
          <w:tcPr>
            <w:tcW w:w="460" w:type="dxa"/>
            <w:vAlign w:val="bottom"/>
          </w:tcPr>
          <w:p>
            <w:pPr>
              <w:spacing w:after="0"/>
              <w:rPr>
                <w:sz w:val="14"/>
                <w:szCs w:val="14"/>
                <w:color w:val="auto"/>
              </w:rPr>
            </w:pPr>
          </w:p>
        </w:tc>
      </w:tr>
      <w:tr>
        <w:trPr>
          <w:trHeight w:val="172"/>
        </w:trPr>
        <w:tc>
          <w:tcPr>
            <w:tcW w:w="2060" w:type="dxa"/>
            <w:vAlign w:val="bottom"/>
          </w:tcPr>
          <w:p>
            <w:pPr>
              <w:spacing w:after="0"/>
              <w:rPr>
                <w:sz w:val="14"/>
                <w:szCs w:val="14"/>
                <w:color w:val="auto"/>
              </w:rPr>
            </w:pPr>
          </w:p>
        </w:tc>
        <w:tc>
          <w:tcPr>
            <w:tcW w:w="3080" w:type="dxa"/>
            <w:vAlign w:val="bottom"/>
            <w:gridSpan w:val="2"/>
          </w:tcPr>
          <w:p>
            <w:pPr>
              <w:jc w:val="right"/>
              <w:ind w:right="865"/>
              <w:spacing w:after="0"/>
              <w:rPr>
                <w:sz w:val="20"/>
                <w:szCs w:val="20"/>
                <w:color w:val="auto"/>
              </w:rPr>
            </w:pPr>
            <w:r>
              <w:rPr>
                <w:rFonts w:ascii="Courier New" w:cs="Courier New" w:eastAsia="Courier New" w:hAnsi="Courier New"/>
                <w:sz w:val="15"/>
                <w:szCs w:val="15"/>
                <w:color w:val="auto"/>
              </w:rPr>
              <w:t>November 30,</w:t>
            </w:r>
          </w:p>
        </w:tc>
        <w:tc>
          <w:tcPr>
            <w:tcW w:w="2100" w:type="dxa"/>
            <w:vAlign w:val="bottom"/>
          </w:tcPr>
          <w:p>
            <w:pPr>
              <w:ind w:left="860"/>
              <w:spacing w:after="0"/>
              <w:rPr>
                <w:sz w:val="20"/>
                <w:szCs w:val="20"/>
                <w:color w:val="auto"/>
              </w:rPr>
            </w:pPr>
            <w:r>
              <w:rPr>
                <w:rFonts w:ascii="Courier New" w:cs="Courier New" w:eastAsia="Courier New" w:hAnsi="Courier New"/>
                <w:sz w:val="15"/>
                <w:szCs w:val="15"/>
                <w:color w:val="auto"/>
              </w:rPr>
              <w:t>November 30,</w:t>
            </w:r>
          </w:p>
        </w:tc>
        <w:tc>
          <w:tcPr>
            <w:tcW w:w="460" w:type="dxa"/>
            <w:vAlign w:val="bottom"/>
          </w:tcPr>
          <w:p>
            <w:pPr>
              <w:spacing w:after="0"/>
              <w:rPr>
                <w:sz w:val="14"/>
                <w:szCs w:val="14"/>
                <w:color w:val="auto"/>
              </w:rPr>
            </w:pPr>
          </w:p>
        </w:tc>
      </w:tr>
      <w:tr>
        <w:trPr>
          <w:trHeight w:val="172"/>
        </w:trPr>
        <w:tc>
          <w:tcPr>
            <w:tcW w:w="2060" w:type="dxa"/>
            <w:vAlign w:val="bottom"/>
          </w:tcPr>
          <w:p>
            <w:pPr>
              <w:spacing w:after="0"/>
              <w:rPr>
                <w:sz w:val="14"/>
                <w:szCs w:val="14"/>
                <w:color w:val="auto"/>
              </w:rPr>
            </w:pPr>
          </w:p>
        </w:tc>
        <w:tc>
          <w:tcPr>
            <w:tcW w:w="3080" w:type="dxa"/>
            <w:vAlign w:val="bottom"/>
            <w:gridSpan w:val="2"/>
          </w:tcPr>
          <w:p>
            <w:pPr>
              <w:jc w:val="right"/>
              <w:ind w:right="865"/>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ind w:left="86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r>
      <w:tr>
        <w:trPr>
          <w:trHeight w:val="172"/>
        </w:trPr>
        <w:tc>
          <w:tcPr>
            <w:tcW w:w="20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2001</w:t>
            </w:r>
          </w:p>
        </w:tc>
        <w:tc>
          <w:tcPr>
            <w:tcW w:w="2100" w:type="dxa"/>
            <w:vAlign w:val="bottom"/>
          </w:tcPr>
          <w:p>
            <w:pPr>
              <w:jc w:val="right"/>
              <w:ind w:right="1165"/>
              <w:spacing w:after="0"/>
              <w:rPr>
                <w:sz w:val="20"/>
                <w:szCs w:val="20"/>
                <w:color w:val="auto"/>
              </w:rPr>
            </w:pPr>
            <w:r>
              <w:rPr>
                <w:rFonts w:ascii="Courier New" w:cs="Courier New" w:eastAsia="Courier New" w:hAnsi="Courier New"/>
                <w:sz w:val="15"/>
                <w:szCs w:val="15"/>
                <w:color w:val="auto"/>
              </w:rPr>
              <w:t>2002</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20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11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20" w:type="dxa"/>
            <w:vAlign w:val="bottom"/>
          </w:tcPr>
          <w:p>
            <w:pPr>
              <w:jc w:val="right"/>
              <w:ind w:right="585"/>
              <w:spacing w:after="0"/>
              <w:rPr>
                <w:sz w:val="20"/>
                <w:szCs w:val="20"/>
                <w:color w:val="auto"/>
              </w:rPr>
            </w:pPr>
            <w:r>
              <w:rPr>
                <w:rFonts w:ascii="Courier New" w:cs="Courier New" w:eastAsia="Courier New" w:hAnsi="Courier New"/>
                <w:sz w:val="15"/>
                <w:szCs w:val="15"/>
                <w:color w:val="auto"/>
                <w:w w:val="98"/>
              </w:rPr>
              <w:t>(in thousands)</w:t>
            </w:r>
          </w:p>
        </w:tc>
        <w:tc>
          <w:tcPr>
            <w:tcW w:w="2100" w:type="dxa"/>
            <w:vAlign w:val="bottom"/>
          </w:tcPr>
          <w:p>
            <w:pPr>
              <w:ind w:left="860"/>
              <w:spacing w:after="0"/>
              <w:rPr>
                <w:sz w:val="20"/>
                <w:szCs w:val="20"/>
                <w:color w:val="auto"/>
              </w:rPr>
            </w:pPr>
            <w:r>
              <w:rPr>
                <w:rFonts w:ascii="Courier New" w:cs="Courier New" w:eastAsia="Courier New" w:hAnsi="Courier New"/>
                <w:sz w:val="15"/>
                <w:szCs w:val="15"/>
                <w:color w:val="auto"/>
                <w:w w:val="96"/>
              </w:rPr>
              <w:t>(in thousands)</w:t>
            </w:r>
          </w:p>
        </w:tc>
        <w:tc>
          <w:tcPr>
            <w:tcW w:w="460" w:type="dxa"/>
            <w:vAlign w:val="bottom"/>
          </w:tcPr>
          <w:p>
            <w:pPr>
              <w:spacing w:after="0"/>
              <w:rPr>
                <w:sz w:val="14"/>
                <w:szCs w:val="14"/>
                <w:color w:val="auto"/>
              </w:rPr>
            </w:pPr>
          </w:p>
        </w:tc>
      </w:tr>
      <w:tr>
        <w:trPr>
          <w:trHeight w:val="344"/>
        </w:trPr>
        <w:tc>
          <w:tcPr>
            <w:tcW w:w="206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$513</w:t>
            </w:r>
          </w:p>
        </w:tc>
        <w:tc>
          <w:tcPr>
            <w:tcW w:w="1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$327</w:t>
            </w:r>
          </w:p>
        </w:tc>
        <w:tc>
          <w:tcPr>
            <w:tcW w:w="2100" w:type="dxa"/>
            <w:vAlign w:val="bottom"/>
          </w:tcPr>
          <w:p>
            <w:pPr>
              <w:jc w:val="right"/>
              <w:ind w:right="1165"/>
              <w:spacing w:after="0"/>
              <w:rPr>
                <w:sz w:val="20"/>
                <w:szCs w:val="20"/>
                <w:color w:val="auto"/>
              </w:rPr>
            </w:pPr>
            <w:r>
              <w:rPr>
                <w:rFonts w:ascii="Courier New" w:cs="Courier New" w:eastAsia="Courier New" w:hAnsi="Courier New"/>
                <w:sz w:val="15"/>
                <w:szCs w:val="15"/>
                <w:color w:val="auto"/>
              </w:rPr>
              <w:t>$994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$619</w:t>
            </w:r>
          </w:p>
        </w:tc>
      </w:tr>
      <w:tr>
        <w:trPr>
          <w:trHeight w:val="172"/>
        </w:trPr>
        <w:tc>
          <w:tcPr>
            <w:tcW w:w="206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179</w:t>
            </w:r>
          </w:p>
        </w:tc>
        <w:tc>
          <w:tcPr>
            <w:tcW w:w="1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192</w:t>
            </w:r>
          </w:p>
        </w:tc>
        <w:tc>
          <w:tcPr>
            <w:tcW w:w="2100" w:type="dxa"/>
            <w:vAlign w:val="bottom"/>
          </w:tcPr>
          <w:p>
            <w:pPr>
              <w:jc w:val="right"/>
              <w:ind w:right="1165"/>
              <w:spacing w:after="0"/>
              <w:rPr>
                <w:sz w:val="20"/>
                <w:szCs w:val="20"/>
                <w:color w:val="auto"/>
              </w:rPr>
            </w:pPr>
            <w:r>
              <w:rPr>
                <w:rFonts w:ascii="Courier New" w:cs="Courier New" w:eastAsia="Courier New" w:hAnsi="Courier New"/>
                <w:sz w:val="15"/>
                <w:szCs w:val="15"/>
                <w:color w:val="auto"/>
              </w:rPr>
              <w:t>429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399</w:t>
            </w:r>
          </w:p>
        </w:tc>
      </w:tr>
      <w:tr>
        <w:trPr>
          <w:trHeight w:val="172"/>
        </w:trPr>
        <w:tc>
          <w:tcPr>
            <w:tcW w:w="206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819</w:t>
            </w:r>
          </w:p>
        </w:tc>
        <w:tc>
          <w:tcPr>
            <w:tcW w:w="1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860</w:t>
            </w:r>
          </w:p>
        </w:tc>
        <w:tc>
          <w:tcPr>
            <w:tcW w:w="2100" w:type="dxa"/>
            <w:vAlign w:val="bottom"/>
          </w:tcPr>
          <w:p>
            <w:pPr>
              <w:jc w:val="right"/>
              <w:ind w:right="1165"/>
              <w:spacing w:after="0"/>
              <w:rPr>
                <w:sz w:val="20"/>
                <w:szCs w:val="20"/>
                <w:color w:val="auto"/>
              </w:rPr>
            </w:pPr>
            <w:r>
              <w:rPr>
                <w:rFonts w:ascii="Courier New" w:cs="Courier New" w:eastAsia="Courier New" w:hAnsi="Courier New"/>
                <w:sz w:val="15"/>
                <w:szCs w:val="15"/>
                <w:color w:val="auto"/>
              </w:rPr>
              <w:t>1,610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1,757</w:t>
            </w:r>
          </w:p>
        </w:tc>
      </w:tr>
      <w:tr>
        <w:trPr>
          <w:trHeight w:val="172"/>
        </w:trPr>
        <w:tc>
          <w:tcPr>
            <w:tcW w:w="20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c>
          <w:tcPr>
            <w:tcW w:w="1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w:t>
            </w:r>
          </w:p>
        </w:tc>
        <w:tc>
          <w:tcPr>
            <w:tcW w:w="2100" w:type="dxa"/>
            <w:vAlign w:val="bottom"/>
          </w:tcPr>
          <w:p>
            <w:pPr>
              <w:jc w:val="right"/>
              <w:ind w:right="1165"/>
              <w:spacing w:after="0"/>
              <w:rPr>
                <w:sz w:val="20"/>
                <w:szCs w:val="20"/>
                <w:color w:val="auto"/>
              </w:rPr>
            </w:pPr>
            <w:r>
              <w:rPr>
                <w:rFonts w:ascii="Courier New" w:cs="Courier New" w:eastAsia="Courier New" w:hAnsi="Courier New"/>
                <w:sz w:val="15"/>
                <w:szCs w:val="15"/>
                <w:color w:val="auto"/>
              </w:rPr>
              <w:t>115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bl>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5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1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$1,578</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$1,430</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$3,148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$2,878</w:t>
            </w:r>
          </w:p>
        </w:tc>
      </w:tr>
    </w:tbl>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 The distribution of depreciation by business segment was as 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316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rPr>
              <w:t>Three months ended</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Six months ended</w:t>
            </w:r>
          </w:p>
        </w:tc>
        <w:tc>
          <w:tcPr>
            <w:tcW w:w="440" w:type="dxa"/>
            <w:vAlign w:val="bottom"/>
          </w:tcPr>
          <w:p>
            <w:pPr>
              <w:spacing w:after="0"/>
              <w:rPr>
                <w:sz w:val="14"/>
                <w:szCs w:val="14"/>
                <w:color w:val="auto"/>
              </w:rPr>
            </w:pPr>
          </w:p>
        </w:tc>
      </w:tr>
      <w:tr>
        <w:trPr>
          <w:trHeight w:val="172"/>
        </w:trPr>
        <w:tc>
          <w:tcPr>
            <w:tcW w:w="2420" w:type="dxa"/>
            <w:vAlign w:val="bottom"/>
          </w:tcPr>
          <w:p>
            <w:pPr>
              <w:spacing w:after="0"/>
              <w:rPr>
                <w:sz w:val="14"/>
                <w:szCs w:val="14"/>
                <w:color w:val="auto"/>
              </w:rPr>
            </w:pPr>
          </w:p>
        </w:tc>
        <w:tc>
          <w:tcPr>
            <w:tcW w:w="2280" w:type="dxa"/>
            <w:vAlign w:val="bottom"/>
          </w:tcPr>
          <w:p>
            <w:pPr>
              <w:ind w:left="1160"/>
              <w:spacing w:after="0"/>
              <w:rPr>
                <w:sz w:val="20"/>
                <w:szCs w:val="20"/>
                <w:color w:val="auto"/>
              </w:rPr>
            </w:pPr>
            <w:r>
              <w:rPr>
                <w:rFonts w:ascii="Courier New" w:cs="Courier New" w:eastAsia="Courier New" w:hAnsi="Courier New"/>
                <w:sz w:val="15"/>
                <w:szCs w:val="15"/>
                <w:color w:val="auto"/>
              </w:rPr>
              <w:t>November 30,</w:t>
            </w:r>
          </w:p>
        </w:tc>
        <w:tc>
          <w:tcPr>
            <w:tcW w:w="880" w:type="dxa"/>
            <w:vAlign w:val="bottom"/>
          </w:tcPr>
          <w:p>
            <w:pPr>
              <w:spacing w:after="0"/>
              <w:rPr>
                <w:sz w:val="14"/>
                <w:szCs w:val="14"/>
                <w:color w:val="auto"/>
              </w:rPr>
            </w:pPr>
          </w:p>
        </w:tc>
        <w:tc>
          <w:tcPr>
            <w:tcW w:w="2120" w:type="dxa"/>
            <w:vAlign w:val="bottom"/>
          </w:tcPr>
          <w:p>
            <w:pPr>
              <w:ind w:left="860"/>
              <w:spacing w:after="0"/>
              <w:rPr>
                <w:sz w:val="20"/>
                <w:szCs w:val="20"/>
                <w:color w:val="auto"/>
              </w:rPr>
            </w:pPr>
            <w:r>
              <w:rPr>
                <w:rFonts w:ascii="Courier New" w:cs="Courier New" w:eastAsia="Courier New" w:hAnsi="Courier New"/>
                <w:sz w:val="15"/>
                <w:szCs w:val="15"/>
                <w:color w:val="auto"/>
              </w:rPr>
              <w:t>November 30,</w:t>
            </w:r>
          </w:p>
        </w:tc>
        <w:tc>
          <w:tcPr>
            <w:tcW w:w="440" w:type="dxa"/>
            <w:vAlign w:val="bottom"/>
          </w:tcPr>
          <w:p>
            <w:pPr>
              <w:spacing w:after="0"/>
              <w:rPr>
                <w:sz w:val="14"/>
                <w:szCs w:val="14"/>
                <w:color w:val="auto"/>
              </w:rPr>
            </w:pPr>
          </w:p>
        </w:tc>
      </w:tr>
      <w:tr>
        <w:trPr>
          <w:trHeight w:val="172"/>
        </w:trPr>
        <w:tc>
          <w:tcPr>
            <w:tcW w:w="2420" w:type="dxa"/>
            <w:vAlign w:val="bottom"/>
          </w:tcPr>
          <w:p>
            <w:pPr>
              <w:spacing w:after="0"/>
              <w:rPr>
                <w:sz w:val="14"/>
                <w:szCs w:val="14"/>
                <w:color w:val="auto"/>
              </w:rPr>
            </w:pPr>
          </w:p>
        </w:tc>
        <w:tc>
          <w:tcPr>
            <w:tcW w:w="2280" w:type="dxa"/>
            <w:vAlign w:val="bottom"/>
          </w:tcPr>
          <w:p>
            <w:pPr>
              <w:ind w:left="11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2120" w:type="dxa"/>
            <w:vAlign w:val="bottom"/>
          </w:tcPr>
          <w:p>
            <w:pPr>
              <w:ind w:left="86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172"/>
        </w:trPr>
        <w:tc>
          <w:tcPr>
            <w:tcW w:w="2420" w:type="dxa"/>
            <w:vAlign w:val="bottom"/>
          </w:tcPr>
          <w:p>
            <w:pPr>
              <w:spacing w:after="0"/>
              <w:rPr>
                <w:sz w:val="14"/>
                <w:szCs w:val="14"/>
                <w:color w:val="auto"/>
              </w:rPr>
            </w:pPr>
          </w:p>
        </w:tc>
        <w:tc>
          <w:tcPr>
            <w:tcW w:w="228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2002</w:t>
            </w:r>
          </w:p>
        </w:tc>
        <w:tc>
          <w:tcPr>
            <w:tcW w:w="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2001</w:t>
            </w:r>
          </w:p>
        </w:tc>
        <w:tc>
          <w:tcPr>
            <w:tcW w:w="212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2002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2420" w:type="dxa"/>
            <w:vAlign w:val="bottom"/>
          </w:tcPr>
          <w:p>
            <w:pPr>
              <w:spacing w:after="0"/>
              <w:rPr>
                <w:sz w:val="14"/>
                <w:szCs w:val="14"/>
                <w:color w:val="auto"/>
              </w:rPr>
            </w:pPr>
          </w:p>
        </w:tc>
        <w:tc>
          <w:tcPr>
            <w:tcW w:w="228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420" w:type="dxa"/>
            <w:vAlign w:val="bottom"/>
          </w:tcPr>
          <w:p>
            <w:pPr>
              <w:spacing w:after="0"/>
              <w:rPr>
                <w:sz w:val="14"/>
                <w:szCs w:val="14"/>
                <w:color w:val="auto"/>
              </w:rPr>
            </w:pPr>
          </w:p>
        </w:tc>
        <w:tc>
          <w:tcPr>
            <w:tcW w:w="3160" w:type="dxa"/>
            <w:vAlign w:val="bottom"/>
            <w:gridSpan w:val="2"/>
          </w:tcPr>
          <w:p>
            <w:pPr>
              <w:ind w:left="1160"/>
              <w:spacing w:after="0"/>
              <w:rPr>
                <w:sz w:val="20"/>
                <w:szCs w:val="20"/>
                <w:color w:val="auto"/>
              </w:rPr>
            </w:pPr>
            <w:r>
              <w:rPr>
                <w:rFonts w:ascii="Courier New" w:cs="Courier New" w:eastAsia="Courier New" w:hAnsi="Courier New"/>
                <w:sz w:val="15"/>
                <w:szCs w:val="15"/>
                <w:color w:val="auto"/>
              </w:rPr>
              <w:t>(in thousands)</w:t>
            </w:r>
          </w:p>
        </w:tc>
        <w:tc>
          <w:tcPr>
            <w:tcW w:w="2120" w:type="dxa"/>
            <w:vAlign w:val="bottom"/>
          </w:tcPr>
          <w:p>
            <w:pPr>
              <w:ind w:left="860"/>
              <w:spacing w:after="0"/>
              <w:rPr>
                <w:sz w:val="20"/>
                <w:szCs w:val="20"/>
                <w:color w:val="auto"/>
              </w:rPr>
            </w:pPr>
            <w:r>
              <w:rPr>
                <w:rFonts w:ascii="Courier New" w:cs="Courier New" w:eastAsia="Courier New" w:hAnsi="Courier New"/>
                <w:sz w:val="15"/>
                <w:szCs w:val="15"/>
                <w:color w:val="auto"/>
                <w:w w:val="98"/>
              </w:rPr>
              <w:t>(in thousands)</w:t>
            </w:r>
          </w:p>
        </w:tc>
        <w:tc>
          <w:tcPr>
            <w:tcW w:w="440" w:type="dxa"/>
            <w:vAlign w:val="bottom"/>
          </w:tcPr>
          <w:p>
            <w:pPr>
              <w:spacing w:after="0"/>
              <w:rPr>
                <w:sz w:val="14"/>
                <w:szCs w:val="14"/>
                <w:color w:val="auto"/>
              </w:rPr>
            </w:pPr>
          </w:p>
        </w:tc>
      </w:tr>
      <w:tr>
        <w:trPr>
          <w:trHeight w:val="344"/>
        </w:trPr>
        <w:tc>
          <w:tcPr>
            <w:tcW w:w="242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28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$167</w:t>
            </w:r>
          </w:p>
        </w:tc>
        <w:tc>
          <w:tcPr>
            <w:tcW w:w="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$222</w:t>
            </w:r>
          </w:p>
        </w:tc>
        <w:tc>
          <w:tcPr>
            <w:tcW w:w="212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$330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r>
        <w:trPr>
          <w:trHeight w:val="172"/>
        </w:trPr>
        <w:tc>
          <w:tcPr>
            <w:tcW w:w="242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28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1,411</w:t>
            </w:r>
          </w:p>
        </w:tc>
        <w:tc>
          <w:tcPr>
            <w:tcW w:w="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1,208</w:t>
            </w:r>
          </w:p>
        </w:tc>
        <w:tc>
          <w:tcPr>
            <w:tcW w:w="212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2,818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2,434</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7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$1,578</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$1,430</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$3,148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$2,878</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The distribution of total assets by geographical area was as follows:</w:t>
      </w:r>
    </w:p>
    <w:p>
      <w:pPr>
        <w:spacing w:after="0" w:line="346"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2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November 30,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2"/>
        </w:trPr>
        <w:tc>
          <w:tcPr>
            <w:tcW w:w="2100" w:type="dxa"/>
            <w:vAlign w:val="bottom"/>
          </w:tcPr>
          <w:p>
            <w:pPr>
              <w:spacing w:after="0"/>
              <w:rPr>
                <w:sz w:val="14"/>
                <w:szCs w:val="14"/>
                <w:color w:val="auto"/>
              </w:rPr>
            </w:pPr>
          </w:p>
        </w:tc>
        <w:tc>
          <w:tcPr>
            <w:tcW w:w="2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100" w:type="dxa"/>
            <w:vAlign w:val="bottom"/>
          </w:tcPr>
          <w:p>
            <w:pPr>
              <w:spacing w:after="0"/>
              <w:rPr>
                <w:sz w:val="14"/>
                <w:szCs w:val="14"/>
                <w:color w:val="auto"/>
              </w:rPr>
            </w:pPr>
          </w:p>
        </w:tc>
        <w:tc>
          <w:tcPr>
            <w:tcW w:w="2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2100" w:type="dxa"/>
            <w:vAlign w:val="bottom"/>
          </w:tcPr>
          <w:p>
            <w:pPr>
              <w:spacing w:after="0"/>
              <w:rPr>
                <w:sz w:val="14"/>
                <w:szCs w:val="14"/>
                <w:color w:val="auto"/>
              </w:rPr>
            </w:pPr>
          </w:p>
        </w:tc>
        <w:tc>
          <w:tcPr>
            <w:tcW w:w="2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(in thousands)</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$51,123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$36,549</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$33,065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$66,719</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$100,453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$60,789</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$$2,279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$1,737</w:t>
            </w:r>
          </w:p>
        </w:tc>
      </w:tr>
    </w:tbl>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6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$186,920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$165,794</w:t>
            </w:r>
          </w:p>
        </w:tc>
      </w:tr>
    </w:tbl>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779"/>
          </w:cols>
          <w:pgMar w:left="680" w:top="63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j) The distribution of total assets by business segment was as follows:</w:t>
      </w:r>
    </w:p>
    <w:p>
      <w:pPr>
        <w:sectPr>
          <w:pgSz w:w="11900" w:h="16838" w:orient="portrait"/>
          <w:cols w:equalWidth="0" w:num="1">
            <w:col w:w="9779"/>
          </w:cols>
          <w:pgMar w:left="680" w:top="635" w:right="1440" w:bottom="1440" w:gutter="0" w:footer="0" w:header="0"/>
        </w:sectPr>
      </w:pP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2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November 30,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2"/>
        </w:trPr>
        <w:tc>
          <w:tcPr>
            <w:tcW w:w="2460" w:type="dxa"/>
            <w:vAlign w:val="bottom"/>
          </w:tcPr>
          <w:p>
            <w:pPr>
              <w:spacing w:after="0"/>
              <w:rPr>
                <w:sz w:val="14"/>
                <w:szCs w:val="14"/>
                <w:color w:val="auto"/>
              </w:rPr>
            </w:pPr>
          </w:p>
        </w:tc>
        <w:tc>
          <w:tcPr>
            <w:tcW w:w="2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460" w:type="dxa"/>
            <w:vAlign w:val="bottom"/>
          </w:tcPr>
          <w:p>
            <w:pPr>
              <w:spacing w:after="0"/>
              <w:rPr>
                <w:sz w:val="14"/>
                <w:szCs w:val="14"/>
                <w:color w:val="auto"/>
              </w:rPr>
            </w:pPr>
          </w:p>
        </w:tc>
        <w:tc>
          <w:tcPr>
            <w:tcW w:w="2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2460" w:type="dxa"/>
            <w:vAlign w:val="bottom"/>
          </w:tcPr>
          <w:p>
            <w:pPr>
              <w:spacing w:after="0"/>
              <w:rPr>
                <w:sz w:val="14"/>
                <w:szCs w:val="14"/>
                <w:color w:val="auto"/>
              </w:rPr>
            </w:pPr>
          </w:p>
        </w:tc>
        <w:tc>
          <w:tcPr>
            <w:tcW w:w="2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(in thousands)</w:t>
            </w:r>
          </w:p>
        </w:tc>
      </w:tr>
      <w:tr>
        <w:trPr>
          <w:trHeight w:val="172"/>
        </w:trPr>
        <w:tc>
          <w:tcPr>
            <w:tcW w:w="246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$16,521</w:t>
            </w:r>
          </w:p>
        </w:tc>
        <w:tc>
          <w:tcPr>
            <w:tcW w:w="1600" w:type="dxa"/>
            <w:vAlign w:val="bottom"/>
          </w:tcPr>
          <w:p>
            <w:pPr>
              <w:spacing w:after="0"/>
              <w:rPr>
                <w:sz w:val="14"/>
                <w:szCs w:val="14"/>
                <w:color w:val="auto"/>
              </w:rPr>
            </w:pPr>
          </w:p>
        </w:tc>
      </w:tr>
      <w:tr>
        <w:trPr>
          <w:trHeight w:val="172"/>
        </w:trPr>
        <w:tc>
          <w:tcPr>
            <w:tcW w:w="2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$16,566</w:t>
            </w:r>
          </w:p>
        </w:tc>
      </w:tr>
      <w:tr>
        <w:trPr>
          <w:trHeight w:val="172"/>
        </w:trPr>
        <w:tc>
          <w:tcPr>
            <w:tcW w:w="246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$170,399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$149,228</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8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$186,920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$165,794</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779"/>
          </w:cols>
          <w:pgMar w:left="680" w:top="635" w:right="1440" w:bottom="144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ICON plc</w:t>
      </w:r>
    </w:p>
    <w:p>
      <w:pPr>
        <w:spacing w:after="0" w:line="348"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following discussion and analysis should be read in conjunction with the unaudited Consolidated Financial Statements and accompanying notes included elsewhere herein and the Consolidated Financial Statements and related Notes thereto included in our Annual Report on Form 20-F for the fiscal year ended May 31, 2002. The Consolidated Financial Statements have been prepared in accordance with accounting principles generally accepted in the United States.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porividing such services as Phase II - IV clinical trials management, study design, laboratory services and drug development support. Through our recent acquisition we have continued to expand our service offerings to include Phase I Clinical Trials. We believe that we are one of a select group of CROs with the capability and expertise to conduct clinical trials in most major therapeutic areas on a global basis. We have approximately 2,200 employees and operations in 27 locations in 16 countries. Our main operations are in the United States, South America, Europe and the Rest of the World. For the six months ended November 30, 2002, we derived approximately 70.3%, 27.1% and 2.6% of our net revenue in the United States, Europe and Rest of World, respectively.</w:t>
      </w:r>
    </w:p>
    <w:p>
      <w:pPr>
        <w:spacing w:after="0" w:line="182"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Revenue consists primarily of fees earned under contracts with third-party clients. In most cases, a portion of the contract fee is paid at the time the study or trial is started, often upon the signing of a letter of intent, and the balance of the contract fee is generally payable in installments over the study or trial duration, based on the achievement of certain performance targets or "milestones." Revenue for contracts is recognized on a percentage of completion basis as work is performed. 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no profit is earned on these costs, which vary from contract to contract, we view net revenue as our primary measure of revenue growth.</w:t>
      </w:r>
    </w:p>
    <w:p>
      <w:pPr>
        <w:spacing w:after="0" w:line="166" w:lineRule="exact"/>
        <w:rPr>
          <w:sz w:val="20"/>
          <w:szCs w:val="20"/>
          <w:color w:val="auto"/>
        </w:rPr>
      </w:pPr>
    </w:p>
    <w:p>
      <w:pPr>
        <w:ind w:right="3259"/>
        <w:spacing w:after="0" w:line="263" w:lineRule="auto"/>
        <w:rPr>
          <w:sz w:val="20"/>
          <w:szCs w:val="20"/>
          <w:color w:val="auto"/>
        </w:rPr>
      </w:pPr>
      <w:r>
        <w:rPr>
          <w:rFonts w:ascii="Courier New" w:cs="Courier New" w:eastAsia="Courier New" w:hAnsi="Courier New"/>
          <w:sz w:val="14"/>
          <w:szCs w:val="14"/>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163"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77" w:lineRule="exact"/>
        <w:rPr>
          <w:sz w:val="20"/>
          <w:szCs w:val="20"/>
          <w:color w:val="auto"/>
        </w:rPr>
      </w:pPr>
    </w:p>
    <w:p>
      <w:pPr>
        <w:ind w:right="3339"/>
        <w:spacing w:after="0" w:line="265" w:lineRule="auto"/>
        <w:rPr>
          <w:sz w:val="20"/>
          <w:szCs w:val="20"/>
          <w:color w:val="auto"/>
        </w:rPr>
      </w:pPr>
      <w:r>
        <w:rPr>
          <w:rFonts w:ascii="Courier New" w:cs="Courier New" w:eastAsia="Courier New" w:hAnsi="Courier New"/>
          <w:sz w:val="14"/>
          <w:szCs w:val="14"/>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160"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In addition to translation exposures, we are also subject to transaction exposures because the currency in which contracts are priced can be different from the currencies in which costs relating to those contracts are incurred. We have ten operations trading in U.S. dollars, four trading in Euros, three in pounds Sterling, and one each in Australian dollars, Singapore dollars, Japanese Yen, Israeli New Shekels, Latvian Lats, Swedish Krona, South African Rand, Argentine Peso, Indian Rupee and Canadian dollars.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 The introduction of the Euro on January 1, 1999, also reduced our exposures as four of our offices, and many of the countries where we are carrying out projects are within the Euro zone.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977" w:right="1440" w:bottom="0" w:gutter="0" w:footer="0" w:header="0"/>
        </w:sectPr>
      </w:pPr>
    </w:p>
    <w:bookmarkStart w:id="14" w:name="page15"/>
    <w:bookmarkEnd w:id="14"/>
    <w:p>
      <w:pPr>
        <w:ind w:right="720"/>
        <w:spacing w:after="0" w:line="242" w:lineRule="auto"/>
        <w:rPr>
          <w:sz w:val="20"/>
          <w:szCs w:val="20"/>
          <w:color w:val="auto"/>
        </w:rPr>
      </w:pPr>
      <w:r>
        <w:rPr>
          <w:rFonts w:ascii="Courier New" w:cs="Courier New" w:eastAsia="Courier New" w:hAnsi="Courier New"/>
          <w:sz w:val="15"/>
          <w:szCs w:val="15"/>
          <w:color w:val="auto"/>
        </w:rPr>
        <w:t>We have received capital and revenue grants from Enterprise Ireland, an Irish government agency. We record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 These circumstances include sale of the related asset, liquidation of the Company or failing to comply in other respects with the grant agreements. The operating expenditure grant agreements provide for repayment in the event of downsizing of the Company calculated by reference to any reduction in employee numbers. We have not recognized any loss contingency having assessed as remote the likelihood of these events arising. Up to November 30, 2002, we have received $1,150,305 and $1,045,348 under the capital grants and operating grants, respectively. Pursuant to the terms of the grant agreements we are restricted from distributing some of these amounts by way of dividend or otherwise.</w:t>
      </w:r>
    </w:p>
    <w:p>
      <w:pPr>
        <w:spacing w:after="0" w:line="183" w:lineRule="exact"/>
        <w:rPr>
          <w:sz w:val="20"/>
          <w:szCs w:val="20"/>
          <w:color w:val="auto"/>
        </w:rPr>
      </w:pPr>
    </w:p>
    <w:p>
      <w:pPr>
        <w:ind w:right="720"/>
        <w:spacing w:after="0" w:line="242" w:lineRule="auto"/>
        <w:rPr>
          <w:sz w:val="20"/>
          <w:szCs w:val="20"/>
          <w:color w:val="auto"/>
        </w:rPr>
      </w:pPr>
      <w:r>
        <w:rPr>
          <w:rFonts w:ascii="Courier New" w:cs="Courier New" w:eastAsia="Courier New" w:hAnsi="Courier New"/>
          <w:sz w:val="15"/>
          <w:szCs w:val="15"/>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6" w:lineRule="exact"/>
        <w:rPr>
          <w:sz w:val="20"/>
          <w:szCs w:val="20"/>
          <w:color w:val="auto"/>
        </w:rPr>
      </w:pPr>
    </w:p>
    <w:p>
      <w:pPr>
        <w:ind w:right="900"/>
        <w:spacing w:after="0"/>
        <w:rPr>
          <w:sz w:val="20"/>
          <w:szCs w:val="20"/>
          <w:color w:val="auto"/>
        </w:rPr>
      </w:pPr>
      <w:r>
        <w:rPr>
          <w:rFonts w:ascii="Courier New" w:cs="Courier New" w:eastAsia="Courier New" w:hAnsi="Courier New"/>
          <w:sz w:val="15"/>
          <w:szCs w:val="15"/>
          <w:color w:val="auto"/>
        </w:rPr>
        <w:t>Three Months Ended November 30, 2002 Compared with Three Months Ended November 30, 2001</w:t>
      </w:r>
    </w:p>
    <w:p>
      <w:pPr>
        <w:spacing w:after="0" w:line="176" w:lineRule="exact"/>
        <w:rPr>
          <w:sz w:val="20"/>
          <w:szCs w:val="20"/>
          <w:color w:val="auto"/>
        </w:rPr>
      </w:pPr>
    </w:p>
    <w:p>
      <w:pPr>
        <w:ind w:right="720"/>
        <w:spacing w:after="0" w:line="242" w:lineRule="auto"/>
        <w:rPr>
          <w:sz w:val="20"/>
          <w:szCs w:val="20"/>
          <w:color w:val="auto"/>
        </w:rPr>
      </w:pPr>
      <w:r>
        <w:rPr>
          <w:rFonts w:ascii="Courier New" w:cs="Courier New" w:eastAsia="Courier New" w:hAnsi="Courier New"/>
          <w:sz w:val="15"/>
          <w:szCs w:val="15"/>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32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Three Months Ended</w:t>
            </w:r>
          </w:p>
        </w:tc>
      </w:tr>
      <w:tr>
        <w:trPr>
          <w:trHeight w:val="172"/>
        </w:trPr>
        <w:tc>
          <w:tcPr>
            <w:tcW w:w="3980" w:type="dxa"/>
            <w:vAlign w:val="bottom"/>
          </w:tcPr>
          <w:p>
            <w:pPr>
              <w:spacing w:after="0"/>
              <w:rPr>
                <w:sz w:val="14"/>
                <w:szCs w:val="14"/>
                <w:color w:val="auto"/>
              </w:rPr>
            </w:pPr>
          </w:p>
        </w:tc>
        <w:tc>
          <w:tcPr>
            <w:tcW w:w="18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November 30,</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November 30,</w:t>
            </w:r>
          </w:p>
        </w:tc>
      </w:tr>
      <w:tr>
        <w:trPr>
          <w:trHeight w:val="172"/>
        </w:trPr>
        <w:tc>
          <w:tcPr>
            <w:tcW w:w="3980" w:type="dxa"/>
            <w:vAlign w:val="bottom"/>
          </w:tcPr>
          <w:p>
            <w:pPr>
              <w:spacing w:after="0"/>
              <w:rPr>
                <w:sz w:val="14"/>
                <w:szCs w:val="14"/>
                <w:color w:val="auto"/>
              </w:rPr>
            </w:pPr>
          </w:p>
        </w:tc>
        <w:tc>
          <w:tcPr>
            <w:tcW w:w="188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2002</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2001</w:t>
            </w:r>
          </w:p>
        </w:tc>
      </w:tr>
      <w:tr>
        <w:trPr>
          <w:trHeight w:val="344"/>
        </w:trPr>
        <w:tc>
          <w:tcPr>
            <w:tcW w:w="3980" w:type="dxa"/>
            <w:vAlign w:val="bottom"/>
          </w:tcPr>
          <w:p>
            <w:pPr>
              <w:spacing w:after="0"/>
              <w:rPr>
                <w:sz w:val="24"/>
                <w:szCs w:val="24"/>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Percentage of Net Revenue</w:t>
            </w:r>
          </w:p>
        </w:tc>
      </w:tr>
      <w:tr>
        <w:trPr>
          <w:trHeight w:val="516"/>
        </w:trPr>
        <w:tc>
          <w:tcPr>
            <w:tcW w:w="398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18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100.0%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Direct costs...........................</w:t>
            </w:r>
          </w:p>
        </w:tc>
        <w:tc>
          <w:tcPr>
            <w:tcW w:w="18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53.6%</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54.4%</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8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31.7%</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30.1%</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8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2.9%</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8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11.8%</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11.7%</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720"/>
        <w:spacing w:after="0" w:line="242" w:lineRule="auto"/>
        <w:rPr>
          <w:sz w:val="20"/>
          <w:szCs w:val="20"/>
          <w:color w:val="auto"/>
        </w:rPr>
      </w:pPr>
      <w:r>
        <w:rPr>
          <w:rFonts w:ascii="Courier New" w:cs="Courier New" w:eastAsia="Courier New" w:hAnsi="Courier New"/>
          <w:sz w:val="15"/>
          <w:szCs w:val="15"/>
          <w:color w:val="auto"/>
        </w:rPr>
        <w:t>Net revenue increased by $15.7 million, or 41.7%, from $37.8 million to $53.5 million. This improvement arose through a combination of increased business from existing clients, business won from new clients and revenues from acquisitions not included in the comparative period. The additional revenues from these acquisitions (BPA and MCS) amounted to $3.5 million for the two months ended November 30, 2002. Including the impact of the acquisition, revenues in the United States, Europe/Rest of World grew by 48.2% and 29.0%, respectively. For the three months ended November 30, 2002, net revenue for our central laboratory business fell by 5.7% from $6.4 million to $6.0 million while our clinical research segment grew by 51.4% from $31.4 million to $47.5 million over the comparable period. The decrease in the central laboratory revenues was due principally to a higher than normal level of project cancellations in the first quarter of fiscal 2003.</w:t>
      </w:r>
    </w:p>
    <w:p>
      <w:pPr>
        <w:spacing w:after="0" w:line="181" w:lineRule="exact"/>
        <w:rPr>
          <w:sz w:val="20"/>
          <w:szCs w:val="20"/>
          <w:color w:val="auto"/>
        </w:rPr>
      </w:pPr>
    </w:p>
    <w:p>
      <w:pPr>
        <w:ind w:right="800"/>
        <w:spacing w:after="0" w:line="242" w:lineRule="auto"/>
        <w:rPr>
          <w:sz w:val="20"/>
          <w:szCs w:val="20"/>
          <w:color w:val="auto"/>
        </w:rPr>
      </w:pPr>
      <w:r>
        <w:rPr>
          <w:rFonts w:ascii="Courier New" w:cs="Courier New" w:eastAsia="Courier New" w:hAnsi="Courier New"/>
          <w:sz w:val="15"/>
          <w:szCs w:val="15"/>
          <w:color w:val="auto"/>
        </w:rPr>
        <w:t>Direct costs increased by $8.1 million, or 39.6%, from $20.6 million to $28.7 million, primarily due to increased staff numbers needed to support increased project related activity and increased costs arising from the acquisitions amounting to $2.1 million. Direct costs, as a percentage of net revenue decreased from 54.4% in the three months to November 30, 2001, to 53.6% for the quarter ended November 30, 2002 or 53.2% when the effects of acquisitions have been excluded.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expenses increased by $5.5 million, or</w:t>
      </w:r>
    </w:p>
    <w:p>
      <w:pPr>
        <w:spacing w:after="0" w:line="4" w:lineRule="exact"/>
        <w:rPr>
          <w:sz w:val="20"/>
          <w:szCs w:val="20"/>
          <w:color w:val="auto"/>
        </w:rPr>
      </w:pPr>
    </w:p>
    <w:p>
      <w:pPr>
        <w:ind w:right="800"/>
        <w:spacing w:after="0" w:line="242" w:lineRule="auto"/>
        <w:rPr>
          <w:sz w:val="20"/>
          <w:szCs w:val="20"/>
          <w:color w:val="auto"/>
        </w:rPr>
      </w:pPr>
      <w:r>
        <w:rPr>
          <w:rFonts w:ascii="Courier New" w:cs="Courier New" w:eastAsia="Courier New" w:hAnsi="Courier New"/>
          <w:sz w:val="15"/>
          <w:szCs w:val="15"/>
          <w:color w:val="auto"/>
        </w:rPr>
        <w:t>49.2%, from $11.4 million to $16.9 million. The increase in costs is due to the continued expansion of our operations and additional selling, general and administrative costs from acquisitions of $1.0 million not included in the comparative period. As a percentage of net revenue, selling, general and administrative expenses,</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739"/>
        <w:spacing w:after="0"/>
        <w:rPr>
          <w:sz w:val="20"/>
          <w:szCs w:val="20"/>
          <w:color w:val="auto"/>
        </w:rPr>
      </w:pPr>
      <w:r>
        <w:rPr>
          <w:rFonts w:ascii="Courier New" w:cs="Courier New" w:eastAsia="Courier New" w:hAnsi="Courier New"/>
          <w:sz w:val="15"/>
          <w:szCs w:val="15"/>
          <w:color w:val="auto"/>
        </w:rPr>
        <w:t>2002</w:t>
      </w:r>
    </w:p>
    <w:p>
      <w:pPr>
        <w:spacing w:after="0" w:line="2" w:lineRule="exact"/>
        <w:rPr>
          <w:sz w:val="20"/>
          <w:szCs w:val="20"/>
          <w:color w:val="auto"/>
        </w:rPr>
      </w:pPr>
    </w:p>
    <w:p>
      <w:pPr>
        <w:jc w:val="right"/>
        <w:ind w:right="739"/>
        <w:spacing w:after="0"/>
        <w:rPr>
          <w:sz w:val="20"/>
          <w:szCs w:val="20"/>
          <w:color w:val="auto"/>
        </w:rPr>
      </w:pPr>
      <w:r>
        <w:rPr>
          <w:rFonts w:ascii="Courier New" w:cs="Courier New" w:eastAsia="Courier New" w:hAnsi="Courier New"/>
          <w:sz w:val="15"/>
          <w:szCs w:val="15"/>
          <w:color w:val="auto"/>
        </w:rPr>
        <w:t>to 2001</w:t>
      </w:r>
    </w:p>
    <w:p>
      <w:pPr>
        <w:spacing w:after="0" w:line="2" w:lineRule="exact"/>
        <w:rPr>
          <w:sz w:val="20"/>
          <w:szCs w:val="20"/>
          <w:color w:val="auto"/>
        </w:rPr>
      </w:pPr>
    </w:p>
    <w:p>
      <w:pPr>
        <w:jc w:val="right"/>
        <w:ind w:right="739"/>
        <w:spacing w:after="0"/>
        <w:rPr>
          <w:sz w:val="20"/>
          <w:szCs w:val="20"/>
          <w:color w:val="auto"/>
        </w:rPr>
      </w:pPr>
      <w:r>
        <w:rPr>
          <w:rFonts w:ascii="Courier New" w:cs="Courier New" w:eastAsia="Courier New" w:hAnsi="Courier New"/>
          <w:sz w:val="15"/>
          <w:szCs w:val="15"/>
          <w:color w:val="auto"/>
        </w:rPr>
        <w:t>Percentage</w:t>
      </w:r>
    </w:p>
    <w:p>
      <w:pPr>
        <w:spacing w:after="0" w:line="2" w:lineRule="exact"/>
        <w:rPr>
          <w:sz w:val="20"/>
          <w:szCs w:val="20"/>
          <w:color w:val="auto"/>
        </w:rPr>
      </w:pPr>
    </w:p>
    <w:p>
      <w:pPr>
        <w:jc w:val="right"/>
        <w:ind w:right="739"/>
        <w:spacing w:after="0"/>
        <w:rPr>
          <w:sz w:val="20"/>
          <w:szCs w:val="20"/>
          <w:color w:val="auto"/>
        </w:rPr>
      </w:pPr>
      <w:r>
        <w:rPr>
          <w:rFonts w:ascii="Courier New" w:cs="Courier New" w:eastAsia="Courier New" w:hAnsi="Courier New"/>
          <w:sz w:val="15"/>
          <w:szCs w:val="15"/>
          <w:color w:val="auto"/>
        </w:rPr>
        <w:t>Increase</w:t>
      </w:r>
    </w:p>
    <w:p>
      <w:pPr>
        <w:spacing w:after="0" w:line="346" w:lineRule="exact"/>
        <w:rPr>
          <w:sz w:val="20"/>
          <w:szCs w:val="20"/>
          <w:color w:val="auto"/>
        </w:rPr>
      </w:pPr>
    </w:p>
    <w:p>
      <w:pPr>
        <w:jc w:val="right"/>
        <w:ind w:right="559"/>
        <w:spacing w:after="0"/>
        <w:rPr>
          <w:sz w:val="20"/>
          <w:szCs w:val="20"/>
          <w:color w:val="auto"/>
        </w:rPr>
      </w:pPr>
      <w:r>
        <w:rPr>
          <w:rFonts w:ascii="Courier New" w:cs="Courier New" w:eastAsia="Courier New" w:hAnsi="Courier New"/>
          <w:sz w:val="15"/>
          <w:szCs w:val="15"/>
          <w:color w:val="auto"/>
        </w:rPr>
        <w:t>41.7%</w:t>
      </w:r>
    </w:p>
    <w:p>
      <w:pPr>
        <w:spacing w:after="0" w:line="174" w:lineRule="exact"/>
        <w:rPr>
          <w:sz w:val="20"/>
          <w:szCs w:val="20"/>
          <w:color w:val="auto"/>
        </w:rPr>
      </w:pPr>
    </w:p>
    <w:p>
      <w:pPr>
        <w:jc w:val="right"/>
        <w:ind w:right="559"/>
        <w:spacing w:after="0"/>
        <w:rPr>
          <w:sz w:val="20"/>
          <w:szCs w:val="20"/>
          <w:color w:val="auto"/>
        </w:rPr>
      </w:pPr>
      <w:r>
        <w:rPr>
          <w:rFonts w:ascii="Courier New" w:cs="Courier New" w:eastAsia="Courier New" w:hAnsi="Courier New"/>
          <w:sz w:val="15"/>
          <w:szCs w:val="15"/>
          <w:color w:val="auto"/>
        </w:rPr>
        <w:t>39.6%</w:t>
      </w:r>
    </w:p>
    <w:p>
      <w:pPr>
        <w:spacing w:after="0" w:line="2" w:lineRule="exact"/>
        <w:rPr>
          <w:sz w:val="20"/>
          <w:szCs w:val="20"/>
          <w:color w:val="auto"/>
        </w:rPr>
      </w:pPr>
    </w:p>
    <w:p>
      <w:pPr>
        <w:jc w:val="right"/>
        <w:ind w:right="559"/>
        <w:spacing w:after="0"/>
        <w:rPr>
          <w:sz w:val="20"/>
          <w:szCs w:val="20"/>
          <w:color w:val="auto"/>
        </w:rPr>
      </w:pPr>
      <w:r>
        <w:rPr>
          <w:rFonts w:ascii="Courier New" w:cs="Courier New" w:eastAsia="Courier New" w:hAnsi="Courier New"/>
          <w:sz w:val="15"/>
          <w:szCs w:val="15"/>
          <w:color w:val="auto"/>
        </w:rPr>
        <w:t>49.2%</w:t>
      </w:r>
    </w:p>
    <w:p>
      <w:pPr>
        <w:spacing w:after="0" w:line="2" w:lineRule="exact"/>
        <w:rPr>
          <w:sz w:val="20"/>
          <w:szCs w:val="20"/>
          <w:color w:val="auto"/>
        </w:rPr>
      </w:pPr>
    </w:p>
    <w:p>
      <w:pPr>
        <w:jc w:val="right"/>
        <w:ind w:right="559"/>
        <w:spacing w:after="0"/>
        <w:rPr>
          <w:sz w:val="20"/>
          <w:szCs w:val="20"/>
          <w:color w:val="auto"/>
        </w:rPr>
      </w:pPr>
      <w:r>
        <w:rPr>
          <w:rFonts w:ascii="Courier New" w:cs="Courier New" w:eastAsia="Courier New" w:hAnsi="Courier New"/>
          <w:sz w:val="15"/>
          <w:szCs w:val="15"/>
          <w:color w:val="auto"/>
        </w:rPr>
        <w:t>10.3%</w:t>
      </w:r>
    </w:p>
    <w:p>
      <w:pPr>
        <w:spacing w:after="0" w:line="2" w:lineRule="exact"/>
        <w:rPr>
          <w:sz w:val="20"/>
          <w:szCs w:val="20"/>
          <w:color w:val="auto"/>
        </w:rPr>
      </w:pPr>
    </w:p>
    <w:p>
      <w:pPr>
        <w:jc w:val="right"/>
        <w:ind w:right="559"/>
        <w:spacing w:after="0"/>
        <w:rPr>
          <w:sz w:val="20"/>
          <w:szCs w:val="20"/>
          <w:color w:val="auto"/>
        </w:rPr>
      </w:pPr>
      <w:r>
        <w:rPr>
          <w:rFonts w:ascii="Courier New" w:cs="Courier New" w:eastAsia="Courier New" w:hAnsi="Courier New"/>
          <w:sz w:val="15"/>
          <w:szCs w:val="15"/>
          <w:color w:val="auto"/>
        </w:rPr>
        <w:t>42.9%</w:t>
      </w:r>
    </w:p>
    <w:p>
      <w:pPr>
        <w:sectPr>
          <w:pgSz w:w="11900" w:h="16838" w:orient="portrait"/>
          <w:cols w:equalWidth="0" w:num="2">
            <w:col w:w="7860" w:space="720"/>
            <w:col w:w="1639"/>
          </w:cols>
          <w:pgMar w:left="240" w:top="635" w:right="1440" w:bottom="506" w:gutter="0" w:footer="0" w:header="0"/>
        </w:sectPr>
      </w:pPr>
    </w:p>
    <w:bookmarkStart w:id="15" w:name="page16"/>
    <w:bookmarkEnd w:id="15"/>
    <w:p>
      <w:pPr>
        <w:jc w:val="both"/>
        <w:ind w:right="880"/>
        <w:spacing w:after="0" w:line="241" w:lineRule="auto"/>
        <w:rPr>
          <w:sz w:val="20"/>
          <w:szCs w:val="20"/>
          <w:color w:val="auto"/>
        </w:rPr>
      </w:pPr>
      <w:r>
        <w:rPr>
          <w:rFonts w:ascii="Courier New" w:cs="Courier New" w:eastAsia="Courier New" w:hAnsi="Courier New"/>
          <w:sz w:val="15"/>
          <w:szCs w:val="15"/>
          <w:color w:val="auto"/>
        </w:rPr>
        <w:t>increased from 30.1% in the three months to November 30, 2001, to 31.7% for the quarter ended November 30, 2002, or 31.9% when the effects of acquisitions have been excluded.</w:t>
      </w:r>
    </w:p>
    <w:p>
      <w:pPr>
        <w:spacing w:after="0" w:line="176" w:lineRule="exact"/>
        <w:rPr>
          <w:sz w:val="20"/>
          <w:szCs w:val="20"/>
          <w:color w:val="auto"/>
        </w:rPr>
      </w:pPr>
    </w:p>
    <w:p>
      <w:pPr>
        <w:ind w:right="800"/>
        <w:spacing w:after="0" w:line="242" w:lineRule="auto"/>
        <w:rPr>
          <w:sz w:val="20"/>
          <w:szCs w:val="20"/>
          <w:color w:val="auto"/>
        </w:rPr>
      </w:pPr>
      <w:r>
        <w:rPr>
          <w:rFonts w:ascii="Courier New" w:cs="Courier New" w:eastAsia="Courier New" w:hAnsi="Courier New"/>
          <w:sz w:val="15"/>
          <w:szCs w:val="15"/>
          <w:color w:val="auto"/>
        </w:rPr>
        <w:t>Depreciation and amortization expense increased by $0.1 million, or 10.3%, over the same quarter last year. This increase is due to the continued investment in facilities and information technology to support the growth in activity and in providing for future capacity. As a percentage of net revenue, depreciation and amortisation decreased from 3.8% of net revenues in the three months to November 30, 2001 to 2.9% for the quarter ended November 30, 2002 or 3.2% when the effects of acquisitions have been excluded.</w:t>
      </w:r>
    </w:p>
    <w:p>
      <w:pPr>
        <w:spacing w:after="0" w:line="177" w:lineRule="exact"/>
        <w:rPr>
          <w:sz w:val="20"/>
          <w:szCs w:val="20"/>
          <w:color w:val="auto"/>
        </w:rPr>
      </w:pPr>
    </w:p>
    <w:p>
      <w:pPr>
        <w:ind w:right="800"/>
        <w:spacing w:after="0" w:line="242" w:lineRule="auto"/>
        <w:rPr>
          <w:sz w:val="20"/>
          <w:szCs w:val="20"/>
          <w:color w:val="auto"/>
        </w:rPr>
      </w:pPr>
      <w:r>
        <w:rPr>
          <w:rFonts w:ascii="Courier New" w:cs="Courier New" w:eastAsia="Courier New" w:hAnsi="Courier New"/>
          <w:sz w:val="15"/>
          <w:szCs w:val="15"/>
          <w:color w:val="auto"/>
        </w:rPr>
        <w:t>Income from operations increased by $1.9 million, or 42.9%, from $4.4 million to $6.3 million, including acquisitions. This improvement is due to increased levels of activity carried out across the Company together with the acquisition of BPA and MCS. As a percentage of net revenue, including the effect of acquisitions, income from operations increased from 11.7% for the three months ended November 30, 2001 to 11.8% of net revenues for the three months ended November 30, 2002. For the quarter, income from operations, as a percentage of net revenue for the central laboratory fell to (1.4)% from 12.4% in the same quarter in fiscal 2002 due principally to a higher than normal level of project cancellations in the first quarter of the current fiscal year. Operating margins for our clinical research segment increased from 11.5% in the three months ended November 30, 2001 to 13.4% for the three months ended November 30, 2002 due principally to improved staff utilization.</w:t>
      </w:r>
    </w:p>
    <w:p>
      <w:pPr>
        <w:spacing w:after="0" w:line="181" w:lineRule="exact"/>
        <w:rPr>
          <w:sz w:val="20"/>
          <w:szCs w:val="20"/>
          <w:color w:val="auto"/>
        </w:rPr>
      </w:pPr>
    </w:p>
    <w:p>
      <w:pPr>
        <w:ind w:right="800"/>
        <w:spacing w:after="0" w:line="242" w:lineRule="auto"/>
        <w:rPr>
          <w:sz w:val="20"/>
          <w:szCs w:val="20"/>
          <w:color w:val="auto"/>
        </w:rPr>
      </w:pPr>
      <w:r>
        <w:rPr>
          <w:rFonts w:ascii="Courier New" w:cs="Courier New" w:eastAsia="Courier New" w:hAnsi="Courier New"/>
          <w:sz w:val="15"/>
          <w:szCs w:val="15"/>
          <w:color w:val="auto"/>
        </w:rPr>
        <w:t>Net interest income for the three months ended November 30, 2002 was $0.1 million compared to $0.2 million for the equivalent period last year. Net cash invested decreased from $43.1 million at May 31, 2002 to $27.5 million at November 30, 2002. Lower average interest rates for the second quarter of fiscal 2003, when compared to the same period last year, together with lower amounts of cash invested contributed to the lower returns on our investments.</w:t>
      </w:r>
    </w:p>
    <w:p>
      <w:pPr>
        <w:spacing w:after="0" w:line="176" w:lineRule="exact"/>
        <w:rPr>
          <w:sz w:val="20"/>
          <w:szCs w:val="20"/>
          <w:color w:val="auto"/>
        </w:rPr>
      </w:pPr>
    </w:p>
    <w:p>
      <w:pPr>
        <w:ind w:right="1160"/>
        <w:spacing w:after="0" w:line="242" w:lineRule="auto"/>
        <w:rPr>
          <w:sz w:val="20"/>
          <w:szCs w:val="20"/>
          <w:color w:val="auto"/>
        </w:rPr>
      </w:pPr>
      <w:r>
        <w:rPr>
          <w:rFonts w:ascii="Courier New" w:cs="Courier New" w:eastAsia="Courier New" w:hAnsi="Courier New"/>
          <w:sz w:val="15"/>
          <w:szCs w:val="15"/>
          <w:color w:val="auto"/>
        </w:rPr>
        <w:t>Our effective tax rate for the six months ended November 30, 2002 was 30.6% compared to 25.5% for the comparable period last year. The increase in the effective rate was due to a change in the geographic distribution of pre-tax earnings and the impact of the acquisition of BPA and MCS.</w:t>
      </w:r>
    </w:p>
    <w:p>
      <w:pPr>
        <w:spacing w:after="0" w:line="347" w:lineRule="exact"/>
        <w:rPr>
          <w:sz w:val="20"/>
          <w:szCs w:val="20"/>
          <w:color w:val="auto"/>
        </w:rPr>
      </w:pPr>
    </w:p>
    <w:p>
      <w:pPr>
        <w:ind w:right="980"/>
        <w:spacing w:after="0"/>
        <w:rPr>
          <w:sz w:val="20"/>
          <w:szCs w:val="20"/>
          <w:color w:val="auto"/>
        </w:rPr>
      </w:pPr>
      <w:r>
        <w:rPr>
          <w:rFonts w:ascii="Courier New" w:cs="Courier New" w:eastAsia="Courier New" w:hAnsi="Courier New"/>
          <w:sz w:val="15"/>
          <w:szCs w:val="15"/>
          <w:color w:val="auto"/>
        </w:rPr>
        <w:t>Six Months Ended November 30, 2002 Compared with Six Months Ended November 30, 2001</w:t>
      </w:r>
    </w:p>
    <w:p>
      <w:pPr>
        <w:spacing w:after="0" w:line="176" w:lineRule="exact"/>
        <w:rPr>
          <w:sz w:val="20"/>
          <w:szCs w:val="20"/>
          <w:color w:val="auto"/>
        </w:rPr>
      </w:pPr>
    </w:p>
    <w:p>
      <w:pPr>
        <w:ind w:right="800"/>
        <w:spacing w:after="0" w:line="242" w:lineRule="auto"/>
        <w:rPr>
          <w:sz w:val="20"/>
          <w:szCs w:val="20"/>
          <w:color w:val="auto"/>
        </w:rPr>
      </w:pPr>
      <w:r>
        <w:rPr>
          <w:rFonts w:ascii="Courier New" w:cs="Courier New" w:eastAsia="Courier New" w:hAnsi="Courier New"/>
          <w:sz w:val="15"/>
          <w:szCs w:val="15"/>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Six Months Ended</w:t>
            </w:r>
          </w:p>
        </w:tc>
      </w:tr>
      <w:tr>
        <w:trPr>
          <w:trHeight w:val="172"/>
        </w:trPr>
        <w:tc>
          <w:tcPr>
            <w:tcW w:w="39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November 30,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November 30,</w:t>
            </w:r>
          </w:p>
        </w:tc>
      </w:tr>
      <w:tr>
        <w:trPr>
          <w:trHeight w:val="172"/>
        </w:trPr>
        <w:tc>
          <w:tcPr>
            <w:tcW w:w="3980" w:type="dxa"/>
            <w:vAlign w:val="bottom"/>
          </w:tcPr>
          <w:p>
            <w:pPr>
              <w:spacing w:after="0"/>
              <w:rPr>
                <w:sz w:val="14"/>
                <w:szCs w:val="14"/>
                <w:color w:val="auto"/>
              </w:rPr>
            </w:pP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2002</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2001</w:t>
            </w:r>
          </w:p>
        </w:tc>
      </w:tr>
      <w:tr>
        <w:trPr>
          <w:trHeight w:val="344"/>
        </w:trPr>
        <w:tc>
          <w:tcPr>
            <w:tcW w:w="3980" w:type="dxa"/>
            <w:vAlign w:val="bottom"/>
          </w:tcPr>
          <w:p>
            <w:pPr>
              <w:spacing w:after="0"/>
              <w:rPr>
                <w:sz w:val="24"/>
                <w:szCs w:val="24"/>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Percentage of Net Revenue</w:t>
            </w:r>
          </w:p>
        </w:tc>
      </w:tr>
      <w:tr>
        <w:trPr>
          <w:trHeight w:val="516"/>
        </w:trPr>
        <w:tc>
          <w:tcPr>
            <w:tcW w:w="398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5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Direct costs...........................</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53.9%</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53.4%</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31.5%</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31.2%</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11.5%</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11.5%</w:t>
            </w:r>
          </w:p>
        </w:tc>
      </w:tr>
    </w:tbl>
    <w:p>
      <w:pPr>
        <w:spacing w:after="0" w:line="200" w:lineRule="exact"/>
        <w:rPr>
          <w:sz w:val="20"/>
          <w:szCs w:val="20"/>
          <w:color w:val="auto"/>
        </w:rPr>
      </w:pPr>
    </w:p>
    <w:p>
      <w:pPr>
        <w:spacing w:after="0" w:line="320" w:lineRule="exact"/>
        <w:rPr>
          <w:sz w:val="20"/>
          <w:szCs w:val="20"/>
          <w:color w:val="auto"/>
        </w:rPr>
      </w:pPr>
    </w:p>
    <w:p>
      <w:pPr>
        <w:ind w:right="800"/>
        <w:spacing w:after="0" w:line="242" w:lineRule="auto"/>
        <w:rPr>
          <w:sz w:val="20"/>
          <w:szCs w:val="20"/>
          <w:color w:val="auto"/>
        </w:rPr>
      </w:pPr>
      <w:r>
        <w:rPr>
          <w:rFonts w:ascii="Courier New" w:cs="Courier New" w:eastAsia="Courier New" w:hAnsi="Courier New"/>
          <w:sz w:val="15"/>
          <w:szCs w:val="15"/>
          <w:color w:val="auto"/>
        </w:rPr>
        <w:t>Net revenue increased by $26.4 million, or 35.7%, from $74.0 million to $100.4 million. This improvement arose through a combination of increased business from existing clients, business won from new clients and revenues from acquisitions not included in the comparative period. The additional revenues from these acquisitions (BPA and MCS) were $3.5 million for the two months ended November 30, 2002. Of the total increase, revenues in the United States, Europe/Rest of World grew by 41.0% and 24.5%, respectively. For the six months ended November 30, 2002 net revenue for our central laboratory segment grew from $11.4 million to $13.2 million, or 16.0% over the comparable period last year, while our clinical research segment grew from $62.6 million to $87.2 million, or 39.3% in the same period. The growth in our central laboratory segment was lower due principally to a higher than normal level of cancellations in the first quarter of fiscal 2003.</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ind w:right="659"/>
        <w:spacing w:after="0"/>
        <w:rPr>
          <w:sz w:val="20"/>
          <w:szCs w:val="20"/>
          <w:color w:val="auto"/>
        </w:rPr>
      </w:pPr>
      <w:r>
        <w:rPr>
          <w:rFonts w:ascii="Courier New" w:cs="Courier New" w:eastAsia="Courier New" w:hAnsi="Courier New"/>
          <w:sz w:val="15"/>
          <w:szCs w:val="15"/>
          <w:color w:val="auto"/>
        </w:rPr>
        <w:t>2002</w:t>
      </w:r>
    </w:p>
    <w:p>
      <w:pPr>
        <w:spacing w:after="0" w:line="2" w:lineRule="exact"/>
        <w:rPr>
          <w:sz w:val="20"/>
          <w:szCs w:val="20"/>
          <w:color w:val="auto"/>
        </w:rPr>
      </w:pPr>
    </w:p>
    <w:p>
      <w:pPr>
        <w:jc w:val="right"/>
        <w:ind w:right="659"/>
        <w:spacing w:after="0"/>
        <w:rPr>
          <w:sz w:val="20"/>
          <w:szCs w:val="20"/>
          <w:color w:val="auto"/>
        </w:rPr>
      </w:pPr>
      <w:r>
        <w:rPr>
          <w:rFonts w:ascii="Courier New" w:cs="Courier New" w:eastAsia="Courier New" w:hAnsi="Courier New"/>
          <w:sz w:val="15"/>
          <w:szCs w:val="15"/>
          <w:color w:val="auto"/>
        </w:rPr>
        <w:t>to 2001</w:t>
      </w:r>
    </w:p>
    <w:p>
      <w:pPr>
        <w:spacing w:after="0" w:line="2" w:lineRule="exact"/>
        <w:rPr>
          <w:sz w:val="20"/>
          <w:szCs w:val="20"/>
          <w:color w:val="auto"/>
        </w:rPr>
      </w:pPr>
    </w:p>
    <w:p>
      <w:pPr>
        <w:jc w:val="right"/>
        <w:ind w:right="659"/>
        <w:spacing w:after="0"/>
        <w:rPr>
          <w:sz w:val="20"/>
          <w:szCs w:val="20"/>
          <w:color w:val="auto"/>
        </w:rPr>
      </w:pPr>
      <w:r>
        <w:rPr>
          <w:rFonts w:ascii="Courier New" w:cs="Courier New" w:eastAsia="Courier New" w:hAnsi="Courier New"/>
          <w:sz w:val="15"/>
          <w:szCs w:val="15"/>
          <w:color w:val="auto"/>
        </w:rPr>
        <w:t>Percentage</w:t>
      </w:r>
    </w:p>
    <w:p>
      <w:pPr>
        <w:spacing w:after="0" w:line="2" w:lineRule="exact"/>
        <w:rPr>
          <w:sz w:val="20"/>
          <w:szCs w:val="20"/>
          <w:color w:val="auto"/>
        </w:rPr>
      </w:pPr>
    </w:p>
    <w:p>
      <w:pPr>
        <w:jc w:val="right"/>
        <w:ind w:right="659"/>
        <w:spacing w:after="0"/>
        <w:rPr>
          <w:sz w:val="20"/>
          <w:szCs w:val="20"/>
          <w:color w:val="auto"/>
        </w:rPr>
      </w:pPr>
      <w:r>
        <w:rPr>
          <w:rFonts w:ascii="Courier New" w:cs="Courier New" w:eastAsia="Courier New" w:hAnsi="Courier New"/>
          <w:sz w:val="15"/>
          <w:szCs w:val="15"/>
          <w:color w:val="auto"/>
        </w:rPr>
        <w:t>Increase</w:t>
      </w:r>
    </w:p>
    <w:p>
      <w:pPr>
        <w:spacing w:after="0" w:line="346" w:lineRule="exact"/>
        <w:rPr>
          <w:sz w:val="20"/>
          <w:szCs w:val="20"/>
          <w:color w:val="auto"/>
        </w:rPr>
      </w:pPr>
    </w:p>
    <w:p>
      <w:pPr>
        <w:jc w:val="right"/>
        <w:ind w:right="559"/>
        <w:spacing w:after="0"/>
        <w:rPr>
          <w:sz w:val="20"/>
          <w:szCs w:val="20"/>
          <w:color w:val="auto"/>
        </w:rPr>
      </w:pPr>
      <w:r>
        <w:rPr>
          <w:rFonts w:ascii="Courier New" w:cs="Courier New" w:eastAsia="Courier New" w:hAnsi="Courier New"/>
          <w:sz w:val="15"/>
          <w:szCs w:val="15"/>
          <w:color w:val="auto"/>
        </w:rPr>
        <w:t>35.7%</w:t>
      </w:r>
    </w:p>
    <w:p>
      <w:pPr>
        <w:spacing w:after="0" w:line="174" w:lineRule="exact"/>
        <w:rPr>
          <w:sz w:val="20"/>
          <w:szCs w:val="20"/>
          <w:color w:val="auto"/>
        </w:rPr>
      </w:pPr>
    </w:p>
    <w:p>
      <w:pPr>
        <w:jc w:val="right"/>
        <w:ind w:right="559"/>
        <w:spacing w:after="0"/>
        <w:rPr>
          <w:sz w:val="20"/>
          <w:szCs w:val="20"/>
          <w:color w:val="auto"/>
        </w:rPr>
      </w:pPr>
      <w:r>
        <w:rPr>
          <w:rFonts w:ascii="Courier New" w:cs="Courier New" w:eastAsia="Courier New" w:hAnsi="Courier New"/>
          <w:sz w:val="15"/>
          <w:szCs w:val="15"/>
          <w:color w:val="auto"/>
        </w:rPr>
        <w:t>37.0%</w:t>
      </w:r>
    </w:p>
    <w:p>
      <w:pPr>
        <w:spacing w:after="0" w:line="2" w:lineRule="exact"/>
        <w:rPr>
          <w:sz w:val="20"/>
          <w:szCs w:val="20"/>
          <w:color w:val="auto"/>
        </w:rPr>
      </w:pPr>
    </w:p>
    <w:p>
      <w:pPr>
        <w:jc w:val="right"/>
        <w:ind w:right="559"/>
        <w:spacing w:after="0"/>
        <w:rPr>
          <w:sz w:val="20"/>
          <w:szCs w:val="20"/>
          <w:color w:val="auto"/>
        </w:rPr>
      </w:pPr>
      <w:r>
        <w:rPr>
          <w:rFonts w:ascii="Courier New" w:cs="Courier New" w:eastAsia="Courier New" w:hAnsi="Courier New"/>
          <w:sz w:val="15"/>
          <w:szCs w:val="15"/>
          <w:color w:val="auto"/>
        </w:rPr>
        <w:t>36.8%</w:t>
      </w:r>
    </w:p>
    <w:p>
      <w:pPr>
        <w:spacing w:after="0" w:line="2" w:lineRule="exact"/>
        <w:rPr>
          <w:sz w:val="20"/>
          <w:szCs w:val="20"/>
          <w:color w:val="auto"/>
        </w:rPr>
      </w:pPr>
    </w:p>
    <w:p>
      <w:pPr>
        <w:jc w:val="right"/>
        <w:ind w:right="559"/>
        <w:spacing w:after="0"/>
        <w:rPr>
          <w:sz w:val="20"/>
          <w:szCs w:val="20"/>
          <w:color w:val="auto"/>
        </w:rPr>
      </w:pPr>
      <w:r>
        <w:rPr>
          <w:rFonts w:ascii="Courier New" w:cs="Courier New" w:eastAsia="Courier New" w:hAnsi="Courier New"/>
          <w:sz w:val="15"/>
          <w:szCs w:val="15"/>
          <w:color w:val="auto"/>
        </w:rPr>
        <w:t>9.4%</w:t>
      </w:r>
    </w:p>
    <w:p>
      <w:pPr>
        <w:spacing w:after="0" w:line="2" w:lineRule="exact"/>
        <w:rPr>
          <w:sz w:val="20"/>
          <w:szCs w:val="20"/>
          <w:color w:val="auto"/>
        </w:rPr>
      </w:pPr>
    </w:p>
    <w:p>
      <w:pPr>
        <w:jc w:val="right"/>
        <w:ind w:right="559"/>
        <w:spacing w:after="0"/>
        <w:rPr>
          <w:sz w:val="20"/>
          <w:szCs w:val="20"/>
          <w:color w:val="auto"/>
        </w:rPr>
      </w:pPr>
      <w:r>
        <w:rPr>
          <w:rFonts w:ascii="Courier New" w:cs="Courier New" w:eastAsia="Courier New" w:hAnsi="Courier New"/>
          <w:sz w:val="15"/>
          <w:szCs w:val="15"/>
          <w:color w:val="auto"/>
        </w:rPr>
        <w:t>35.3%</w:t>
      </w:r>
    </w:p>
    <w:p>
      <w:pPr>
        <w:sectPr>
          <w:pgSz w:w="11900" w:h="16838" w:orient="portrait"/>
          <w:cols w:equalWidth="0" w:num="2">
            <w:col w:w="7940" w:space="720"/>
            <w:col w:w="1559"/>
          </w:cols>
          <w:pgMar w:left="240" w:top="635" w:right="1440" w:bottom="1440" w:gutter="0" w:footer="0" w:header="0"/>
        </w:sectPr>
      </w:pPr>
    </w:p>
    <w:bookmarkStart w:id="16" w:name="page17"/>
    <w:bookmarkEnd w:id="16"/>
    <w:p>
      <w:pPr>
        <w:ind w:right="3159"/>
        <w:spacing w:after="0" w:line="242" w:lineRule="auto"/>
        <w:rPr>
          <w:sz w:val="20"/>
          <w:szCs w:val="20"/>
          <w:color w:val="auto"/>
        </w:rPr>
      </w:pPr>
      <w:r>
        <w:rPr>
          <w:rFonts w:ascii="Courier New" w:cs="Courier New" w:eastAsia="Courier New" w:hAnsi="Courier New"/>
          <w:sz w:val="15"/>
          <w:szCs w:val="15"/>
          <w:color w:val="auto"/>
        </w:rPr>
        <w:t>Direct costs increased by $14.6 million, or 37.0%, from $39.5 million to $54.1 million, primarily due to increased staff numbers needed to support increased project related activity and increased costs arising from the acquisitions amounting to $2.1 million. Direct costs, as a percentage of net revenue increased from 53.4% in the six months to November 30, 2001, to 53.9% for the six months ended November 30, 2002 or 53.7% when the effect of acquisitions has been excluded.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expenses increased by $8.5 million, or</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36.8%, from $23.1 million to $31.6 million. The increase in costs is due to the continued expansion of our operations and additional selling, general and administrative costs from acquisitions of $1.0 million not included in the comparative period. As a percentage of net revenue, selling, general and administrative expenses, increased from 31.2% in the six months to November 30, 2001, to 31.5% for the six months ended November 30, 2002 or 31.6% when the effect of acquisitions has been excluded.</w:t>
      </w:r>
    </w:p>
    <w:p>
      <w:pPr>
        <w:spacing w:after="0" w:line="177"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Depreciation and amortization expense increased by $0.3 million, or 9.4%, over the same period last year. This increase is due to the continued investment in facilities and information technology to support the growth in activity and in providing for future capacity. As a percentage of net revenue, depreciation and amortisation decreased from 3.9% of net revenues in the six months to November 30, 2001 to 3.1% for the six months ended November 30, 2002 or 3.3% when the effect of acquisitions has been excluded.</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Income from operations increased by $3.0 million, or 35.3%, from $8.5 million to $11.5 million, including acquisitions. This increase is due to increased levels of activity carried out across the Company together with the acquisition of BPA and MCS. As a percentage of net revenue, including the effect of acquisitions, income from operations was 11.5% for the six months ended November 30, 2002, the same as the comparable period in fiscal 2002. For the first six months of fiscal 2003, income from operations, as a percentage of net revenue for our central laboratory segment fell to 5.4% from 8.9% in the same period in fiscal 2002 due principally to a higher than normal level of project cancellations in the first quarter of the current fiscal year. Operating margins for our clinical research segment increased from 12.0% in the six months ended November 30, 2001 to 12.4% for the six months ended November 30, 2002 primarily due to improved staff utilization.</w:t>
      </w:r>
    </w:p>
    <w:p>
      <w:pPr>
        <w:spacing w:after="0" w:line="18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Net interest income for the six months ended November 30, 2002 was $0.3 million compared to $0.6 million for the equivalent period last year. Net cash invested decreased from $43.1 million at May 31, 2002 to $27.5 million at November 30, 2002, primarily due to the acquisition of BPA and MCS in October 2002. Lower average interest rates for the first six months of fiscal 2003 compared to the same period last year, combined with lower levels of net cash invested, contributed to the lower returns on our investments.</w:t>
      </w:r>
    </w:p>
    <w:p>
      <w:pPr>
        <w:spacing w:after="0" w:line="177"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Our effective tax rate for the six months ended November 30, 2002 was 28.7% compared to 25.3% for the comparable period last year. The increase in the effective rate was due to a change in the geographic distribution of pre-tax earnings and the impact of the acquisition of BPA and MCS.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CRO industry generally is not capital intensive. Since our inception, we have financed our operations and growth primarily with cash flows from operations and the net proceeds of $49.1 million raised in our initial public offering in May 1998. Our principal cash needs are payment of salaries, office rents, travel expenditures and payments to subcontractors. The aggregate amount of employee compensation, excluding stock compensation expense, paid by us and our subsidiaries in the six months ended November 30, 2001 and November 30, 2002 amounted to $41.4 million and $59.6 million, respectively. Investing activities primarily reflect capital expenditures for facilities and for information systems enhancements, the sale and purchase of short term investments and acquisitions.</w:t>
      </w:r>
    </w:p>
    <w:p>
      <w:pPr>
        <w:spacing w:after="0" w:line="179"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Our clinical research and development contracts are generally fixed price with some variable components and range in duration from a few months to several years. Revenue from contracts is generally recognized as income on a percentage of completion basis as the work is performed. The cash flow from contracts typically consists of a down payment of between 10% and 20% paid at the time the contract is entered into, with the balance paid in instalments over the contract's duration, in some cases on the achievement of certain milestones. Accordingly, cash receipts do not necessarily correspond to costs incurred and revenue recognized on contracts.</w:t>
      </w:r>
    </w:p>
    <w:p>
      <w:pPr>
        <w:spacing w:after="0" w:line="17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As of November 30, 2002, our working capital amounted to $68.4 million, compared to $72.9 million at May 31, 2002. The most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was 59 days at November 30, 2002 compared to 67 days at May 31, 2002.</w:t>
      </w:r>
    </w:p>
    <w:p>
      <w:pPr>
        <w:spacing w:after="0" w:line="200" w:lineRule="exact"/>
        <w:rPr>
          <w:sz w:val="20"/>
          <w:szCs w:val="20"/>
          <w:color w:val="auto"/>
        </w:rPr>
      </w:pPr>
    </w:p>
    <w:p>
      <w:pPr>
        <w:spacing w:after="0" w:line="32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5" w:right="1440" w:bottom="506" w:gutter="0" w:footer="0" w:header="0"/>
        </w:sectPr>
      </w:pPr>
    </w:p>
    <w:bookmarkStart w:id="17" w:name="page18"/>
    <w:bookmarkEnd w:id="17"/>
    <w:p>
      <w:pPr>
        <w:ind w:right="3439"/>
        <w:spacing w:after="0" w:line="241" w:lineRule="auto"/>
        <w:rPr>
          <w:sz w:val="20"/>
          <w:szCs w:val="20"/>
          <w:color w:val="auto"/>
        </w:rPr>
      </w:pPr>
      <w:r>
        <w:rPr>
          <w:rFonts w:ascii="Courier New" w:cs="Courier New" w:eastAsia="Courier New" w:hAnsi="Courier New"/>
          <w:sz w:val="15"/>
          <w:szCs w:val="15"/>
          <w:color w:val="auto"/>
        </w:rPr>
        <w:t>Net cash provided by operating activities was $9.5 million in the six months ended November 30, 2002, compared to $17.2 million in the six months ended November 30, 2001.</w:t>
      </w:r>
    </w:p>
    <w:p>
      <w:pPr>
        <w:spacing w:after="0" w:line="176"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Net cash used in investing activities was $16.8 million in the six months ended November 30, 2002, compared to $9.1 million provided by investing activities in the six months ended November 30, 2001.</w:t>
      </w:r>
    </w:p>
    <w:p>
      <w:pPr>
        <w:spacing w:after="0" w:line="176" w:lineRule="exact"/>
        <w:rPr>
          <w:sz w:val="20"/>
          <w:szCs w:val="20"/>
          <w:color w:val="auto"/>
        </w:rPr>
      </w:pPr>
    </w:p>
    <w:p>
      <w:pPr>
        <w:jc w:val="both"/>
        <w:ind w:right="3259"/>
        <w:spacing w:after="0" w:line="241" w:lineRule="auto"/>
        <w:rPr>
          <w:sz w:val="20"/>
          <w:szCs w:val="20"/>
          <w:color w:val="auto"/>
        </w:rPr>
      </w:pPr>
      <w:r>
        <w:rPr>
          <w:rFonts w:ascii="Courier New" w:cs="Courier New" w:eastAsia="Courier New" w:hAnsi="Courier New"/>
          <w:sz w:val="15"/>
          <w:szCs w:val="15"/>
          <w:color w:val="auto"/>
        </w:rPr>
        <w:t>Net cash used in financing activities was $3.5 million in the six months ended November 30, 2002, compared with $1.9 million provided by financing activities in the six months ended November 30, 2001.</w:t>
      </w:r>
    </w:p>
    <w:p>
      <w:pPr>
        <w:spacing w:after="0" w:line="176" w:lineRule="exact"/>
        <w:rPr>
          <w:sz w:val="20"/>
          <w:szCs w:val="20"/>
          <w:color w:val="auto"/>
        </w:rPr>
      </w:pPr>
    </w:p>
    <w:p>
      <w:pPr>
        <w:jc w:val="both"/>
        <w:ind w:right="3339"/>
        <w:spacing w:after="0" w:line="241" w:lineRule="auto"/>
        <w:rPr>
          <w:sz w:val="20"/>
          <w:szCs w:val="20"/>
          <w:color w:val="auto"/>
        </w:rPr>
      </w:pPr>
      <w:r>
        <w:rPr>
          <w:rFonts w:ascii="Courier New" w:cs="Courier New" w:eastAsia="Courier New" w:hAnsi="Courier New"/>
          <w:sz w:val="15"/>
          <w:szCs w:val="15"/>
          <w:color w:val="auto"/>
        </w:rPr>
        <w:t>As a result of these cash flows, cash and cash equivalents decreased by $11.0 million in the six months ended November 30, 2002, compared to an increase of $28.5 million in the six months ended November 30, 2001.</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On November 17, 1998, we entered into an overdraft facility (the "A.I.B. facility") for (euro)2,539,000 (U.S.$2,525,567) with Allied Irish Banks plc ("A.I.B."). This facility bears interest at an annual rate equal to A.I.B. Bank's Prime Rate plus one-quarter of a percent. The full sum of the unpaid principal and interest is due and repayable on demand. This A.I.B. facility will be reviewed on June 30, 2003. As at November 30, 2002, the full sum of this facility was available to be drawn down.</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On July 29, 2002, we entered into an additional A.I.B. facility for STG(pound)50,000 (U.S.$77,548) This facility bears interest at an annual rate equal to A.I.B. Bank's Prime Rate plus two percent. The full sum of the unpaid principal and interest is due and repayable on demand. This A.I.B. facility will be reviewed on June 30, 2003. As at November 30, 2002, STG(pound)35,588 (U.S.$55,196) of this facility was available to be drawn down.</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Our U.S. subsidiary, ICON Clinical Research, Inc. (the "Borrower"), has a $12 million secured line of credit (the "PNC Facility") with PNC Bank N.A ("P.N.C."). Borrowings under the PNC Facility must be the lesser of (a) $12 million and (b) the sum of (i) 80% of the borrower's gross accounts receivables less than 90 days from the date of invoice issuance ("Qualified receivables") plus (ii) 50% of gross unbilled receivables less than 90 days ("Qualified unbilled receivables") provided always that drawings against Qualified unbilled receivables shall at no time exceed 50% of drawings against Qualified receivables. The PNC Facility bears interest at an annual rate equal to PNC's Prime Rate less three-quarters of a percent. The full sum of the unpaid principal and interest is due and payable on demand. The PNC Facility is secured by a first priority security interest in certain assets of the Borrower. This facility will expire on December 31, 2002. As of November 30, 2002, $8.4 million was drawn down of the available $12 million.</w:t>
      </w:r>
    </w:p>
    <w:p>
      <w:pPr>
        <w:spacing w:after="0" w:line="182"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have entered into an overdraft agreement with A.I.B., whereby we guarantee any overdrafts of our subsidiaries, ICON Clinical Research GmbH and ICON Clinical Research Israel Ltd., up to an amount (euro)112,484 (U.S.$111,889) and U.S.$250,000 (ILS 1,647,741), respectively. As of November 30, 2002, the full German facility and U.S.$234,324 (ILS1,091,707) of the Israeli facility were available to be drawn down.</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expect to spend approximately U.S.$15.0 million in the next twelve months on further investments in information technology, the expansion of existing facilities and the addition of new offices, and expect an increased level of spending in subsequent years. We believe that we will be able to fund our additional foreseeable cash needs for the next twelve months from cash flow from operations and existing cash balances. In the future, we will consider acquiring further businesses to enhance our service offerings and global presence. Any such acquisitions may require additional external financing and we may from time to time seek to obtain funds from public or private issues of equity or debt securities. There can be no assurance that such financing will be available on terms acceptable to us.</w:t>
      </w:r>
    </w:p>
    <w:p>
      <w:pPr>
        <w:spacing w:after="0" w:line="179" w:lineRule="exact"/>
        <w:rPr>
          <w:sz w:val="20"/>
          <w:szCs w:val="20"/>
          <w:color w:val="auto"/>
        </w:rPr>
      </w:pPr>
    </w:p>
    <w:p>
      <w:pPr>
        <w:jc w:val="both"/>
        <w:ind w:right="3079"/>
        <w:spacing w:after="0" w:line="267" w:lineRule="auto"/>
        <w:rPr>
          <w:sz w:val="20"/>
          <w:szCs w:val="20"/>
          <w:color w:val="auto"/>
        </w:rPr>
      </w:pPr>
      <w:r>
        <w:rPr>
          <w:rFonts w:ascii="Courier New" w:cs="Courier New" w:eastAsia="Courier New" w:hAnsi="Courier New"/>
          <w:sz w:val="14"/>
          <w:szCs w:val="14"/>
          <w:color w:val="auto"/>
        </w:rPr>
        <w:t>On October 9, 2002 we completed the acquisition of Barton &amp; Polansky Associates, Inc. and its sister company, Managed Clinical Solutions, Inc., contract research organisations in New York, for an initial cash consideration of $15.7 million.</w:t>
      </w:r>
    </w:p>
    <w:p>
      <w:pPr>
        <w:spacing w:after="0" w:line="159"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Since the end of the quarter, we completed the acquisition of Medeval Group Limited, or Medeval, a specialist provider of Phase I clinical trials to the pharmaceutical and biotechnology industries, for an initial cash consideration of sterling (pound)9.6 million.</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5"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Inflation</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We believe the effects of inflation generally do not have a material adverse impact on our operations or financial conditions.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July 2001 the Financial Accounting Standards Board ("FASB") issued two new statements: SFAS No. 141, "Business Combinations", and Statement No. 142, "Goodwill and Other Intangible Assets". Those Statements change the accounting for business combinations and goodwill in two significant ways. First, SFAS No. 141 requires that the purchase method of accounting be used for all business combinations initiated after June 30, 2001. Use of the pooling-of-interests method is prohibited. Second, SFAS No.142 changes the accounting for goodwill from an amortization method to an impairment-only approach. SFAS No. 142 also requires that intangible assets with estimable useful lives be amortized over their respective estimated useful lives to their estimated residual values, and reviewed for impairment in accordance with SFAS No. 121 and subsequently, SFAS No. 144 after its adoption. We have no intangible assets with infinite lives. Thus, amortization of goodwill, including goodwill recorded in past business combinations, ceased upon adoption of SFAS No. 142. We adopted SFAS No 142, effective June 1, 2001. We completed our transitional assessment of goodwill impairment during the year and our assessment indicates that there is no charge for impairment.</w:t>
      </w:r>
    </w:p>
    <w:p>
      <w:pPr>
        <w:spacing w:after="0" w:line="18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July 2001 the FASB issued SFAS No. 143, " Accounting for Asset Retirement Obligations". SFAS No. 143, which is effective for fiscal years beginning after June 15, 2002, requires entities to record the fair value of a liability for an asset retirement obligation in the period in which it is incurred. When the liability is initially recorded, the entity capitalizes a cost by increasing the carrying amount of the related long-lived asset. Over time, the liability is accreted to its expected settlement amount each period, and the capitalized cost is depreciated over the useful life of the related asset. Upon settlement of the liability, an entity either settles the obligation for its recorded amount or incurs a gain or loss upon settlement. We have not yet adopted this new standard and are currently assessing the impact of the standard but its adoption is not likely to have a material impact on our results of operations and financial position.</w:t>
      </w:r>
    </w:p>
    <w:p>
      <w:pPr>
        <w:spacing w:after="0" w:line="18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August 2001, the Financial Accounting Standards Board issued SFAS No. 144, "Accounting for the Impairment or Disposal of Long-Lived Assets". This statement supersedes both SFAS No. 121, "Accounting for the Impairment of Long-Lived Assets and for Long-Lived Assets to Be Disposed Of", and the accounting and reporting provisions for the disposal of a segment of a business of Accounting Principles Board (APB) Opinion No. 30, "Reporting the Results of Operations - Reporting the Effects of Disposal of a Segment of a Business, and Extraordinary, Unusual and Infrequently Occurring Events and Transactions". SFAS No. 144 retains the fundamental provisions in SFAS No. 121 for recognizing and measuring impairment losses on long-lived assets held for use and long-lived assets to be disposed of by sale, while also resolving significant implementation issues associated with SFAS No. 121. SFAS No. 144 also retains the basic provisions of APB Opinion No. 30 on how to present discontinued operations in the income statement but broadens that presentation to include a component of an entity (rather than a segment of a business). We adopted SFAS No. 144 on June 1, 2002. Adoption of SFAS No.144 did not have a material impact on our results of operations and financial position.</w:t>
      </w:r>
    </w:p>
    <w:p>
      <w:pPr>
        <w:spacing w:after="0" w:line="18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November 2001, the Emerging Issues Task Force ("EITF") released EITF Issue 01-14 " Income Statement Characterization of Reimbursements Received for `Out of Pocket' Expenses Incurred", requiring companies to report reimbursed costs as part of gross revenues. Our reimbursed costs include such items as payments to investigators and travel costs for our clinical research staff. We do not earn a profit on these costs. We have always included such reimbursed costs within our measure of gross revenues and adoption of EITF Issue 01-14 had no effect on our reported results.</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April 2002, the FASB issued SFAS No.145, "Rescission of FASB Statements No.4, 44 and 64, Amendment of FASB Statement No.13, and Technical Corrections". SFAS No.145 provides for the rescission of several previously issued accounting standards, new accounting guidance of the accounting for certain lease modifications and various technical corrections that are not substantive in nature to existing pronouncements. SFAS No. 145 will be adopted beginning June 1, 2003, except for the provisions relating to the amendment of SFAS No.13, which will be adopted for the transactions occurring subsequent to May 15, 2002. Adoption of SFAS No.145 did not have a material impact on our results of operations and financial position.</w:t>
      </w:r>
    </w:p>
    <w:p>
      <w:pPr>
        <w:spacing w:after="0" w:line="179"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June 2002, the FASB issued SFAS No. 146 "Accounting for Costs Associated with Exit or Disposal Activities" ("SFAS No. 146"). SFAS No. 146 addresses financial accounting and reporting for costs associated with exit or disposal activities and nullifies Emerging Issues Task Force (EITF) Issue 94-3, "Liability Recognition for Certain Costs Incurred in a Restructuring". The statement also establishes that fair value is the objective for initial measurement of the liability. The statement is also effective for exit or disposal activities initiated after December 31, 2002. The Company does not expect that the adoption of SFAS No. 146 to have a material impact on its consolidated financial statements.</w:t>
      </w:r>
    </w:p>
    <w:p>
      <w:pPr>
        <w:spacing w:after="0" w:line="200" w:lineRule="exact"/>
        <w:rPr>
          <w:sz w:val="20"/>
          <w:szCs w:val="20"/>
          <w:color w:val="auto"/>
        </w:rPr>
      </w:pPr>
    </w:p>
    <w:p>
      <w:pPr>
        <w:spacing w:after="0" w:line="32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3" w:right="1440" w:bottom="0" w:gutter="0" w:footer="0" w:header="0"/>
        </w:sectPr>
      </w:pPr>
    </w:p>
    <w:bookmarkStart w:id="19" w:name="page20"/>
    <w:bookmarkEnd w:id="19"/>
    <w:p>
      <w:pPr>
        <w:ind w:right="3079"/>
        <w:spacing w:after="0" w:line="261" w:lineRule="auto"/>
        <w:rPr>
          <w:sz w:val="20"/>
          <w:szCs w:val="20"/>
          <w:color w:val="auto"/>
        </w:rPr>
      </w:pPr>
      <w:r>
        <w:rPr>
          <w:rFonts w:ascii="Courier New" w:cs="Courier New" w:eastAsia="Courier New" w:hAnsi="Courier New"/>
          <w:sz w:val="14"/>
          <w:szCs w:val="14"/>
          <w:color w:val="auto"/>
        </w:rPr>
        <w:t>In June 2002, the FASB issued SFAS No. 146," Accounting for Costs Associated with Exit or Disposal Activities" ("SFAS No. 146"). SFAS 146 addresses financial accounting reporting for costs associated with exit or disposal activities and nullifies EITF Issue No. 94-3, "Liability Recognition for Certain Employee Termination Benefits and Other Costs to Exit and Activity". SFAS 146 requires that a liability for a cost associated with an exit or disposal activity be recognized and measured initially at fair value only when the liability is incurred. SFAS No. 146 is effective for exit or disposal activities that are initiated after December 31, 2002 and will be effective in our third quarter ending February 28, 2003. The adoption of SFAS No. 146 is not expected to have a material impact on our financial position or results of its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We are not party to any litigation or other legal proceedings that we believe could reasonably be expected to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5" w:right="1440" w:bottom="1440" w:gutter="0" w:footer="0" w:header="0"/>
        </w:sectPr>
      </w:pPr>
    </w:p>
    <w:bookmarkStart w:id="20" w:name="page21"/>
    <w:bookmarkEnd w:id="20"/>
    <w:p>
      <w:pPr>
        <w:ind w:left="3120"/>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jc w:val="both"/>
        <w:ind w:right="3779"/>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ICON plc</w:t>
      </w:r>
    </w:p>
    <w:p>
      <w:pPr>
        <w:sectPr>
          <w:pgSz w:w="11900" w:h="16838" w:orient="portrait"/>
          <w:cols w:equalWidth="0" w:num="1">
            <w:col w:w="10219"/>
          </w:cols>
          <w:pgMar w:left="240" w:top="9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11,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Sean Leech</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Sean Leech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200" w:lineRule="exact"/>
        <w:rPr>
          <w:sz w:val="20"/>
          <w:szCs w:val="20"/>
          <w:color w:val="auto"/>
        </w:rPr>
      </w:pPr>
    </w:p>
    <w:p>
      <w:pPr>
        <w:sectPr>
          <w:pgSz w:w="11900" w:h="16838" w:orient="portrait"/>
          <w:cols w:equalWidth="0" w:num="2">
            <w:col w:w="3560" w:space="720"/>
            <w:col w:w="5939"/>
          </w:cols>
          <w:pgMar w:left="240" w:top="97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sectPr>
      <w:pgSz w:w="11900" w:h="16838" w:orient="portrait"/>
      <w:cols w:equalWidth="0" w:num="1">
        <w:col w:w="10219"/>
      </w:cols>
      <w:pgMar w:left="240" w:top="97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lvl w:ilvl="1">
      <w:lvlJc w:val="left"/>
      <w:lvlText w:val="*"/>
      <w:numFmt w:val="bullet"/>
      <w:start w:val="1"/>
    </w:lvl>
  </w:abstractNum>
  <w:abstractNum w:abstractNumId="1">
    <w:nsid w:val="2AE8944A"/>
    <w:multiLevelType w:val="hybridMultilevel"/>
    <w:lvl w:ilvl="0">
      <w:lvlJc w:val="left"/>
      <w:lvlText w:val="%1)"/>
      <w:numFmt w:val="lowerLetter"/>
      <w:start w:val="3"/>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1)"/>
      <w:numFmt w:val="lowerLetter"/>
      <w:start w:val="5"/>
    </w:lvl>
  </w:abstractNum>
  <w:abstractNum w:abstractNumId="4">
    <w:nsid w:val="46E87CCD"/>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2019-12-14T19:52:31Z</dcterms:created>
  <dcterms:modified xsi:type="dcterms:W3CDTF">2019-12-14T19:52:31Z</dcterms:modified>
</cp:coreProperties>
</file>