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2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40"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40"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40"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Pursuant to Rule 13a - 16 under</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62" w:lineRule="exact"/>
        <w:rPr>
          <w:sz w:val="24"/>
          <w:szCs w:val="24"/>
          <w:color w:val="auto"/>
        </w:rPr>
      </w:pPr>
    </w:p>
    <w:p>
      <w:pPr>
        <w:ind w:left="1560"/>
        <w:spacing w:after="0"/>
        <w:rPr>
          <w:sz w:val="20"/>
          <w:szCs w:val="20"/>
          <w:color w:val="auto"/>
        </w:rPr>
      </w:pPr>
      <w:r>
        <w:rPr>
          <w:rFonts w:ascii="Courier New" w:cs="Courier New" w:eastAsia="Courier New" w:hAnsi="Courier New"/>
          <w:sz w:val="15"/>
          <w:szCs w:val="15"/>
          <w:color w:val="auto"/>
        </w:rPr>
        <w:t>For the quarterly period ended August 31, 2004</w:t>
      </w:r>
    </w:p>
    <w:p>
      <w:pPr>
        <w:spacing w:after="0" w:line="362" w:lineRule="exact"/>
        <w:rPr>
          <w:sz w:val="24"/>
          <w:szCs w:val="24"/>
          <w:color w:val="auto"/>
        </w:rPr>
      </w:pPr>
    </w:p>
    <w:p>
      <w:pPr>
        <w:ind w:left="3320"/>
        <w:spacing w:after="0"/>
        <w:rPr>
          <w:sz w:val="20"/>
          <w:szCs w:val="20"/>
          <w:color w:val="auto"/>
        </w:rPr>
      </w:pPr>
      <w:r>
        <w:rPr>
          <w:rFonts w:ascii="Courier New" w:cs="Courier New" w:eastAsia="Courier New" w:hAnsi="Courier New"/>
          <w:sz w:val="15"/>
          <w:szCs w:val="15"/>
          <w:color w:val="auto"/>
        </w:rPr>
        <w:t>ICON plc</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(Registrant's name)</w:t>
      </w:r>
    </w:p>
    <w:p>
      <w:pPr>
        <w:spacing w:after="0" w:line="362"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0-29714</w:t>
      </w:r>
    </w:p>
    <w:p>
      <w:pPr>
        <w:spacing w:after="0" w:line="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(Commission file number)</w:t>
      </w:r>
    </w:p>
    <w:p>
      <w:pPr>
        <w:spacing w:after="0" w:line="362"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62" w:lineRule="exact"/>
        <w:rPr>
          <w:sz w:val="24"/>
          <w:szCs w:val="24"/>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4" w:lineRule="exact"/>
        <w:rPr>
          <w:sz w:val="24"/>
          <w:szCs w:val="24"/>
          <w:color w:val="auto"/>
        </w:rPr>
      </w:pPr>
    </w:p>
    <w:p>
      <w:pPr>
        <w:ind w:left="2120"/>
        <w:spacing w:after="0"/>
        <w:tabs>
          <w:tab w:leader="none" w:pos="4860" w:val="left"/>
        </w:tabs>
        <w:rPr>
          <w:sz w:val="20"/>
          <w:szCs w:val="20"/>
          <w:color w:val="auto"/>
        </w:rPr>
      </w:pPr>
      <w:r>
        <w:rPr>
          <w:rFonts w:ascii="Courier New" w:cs="Courier New" w:eastAsia="Courier New" w:hAnsi="Courier New"/>
          <w:sz w:val="15"/>
          <w:szCs w:val="15"/>
          <w:color w:val="auto"/>
        </w:rPr>
        <w:t>Yes___X___</w:t>
      </w:r>
      <w:r>
        <w:rPr>
          <w:sz w:val="20"/>
          <w:szCs w:val="20"/>
          <w:color w:val="auto"/>
        </w:rPr>
        <w:tab/>
      </w:r>
      <w:r>
        <w:rPr>
          <w:rFonts w:ascii="Courier New" w:cs="Courier New" w:eastAsia="Courier New" w:hAnsi="Courier New"/>
          <w:sz w:val="15"/>
          <w:szCs w:val="15"/>
          <w:color w:val="auto"/>
        </w:rPr>
        <w:t>No_______</w:t>
      </w:r>
    </w:p>
    <w:p>
      <w:pPr>
        <w:spacing w:after="0" w:line="185" w:lineRule="exact"/>
        <w:rPr>
          <w:sz w:val="24"/>
          <w:szCs w:val="24"/>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4" w:lineRule="exact"/>
        <w:rPr>
          <w:sz w:val="24"/>
          <w:szCs w:val="24"/>
          <w:color w:val="auto"/>
        </w:rPr>
      </w:pPr>
    </w:p>
    <w:p>
      <w:pPr>
        <w:ind w:left="2120"/>
        <w:spacing w:after="0"/>
        <w:tabs>
          <w:tab w:leader="none" w:pos="486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85" w:lineRule="exact"/>
        <w:rPr>
          <w:sz w:val="24"/>
          <w:szCs w:val="24"/>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4" w:lineRule="exact"/>
        <w:rPr>
          <w:sz w:val="24"/>
          <w:szCs w:val="24"/>
          <w:color w:val="auto"/>
        </w:rPr>
      </w:pPr>
    </w:p>
    <w:p>
      <w:pPr>
        <w:ind w:left="2120"/>
        <w:spacing w:after="0"/>
        <w:tabs>
          <w:tab w:leader="none" w:pos="486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85" w:lineRule="exact"/>
        <w:rPr>
          <w:sz w:val="24"/>
          <w:szCs w:val="24"/>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5" w:lineRule="exact"/>
        <w:rPr>
          <w:sz w:val="24"/>
          <w:szCs w:val="24"/>
          <w:color w:val="auto"/>
        </w:rPr>
      </w:pPr>
    </w:p>
    <w:p>
      <w:pPr>
        <w:ind w:left="2120"/>
        <w:spacing w:after="0"/>
        <w:tabs>
          <w:tab w:leader="none" w:pos="486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85" w:lineRule="exact"/>
        <w:rPr>
          <w:sz w:val="24"/>
          <w:szCs w:val="24"/>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320"/>
        <w:spacing w:after="0"/>
        <w:rPr>
          <w:sz w:val="20"/>
          <w:szCs w:val="20"/>
          <w:color w:val="auto"/>
        </w:rPr>
      </w:pPr>
      <w:r>
        <w:rPr>
          <w:rFonts w:ascii="Courier New" w:cs="Courier New" w:eastAsia="Courier New" w:hAnsi="Courier New"/>
          <w:sz w:val="15"/>
          <w:szCs w:val="15"/>
          <w:color w:val="auto"/>
        </w:rPr>
        <w:t>ICON plc</w:t>
      </w:r>
    </w:p>
    <w:p>
      <w:pPr>
        <w:spacing w:after="0" w:line="185"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Quarterly Period Ended August 31, 2004</w:t>
      </w:r>
    </w:p>
    <w:p>
      <w:pPr>
        <w:spacing w:after="0" w:line="362" w:lineRule="exact"/>
        <w:rPr>
          <w:sz w:val="24"/>
          <w:szCs w:val="24"/>
          <w:color w:val="auto"/>
        </w:rPr>
      </w:pPr>
    </w:p>
    <w:p>
      <w:pPr>
        <w:spacing w:after="0"/>
        <w:tabs>
          <w:tab w:leader="none" w:pos="690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5"/>
          <w:szCs w:val="15"/>
          <w:color w:val="auto"/>
        </w:rPr>
        <w:t>Page</w:t>
      </w:r>
    </w:p>
    <w:p>
      <w:pPr>
        <w:spacing w:after="0" w:line="362" w:lineRule="exact"/>
        <w:rPr>
          <w:sz w:val="24"/>
          <w:szCs w:val="24"/>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as at</w:t>
      </w:r>
    </w:p>
    <w:p>
      <w:pPr>
        <w:spacing w:after="0" w:line="8" w:lineRule="exact"/>
        <w:rPr>
          <w:sz w:val="24"/>
          <w:szCs w:val="24"/>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August 31, 2004 and May 31, 2004</w:t>
      </w:r>
      <w:r>
        <w:rPr>
          <w:sz w:val="20"/>
          <w:szCs w:val="20"/>
          <w:color w:val="auto"/>
        </w:rPr>
        <w:tab/>
      </w:r>
      <w:r>
        <w:rPr>
          <w:rFonts w:ascii="Courier New" w:cs="Courier New" w:eastAsia="Courier New" w:hAnsi="Courier New"/>
          <w:sz w:val="13"/>
          <w:szCs w:val="13"/>
          <w:color w:val="auto"/>
        </w:rPr>
        <w:t>2</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line="8" w:lineRule="exact"/>
        <w:rPr>
          <w:sz w:val="24"/>
          <w:szCs w:val="24"/>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three months ended August 31, 2004 and 2003</w:t>
      </w:r>
      <w:r>
        <w:rPr>
          <w:sz w:val="20"/>
          <w:szCs w:val="20"/>
          <w:color w:val="auto"/>
        </w:rPr>
        <w:tab/>
      </w:r>
      <w:r>
        <w:rPr>
          <w:rFonts w:ascii="Courier New" w:cs="Courier New" w:eastAsia="Courier New" w:hAnsi="Courier New"/>
          <w:sz w:val="13"/>
          <w:szCs w:val="13"/>
          <w:color w:val="auto"/>
        </w:rPr>
        <w:t>3</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line="8" w:lineRule="exact"/>
        <w:rPr>
          <w:sz w:val="24"/>
          <w:szCs w:val="24"/>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three months ended August 31, 2004 and 2003</w:t>
      </w:r>
      <w:r>
        <w:rPr>
          <w:sz w:val="20"/>
          <w:szCs w:val="20"/>
          <w:color w:val="auto"/>
        </w:rPr>
        <w:tab/>
      </w:r>
      <w:r>
        <w:rPr>
          <w:rFonts w:ascii="Courier New" w:cs="Courier New" w:eastAsia="Courier New" w:hAnsi="Courier New"/>
          <w:sz w:val="13"/>
          <w:szCs w:val="13"/>
          <w:color w:val="auto"/>
        </w:rPr>
        <w:t>4</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line="8" w:lineRule="exact"/>
        <w:rPr>
          <w:sz w:val="24"/>
          <w:szCs w:val="24"/>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3"/>
          <w:szCs w:val="13"/>
          <w:color w:val="auto"/>
        </w:rPr>
        <w:t>5</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line="8" w:lineRule="exact"/>
        <w:rPr>
          <w:sz w:val="24"/>
          <w:szCs w:val="24"/>
          <w:color w:val="auto"/>
        </w:rPr>
      </w:pPr>
    </w:p>
    <w:p>
      <w:pPr>
        <w:spacing w:after="0"/>
        <w:tabs>
          <w:tab w:leader="dot" w:pos="718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3"/>
          <w:szCs w:val="13"/>
          <w:color w:val="auto"/>
        </w:rPr>
        <w:t>6</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8" w:lineRule="exact"/>
        <w:rPr>
          <w:sz w:val="24"/>
          <w:szCs w:val="24"/>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12</w:t>
      </w:r>
    </w:p>
    <w:p>
      <w:pPr>
        <w:spacing w:after="0" w:line="185" w:lineRule="exact"/>
        <w:rPr>
          <w:sz w:val="24"/>
          <w:szCs w:val="24"/>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18</w:t>
      </w:r>
    </w:p>
    <w:p>
      <w:pPr>
        <w:sectPr>
          <w:pgSz w:w="11900" w:h="16838" w:orient="portrait"/>
          <w:cols w:equalWidth="0" w:num="1">
            <w:col w:w="10219"/>
          </w:cols>
          <w:pgMar w:left="240" w:top="236" w:right="1440" w:bottom="99" w:gutter="0" w:footer="0" w:header="0"/>
        </w:sectPr>
      </w:pPr>
    </w:p>
    <w:bookmarkStart w:id="1" w:name="page2"/>
    <w:bookmarkEnd w:id="1"/>
    <w:p>
      <w:pPr>
        <w:spacing w:after="0"/>
        <w:tabs>
          <w:tab w:leader="dot" w:pos="708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320"/>
        <w:spacing w:after="0"/>
        <w:rPr>
          <w:sz w:val="20"/>
          <w:szCs w:val="20"/>
          <w:color w:val="auto"/>
        </w:rPr>
      </w:pPr>
      <w:r>
        <w:rPr>
          <w:rFonts w:ascii="Courier New" w:cs="Courier New" w:eastAsia="Courier New" w:hAnsi="Courier New"/>
          <w:sz w:val="15"/>
          <w:szCs w:val="15"/>
          <w:color w:val="auto"/>
        </w:rPr>
        <w:t>ICON plc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2,550 employees worldwide, with operations in 35 locations in 21 countries including the United States and major markets in Europe and Rest of World and have managed clinical trials in over 55 countries. For the three months ended August 31, 2004, we derived approximately 58.4%, 35.6%, and 6.0% of our net revenue in the United States, Europe and Rest of World, respectively.</w:t>
      </w:r>
    </w:p>
    <w:p>
      <w:pPr>
        <w:spacing w:after="0" w:line="183"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4"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On July 1, 2004 we acquired 70% of the common stock of Beacon Biosciences, Inc., a leading specialist CRO, which provides a range of medical imaging services to the pharmaceutical, biotechnology and medical device industries.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2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8020" w:type="dxa"/>
            <w:vAlign w:val="bottom"/>
          </w:tcPr>
          <w:p>
            <w:pPr>
              <w:ind w:left="3320"/>
              <w:spacing w:after="0"/>
              <w:rPr>
                <w:sz w:val="20"/>
                <w:szCs w:val="20"/>
                <w:color w:val="auto"/>
              </w:rPr>
            </w:pPr>
            <w:r>
              <w:rPr>
                <w:rFonts w:ascii="Courier New" w:cs="Courier New" w:eastAsia="Courier New" w:hAnsi="Courier New"/>
                <w:sz w:val="15"/>
                <w:szCs w:val="15"/>
                <w:color w:val="auto"/>
              </w:rPr>
              <w:t>ICON plc</w:t>
            </w: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87"/>
        </w:trPr>
        <w:tc>
          <w:tcPr>
            <w:tcW w:w="8020" w:type="dxa"/>
            <w:vAlign w:val="bottom"/>
          </w:tcPr>
          <w:p>
            <w:pPr>
              <w:jc w:val="right"/>
              <w:ind w:right="2503"/>
              <w:spacing w:after="0"/>
              <w:rPr>
                <w:sz w:val="20"/>
                <w:szCs w:val="20"/>
                <w:color w:val="auto"/>
              </w:rPr>
            </w:pPr>
            <w:r>
              <w:rPr>
                <w:rFonts w:ascii="Courier New" w:cs="Courier New" w:eastAsia="Courier New" w:hAnsi="Courier New"/>
                <w:sz w:val="15"/>
                <w:szCs w:val="15"/>
                <w:color w:val="auto"/>
              </w:rPr>
              <w:t>CONDENSED CONSOLIDATED BALANCE SHEETS</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8020" w:type="dxa"/>
            <w:vAlign w:val="bottom"/>
          </w:tcPr>
          <w:p>
            <w:pPr>
              <w:jc w:val="right"/>
              <w:ind w:right="2503"/>
              <w:spacing w:after="0"/>
              <w:rPr>
                <w:sz w:val="20"/>
                <w:szCs w:val="20"/>
                <w:color w:val="auto"/>
              </w:rPr>
            </w:pPr>
            <w:r>
              <w:rPr>
                <w:rFonts w:ascii="Courier New" w:cs="Courier New" w:eastAsia="Courier New" w:hAnsi="Courier New"/>
                <w:sz w:val="15"/>
                <w:szCs w:val="15"/>
                <w:color w:val="auto"/>
              </w:rPr>
              <w:t>AS AT AUGUST 31, 2004 AND MAY 31, 2004</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5"/>
        </w:trPr>
        <w:tc>
          <w:tcPr>
            <w:tcW w:w="8020" w:type="dxa"/>
            <w:vAlign w:val="bottom"/>
          </w:tcPr>
          <w:p>
            <w:pPr>
              <w:spacing w:after="0"/>
              <w:rPr>
                <w:sz w:val="24"/>
                <w:szCs w:val="24"/>
                <w:color w:val="auto"/>
              </w:rPr>
            </w:pP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(Audited)</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August 31, 2004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May 31, 2004</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020" w:type="dxa"/>
            <w:vAlign w:val="bottom"/>
          </w:tcPr>
          <w:p>
            <w:pPr>
              <w:spacing w:after="0"/>
              <w:rPr>
                <w:sz w:val="15"/>
                <w:szCs w:val="15"/>
                <w:color w:val="auto"/>
              </w:rPr>
            </w:pPr>
          </w:p>
        </w:tc>
        <w:tc>
          <w:tcPr>
            <w:tcW w:w="29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80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5"/>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$49,492</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$55,678</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Short term investments - available for sale ....................................</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23,081</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23,085</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70,125</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74,079</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Unbilled revenue................................................................</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66,984</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59,861</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Other receivables...............................................................</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3,901</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4,306</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Deferred tax asset..............................................................</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1,684</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1,684</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Prepayments and other current assets............................................</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8,740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9,468</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224,007</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228,161</w:t>
            </w:r>
          </w:p>
        </w:tc>
      </w:tr>
      <w:tr>
        <w:trPr>
          <w:trHeight w:val="177"/>
        </w:trPr>
        <w:tc>
          <w:tcPr>
            <w:tcW w:w="80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Property, plant and equipment, net..............................................</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44,732</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42,936</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Goodwill........................................................................</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72,277</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64,226</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8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$341,016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$335,323</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80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8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$7,325</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$12,801</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Payments on account.............................................................</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61,376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61,960</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Other liabilities...............................................................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31,486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35,091</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Income taxes payable............................................................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6,409</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4,496</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Bank creditlines and loan facilities............................................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8020" w:type="dxa"/>
            <w:vAlign w:val="bottom"/>
          </w:tcPr>
          <w:p>
            <w:pPr>
              <w:ind w:left="640"/>
              <w:spacing w:after="0"/>
              <w:rPr>
                <w:sz w:val="20"/>
                <w:szCs w:val="20"/>
                <w:color w:val="auto"/>
              </w:rPr>
            </w:pPr>
            <w:r>
              <w:rPr>
                <w:rFonts w:ascii="Courier New" w:cs="Courier New" w:eastAsia="Courier New" w:hAnsi="Courier New"/>
                <w:sz w:val="15"/>
                <w:szCs w:val="15"/>
                <w:color w:val="auto"/>
              </w:rPr>
              <w:t>Total current liabilities......................................................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113,596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114,348</w:t>
            </w:r>
          </w:p>
        </w:tc>
      </w:tr>
      <w:tr>
        <w:trPr>
          <w:trHeight w:val="177"/>
        </w:trPr>
        <w:tc>
          <w:tcPr>
            <w:tcW w:w="80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Long term government grants.....................................................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1,337</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1,411</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Long term finance leases........................................................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402</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167</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Non-current deferred tax liability..............................................</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2,637</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2,637</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802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authorized, 13,842,536 shares issued and outstanding at August 31, 2004</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and</w:t>
            </w: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13,838,476 shares issued and outstanding at May 31, 2004</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980</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Additional paid-in capital......................................................</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113,011</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112,936</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Accumulated other comprehensive income..........................................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8,298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9,984</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Merger reserve..................................................................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w:t>
            </w:r>
          </w:p>
        </w:tc>
      </w:tr>
      <w:tr>
        <w:trPr>
          <w:trHeight w:val="177"/>
        </w:trPr>
        <w:tc>
          <w:tcPr>
            <w:tcW w:w="8020" w:type="dxa"/>
            <w:vAlign w:val="bottom"/>
          </w:tcPr>
          <w:p>
            <w:pPr>
              <w:ind w:left="540"/>
              <w:spacing w:after="0"/>
              <w:rPr>
                <w:sz w:val="20"/>
                <w:szCs w:val="20"/>
                <w:color w:val="auto"/>
              </w:rPr>
            </w:pPr>
            <w:r>
              <w:rPr>
                <w:rFonts w:ascii="Courier New" w:cs="Courier New" w:eastAsia="Courier New" w:hAnsi="Courier New"/>
                <w:sz w:val="15"/>
                <w:szCs w:val="15"/>
                <w:color w:val="auto"/>
              </w:rPr>
              <w:t>Retained earnings...............................................................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100,118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92,813</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80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222,454</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216,760</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80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$341,016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$335,323</w:t>
            </w:r>
          </w:p>
        </w:tc>
      </w:tr>
      <w:tr>
        <w:trPr>
          <w:trHeight w:val="177"/>
        </w:trPr>
        <w:tc>
          <w:tcPr>
            <w:tcW w:w="8020" w:type="dxa"/>
            <w:vAlign w:val="bottom"/>
          </w:tcPr>
          <w:p>
            <w:pPr>
              <w:spacing w:after="0"/>
              <w:rPr>
                <w:sz w:val="15"/>
                <w:szCs w:val="15"/>
                <w:color w:val="auto"/>
              </w:rPr>
            </w:pP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980"/>
          </w:cols>
          <w:pgMar w:left="240" w:top="828" w:right="6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50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ICON plc</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32"/>
        </w:trPr>
        <w:tc>
          <w:tcPr>
            <w:tcW w:w="6180" w:type="dxa"/>
            <w:vAlign w:val="bottom"/>
            <w:gridSpan w:val="2"/>
          </w:tcPr>
          <w:p>
            <w:pPr>
              <w:jc w:val="center"/>
              <w:ind w:left="1203"/>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200" w:type="dxa"/>
            <w:vAlign w:val="bottom"/>
          </w:tcPr>
          <w:p>
            <w:pPr>
              <w:spacing w:after="0"/>
              <w:rPr>
                <w:sz w:val="24"/>
                <w:szCs w:val="24"/>
                <w:color w:val="auto"/>
              </w:rPr>
            </w:pPr>
          </w:p>
        </w:tc>
      </w:tr>
      <w:tr>
        <w:trPr>
          <w:trHeight w:val="177"/>
        </w:trPr>
        <w:tc>
          <w:tcPr>
            <w:tcW w:w="6180" w:type="dxa"/>
            <w:vAlign w:val="bottom"/>
            <w:gridSpan w:val="2"/>
          </w:tcPr>
          <w:p>
            <w:pPr>
              <w:jc w:val="center"/>
              <w:ind w:left="1203"/>
              <w:spacing w:after="0"/>
              <w:rPr>
                <w:sz w:val="20"/>
                <w:szCs w:val="20"/>
                <w:color w:val="auto"/>
              </w:rPr>
            </w:pPr>
            <w:r>
              <w:rPr>
                <w:rFonts w:ascii="Courier New" w:cs="Courier New" w:eastAsia="Courier New" w:hAnsi="Courier New"/>
                <w:sz w:val="15"/>
                <w:szCs w:val="15"/>
                <w:color w:val="auto"/>
              </w:rPr>
              <w:t>FOR THE THREE MONTHS ENDED AUGUST 31, 2004 AND 2003</w:t>
            </w:r>
          </w:p>
        </w:tc>
        <w:tc>
          <w:tcPr>
            <w:tcW w:w="1200" w:type="dxa"/>
            <w:vAlign w:val="bottom"/>
          </w:tcPr>
          <w:p>
            <w:pPr>
              <w:spacing w:after="0"/>
              <w:rPr>
                <w:sz w:val="15"/>
                <w:szCs w:val="15"/>
                <w:color w:val="auto"/>
              </w:rPr>
            </w:pPr>
          </w:p>
        </w:tc>
      </w:tr>
      <w:tr>
        <w:trPr>
          <w:trHeight w:val="177"/>
        </w:trPr>
        <w:tc>
          <w:tcPr>
            <w:tcW w:w="5060" w:type="dxa"/>
            <w:vAlign w:val="bottom"/>
          </w:tcPr>
          <w:p>
            <w:pPr>
              <w:jc w:val="center"/>
              <w:ind w:left="2323"/>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532"/>
        </w:trPr>
        <w:tc>
          <w:tcPr>
            <w:tcW w:w="5060" w:type="dxa"/>
            <w:vAlign w:val="bottom"/>
          </w:tcPr>
          <w:p>
            <w:pPr>
              <w:spacing w:after="0"/>
              <w:rPr>
                <w:sz w:val="24"/>
                <w:szCs w:val="24"/>
                <w:color w:val="auto"/>
              </w:rPr>
            </w:pPr>
          </w:p>
        </w:tc>
        <w:tc>
          <w:tcPr>
            <w:tcW w:w="2320" w:type="dxa"/>
            <w:vAlign w:val="bottom"/>
            <w:gridSpan w:val="2"/>
          </w:tcPr>
          <w:p>
            <w:pPr>
              <w:jc w:val="center"/>
              <w:ind w:right="2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5060" w:type="dxa"/>
            <w:vAlign w:val="bottom"/>
          </w:tcPr>
          <w:p>
            <w:pPr>
              <w:spacing w:after="0"/>
              <w:rPr>
                <w:sz w:val="15"/>
                <w:szCs w:val="15"/>
                <w:color w:val="auto"/>
              </w:rPr>
            </w:pPr>
          </w:p>
        </w:tc>
        <w:tc>
          <w:tcPr>
            <w:tcW w:w="232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August 31,</w:t>
            </w:r>
          </w:p>
        </w:tc>
      </w:tr>
      <w:tr>
        <w:trPr>
          <w:trHeight w:val="177"/>
        </w:trPr>
        <w:tc>
          <w:tcPr>
            <w:tcW w:w="5060" w:type="dxa"/>
            <w:vAlign w:val="bottom"/>
          </w:tcPr>
          <w:p>
            <w:pPr>
              <w:spacing w:after="0"/>
              <w:rPr>
                <w:sz w:val="15"/>
                <w:szCs w:val="15"/>
                <w:color w:val="auto"/>
              </w:rPr>
            </w:pPr>
          </w:p>
        </w:tc>
        <w:tc>
          <w:tcPr>
            <w:tcW w:w="232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spacing w:after="0"/>
              <w:rPr>
                <w:sz w:val="15"/>
                <w:szCs w:val="15"/>
                <w:color w:val="auto"/>
              </w:rPr>
            </w:pPr>
          </w:p>
        </w:tc>
        <w:tc>
          <w:tcPr>
            <w:tcW w:w="232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(in thousands except</w:t>
            </w:r>
          </w:p>
        </w:tc>
      </w:tr>
      <w:tr>
        <w:trPr>
          <w:trHeight w:val="177"/>
        </w:trPr>
        <w:tc>
          <w:tcPr>
            <w:tcW w:w="5060" w:type="dxa"/>
            <w:vAlign w:val="bottom"/>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 and per share data)</w:t>
            </w:r>
          </w:p>
        </w:tc>
      </w:tr>
      <w:tr>
        <w:trPr>
          <w:trHeight w:val="177"/>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Gross revenue.................................</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$117,195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$106,177</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Subcontractor Costs...........................</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(38,856)</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(37,242)</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Net revenue...................................</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78,339</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68,935</w:t>
            </w:r>
          </w:p>
        </w:tc>
      </w:tr>
      <w:tr>
        <w:trPr>
          <w:trHeight w:val="355"/>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Costs and expenses:</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Direct costs..................................</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42,453</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37,699</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23,339</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21,025</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Depreciation .................................</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3,062</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2,589</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Total costs and expenses......................</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68,854</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61,313</w:t>
            </w: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Income from operations..............................</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9,485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7,622</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197</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Income before provision for income taxes............</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9,649</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7,669</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(2,322)</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(2,065)</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$7,305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$5,604</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Net income per Ordinary Share:</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Basic ........................................</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$0.53</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$0.46</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$0.52</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$0.44</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 number of Ordinary Shares outstanding:</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13,837,986</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12,153,772</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06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14,105,288</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12,606,971</w:t>
            </w:r>
          </w:p>
        </w:tc>
      </w:tr>
      <w:tr>
        <w:trPr>
          <w:trHeight w:val="177"/>
        </w:trPr>
        <w:tc>
          <w:tcPr>
            <w:tcW w:w="506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0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6780" w:type="dxa"/>
            <w:vAlign w:val="bottom"/>
          </w:tcPr>
          <w:p>
            <w:pPr>
              <w:jc w:val="right"/>
              <w:ind w:right="2643"/>
              <w:spacing w:after="0"/>
              <w:rPr>
                <w:sz w:val="20"/>
                <w:szCs w:val="20"/>
                <w:color w:val="auto"/>
              </w:rPr>
            </w:pPr>
            <w:r>
              <w:rPr>
                <w:rFonts w:ascii="Courier New" w:cs="Courier New" w:eastAsia="Courier New" w:hAnsi="Courier New"/>
                <w:sz w:val="15"/>
                <w:szCs w:val="15"/>
                <w:color w:val="auto"/>
              </w:rPr>
              <w:t>ICON plc</w:t>
            </w:r>
          </w:p>
        </w:tc>
        <w:tc>
          <w:tcPr>
            <w:tcW w:w="20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887"/>
        </w:trPr>
        <w:tc>
          <w:tcPr>
            <w:tcW w:w="678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2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7"/>
        </w:trPr>
        <w:tc>
          <w:tcPr>
            <w:tcW w:w="678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FOR THE THREE MONTHS ENDED AUGUST 31, 2004 AND 2003</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(UNAUDITED)</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55"/>
        </w:trPr>
        <w:tc>
          <w:tcPr>
            <w:tcW w:w="6780" w:type="dxa"/>
            <w:vAlign w:val="bottom"/>
          </w:tcPr>
          <w:p>
            <w:pPr>
              <w:spacing w:after="0"/>
              <w:rPr>
                <w:sz w:val="24"/>
                <w:szCs w:val="24"/>
                <w:color w:val="auto"/>
              </w:rPr>
            </w:pPr>
          </w:p>
        </w:tc>
        <w:tc>
          <w:tcPr>
            <w:tcW w:w="3820" w:type="dxa"/>
            <w:vAlign w:val="bottom"/>
            <w:gridSpan w:val="2"/>
          </w:tcPr>
          <w:p>
            <w:pPr>
              <w:jc w:val="right"/>
              <w:ind w:right="74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6780" w:type="dxa"/>
            <w:vAlign w:val="bottom"/>
          </w:tcPr>
          <w:p>
            <w:pPr>
              <w:spacing w:after="0"/>
              <w:rPr>
                <w:sz w:val="15"/>
                <w:szCs w:val="15"/>
                <w:color w:val="auto"/>
              </w:rPr>
            </w:pP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August 31</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August 31</w:t>
            </w:r>
          </w:p>
        </w:tc>
      </w:tr>
      <w:tr>
        <w:trPr>
          <w:trHeight w:val="177"/>
        </w:trPr>
        <w:tc>
          <w:tcPr>
            <w:tcW w:w="6780" w:type="dxa"/>
            <w:vAlign w:val="bottom"/>
          </w:tcPr>
          <w:p>
            <w:pPr>
              <w:spacing w:after="0"/>
              <w:rPr>
                <w:sz w:val="15"/>
                <w:szCs w:val="15"/>
                <w:color w:val="auto"/>
              </w:rPr>
            </w:pP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spacing w:after="0"/>
              <w:rPr>
                <w:sz w:val="15"/>
                <w:szCs w:val="15"/>
                <w:color w:val="auto"/>
              </w:rPr>
            </w:pP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2004</w:t>
            </w:r>
          </w:p>
        </w:tc>
        <w:tc>
          <w:tcPr>
            <w:tcW w:w="1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6780" w:type="dxa"/>
            <w:vAlign w:val="bottom"/>
          </w:tcPr>
          <w:p>
            <w:pPr>
              <w:spacing w:after="0"/>
              <w:rPr>
                <w:sz w:val="15"/>
                <w:szCs w:val="15"/>
                <w:color w:val="auto"/>
              </w:rPr>
            </w:pP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4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(in thousands)</w:t>
            </w:r>
          </w:p>
        </w:tc>
      </w:tr>
      <w:tr>
        <w:trPr>
          <w:trHeight w:val="177"/>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55"/>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$7,305</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$5,604</w:t>
            </w:r>
          </w:p>
        </w:tc>
      </w:tr>
      <w:tr>
        <w:trPr>
          <w:trHeight w:val="177"/>
        </w:trPr>
        <w:tc>
          <w:tcPr>
            <w:tcW w:w="67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4583"/>
              <w:spacing w:after="0"/>
              <w:rPr>
                <w:sz w:val="20"/>
                <w:szCs w:val="20"/>
                <w:color w:val="auto"/>
              </w:rPr>
            </w:pPr>
            <w:r>
              <w:rPr>
                <w:rFonts w:ascii="Courier New" w:cs="Courier New" w:eastAsia="Courier New" w:hAnsi="Courier New"/>
                <w:sz w:val="15"/>
                <w:szCs w:val="15"/>
                <w:color w:val="auto"/>
              </w:rPr>
              <w:t>(used in)/provided by</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operating activities:..................................</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Depreciation...........................................</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3,062</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2,589</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Amortization of grants.................................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Minority interest....................................</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Decrease in accounts receivable........................</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4,340</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4,055</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Increase in unbilled revenue...........................</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(6,837)</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(8,090)</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Increase in other receivables..........................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(555)</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(3,466)</w:t>
            </w:r>
          </w:p>
        </w:tc>
      </w:tr>
      <w:tr>
        <w:trPr>
          <w:trHeight w:val="177"/>
        </w:trPr>
        <w:tc>
          <w:tcPr>
            <w:tcW w:w="6780" w:type="dxa"/>
            <w:vAlign w:val="bottom"/>
          </w:tcPr>
          <w:p>
            <w:pPr>
              <w:ind w:left="280"/>
              <w:spacing w:after="0"/>
              <w:rPr>
                <w:sz w:val="20"/>
                <w:szCs w:val="20"/>
                <w:color w:val="auto"/>
              </w:rPr>
            </w:pPr>
            <w:r>
              <w:rPr>
                <w:rFonts w:ascii="Courier New" w:cs="Courier New" w:eastAsia="Courier New" w:hAnsi="Courier New"/>
                <w:sz w:val="15"/>
                <w:szCs w:val="15"/>
                <w:color w:val="auto"/>
              </w:rPr>
              <w:t>Decrease/(increase) in prepayments and other</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current assets ........................................</w:t>
            </w:r>
          </w:p>
        </w:tc>
        <w:tc>
          <w:tcPr>
            <w:tcW w:w="2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669</w:t>
            </w:r>
          </w:p>
        </w:tc>
        <w:tc>
          <w:tcPr>
            <w:tcW w:w="1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(1,976)</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(Decrease)/increase in payments on account.............</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(548)</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1,736</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(Decrease)/increase in other liabilities...............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(3,559)</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2,823</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Increase in income taxes payable.......................</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1,785</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2,138</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Decrease in accounts payable..........................</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(5,625)</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(5,612)</w:t>
            </w:r>
          </w:p>
        </w:tc>
      </w:tr>
      <w:tr>
        <w:trPr>
          <w:trHeight w:val="177"/>
        </w:trPr>
        <w:tc>
          <w:tcPr>
            <w:tcW w:w="67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Net cash provided by/(used in) operating activities.......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(208)</w:t>
            </w:r>
          </w:p>
        </w:tc>
      </w:tr>
      <w:tr>
        <w:trPr>
          <w:trHeight w:val="177"/>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Purchase of property, plant and equipment..............</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(4,546)</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(3,428)</w:t>
            </w:r>
          </w:p>
        </w:tc>
      </w:tr>
      <w:tr>
        <w:trPr>
          <w:trHeight w:val="177"/>
        </w:trPr>
        <w:tc>
          <w:tcPr>
            <w:tcW w:w="6780" w:type="dxa"/>
            <w:vAlign w:val="bottom"/>
          </w:tcPr>
          <w:p>
            <w:pPr>
              <w:ind w:left="280"/>
              <w:spacing w:after="0"/>
              <w:rPr>
                <w:sz w:val="20"/>
                <w:szCs w:val="20"/>
                <w:color w:val="auto"/>
              </w:rPr>
            </w:pPr>
            <w:r>
              <w:rPr>
                <w:rFonts w:ascii="Courier New" w:cs="Courier New" w:eastAsia="Courier New" w:hAnsi="Courier New"/>
                <w:sz w:val="15"/>
                <w:szCs w:val="15"/>
                <w:color w:val="auto"/>
              </w:rPr>
              <w:t>Purchase of subsidiary undertakings and acquisition</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costs..................................................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(9,913)</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Net cash acquired with subsidiary undertakings.........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1,658</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Deferred payments in respect of prior year acquisitions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w:t>
            </w:r>
          </w:p>
        </w:tc>
      </w:tr>
      <w:tr>
        <w:trPr>
          <w:trHeight w:val="177"/>
        </w:trPr>
        <w:tc>
          <w:tcPr>
            <w:tcW w:w="67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Net cash used in investing activities.....................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(12,807)</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(3,530)</w:t>
            </w:r>
          </w:p>
        </w:tc>
      </w:tr>
      <w:tr>
        <w:trPr>
          <w:trHeight w:val="177"/>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Proceeds from / (repayment of) bank overdraft.............</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7,000</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(1,080)</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Proceeds from issuance of share capital...................</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45,705</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Proceeds from exercise of share options...................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1,819</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Share issuance costs......................................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(402)</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Costs in relation to prior year share issuance............</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(104)</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Repayment of other liabilities............................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7"/>
        </w:trPr>
        <w:tc>
          <w:tcPr>
            <w:tcW w:w="67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6,854</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46,039</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Effect of exchange rate movements on cash.................</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(244)</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(3,197)</w:t>
            </w:r>
          </w:p>
        </w:tc>
      </w:tr>
      <w:tr>
        <w:trPr>
          <w:trHeight w:val="177"/>
        </w:trPr>
        <w:tc>
          <w:tcPr>
            <w:tcW w:w="67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Net (decrease)/increase in cash and cash equivalents......</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(6,186)</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39,104</w:t>
            </w:r>
          </w:p>
        </w:tc>
      </w:tr>
      <w:tr>
        <w:trPr>
          <w:trHeight w:val="177"/>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55,678</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18,311</w:t>
            </w:r>
          </w:p>
        </w:tc>
      </w:tr>
      <w:tr>
        <w:trPr>
          <w:trHeight w:val="177"/>
        </w:trPr>
        <w:tc>
          <w:tcPr>
            <w:tcW w:w="67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780" w:type="dxa"/>
            <w:vAlign w:val="bottom"/>
          </w:tcPr>
          <w:p>
            <w:pPr>
              <w:jc w:val="right"/>
              <w:ind w:right="1363"/>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$49,492</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$57,415</w:t>
            </w:r>
          </w:p>
        </w:tc>
      </w:tr>
      <w:tr>
        <w:trPr>
          <w:trHeight w:val="177"/>
        </w:trPr>
        <w:tc>
          <w:tcPr>
            <w:tcW w:w="67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680"/>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00"/>
          </w:cols>
          <w:pgMar w:left="240" w:top="1005" w:right="10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ICON plc</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87"/>
        </w:trPr>
        <w:tc>
          <w:tcPr>
            <w:tcW w:w="4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CONDENSED CONSOLIDATED STATEMENTS OF SHAREHOLDERS'</w:t>
            </w:r>
          </w:p>
        </w:tc>
        <w:tc>
          <w:tcPr>
            <w:tcW w:w="3920" w:type="dxa"/>
            <w:vAlign w:val="bottom"/>
            <w:gridSpan w:val="3"/>
          </w:tcPr>
          <w:p>
            <w:pPr>
              <w:jc w:val="right"/>
              <w:ind w:right="923"/>
              <w:spacing w:after="0"/>
              <w:rPr>
                <w:sz w:val="20"/>
                <w:szCs w:val="20"/>
                <w:color w:val="auto"/>
              </w:rPr>
            </w:pPr>
            <w:r>
              <w:rPr>
                <w:rFonts w:ascii="Courier New" w:cs="Courier New" w:eastAsia="Courier New" w:hAnsi="Courier New"/>
                <w:sz w:val="15"/>
                <w:szCs w:val="15"/>
                <w:color w:val="auto"/>
              </w:rPr>
              <w:t>EQUITY AND COMPREHENSIVE INCOME</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466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(UNAUDITED)</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32"/>
        </w:trPr>
        <w:tc>
          <w:tcPr>
            <w:tcW w:w="3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Accumulated</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3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Additional</w:t>
            </w:r>
          </w:p>
        </w:tc>
        <w:tc>
          <w:tcPr>
            <w:tcW w:w="1800" w:type="dxa"/>
            <w:vAlign w:val="bottom"/>
          </w:tcPr>
          <w:p>
            <w:pPr>
              <w:ind w:left="520"/>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3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Paid-in</w:t>
            </w: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Comprehensive</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Retained</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Merger</w:t>
            </w:r>
          </w:p>
        </w:tc>
        <w:tc>
          <w:tcPr>
            <w:tcW w:w="960" w:type="dxa"/>
            <w:vAlign w:val="bottom"/>
          </w:tcPr>
          <w:p>
            <w:pPr>
              <w:spacing w:after="0"/>
              <w:rPr>
                <w:sz w:val="15"/>
                <w:szCs w:val="15"/>
                <w:color w:val="auto"/>
              </w:rPr>
            </w:pPr>
          </w:p>
        </w:tc>
      </w:tr>
      <w:tr>
        <w:trPr>
          <w:trHeight w:val="177"/>
        </w:trPr>
        <w:tc>
          <w:tcPr>
            <w:tcW w:w="3240" w:type="dxa"/>
            <w:vAlign w:val="bottom"/>
          </w:tcPr>
          <w:p>
            <w:pPr>
              <w:spacing w:after="0"/>
              <w:rPr>
                <w:sz w:val="15"/>
                <w:szCs w:val="15"/>
                <w:color w:val="auto"/>
              </w:rPr>
            </w:pPr>
          </w:p>
        </w:tc>
        <w:tc>
          <w:tcPr>
            <w:tcW w:w="14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Capital</w:t>
            </w:r>
          </w:p>
        </w:tc>
        <w:tc>
          <w:tcPr>
            <w:tcW w:w="1800" w:type="dxa"/>
            <w:vAlign w:val="bottom"/>
          </w:tcPr>
          <w:p>
            <w:pPr>
              <w:ind w:left="520"/>
              <w:spacing w:after="0"/>
              <w:rPr>
                <w:sz w:val="20"/>
                <w:szCs w:val="20"/>
                <w:color w:val="auto"/>
              </w:rPr>
            </w:pPr>
            <w:r>
              <w:rPr>
                <w:rFonts w:ascii="Courier New" w:cs="Courier New" w:eastAsia="Courier New" w:hAnsi="Courier New"/>
                <w:sz w:val="15"/>
                <w:szCs w:val="15"/>
                <w:color w:val="auto"/>
              </w:rPr>
              <w:t>Income</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Earnings</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Reserve</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Total</w:t>
            </w:r>
          </w:p>
        </w:tc>
      </w:tr>
      <w:tr>
        <w:trPr>
          <w:trHeight w:val="177"/>
        </w:trPr>
        <w:tc>
          <w:tcPr>
            <w:tcW w:w="3240" w:type="dxa"/>
            <w:vAlign w:val="bottom"/>
          </w:tcPr>
          <w:p>
            <w:pPr>
              <w:spacing w:after="0"/>
              <w:rPr>
                <w:sz w:val="15"/>
                <w:szCs w:val="15"/>
                <w:color w:val="auto"/>
              </w:rPr>
            </w:pPr>
          </w:p>
        </w:tc>
        <w:tc>
          <w:tcPr>
            <w:tcW w:w="14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3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(dollars in thousands, except share data)</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10"/>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Balance at May 31, 2004........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13,838,476</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$980</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$112,936</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$9,984</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$92,813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$216,760</w:t>
            </w:r>
          </w:p>
        </w:tc>
      </w:tr>
      <w:tr>
        <w:trPr>
          <w:trHeight w:val="532"/>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Comprehensive Income:</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7,305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r>
      <w:tr>
        <w:trPr>
          <w:trHeight w:val="177"/>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Currency translation adjustment..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(1,686)</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(1,686)</w:t>
            </w:r>
          </w:p>
        </w:tc>
      </w:tr>
      <w:tr>
        <w:trPr>
          <w:trHeight w:val="177"/>
        </w:trPr>
        <w:tc>
          <w:tcPr>
            <w:tcW w:w="3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Total comprehensive income.......</w:t>
            </w: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5,619</w:t>
            </w:r>
          </w:p>
        </w:tc>
      </w:tr>
      <w:tr>
        <w:trPr>
          <w:trHeight w:val="177"/>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Exercise of Share Options........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4,060</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75</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7"/>
        </w:trPr>
        <w:tc>
          <w:tcPr>
            <w:tcW w:w="3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7"/>
        </w:trPr>
        <w:tc>
          <w:tcPr>
            <w:tcW w:w="3240" w:type="dxa"/>
            <w:vAlign w:val="bottom"/>
          </w:tcPr>
          <w:p>
            <w:pPr>
              <w:ind w:left="380"/>
              <w:spacing w:after="0"/>
              <w:rPr>
                <w:sz w:val="20"/>
                <w:szCs w:val="20"/>
                <w:color w:val="auto"/>
              </w:rPr>
            </w:pPr>
            <w:r>
              <w:rPr>
                <w:rFonts w:ascii="Courier New" w:cs="Courier New" w:eastAsia="Courier New" w:hAnsi="Courier New"/>
                <w:sz w:val="15"/>
                <w:szCs w:val="15"/>
                <w:color w:val="auto"/>
              </w:rPr>
              <w:t>Balance at August 31, 2004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13,842,536</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$980</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$113,011</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$8,298</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$100,118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$222,454</w:t>
            </w:r>
          </w:p>
        </w:tc>
      </w:tr>
      <w:tr>
        <w:trPr>
          <w:trHeight w:val="177"/>
        </w:trPr>
        <w:tc>
          <w:tcPr>
            <w:tcW w:w="3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40"/>
          </w:cols>
          <w:pgMar w:left="320" w:top="1182" w:right="139" w:bottom="1440" w:gutter="0" w:footer="0" w:header="0"/>
        </w:sectPr>
      </w:pPr>
    </w:p>
    <w:bookmarkStart w:id="7" w:name="page8"/>
    <w:bookmarkEnd w:id="7"/>
    <w:p>
      <w:pPr>
        <w:jc w:val="center"/>
        <w:ind w:right="2834"/>
        <w:spacing w:after="0"/>
        <w:rPr>
          <w:sz w:val="20"/>
          <w:szCs w:val="20"/>
          <w:color w:val="auto"/>
        </w:rPr>
      </w:pPr>
      <w:r>
        <w:rPr>
          <w:rFonts w:ascii="Courier New" w:cs="Courier New" w:eastAsia="Courier New" w:hAnsi="Courier New"/>
          <w:sz w:val="15"/>
          <w:szCs w:val="15"/>
          <w:color w:val="auto"/>
        </w:rPr>
        <w:t>ICON plc</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AUGUST 31, 2004</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 Basis of Presentation</w:t>
      </w:r>
    </w:p>
    <w:p>
      <w:pPr>
        <w:spacing w:after="0" w:line="185"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2004, except as described below.</w:t>
      </w:r>
    </w:p>
    <w:p>
      <w:pPr>
        <w:spacing w:after="0" w:line="183"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2004 annual report on Form 20-F. Operating results for the three months ended August 31, 2004 are not necessarily indicative of the results that may be expected for the fiscal year ending May 31, 2005.</w:t>
      </w:r>
    </w:p>
    <w:p>
      <w:pPr>
        <w:spacing w:after="0" w:line="200" w:lineRule="exact"/>
        <w:rPr>
          <w:sz w:val="20"/>
          <w:szCs w:val="20"/>
          <w:color w:val="auto"/>
        </w:rPr>
      </w:pPr>
    </w:p>
    <w:p>
      <w:pPr>
        <w:spacing w:after="0" w:line="330" w:lineRule="exact"/>
        <w:rPr>
          <w:sz w:val="20"/>
          <w:szCs w:val="20"/>
          <w:color w:val="auto"/>
        </w:rPr>
      </w:pPr>
    </w:p>
    <w:p>
      <w:pPr>
        <w:ind w:left="5" w:right="8279" w:hanging="5"/>
        <w:spacing w:after="0" w:line="501" w:lineRule="auto"/>
        <w:tabs>
          <w:tab w:leader="none" w:pos="2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Acquisition of Beacon</w:t>
      </w:r>
    </w:p>
    <w:p>
      <w:pPr>
        <w:ind w:left="5" w:right="3119"/>
        <w:spacing w:after="0" w:line="252" w:lineRule="auto"/>
        <w:rPr>
          <w:sz w:val="20"/>
          <w:szCs w:val="20"/>
          <w:color w:val="auto"/>
        </w:rPr>
      </w:pPr>
      <w:r>
        <w:rPr>
          <w:rFonts w:ascii="Courier New" w:cs="Courier New" w:eastAsia="Courier New" w:hAnsi="Courier New"/>
          <w:sz w:val="15"/>
          <w:szCs w:val="15"/>
          <w:color w:val="auto"/>
        </w:rPr>
        <w:t>On July 1, 2004, the Company acquired 70% of the common stock of Beacon Biosciences, Inc. ("Beacon"), based in Pennsylvania, USA, for an initial cash consideration of U.S.$9.9 million, excluding costs of acquisition.</w:t>
      </w:r>
    </w:p>
    <w:p>
      <w:pPr>
        <w:spacing w:after="0" w:line="175"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The acquisition of Beacon has been accounted for as a purchase in accordance with SFAS No. 141, "Business Combinations". The following table summarises the fair values of the assets acquired and the liabilities assumed at the date of acquisition.</w:t>
      </w:r>
    </w:p>
    <w:p>
      <w:pPr>
        <w:spacing w:after="0" w:line="176"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At July 1,</w:t>
            </w:r>
          </w:p>
        </w:tc>
      </w:tr>
      <w:tr>
        <w:trPr>
          <w:trHeight w:val="177"/>
        </w:trPr>
        <w:tc>
          <w:tcPr>
            <w:tcW w:w="3780" w:type="dxa"/>
            <w:vAlign w:val="bottom"/>
          </w:tcPr>
          <w:p>
            <w:pPr>
              <w:spacing w:after="0"/>
              <w:rPr>
                <w:sz w:val="15"/>
                <w:szCs w:val="15"/>
                <w:color w:val="auto"/>
              </w:rPr>
            </w:pP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780" w:type="dxa"/>
            <w:vAlign w:val="bottom"/>
          </w:tcPr>
          <w:p>
            <w:pPr>
              <w:spacing w:after="0"/>
              <w:rPr>
                <w:sz w:val="15"/>
                <w:szCs w:val="15"/>
                <w:color w:val="auto"/>
              </w:rPr>
            </w:pP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3780" w:type="dxa"/>
            <w:vAlign w:val="bottom"/>
          </w:tcPr>
          <w:p>
            <w:pPr>
              <w:spacing w:after="0"/>
              <w:rPr>
                <w:sz w:val="15"/>
                <w:szCs w:val="15"/>
                <w:color w:val="auto"/>
              </w:rPr>
            </w:pP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780" w:type="dxa"/>
            <w:vAlign w:val="bottom"/>
          </w:tcPr>
          <w:p>
            <w:pPr>
              <w:spacing w:after="0"/>
              <w:rPr>
                <w:sz w:val="15"/>
                <w:szCs w:val="15"/>
                <w:color w:val="auto"/>
              </w:rPr>
            </w:pP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$792</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8,760</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1,658</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935</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(1,350)</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Long term liability</w:t>
            </w: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(352)</w:t>
            </w:r>
          </w:p>
        </w:tc>
      </w:tr>
      <w:tr>
        <w:trPr>
          <w:trHeight w:val="177"/>
        </w:trPr>
        <w:tc>
          <w:tcPr>
            <w:tcW w:w="3780" w:type="dxa"/>
            <w:vAlign w:val="bottom"/>
          </w:tcPr>
          <w:p>
            <w:pPr>
              <w:spacing w:after="0"/>
              <w:rPr>
                <w:sz w:val="15"/>
                <w:szCs w:val="15"/>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80" w:type="dxa"/>
            <w:vAlign w:val="bottom"/>
          </w:tcPr>
          <w:p>
            <w:pPr>
              <w:spacing w:after="0"/>
              <w:rPr>
                <w:sz w:val="15"/>
                <w:szCs w:val="15"/>
                <w:color w:val="auto"/>
              </w:rPr>
            </w:pP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10,443</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5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(568)</w:t>
            </w:r>
          </w:p>
        </w:tc>
      </w:tr>
    </w:tbl>
    <w:p>
      <w:pPr>
        <w:spacing w:after="0" w:line="5"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$9,875</w:t>
            </w:r>
          </w:p>
        </w:tc>
      </w:tr>
    </w:tbl>
    <w:p>
      <w:pPr>
        <w:spacing w:after="0" w:line="5"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 w:right="3759"/>
        <w:spacing w:after="0" w:line="253" w:lineRule="auto"/>
        <w:rPr>
          <w:sz w:val="20"/>
          <w:szCs w:val="20"/>
          <w:color w:val="auto"/>
        </w:rPr>
      </w:pPr>
      <w:r>
        <w:rPr>
          <w:rFonts w:ascii="Courier New" w:cs="Courier New" w:eastAsia="Courier New" w:hAnsi="Courier New"/>
          <w:sz w:val="15"/>
          <w:szCs w:val="15"/>
          <w:color w:val="auto"/>
        </w:rPr>
        <w:t>The results of Beacon have been included in the consolidated financial statements from July 1, 2004.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100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On September 9, 2003, the Company acquired 100% of the outstanding shares of Globomax LLC ("Globomax"), based in Maryland, USA, for an initial cash consideration of U.S.$10.9 million, excluding costs of acquisition. Earn-out provisions have been built into the acquisition contract requiring the potential payment of additional deferred consideration up to a maximum of U.S.$4.0 million depending on the performance of Globomax over the period from date of acquisition to May 31, 2006.</w:t>
      </w:r>
    </w:p>
    <w:p>
      <w:pPr>
        <w:spacing w:after="0" w:line="176" w:lineRule="exact"/>
        <w:rPr>
          <w:sz w:val="20"/>
          <w:szCs w:val="20"/>
          <w:color w:val="auto"/>
        </w:rPr>
      </w:pPr>
    </w:p>
    <w:p>
      <w:pPr>
        <w:jc w:val="both"/>
        <w:ind w:right="3219"/>
        <w:spacing w:after="0" w:line="252" w:lineRule="auto"/>
        <w:rPr>
          <w:sz w:val="20"/>
          <w:szCs w:val="20"/>
          <w:color w:val="auto"/>
        </w:rPr>
      </w:pPr>
      <w:r>
        <w:rPr>
          <w:rFonts w:ascii="Courier New" w:cs="Courier New" w:eastAsia="Courier New" w:hAnsi="Courier New"/>
          <w:sz w:val="15"/>
          <w:szCs w:val="15"/>
          <w:color w:val="auto"/>
        </w:rPr>
        <w:t>The pro forma effect of the Globomax and Beacon acquisitions if completed on June 1, 2003 would have resulted in net revenue, net income and earnings per share for the three months ended August 31, 2003 and 2004 as follows:</w:t>
      </w:r>
    </w:p>
    <w:p>
      <w:pPr>
        <w:spacing w:after="0" w:line="35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308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100" w:type="dxa"/>
            <w:vAlign w:val="bottom"/>
          </w:tcPr>
          <w:p>
            <w:pPr>
              <w:spacing w:after="0"/>
              <w:rPr>
                <w:sz w:val="15"/>
                <w:szCs w:val="15"/>
                <w:color w:val="auto"/>
              </w:rPr>
            </w:pPr>
          </w:p>
        </w:tc>
        <w:tc>
          <w:tcPr>
            <w:tcW w:w="2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August 31</w:t>
            </w:r>
          </w:p>
        </w:tc>
        <w:tc>
          <w:tcPr>
            <w:tcW w:w="820" w:type="dxa"/>
            <w:vAlign w:val="bottom"/>
          </w:tcPr>
          <w:p>
            <w:pPr>
              <w:spacing w:after="0"/>
              <w:rPr>
                <w:sz w:val="15"/>
                <w:szCs w:val="15"/>
                <w:color w:val="auto"/>
              </w:rPr>
            </w:pPr>
          </w:p>
        </w:tc>
      </w:tr>
      <w:tr>
        <w:trPr>
          <w:trHeight w:val="177"/>
        </w:trPr>
        <w:tc>
          <w:tcPr>
            <w:tcW w:w="3100" w:type="dxa"/>
            <w:vAlign w:val="bottom"/>
          </w:tcPr>
          <w:p>
            <w:pPr>
              <w:spacing w:after="0"/>
              <w:rPr>
                <w:sz w:val="15"/>
                <w:szCs w:val="15"/>
                <w:color w:val="auto"/>
              </w:rPr>
            </w:pPr>
          </w:p>
        </w:tc>
        <w:tc>
          <w:tcPr>
            <w:tcW w:w="2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7"/>
        </w:trPr>
        <w:tc>
          <w:tcPr>
            <w:tcW w:w="3100" w:type="dxa"/>
            <w:vAlign w:val="bottom"/>
          </w:tcPr>
          <w:p>
            <w:pPr>
              <w:spacing w:after="0"/>
              <w:rPr>
                <w:sz w:val="15"/>
                <w:szCs w:val="15"/>
                <w:color w:val="auto"/>
              </w:rPr>
            </w:pPr>
          </w:p>
        </w:tc>
        <w:tc>
          <w:tcPr>
            <w:tcW w:w="226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4"/>
              </w:rPr>
              <w:t>2003</w:t>
            </w:r>
          </w:p>
        </w:tc>
      </w:tr>
      <w:tr>
        <w:trPr>
          <w:trHeight w:val="177"/>
        </w:trPr>
        <w:tc>
          <w:tcPr>
            <w:tcW w:w="3100" w:type="dxa"/>
            <w:vAlign w:val="bottom"/>
          </w:tcPr>
          <w:p>
            <w:pPr>
              <w:spacing w:after="0"/>
              <w:rPr>
                <w:sz w:val="15"/>
                <w:szCs w:val="15"/>
                <w:color w:val="auto"/>
              </w:rPr>
            </w:pPr>
          </w:p>
        </w:tc>
        <w:tc>
          <w:tcPr>
            <w:tcW w:w="226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4"/>
              </w:rPr>
              <w:t>----</w:t>
            </w:r>
          </w:p>
        </w:tc>
      </w:tr>
      <w:tr>
        <w:trPr>
          <w:trHeight w:val="177"/>
        </w:trPr>
        <w:tc>
          <w:tcPr>
            <w:tcW w:w="310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$78,721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$72,785</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$7,258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$5,750</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$0.52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$0.47</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$0.51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bl>
    <w:p>
      <w:pPr>
        <w:spacing w:after="0" w:line="183"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An effective tax rate of 35.0% was imputed on the profits before tax of Globomax for the periods prior to acquisition.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3.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Three months ended</w:t>
            </w:r>
          </w:p>
        </w:tc>
        <w:tc>
          <w:tcPr>
            <w:tcW w:w="17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Year ended</w:t>
            </w:r>
          </w:p>
        </w:tc>
      </w:tr>
      <w:tr>
        <w:trPr>
          <w:trHeight w:val="177"/>
        </w:trPr>
        <w:tc>
          <w:tcPr>
            <w:tcW w:w="4200" w:type="dxa"/>
            <w:vAlign w:val="bottom"/>
          </w:tcPr>
          <w:p>
            <w:pPr>
              <w:spacing w:after="0"/>
              <w:rPr>
                <w:sz w:val="15"/>
                <w:szCs w:val="15"/>
                <w:color w:val="auto"/>
              </w:rPr>
            </w:pP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August 31</w:t>
            </w:r>
          </w:p>
        </w:tc>
        <w:tc>
          <w:tcPr>
            <w:tcW w:w="17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May 31</w:t>
            </w:r>
          </w:p>
        </w:tc>
      </w:tr>
      <w:tr>
        <w:trPr>
          <w:trHeight w:val="177"/>
        </w:trPr>
        <w:tc>
          <w:tcPr>
            <w:tcW w:w="4200" w:type="dxa"/>
            <w:vAlign w:val="bottom"/>
          </w:tcPr>
          <w:p>
            <w:pPr>
              <w:spacing w:after="0"/>
              <w:rPr>
                <w:sz w:val="15"/>
                <w:szCs w:val="15"/>
                <w:color w:val="auto"/>
              </w:rPr>
            </w:pP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2004</w:t>
            </w:r>
          </w:p>
        </w:tc>
        <w:tc>
          <w:tcPr>
            <w:tcW w:w="17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4200" w:type="dxa"/>
            <w:vAlign w:val="bottom"/>
          </w:tcPr>
          <w:p>
            <w:pPr>
              <w:spacing w:after="0"/>
              <w:rPr>
                <w:sz w:val="15"/>
                <w:szCs w:val="15"/>
                <w:color w:val="auto"/>
              </w:rPr>
            </w:pP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(in thousands)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53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Opening Balance</w:t>
            </w: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$64,226</w:t>
            </w:r>
          </w:p>
        </w:tc>
        <w:tc>
          <w:tcPr>
            <w:tcW w:w="17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$45,029</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Arising during the year</w:t>
            </w: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8,760</w:t>
            </w:r>
          </w:p>
        </w:tc>
        <w:tc>
          <w:tcPr>
            <w:tcW w:w="17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13,134</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Arising on earn-out (current and prior year</w:t>
            </w: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3,215</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23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Foreign exchange movement</w:t>
            </w:r>
          </w:p>
        </w:tc>
        <w:tc>
          <w:tcPr>
            <w:tcW w:w="23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(709)</w:t>
            </w:r>
          </w:p>
        </w:tc>
        <w:tc>
          <w:tcPr>
            <w:tcW w:w="17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2,848</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420" w:type="dxa"/>
            <w:vAlign w:val="bottom"/>
          </w:tcPr>
          <w:p>
            <w:pPr>
              <w:spacing w:after="0"/>
              <w:rPr>
                <w:sz w:val="20"/>
                <w:szCs w:val="20"/>
                <w:color w:val="auto"/>
              </w:rPr>
            </w:pPr>
            <w:r>
              <w:rPr>
                <w:rFonts w:ascii="Courier New" w:cs="Courier New" w:eastAsia="Courier New" w:hAnsi="Courier New"/>
                <w:sz w:val="15"/>
                <w:szCs w:val="15"/>
                <w:color w:val="auto"/>
              </w:rPr>
              <w:t>Closing Balance</w:t>
            </w:r>
          </w:p>
        </w:tc>
        <w:tc>
          <w:tcPr>
            <w:tcW w:w="3260" w:type="dxa"/>
            <w:vAlign w:val="bottom"/>
          </w:tcPr>
          <w:p>
            <w:pPr>
              <w:jc w:val="right"/>
              <w:ind w:right="503"/>
              <w:spacing w:after="0"/>
              <w:rPr>
                <w:sz w:val="20"/>
                <w:szCs w:val="20"/>
                <w:color w:val="auto"/>
              </w:rPr>
            </w:pPr>
            <w:r>
              <w:rPr>
                <w:rFonts w:ascii="Courier New" w:cs="Courier New" w:eastAsia="Courier New" w:hAnsi="Courier New"/>
                <w:sz w:val="15"/>
                <w:szCs w:val="15"/>
                <w:color w:val="auto"/>
              </w:rPr>
              <w:t>$72,277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$64,226</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distribution of goodwill by business segment was as follows: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27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Three months ended</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Year ended</w:t>
            </w:r>
          </w:p>
        </w:tc>
      </w:tr>
      <w:tr>
        <w:trPr>
          <w:trHeight w:val="177"/>
        </w:trPr>
        <w:tc>
          <w:tcPr>
            <w:tcW w:w="2260" w:type="dxa"/>
            <w:vAlign w:val="bottom"/>
          </w:tcPr>
          <w:p>
            <w:pPr>
              <w:spacing w:after="0"/>
              <w:rPr>
                <w:sz w:val="15"/>
                <w:szCs w:val="15"/>
                <w:color w:val="auto"/>
              </w:rPr>
            </w:pPr>
          </w:p>
        </w:tc>
        <w:tc>
          <w:tcPr>
            <w:tcW w:w="27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August 31</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May 31</w:t>
            </w:r>
          </w:p>
        </w:tc>
      </w:tr>
      <w:tr>
        <w:trPr>
          <w:trHeight w:val="177"/>
        </w:trPr>
        <w:tc>
          <w:tcPr>
            <w:tcW w:w="2260" w:type="dxa"/>
            <w:vAlign w:val="bottom"/>
          </w:tcPr>
          <w:p>
            <w:pPr>
              <w:spacing w:after="0"/>
              <w:rPr>
                <w:sz w:val="15"/>
                <w:szCs w:val="15"/>
                <w:color w:val="auto"/>
              </w:rPr>
            </w:pPr>
          </w:p>
        </w:tc>
        <w:tc>
          <w:tcPr>
            <w:tcW w:w="27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2004</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260" w:type="dxa"/>
            <w:vAlign w:val="bottom"/>
          </w:tcPr>
          <w:p>
            <w:pPr>
              <w:spacing w:after="0"/>
              <w:rPr>
                <w:sz w:val="15"/>
                <w:szCs w:val="15"/>
                <w:color w:val="auto"/>
              </w:rPr>
            </w:pPr>
          </w:p>
        </w:tc>
        <w:tc>
          <w:tcPr>
            <w:tcW w:w="27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(in thousands)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2260" w:type="dxa"/>
            <w:vAlign w:val="bottom"/>
          </w:tcPr>
          <w:p>
            <w:pPr>
              <w:spacing w:after="0"/>
              <w:rPr>
                <w:sz w:val="15"/>
                <w:szCs w:val="15"/>
                <w:color w:val="auto"/>
              </w:rPr>
            </w:pPr>
          </w:p>
        </w:tc>
        <w:tc>
          <w:tcPr>
            <w:tcW w:w="27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7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$7,017</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$7,017</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7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65,260</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57,209</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$72,277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$64,226</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Net income per Ordinary Share</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352"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Three Months Ended</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August 31,</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2004</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4200" w:type="dxa"/>
            <w:vAlign w:val="bottom"/>
          </w:tcPr>
          <w:p>
            <w:pPr>
              <w:spacing w:after="0"/>
              <w:rPr>
                <w:sz w:val="15"/>
                <w:szCs w:val="15"/>
                <w:color w:val="auto"/>
              </w:rPr>
            </w:pPr>
          </w:p>
        </w:tc>
        <w:tc>
          <w:tcPr>
            <w:tcW w:w="1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420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for basic net income per</w:t>
            </w: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Ordinary Share</w:t>
            </w:r>
          </w:p>
        </w:tc>
        <w:tc>
          <w:tcPr>
            <w:tcW w:w="1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13,837,986</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12,153,772</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1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267,302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453,199</w:t>
            </w:r>
          </w:p>
        </w:tc>
      </w:tr>
      <w:tr>
        <w:trPr>
          <w:trHeight w:val="177"/>
        </w:trPr>
        <w:tc>
          <w:tcPr>
            <w:tcW w:w="420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5"/>
        </w:trPr>
        <w:tc>
          <w:tcPr>
            <w:tcW w:w="420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 diluted net income per Ordinary Share</w:t>
            </w:r>
          </w:p>
        </w:tc>
        <w:tc>
          <w:tcPr>
            <w:tcW w:w="1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14,105,288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12,606,971</w:t>
            </w:r>
          </w:p>
        </w:tc>
      </w:tr>
      <w:tr>
        <w:trPr>
          <w:trHeight w:val="177"/>
        </w:trPr>
        <w:tc>
          <w:tcPr>
            <w:tcW w:w="420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00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5. Business Segment Information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Kingdom, United States, Germany, Australia, Argentina, France, Japan, Israel, Singapore, Canada, Sweden, The Netherlands, Latvia, Russia, Taiwan, Hong Kong, South Africa, Spain, Hungary and India. Segment information for the three month periods ended August 31, 2004 and 2003 are as follows:</w:t>
      </w:r>
    </w:p>
    <w:p>
      <w:pPr>
        <w:spacing w:after="0" w:line="35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3460" w:type="dxa"/>
            <w:vAlign w:val="bottom"/>
            <w:gridSpan w:val="2"/>
          </w:tcPr>
          <w:p>
            <w:pPr>
              <w:ind w:left="1600"/>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100" w:type="dxa"/>
            <w:vAlign w:val="bottom"/>
          </w:tcPr>
          <w:p>
            <w:pPr>
              <w:spacing w:after="0"/>
              <w:rPr>
                <w:sz w:val="15"/>
                <w:szCs w:val="15"/>
                <w:color w:val="auto"/>
              </w:rPr>
            </w:pPr>
          </w:p>
        </w:tc>
        <w:tc>
          <w:tcPr>
            <w:tcW w:w="34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August 31,</w:t>
            </w:r>
          </w:p>
        </w:tc>
      </w:tr>
      <w:tr>
        <w:trPr>
          <w:trHeight w:val="177"/>
        </w:trPr>
        <w:tc>
          <w:tcPr>
            <w:tcW w:w="3100" w:type="dxa"/>
            <w:vAlign w:val="bottom"/>
          </w:tcPr>
          <w:p>
            <w:pPr>
              <w:spacing w:after="0"/>
              <w:rPr>
                <w:sz w:val="15"/>
                <w:szCs w:val="15"/>
                <w:color w:val="auto"/>
              </w:rPr>
            </w:pPr>
          </w:p>
        </w:tc>
        <w:tc>
          <w:tcPr>
            <w:tcW w:w="34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100" w:type="dxa"/>
            <w:vAlign w:val="bottom"/>
          </w:tcPr>
          <w:p>
            <w:pPr>
              <w:spacing w:after="0"/>
              <w:rPr>
                <w:sz w:val="15"/>
                <w:szCs w:val="15"/>
                <w:color w:val="auto"/>
              </w:rPr>
            </w:pPr>
          </w:p>
        </w:tc>
        <w:tc>
          <w:tcPr>
            <w:tcW w:w="29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2004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3100" w:type="dxa"/>
            <w:vAlign w:val="bottom"/>
          </w:tcPr>
          <w:p>
            <w:pPr>
              <w:spacing w:after="0"/>
              <w:rPr>
                <w:sz w:val="15"/>
                <w:szCs w:val="15"/>
                <w:color w:val="auto"/>
              </w:rPr>
            </w:pPr>
          </w:p>
        </w:tc>
        <w:tc>
          <w:tcPr>
            <w:tcW w:w="29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00" w:type="dxa"/>
            <w:vAlign w:val="bottom"/>
          </w:tcPr>
          <w:p>
            <w:pPr>
              <w:spacing w:after="0"/>
              <w:rPr>
                <w:sz w:val="15"/>
                <w:szCs w:val="15"/>
                <w:color w:val="auto"/>
              </w:rPr>
            </w:pPr>
          </w:p>
        </w:tc>
        <w:tc>
          <w:tcPr>
            <w:tcW w:w="2900" w:type="dxa"/>
            <w:vAlign w:val="bottom"/>
          </w:tcPr>
          <w:p>
            <w:pPr>
              <w:ind w:left="1600"/>
              <w:spacing w:after="0"/>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15"/>
                <w:szCs w:val="15"/>
                <w:color w:val="auto"/>
              </w:rPr>
            </w:pP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$10,638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$9,884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17,214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12,459</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45,784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44,464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4,703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2,128</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$78,339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$68,935</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20" w:hanging="179"/>
        <w:spacing w:after="0"/>
        <w:tabs>
          <w:tab w:leader="none" w:pos="8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362" w:lineRule="exact"/>
        <w:rPr>
          <w:rFonts w:ascii="Courier New" w:cs="Courier New" w:eastAsia="Courier New" w:hAnsi="Courier New"/>
          <w:sz w:val="15"/>
          <w:szCs w:val="15"/>
          <w:color w:val="auto"/>
        </w:rPr>
      </w:pPr>
    </w:p>
    <w:p>
      <w:pPr>
        <w:ind w:left="740" w:hanging="284"/>
        <w:spacing w:after="0"/>
        <w:tabs>
          <w:tab w:leader="none" w:pos="7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36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3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04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c>
          <w:tcPr>
            <w:tcW w:w="560" w:type="dxa"/>
            <w:vAlign w:val="bottom"/>
          </w:tcPr>
          <w:p>
            <w:pPr>
              <w:spacing w:after="0"/>
              <w:rPr>
                <w:sz w:val="15"/>
                <w:szCs w:val="15"/>
                <w:color w:val="auto"/>
              </w:rPr>
            </w:pPr>
          </w:p>
        </w:tc>
      </w:tr>
      <w:tr>
        <w:trPr>
          <w:trHeight w:val="177"/>
        </w:trPr>
        <w:tc>
          <w:tcPr>
            <w:tcW w:w="304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r>
      <w:tr>
        <w:trPr>
          <w:trHeight w:val="177"/>
        </w:trPr>
        <w:tc>
          <w:tcPr>
            <w:tcW w:w="3040" w:type="dxa"/>
            <w:vAlign w:val="bottom"/>
          </w:tcPr>
          <w:p>
            <w:pPr>
              <w:spacing w:after="0"/>
              <w:rPr>
                <w:sz w:val="15"/>
                <w:szCs w:val="15"/>
                <w:color w:val="auto"/>
              </w:rPr>
            </w:pPr>
          </w:p>
        </w:tc>
        <w:tc>
          <w:tcPr>
            <w:tcW w:w="2680" w:type="dxa"/>
            <w:vAlign w:val="bottom"/>
          </w:tcPr>
          <w:p>
            <w:pPr>
              <w:jc w:val="center"/>
              <w:ind w:left="583"/>
              <w:spacing w:after="0"/>
              <w:rPr>
                <w:sz w:val="20"/>
                <w:szCs w:val="20"/>
                <w:color w:val="auto"/>
              </w:rPr>
            </w:pPr>
            <w:r>
              <w:rPr>
                <w:rFonts w:ascii="Courier New" w:cs="Courier New" w:eastAsia="Courier New" w:hAnsi="Courier New"/>
                <w:sz w:val="15"/>
                <w:szCs w:val="15"/>
                <w:color w:val="auto"/>
              </w:rPr>
              <w:t>2004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3040" w:type="dxa"/>
            <w:vAlign w:val="bottom"/>
          </w:tcPr>
          <w:p>
            <w:pPr>
              <w:spacing w:after="0"/>
              <w:rPr>
                <w:sz w:val="15"/>
                <w:szCs w:val="15"/>
                <w:color w:val="auto"/>
              </w:rPr>
            </w:pPr>
          </w:p>
        </w:tc>
        <w:tc>
          <w:tcPr>
            <w:tcW w:w="2680" w:type="dxa"/>
            <w:vAlign w:val="bottom"/>
          </w:tcPr>
          <w:p>
            <w:pPr>
              <w:jc w:val="center"/>
              <w:ind w:left="58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680" w:type="dxa"/>
            <w:vAlign w:val="bottom"/>
          </w:tcPr>
          <w:p>
            <w:pPr>
              <w:jc w:val="center"/>
              <w:ind w:left="563"/>
              <w:spacing w:after="0"/>
              <w:rPr>
                <w:sz w:val="20"/>
                <w:szCs w:val="20"/>
                <w:color w:val="auto"/>
              </w:rPr>
            </w:pPr>
            <w:r>
              <w:rPr>
                <w:rFonts w:ascii="Courier New" w:cs="Courier New" w:eastAsia="Courier New" w:hAnsi="Courier New"/>
                <w:sz w:val="15"/>
                <w:szCs w:val="15"/>
                <w:color w:val="auto"/>
              </w:rPr>
              <w:t>$6,550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$5,723</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680" w:type="dxa"/>
            <w:vAlign w:val="bottom"/>
          </w:tcPr>
          <w:p>
            <w:pPr>
              <w:jc w:val="center"/>
              <w:ind w:left="563"/>
              <w:spacing w:after="0"/>
              <w:rPr>
                <w:sz w:val="20"/>
                <w:szCs w:val="20"/>
                <w:color w:val="auto"/>
              </w:rPr>
            </w:pPr>
            <w:r>
              <w:rPr>
                <w:rFonts w:ascii="Courier New" w:cs="Courier New" w:eastAsia="Courier New" w:hAnsi="Courier New"/>
                <w:sz w:val="15"/>
                <w:szCs w:val="15"/>
                <w:color w:val="auto"/>
              </w:rPr>
              <w:t>71,789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63,212</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$78,339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$68,935</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740" w:hanging="284"/>
        <w:spacing w:after="0"/>
        <w:tabs>
          <w:tab w:leader="none" w:pos="7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32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000" w:type="dxa"/>
            <w:vAlign w:val="bottom"/>
          </w:tcPr>
          <w:p>
            <w:pPr>
              <w:spacing w:after="0"/>
              <w:rPr>
                <w:sz w:val="15"/>
                <w:szCs w:val="15"/>
                <w:color w:val="auto"/>
              </w:rPr>
            </w:pPr>
          </w:p>
        </w:tc>
        <w:tc>
          <w:tcPr>
            <w:tcW w:w="3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August 31,</w:t>
            </w:r>
          </w:p>
        </w:tc>
      </w:tr>
      <w:tr>
        <w:trPr>
          <w:trHeight w:val="177"/>
        </w:trPr>
        <w:tc>
          <w:tcPr>
            <w:tcW w:w="3000" w:type="dxa"/>
            <w:vAlign w:val="bottom"/>
          </w:tcPr>
          <w:p>
            <w:pPr>
              <w:spacing w:after="0"/>
              <w:rPr>
                <w:sz w:val="15"/>
                <w:szCs w:val="15"/>
                <w:color w:val="auto"/>
              </w:rPr>
            </w:pPr>
          </w:p>
        </w:tc>
        <w:tc>
          <w:tcPr>
            <w:tcW w:w="3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15"/>
                <w:szCs w:val="15"/>
                <w:color w:val="auto"/>
              </w:rPr>
            </w:pPr>
          </w:p>
        </w:tc>
        <w:tc>
          <w:tcPr>
            <w:tcW w:w="2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3000" w:type="dxa"/>
            <w:vAlign w:val="bottom"/>
          </w:tcPr>
          <w:p>
            <w:pPr>
              <w:spacing w:after="0"/>
              <w:rPr>
                <w:sz w:val="15"/>
                <w:szCs w:val="15"/>
                <w:color w:val="auto"/>
              </w:rPr>
            </w:pPr>
          </w:p>
        </w:tc>
        <w:tc>
          <w:tcPr>
            <w:tcW w:w="2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15"/>
                <w:szCs w:val="15"/>
                <w:color w:val="auto"/>
              </w:rPr>
            </w:pPr>
          </w:p>
        </w:tc>
        <w:tc>
          <w:tcPr>
            <w:tcW w:w="3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$2,811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$2,056</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4,835</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3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$9,485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$7,622</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005" w:right="1440" w:bottom="1440" w:gutter="0" w:footer="0" w:header="0"/>
        </w:sectPr>
      </w:pPr>
    </w:p>
    <w:bookmarkStart w:id="11" w:name="page12"/>
    <w:bookmarkEnd w:id="11"/>
    <w:p>
      <w:pPr>
        <w:ind w:left="740" w:hanging="284"/>
        <w:spacing w:after="0"/>
        <w:tabs>
          <w:tab w:leader="none" w:pos="7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85"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Three months ended</w:t>
      </w:r>
    </w:p>
    <w:p>
      <w:pPr>
        <w:spacing w:after="0" w:line="8"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August 31,</w:t>
      </w:r>
    </w:p>
    <w:p>
      <w:pPr>
        <w:spacing w:after="0" w:line="8"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880"/>
        <w:spacing w:after="0"/>
        <w:tabs>
          <w:tab w:leader="none" w:pos="616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8" w:lineRule="exact"/>
        <w:rPr>
          <w:sz w:val="20"/>
          <w:szCs w:val="20"/>
          <w:color w:val="auto"/>
        </w:rPr>
      </w:pPr>
    </w:p>
    <w:p>
      <w:pPr>
        <w:ind w:left="4880"/>
        <w:spacing w:after="0"/>
        <w:tabs>
          <w:tab w:leader="none" w:pos="6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(in thousands)</w:t>
      </w:r>
    </w:p>
    <w:p>
      <w:pPr>
        <w:spacing w:after="0" w:line="8" w:lineRule="exact"/>
        <w:rPr>
          <w:sz w:val="20"/>
          <w:szCs w:val="20"/>
          <w:color w:val="auto"/>
        </w:rPr>
      </w:pPr>
    </w:p>
    <w:p>
      <w:pPr>
        <w:ind w:left="640"/>
        <w:spacing w:after="0"/>
        <w:tabs>
          <w:tab w:leader="none" w:pos="4780" w:val="left"/>
          <w:tab w:leader="none" w:pos="588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$(861)</w:t>
      </w:r>
      <w:r>
        <w:rPr>
          <w:sz w:val="20"/>
          <w:szCs w:val="20"/>
          <w:color w:val="auto"/>
        </w:rPr>
        <w:tab/>
      </w:r>
      <w:r>
        <w:rPr>
          <w:rFonts w:ascii="Courier New" w:cs="Courier New" w:eastAsia="Courier New" w:hAnsi="Courier New"/>
          <w:sz w:val="15"/>
          <w:szCs w:val="15"/>
          <w:color w:val="auto"/>
        </w:rPr>
        <w:t>$(1,231)</w:t>
      </w:r>
    </w:p>
    <w:p>
      <w:pPr>
        <w:spacing w:after="0" w:line="8" w:lineRule="exact"/>
        <w:rPr>
          <w:sz w:val="20"/>
          <w:szCs w:val="20"/>
          <w:color w:val="auto"/>
        </w:rPr>
      </w:pPr>
    </w:p>
    <w:p>
      <w:pPr>
        <w:ind w:left="640"/>
        <w:spacing w:after="0"/>
        <w:tabs>
          <w:tab w:leader="none" w:pos="4780" w:val="left"/>
          <w:tab w:leader="none" w:pos="616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10,346</w:t>
      </w:r>
      <w:r>
        <w:rPr>
          <w:sz w:val="20"/>
          <w:szCs w:val="20"/>
          <w:color w:val="auto"/>
        </w:rPr>
        <w:tab/>
      </w:r>
      <w:r>
        <w:rPr>
          <w:rFonts w:ascii="Courier New" w:cs="Courier New" w:eastAsia="Courier New" w:hAnsi="Courier New"/>
          <w:sz w:val="15"/>
          <w:szCs w:val="15"/>
          <w:color w:val="auto"/>
        </w:rPr>
        <w:t>8,853</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3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$9,485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$7,622</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2939" w:firstLine="456"/>
        <w:spacing w:after="0" w:line="253" w:lineRule="auto"/>
        <w:tabs>
          <w:tab w:leader="none" w:pos="73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2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August 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7"/>
        </w:trPr>
        <w:tc>
          <w:tcPr>
            <w:tcW w:w="2960" w:type="dxa"/>
            <w:vAlign w:val="bottom"/>
          </w:tcPr>
          <w:p>
            <w:pPr>
              <w:spacing w:after="0"/>
              <w:rPr>
                <w:sz w:val="15"/>
                <w:szCs w:val="15"/>
                <w:color w:val="auto"/>
              </w:rPr>
            </w:pPr>
          </w:p>
        </w:tc>
        <w:tc>
          <w:tcPr>
            <w:tcW w:w="25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960" w:type="dxa"/>
            <w:vAlign w:val="bottom"/>
          </w:tcPr>
          <w:p>
            <w:pPr>
              <w:spacing w:after="0"/>
              <w:rPr>
                <w:sz w:val="15"/>
                <w:szCs w:val="15"/>
                <w:color w:val="auto"/>
              </w:rPr>
            </w:pPr>
          </w:p>
        </w:tc>
        <w:tc>
          <w:tcPr>
            <w:tcW w:w="25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60" w:type="dxa"/>
            <w:vAlign w:val="bottom"/>
          </w:tcPr>
          <w:p>
            <w:pPr>
              <w:spacing w:after="0"/>
              <w:rPr>
                <w:sz w:val="15"/>
                <w:szCs w:val="15"/>
                <w:color w:val="auto"/>
              </w:rPr>
            </w:pPr>
          </w:p>
        </w:tc>
        <w:tc>
          <w:tcPr>
            <w:tcW w:w="36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5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$19,447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$18,799</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5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7,053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7,202</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5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17,245</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15,935</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5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987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$44,732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$42,936</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3299" w:firstLine="456"/>
        <w:spacing w:after="0" w:line="253" w:lineRule="auto"/>
        <w:tabs>
          <w:tab w:leader="none" w:pos="73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August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7"/>
        </w:trPr>
        <w:tc>
          <w:tcPr>
            <w:tcW w:w="2820" w:type="dxa"/>
            <w:vAlign w:val="bottom"/>
          </w:tcPr>
          <w:p>
            <w:pPr>
              <w:spacing w:after="0"/>
              <w:rPr>
                <w:sz w:val="15"/>
                <w:szCs w:val="15"/>
                <w:color w:val="auto"/>
              </w:rPr>
            </w:pP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820" w:type="dxa"/>
            <w:vAlign w:val="bottom"/>
          </w:tcPr>
          <w:p>
            <w:pPr>
              <w:spacing w:after="0"/>
              <w:rPr>
                <w:sz w:val="15"/>
                <w:szCs w:val="15"/>
                <w:color w:val="auto"/>
              </w:rPr>
            </w:pP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20" w:type="dxa"/>
            <w:vAlign w:val="bottom"/>
          </w:tcPr>
          <w:p>
            <w:pPr>
              <w:spacing w:after="0"/>
              <w:rPr>
                <w:sz w:val="15"/>
                <w:szCs w:val="15"/>
                <w:color w:val="auto"/>
              </w:rPr>
            </w:pPr>
          </w:p>
        </w:tc>
        <w:tc>
          <w:tcPr>
            <w:tcW w:w="33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$3,766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40,966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38,947</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$44,732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$42,936</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 The distribution of depreciation by geographical area was as follows: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32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9"/>
              </w:rPr>
              <w:t>August 31,</w:t>
            </w:r>
          </w:p>
        </w:tc>
      </w:tr>
      <w:tr>
        <w:trPr>
          <w:trHeight w:val="177"/>
        </w:trPr>
        <w:tc>
          <w:tcPr>
            <w:tcW w:w="3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0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30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15"/>
                <w:szCs w:val="15"/>
                <w:color w:val="auto"/>
              </w:rPr>
            </w:pPr>
          </w:p>
        </w:tc>
        <w:tc>
          <w:tcPr>
            <w:tcW w:w="32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$1,119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1,361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1,249</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$3,062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$2,589</w:t>
            </w:r>
          </w:p>
        </w:tc>
      </w:tr>
    </w:tbl>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18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h) The distribution of depreciation by business segment was as follows:</w:t>
      </w:r>
    </w:p>
    <w:p>
      <w:pPr>
        <w:spacing w:after="0" w:line="18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Three months ended</w:t>
      </w:r>
    </w:p>
    <w:p>
      <w:pPr>
        <w:spacing w:after="0" w:line="8"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August 31,</w:t>
      </w:r>
    </w:p>
    <w:p>
      <w:pPr>
        <w:spacing w:after="0" w:line="8"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160"/>
        <w:spacing w:after="0"/>
        <w:tabs>
          <w:tab w:leader="none" w:pos="644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8" w:lineRule="exact"/>
        <w:rPr>
          <w:sz w:val="20"/>
          <w:szCs w:val="20"/>
          <w:color w:val="auto"/>
        </w:rPr>
      </w:pPr>
    </w:p>
    <w:p>
      <w:pPr>
        <w:ind w:left="5160"/>
        <w:spacing w:after="0"/>
        <w:tabs>
          <w:tab w:leader="none" w:pos="6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(in thousands)</w:t>
      </w:r>
    </w:p>
    <w:p>
      <w:pPr>
        <w:spacing w:after="0" w:line="8" w:lineRule="exact"/>
        <w:rPr>
          <w:sz w:val="20"/>
          <w:szCs w:val="20"/>
          <w:color w:val="auto"/>
        </w:rPr>
      </w:pPr>
    </w:p>
    <w:p>
      <w:pPr>
        <w:ind w:left="180"/>
        <w:spacing w:after="0"/>
        <w:tabs>
          <w:tab w:leader="none" w:pos="5140" w:val="left"/>
          <w:tab w:leader="none" w:pos="644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$285</w:t>
      </w:r>
    </w:p>
    <w:p>
      <w:pPr>
        <w:spacing w:after="0" w:line="8" w:lineRule="exact"/>
        <w:rPr>
          <w:sz w:val="20"/>
          <w:szCs w:val="20"/>
          <w:color w:val="auto"/>
        </w:rPr>
      </w:pPr>
    </w:p>
    <w:p>
      <w:pPr>
        <w:ind w:left="180"/>
        <w:spacing w:after="0"/>
        <w:tabs>
          <w:tab w:leader="none" w:pos="5060" w:val="left"/>
          <w:tab w:leader="none" w:pos="634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2,826</w:t>
      </w:r>
      <w:r>
        <w:rPr>
          <w:sz w:val="20"/>
          <w:szCs w:val="20"/>
          <w:color w:val="auto"/>
        </w:rPr>
        <w:tab/>
      </w:r>
      <w:r>
        <w:rPr>
          <w:rFonts w:ascii="Courier New" w:cs="Courier New" w:eastAsia="Courier New" w:hAnsi="Courier New"/>
          <w:sz w:val="15"/>
          <w:szCs w:val="15"/>
          <w:color w:val="auto"/>
        </w:rPr>
        <w:t>2,304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$3,062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$2,589</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2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August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7"/>
        </w:trPr>
        <w:tc>
          <w:tcPr>
            <w:tcW w:w="2860" w:type="dxa"/>
            <w:vAlign w:val="bottom"/>
          </w:tcPr>
          <w:p>
            <w:pPr>
              <w:spacing w:after="0"/>
              <w:rPr>
                <w:sz w:val="15"/>
                <w:szCs w:val="15"/>
                <w:color w:val="auto"/>
              </w:rPr>
            </w:pPr>
          </w:p>
        </w:tc>
        <w:tc>
          <w:tcPr>
            <w:tcW w:w="2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860" w:type="dxa"/>
            <w:vAlign w:val="bottom"/>
          </w:tcPr>
          <w:p>
            <w:pPr>
              <w:spacing w:after="0"/>
              <w:rPr>
                <w:sz w:val="15"/>
                <w:szCs w:val="15"/>
                <w:color w:val="auto"/>
              </w:rPr>
            </w:pPr>
          </w:p>
        </w:tc>
        <w:tc>
          <w:tcPr>
            <w:tcW w:w="2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15"/>
                <w:szCs w:val="15"/>
                <w:color w:val="auto"/>
              </w:rPr>
            </w:pPr>
          </w:p>
        </w:tc>
        <w:tc>
          <w:tcPr>
            <w:tcW w:w="35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$73,144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$76,165</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103,749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115,056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160,998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141,104</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2,998</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$341,016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$335,323</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August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7"/>
        </w:trPr>
        <w:tc>
          <w:tcPr>
            <w:tcW w:w="2820" w:type="dxa"/>
            <w:vAlign w:val="bottom"/>
          </w:tcPr>
          <w:p>
            <w:pPr>
              <w:spacing w:after="0"/>
              <w:rPr>
                <w:sz w:val="15"/>
                <w:szCs w:val="15"/>
                <w:color w:val="auto"/>
              </w:rPr>
            </w:pP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820" w:type="dxa"/>
            <w:vAlign w:val="bottom"/>
          </w:tcPr>
          <w:p>
            <w:pPr>
              <w:spacing w:after="0"/>
              <w:rPr>
                <w:sz w:val="15"/>
                <w:szCs w:val="15"/>
                <w:color w:val="auto"/>
              </w:rPr>
            </w:pP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20" w:type="dxa"/>
            <w:vAlign w:val="bottom"/>
          </w:tcPr>
          <w:p>
            <w:pPr>
              <w:spacing w:after="0"/>
              <w:rPr>
                <w:sz w:val="15"/>
                <w:szCs w:val="15"/>
                <w:color w:val="auto"/>
              </w:rPr>
            </w:pPr>
          </w:p>
        </w:tc>
        <w:tc>
          <w:tcPr>
            <w:tcW w:w="33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$19,317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$20,343</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321,699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314,980</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3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$341,016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$335,323</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59"/>
          </w:cols>
          <w:pgMar w:left="700" w:top="100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ICON plc</w:t>
      </w:r>
    </w:p>
    <w:p>
      <w:pPr>
        <w:spacing w:after="0" w:line="362"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2004. The Consolidated Financial Statements have been prepared in accordance with accounting principles generally accepted in the United States.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2,550 employees worldwide, with operations in 35 locations in 21 countries including the United States and major markets in Europe and Rest of World and have managed clinical trials in over 55 countries. For the three months ended August 31, 2004, we derived approximately 58.4%, 35.6%, and 6.0% of our net revenue in the United States, Europe and Rest of World, respectively.</w:t>
      </w:r>
    </w:p>
    <w:p>
      <w:pPr>
        <w:spacing w:after="0" w:line="183"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83"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360"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3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28" w:right="1440" w:bottom="194" w:gutter="0" w:footer="0" w:header="0"/>
        </w:sectPr>
      </w:pPr>
    </w:p>
    <w:bookmarkStart w:id="14" w:name="page15"/>
    <w:bookmarkEnd w:id="14"/>
    <w:p>
      <w:pPr>
        <w:ind w:right="760"/>
        <w:spacing w:after="0" w:line="250" w:lineRule="auto"/>
        <w:rPr>
          <w:sz w:val="20"/>
          <w:szCs w:val="20"/>
          <w:color w:val="auto"/>
        </w:rPr>
      </w:pPr>
      <w:r>
        <w:rPr>
          <w:rFonts w:ascii="Courier New" w:cs="Courier New" w:eastAsia="Courier New" w:hAnsi="Courier New"/>
          <w:sz w:val="15"/>
          <w:szCs w:val="15"/>
          <w:color w:val="auto"/>
        </w:rPr>
        <w:t>In addition to translation exposures, we are also subject to transaction exposures because the currency in which contracts are priced can be different from the currencies in which costs relating to those contracts are incurred. We have fourteen operations operating in U.S. dollars, five trading in Euros, three in pounds Sterling, and one each in Australian dollars, Indian Rupee, Singapore dollars, Yen, Israeli New Shekels, Latvian Lats, Swedish Krona, Argentine Peso, South African Rand, Russian Rouble, Canadian dollar, Hungarian Forint, Taiwan dollar and Hong Kong dollar.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87" w:lineRule="exact"/>
        <w:rPr>
          <w:sz w:val="20"/>
          <w:szCs w:val="20"/>
          <w:color w:val="auto"/>
        </w:rPr>
      </w:pPr>
    </w:p>
    <w:p>
      <w:pPr>
        <w:ind w:right="760"/>
        <w:spacing w:after="0" w:line="250"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August 31, 2004, we have received $2,464,243 and $1,831,592 under the capital grants and operating grants, respectively. Pursuant to the terms of the grant agreements we are restricted from distributing some of these amounts by way of dividend or otherwise.</w:t>
      </w:r>
    </w:p>
    <w:p>
      <w:pPr>
        <w:spacing w:after="0" w:line="184"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940"/>
        <w:spacing w:after="0" w:line="253" w:lineRule="auto"/>
        <w:rPr>
          <w:sz w:val="20"/>
          <w:szCs w:val="20"/>
          <w:color w:val="auto"/>
        </w:rPr>
      </w:pPr>
      <w:r>
        <w:rPr>
          <w:rFonts w:ascii="Courier New" w:cs="Courier New" w:eastAsia="Courier New" w:hAnsi="Courier New"/>
          <w:sz w:val="15"/>
          <w:szCs w:val="15"/>
          <w:color w:val="auto"/>
        </w:rPr>
        <w:t>Three Months Ended August 31, 2004 Compared with Three Months Ended August 31, 2003</w:t>
      </w:r>
    </w:p>
    <w:p>
      <w:pPr>
        <w:spacing w:after="0" w:line="174"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3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15"/>
                <w:szCs w:val="15"/>
                <w:color w:val="auto"/>
              </w:rPr>
            </w:pP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August 31,</w:t>
            </w:r>
          </w:p>
        </w:tc>
        <w:tc>
          <w:tcPr>
            <w:tcW w:w="1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August 31,</w:t>
            </w:r>
          </w:p>
        </w:tc>
      </w:tr>
      <w:tr>
        <w:trPr>
          <w:trHeight w:val="177"/>
        </w:trPr>
        <w:tc>
          <w:tcPr>
            <w:tcW w:w="3960" w:type="dxa"/>
            <w:vAlign w:val="bottom"/>
          </w:tcPr>
          <w:p>
            <w:pPr>
              <w:spacing w:after="0"/>
              <w:rPr>
                <w:sz w:val="15"/>
                <w:szCs w:val="15"/>
                <w:color w:val="auto"/>
              </w:rPr>
            </w:pP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15"/>
                <w:szCs w:val="15"/>
                <w:color w:val="auto"/>
              </w:rPr>
            </w:pP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2004</w:t>
            </w:r>
          </w:p>
        </w:tc>
        <w:tc>
          <w:tcPr>
            <w:tcW w:w="1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2003</w:t>
            </w:r>
          </w:p>
        </w:tc>
      </w:tr>
      <w:tr>
        <w:trPr>
          <w:trHeight w:val="177"/>
        </w:trPr>
        <w:tc>
          <w:tcPr>
            <w:tcW w:w="3960" w:type="dxa"/>
            <w:vAlign w:val="bottom"/>
          </w:tcPr>
          <w:p>
            <w:pPr>
              <w:spacing w:after="0"/>
              <w:rPr>
                <w:sz w:val="15"/>
                <w:szCs w:val="15"/>
                <w:color w:val="auto"/>
              </w:rPr>
            </w:pP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532"/>
        </w:trPr>
        <w:tc>
          <w:tcPr>
            <w:tcW w:w="3960" w:type="dxa"/>
            <w:vAlign w:val="bottom"/>
          </w:tcPr>
          <w:p>
            <w:pPr>
              <w:spacing w:after="0"/>
              <w:rPr>
                <w:sz w:val="24"/>
                <w:szCs w:val="24"/>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 Revenue</w:t>
            </w:r>
          </w:p>
        </w:tc>
      </w:tr>
      <w:tr>
        <w:trPr>
          <w:trHeight w:val="177"/>
        </w:trPr>
        <w:tc>
          <w:tcPr>
            <w:tcW w:w="3960" w:type="dxa"/>
            <w:vAlign w:val="bottom"/>
          </w:tcPr>
          <w:p>
            <w:pPr>
              <w:spacing w:after="0"/>
              <w:rPr>
                <w:sz w:val="15"/>
                <w:szCs w:val="15"/>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1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w:t>
            </w:r>
          </w:p>
        </w:tc>
        <w:tc>
          <w:tcPr>
            <w:tcW w:w="1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54.2%</w:t>
            </w:r>
          </w:p>
        </w:tc>
        <w:tc>
          <w:tcPr>
            <w:tcW w:w="1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54.7%</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29.8%</w:t>
            </w:r>
          </w:p>
        </w:tc>
        <w:tc>
          <w:tcPr>
            <w:tcW w:w="1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30.4%</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3.9%</w:t>
            </w:r>
          </w:p>
        </w:tc>
        <w:tc>
          <w:tcPr>
            <w:tcW w:w="1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3.8%</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12.1%</w:t>
            </w:r>
          </w:p>
        </w:tc>
        <w:tc>
          <w:tcPr>
            <w:tcW w:w="1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11.1%</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Net revenue increased by $9.4 million or 13.6%, from $68.9 million to $78.3 million. This improvement arose through a combination of increased business from existing clients, business won from new clients and revenues from acquisitions not included in the comparative period. The additional revenues from these acquisitions (Globomax &amp; Beacon) amounted to $3.6 million for the three months ended August 31, 2004. Including the impact of acquisitions, revenues in the United States, and Europe and the Rest of World grew by 3.0% and 33.0% respectively. For the three months ended August 31, 2004, net revenue for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2003</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 2004</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Increase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13.6%</w:t>
      </w:r>
    </w:p>
    <w:p>
      <w:pPr>
        <w:spacing w:after="0" w:line="185"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12.6%</w:t>
      </w:r>
    </w:p>
    <w:p>
      <w:pPr>
        <w:spacing w:after="0" w:line="8"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11.0%</w:t>
      </w:r>
    </w:p>
    <w:p>
      <w:pPr>
        <w:spacing w:after="0" w:line="8"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18.3%</w:t>
      </w:r>
    </w:p>
    <w:p>
      <w:pPr>
        <w:spacing w:after="0" w:line="8"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24.4%</w:t>
      </w:r>
    </w:p>
    <w:p>
      <w:pPr>
        <w:sectPr>
          <w:pgSz w:w="11900" w:h="16838" w:orient="portrait"/>
          <w:cols w:equalWidth="0" w:num="2">
            <w:col w:w="8140" w:space="720"/>
            <w:col w:w="1359"/>
          </w:cols>
          <w:pgMar w:left="240" w:top="65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central laboratory business</w:t>
      </w:r>
    </w:p>
    <w:p>
      <w:pPr>
        <w:spacing w:after="0" w:line="200" w:lineRule="exact"/>
        <w:rPr>
          <w:sz w:val="20"/>
          <w:szCs w:val="20"/>
          <w:color w:val="auto"/>
        </w:rPr>
      </w:pPr>
    </w:p>
    <w:p>
      <w:pPr>
        <w:spacing w:after="0" w:line="340"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42" w:right="1440" w:bottom="1440" w:gutter="0" w:footer="0" w:header="0"/>
        </w:sectPr>
      </w:pPr>
    </w:p>
    <w:bookmarkStart w:id="16" w:name="page17"/>
    <w:bookmarkEnd w:id="16"/>
    <w:p>
      <w:pPr>
        <w:ind w:right="3019"/>
        <w:spacing w:after="0" w:line="251" w:lineRule="auto"/>
        <w:rPr>
          <w:sz w:val="20"/>
          <w:szCs w:val="20"/>
          <w:color w:val="auto"/>
        </w:rPr>
      </w:pPr>
      <w:r>
        <w:rPr>
          <w:rFonts w:ascii="Courier New" w:cs="Courier New" w:eastAsia="Courier New" w:hAnsi="Courier New"/>
          <w:sz w:val="15"/>
          <w:szCs w:val="15"/>
          <w:color w:val="auto"/>
        </w:rPr>
        <w:t>grew by 14.5% from $5.7 million to $6.6 million while our clinical research segment grew by 13.6% from $63.2 million to $71.8 million over the comparable period. The growth in net revenue in our clinical research segment and central laboratory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Direct costs increased by $4.8 million, or 12.6%, from $37.7 million to $42.5 million, primarily due to increased staff numbers needed to support increased project related activity and increased direct costs arising from the acquisitions amounting to $1.5 million. Direct costs, as a percentage of net revenue decreased from 54.7% in the three months to August 31, 2003 to 54.2% for the quarter ended August 31, 2004.</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Selling, general and administrative expense increased by $2.3 million, or 11.0%, from $21.0 million to $23.3 million. The increase in costs is due to the continued expansion of our operations and additional selling, general and administrative costs from acquisitions of $0.7 million not included in the comparative period. As a percentage of net revenue, selling, general and administrative expenses, decreased from 30.4% in the three months ended August 31, 2003, to 29.8% for the quarter ended August 31, 2004.</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Depreciation increased by $0.5 million, or 18.3%, from $2.6 million to $3.1 million. This increase is due to the continued investment in facilities and information technology to support the growth in activity. As a percentage of net revenue, depreciation increased from 3.8% of net revenues in the three months to August 31, 2003, to 3.9% for the three months ended August 31, 2004.</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Income from operations increased by $1.9 million, or 24.4%, from $7.6 million to $9.5 million, including acquisitions. This improvement is due to increased levels of activity carried out across the Company together with the acquisition of Globomax and Beacon. As a percentage of net revenue, including the effect of acquisitions, income from operations increased from 11.1% in the three months to August 31, 2003, to 12.1% for the quarter ended August 31, 2004. For the quarter, income from operations, as a percentage of net revenue, for the central laboratory was (13.1%), an improvement from the reported (21.5%) in the same quarter in fiscal 2004. The central laboratory constitutes approximately 8% of our business. Operating margins for our clinical research segment increased from 14.0% in the three months ended August 31, 2003, to 14.4% for the three months ended August 31, 2004.</w:t>
      </w:r>
    </w:p>
    <w:p>
      <w:pPr>
        <w:spacing w:after="0" w:line="183"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Net interest income for the three months ended August 31, 2004, was $0.16 million compared to $.01 million for the equivalent period last year. Higher average level of funds invested in the first quarter this year over last year contributed to the increased interest income.</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Our effective tax rate for the three months ended August 31, 2004 was 24.1% compared to 26.9% for the comparable period last year. The decrease in the effective rate was due to a change in the geographic distribution of pre-tax earnings.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secondary offering in August 2003. Our principal cash needs are payment of salaries, office rents, travel expenditures and payments to subcontractors. The aggregate amount of employee compensation, excluding stock compensation expense, paid by us and our subsidiaries in the three months ended August 31, 2003 and August 31, 2004 amounted to $40.3 million and $46.5 million, respectively. Investing activities primarily reflect capital expenditures for facilities and for information systems enhancements, the sale and purchase of short-term investments and acquisitions.</w:t>
      </w:r>
    </w:p>
    <w:p>
      <w:pPr>
        <w:spacing w:after="0" w:line="18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As of August 31, 2004, our working capital amounted to $110.4 million, compared to $113.8 million at May 31, 2004.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decreased from 60 days at May 31, 2004 to 59 days at August 31, 2004.</w:t>
      </w:r>
    </w:p>
    <w:p>
      <w:pPr>
        <w:spacing w:after="0" w:line="175" w:lineRule="exact"/>
        <w:rPr>
          <w:sz w:val="20"/>
          <w:szCs w:val="20"/>
          <w:color w:val="auto"/>
        </w:rPr>
      </w:pPr>
    </w:p>
    <w:p>
      <w:pPr>
        <w:jc w:val="both"/>
        <w:ind w:right="3299"/>
        <w:spacing w:after="0" w:line="252" w:lineRule="auto"/>
        <w:rPr>
          <w:sz w:val="20"/>
          <w:szCs w:val="20"/>
          <w:color w:val="auto"/>
        </w:rPr>
      </w:pPr>
      <w:r>
        <w:rPr>
          <w:rFonts w:ascii="Courier New" w:cs="Courier New" w:eastAsia="Courier New" w:hAnsi="Courier New"/>
          <w:sz w:val="15"/>
          <w:szCs w:val="15"/>
          <w:color w:val="auto"/>
        </w:rPr>
        <w:t>Net cash provided by operating activities was less then $0.1 million in the three months ended August 31, 2004, compared to net cash used in operating activities of $0.2 million in the three months ended August 31, 2003.</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Net cash used in investing activities was $12.8 million in the three months ended August 31, 2004, compared to $3.5 million in the three months ended August 31, 2003. This increase is due primarily to the $9.9 million paid in respect of the acquisition of 70% of the common stock of Beacon during the quarter ended August 31, 2003.</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Net cash provided by financing activities was $6.9 million in the three months ended August 31, 2004, compared with $46.0 million in the three months ended August 31, 2003.</w:t>
      </w:r>
    </w:p>
    <w:p>
      <w:pPr>
        <w:spacing w:after="0" w:line="175"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As a result of these cash flows, cash and cash equivalents decreased by $6.2 million in the three months ended August 31, 2004, compared to an increase of $39.1 million in the three months ended August 31, 2003.</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Our U.S. subsidiary, ICON Clinical Research, Inc. (the "Borrower"), had a $12 million secured line of credit (the "PNC Facility") with PNC Bank N.A. ("PNC"). The PNC Facility bore interest at an annual rate equal to PNC's Prime Rate less three-quarters of one percent. The full sum of the unpaid principal and interest was payable on demand. The PNC Facility was secured by a first priority security interest in certain assets of the Borrower. This facility was terminated on July 3, 2003.</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August 31, 2004, the full amount of these facilities were available to be drawn down. ICON Clinical Research, Inc. (a subsidiary of ICON plc) is entitled to make borrowings under a revolving credit facility of $15 million. As at August 31, 2004, US$8 million of this facility was available to be drawn down.</w:t>
      </w:r>
    </w:p>
    <w:p>
      <w:pPr>
        <w:spacing w:after="0" w:line="184"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On July 1, 2004, ICON acquired 70% of the common stock of Beacon Biosciences, Inc., for an initial cash consideration of $9.9 million.</w:t>
      </w:r>
    </w:p>
    <w:p>
      <w:pPr>
        <w:spacing w:after="0" w:line="200" w:lineRule="exact"/>
        <w:rPr>
          <w:sz w:val="20"/>
          <w:szCs w:val="20"/>
          <w:color w:val="auto"/>
        </w:rPr>
      </w:pPr>
    </w:p>
    <w:p>
      <w:pPr>
        <w:spacing w:after="0" w:line="32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1183" w:right="1440" w:bottom="726" w:gutter="0" w:footer="0" w:header="0"/>
        </w:sectPr>
      </w:pPr>
    </w:p>
    <w:bookmarkStart w:id="18" w:name="page19"/>
    <w:bookmarkEnd w:id="18"/>
    <w:p>
      <w:pPr>
        <w:ind w:right="2839"/>
        <w:spacing w:after="0" w:line="251" w:lineRule="auto"/>
        <w:rPr>
          <w:sz w:val="20"/>
          <w:szCs w:val="20"/>
          <w:color w:val="auto"/>
        </w:rPr>
      </w:pPr>
      <w:r>
        <w:rPr>
          <w:rFonts w:ascii="Courier New" w:cs="Courier New" w:eastAsia="Courier New" w:hAnsi="Courier New"/>
          <w:sz w:val="15"/>
          <w:szCs w:val="15"/>
          <w:color w:val="auto"/>
        </w:rPr>
        <w:t>On September 9, 2003, ICON completed the acquisition of Globomax LLC, for an initial cash consideration of $10.9 million. Earn-out provisions have been built into the acquisition contract requiring the potential payment of additional deferred consideration up to a maximum of U.S.$4.0 million depending on the performance of Globomax over the period from date of acquisition to May 31, 2006.</w:t>
      </w:r>
    </w:p>
    <w:p>
      <w:pPr>
        <w:spacing w:after="0" w:line="354"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 entered into an overdraft agreement with Allied Irish Banks, plc ("AIB") whereby the company guarantees any overdraft of the subsidiary ICON Clinical Research GmbH up to an amount (euro)120,000 (U.S.$144,132). As of August 31, 2004, the full facility was available to be drawn down.</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also entered into an overdraft agreement with AIB, whereby the company guaranteed any overdraft of the subsidiary ICON Clinical Research Israel Ltd. up to an amount of U.S.$250,000. This facility was terminated on April 20, 2004.</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On November 17, 1998, we entered into an overdraft facility (the "AIB facility") for (euro)2,539,000 ($3,049,593) with AIB. This facility bore an annual interest rate equal to AIB Bank's Prime Rate plus one-quarter of one percent. The full sum of the unpaid principal and interest was repayable on demand. This facility was terminated on July 3, 2003.</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On July 29, 2002, we entered into an additional AIB facility for STG(pound)50,000 ($89,442) This facility bore interest at an annual rate equal to AIB Bank's Prime Rate plus two percent. The full sum of the unpaid principal and interest was repayable on demand. This facility was terminated on July 3, 2003.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 December 2003, the FASB issued Interpretation No. 46, revised--Consolidation of Variable Interest Entities, an Interpretation of ARB No. 51 ("FIN 46R"). FIN 46R addresses the consolidation of variable interest entities ("VIEs"), which include entities that have one or more of the following characteristics: (1) The equity investment at risk is not sufficient to permit the entity to finance its activities without additional subordinated financial support; (2) The equity investors lack essential characteristics of a controlling financial interest (as defined by FIN 46R); and (3) The equity investors have voting rights that are not proportionate to their economic interests, and the activities of the entity involve or are conducted on behalf of an investor with a disproportionally small voting interest. In addition, FIN 46R provides for certain scope exceptions to its application. Adoption of this Interpretation is required in financial statements that have interests in VIEs or potential VIEs, commonly referred to as special-purpose entities, for periods ending after 15 December 2003. Application for all other types of entities is required in financial statements for periods ending after 15 March 2004. The adoption of FIN 46R has not had a material impact on the Company's Consolidated Financial Statements.</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the Company's foreign exchange contracts do not qualify for hedge accounting treatment. The impact of adopting Statement 149 did not have a significant impact on our financial statements.</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certain mandatorily redeemable financial instruments. It is to be implemented by reporting the cumulative effect of a change in an accounting principle for financial</w:t>
      </w:r>
    </w:p>
    <w:p>
      <w:pPr>
        <w:spacing w:after="0" w:line="200" w:lineRule="exact"/>
        <w:rPr>
          <w:sz w:val="20"/>
          <w:szCs w:val="20"/>
          <w:color w:val="auto"/>
        </w:rPr>
      </w:pPr>
    </w:p>
    <w:p>
      <w:pPr>
        <w:spacing w:after="0" w:line="33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903" w:gutter="0" w:footer="0" w:header="0"/>
        </w:sectPr>
      </w:pPr>
    </w:p>
    <w:bookmarkStart w:id="19" w:name="page20"/>
    <w:bookmarkEnd w:id="19"/>
    <w:p>
      <w:pPr>
        <w:ind w:right="2839"/>
        <w:spacing w:after="0" w:line="251" w:lineRule="auto"/>
        <w:rPr>
          <w:sz w:val="20"/>
          <w:szCs w:val="20"/>
          <w:color w:val="auto"/>
        </w:rPr>
      </w:pPr>
      <w:r>
        <w:rPr>
          <w:rFonts w:ascii="Courier New" w:cs="Courier New" w:eastAsia="Courier New" w:hAnsi="Courier New"/>
          <w:sz w:val="15"/>
          <w:szCs w:val="15"/>
          <w:color w:val="auto"/>
        </w:rPr>
        <w:t>instruments created before the issuance date of the Statement and still existing at the beginning of the interim period of adoption. Restatement is not permitted. The adoption of SFAS No.150 did not have a significant impact on our financial statements.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Early adoption is permitted. We adopted EITF Issue No. 00-21 on June 1, 2003. The adoptions of EITF Issue No. 00-21did not have a significant impact on our financial statements.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20" w:name="page21"/>
    <w:bookmarkEnd w:id="20"/>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ICON plc</w:t>
      </w:r>
    </w:p>
    <w:p>
      <w:pPr>
        <w:sectPr>
          <w:pgSz w:w="11900" w:h="16838" w:orient="portrait"/>
          <w:cols w:equalWidth="0" w:num="1">
            <w:col w:w="10219"/>
          </w:cols>
          <w:pgMar w:left="240" w:top="10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185" w:lineRule="exact"/>
        <w:rPr>
          <w:sz w:val="20"/>
          <w:szCs w:val="20"/>
          <w:color w:val="auto"/>
        </w:rPr>
      </w:pPr>
    </w:p>
    <w:p>
      <w:pPr>
        <w:sectPr>
          <w:pgSz w:w="11900" w:h="16838" w:orient="portrait"/>
          <w:cols w:equalWidth="0" w:num="2">
            <w:col w:w="3620" w:space="720"/>
            <w:col w:w="5879"/>
          </w:cols>
          <w:pgMar w:left="240" w:top="1005" w:right="1440" w:bottom="1440" w:gutter="0" w:footer="0" w:header="0"/>
          <w:type w:val="continuous"/>
        </w:sectPr>
      </w:pPr>
    </w:p>
    <w:p>
      <w:pPr>
        <w:ind w:right="400"/>
        <w:spacing w:after="0" w:line="253" w:lineRule="auto"/>
        <w:rPr>
          <w:sz w:val="20"/>
          <w:szCs w:val="20"/>
          <w:color w:val="auto"/>
        </w:rPr>
      </w:pPr>
      <w:r>
        <w:rPr>
          <w:rFonts w:ascii="Courier New" w:cs="Courier New" w:eastAsia="Courier New" w:hAnsi="Courier New"/>
          <w:sz w:val="15"/>
          <w:szCs w:val="15"/>
          <w:color w:val="auto"/>
        </w:rPr>
        <w:t>- --------------------------------- Date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620" w:space="720"/>
            <w:col w:w="5879"/>
          </w:cols>
          <w:pgMar w:left="240" w:top="10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sectPr>
      <w:pgSz w:w="11900" w:h="16838" w:orient="portrait"/>
      <w:cols w:equalWidth="0" w:num="1">
        <w:col w:w="10219"/>
      </w:cols>
      <w:pgMar w:left="240" w:top="100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lowerLetter"/>
      <w:start w:val="1"/>
    </w:lvl>
    <w:lvl w:ilvl="1">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2019-12-14T19:52:12Z</dcterms:created>
  <dcterms:modified xsi:type="dcterms:W3CDTF">2019-12-14T19:52:12Z</dcterms:modified>
</cp:coreProperties>
</file>