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29"/>
          <w:szCs w:val="29"/>
          <w:b w:val="1"/>
          <w:bCs w:val="1"/>
          <w:color w:val="auto"/>
        </w:rPr>
        <w:t>FORM 6-K</w:t>
      </w:r>
    </w:p>
    <w:p>
      <w:pPr>
        <w:spacing w:after="0" w:line="247"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SECURITIES AND EXCHANGE COMMISSION</w:t>
      </w: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Pursuant to Rule 13a-16 under</w:t>
      </w:r>
    </w:p>
    <w:p>
      <w:pPr>
        <w:jc w:val="center"/>
        <w:ind w:right="-619"/>
        <w:spacing w:after="0"/>
        <w:rPr>
          <w:sz w:val="20"/>
          <w:szCs w:val="20"/>
          <w:color w:val="auto"/>
        </w:rPr>
      </w:pPr>
      <w:r>
        <w:rPr>
          <w:rFonts w:ascii="Arial" w:cs="Arial" w:eastAsia="Arial" w:hAnsi="Arial"/>
          <w:sz w:val="22"/>
          <w:szCs w:val="22"/>
          <w:color w:val="auto"/>
        </w:rPr>
        <w:t>t</w:t>
      </w:r>
      <w:r>
        <w:rPr>
          <w:rFonts w:ascii="Arial" w:cs="Arial" w:eastAsia="Arial" w:hAnsi="Arial"/>
          <w:sz w:val="22"/>
          <w:szCs w:val="22"/>
          <w:b w:val="1"/>
          <w:bCs w:val="1"/>
          <w:color w:val="auto"/>
        </w:rPr>
        <w:t>he Securities Exchange Act of 1934</w:t>
      </w:r>
    </w:p>
    <w:p>
      <w:pPr>
        <w:spacing w:after="0" w:line="200" w:lineRule="exact"/>
        <w:rPr>
          <w:sz w:val="24"/>
          <w:szCs w:val="24"/>
          <w:color w:val="auto"/>
        </w:rPr>
      </w:pPr>
    </w:p>
    <w:p>
      <w:pPr>
        <w:spacing w:after="0" w:line="258" w:lineRule="exact"/>
        <w:rPr>
          <w:sz w:val="24"/>
          <w:szCs w:val="24"/>
          <w:color w:val="auto"/>
        </w:rPr>
      </w:pPr>
    </w:p>
    <w:p>
      <w:pPr>
        <w:ind w:left="4260"/>
        <w:spacing w:after="0"/>
        <w:rPr>
          <w:sz w:val="20"/>
          <w:szCs w:val="20"/>
          <w:color w:val="auto"/>
        </w:rPr>
      </w:pPr>
      <w:r>
        <w:rPr>
          <w:rFonts w:ascii="Arial" w:cs="Arial" w:eastAsia="Arial" w:hAnsi="Arial"/>
          <w:sz w:val="22"/>
          <w:szCs w:val="22"/>
          <w:color w:val="auto"/>
        </w:rPr>
        <w:t>For the month ended July, 2021</w:t>
      </w:r>
    </w:p>
    <w:p>
      <w:pPr>
        <w:spacing w:after="0" w:line="200" w:lineRule="exact"/>
        <w:rPr>
          <w:sz w:val="24"/>
          <w:szCs w:val="24"/>
          <w:color w:val="auto"/>
        </w:rPr>
      </w:pPr>
    </w:p>
    <w:p>
      <w:pPr>
        <w:spacing w:after="0" w:line="265" w:lineRule="exact"/>
        <w:rPr>
          <w:sz w:val="24"/>
          <w:szCs w:val="24"/>
          <w:color w:val="auto"/>
        </w:rPr>
      </w:pPr>
    </w:p>
    <w:p>
      <w:pPr>
        <w:jc w:val="center"/>
        <w:ind w:right="-619"/>
        <w:spacing w:after="0"/>
        <w:rPr>
          <w:sz w:val="20"/>
          <w:szCs w:val="20"/>
          <w:color w:val="auto"/>
        </w:rPr>
      </w:pPr>
      <w:r>
        <w:rPr>
          <w:rFonts w:ascii="Arial" w:cs="Arial" w:eastAsia="Arial" w:hAnsi="Arial"/>
          <w:sz w:val="29"/>
          <w:szCs w:val="29"/>
          <w:b w:val="1"/>
          <w:bCs w:val="1"/>
          <w:color w:val="auto"/>
        </w:rPr>
        <w:t>ICON plc</w:t>
      </w:r>
    </w:p>
    <w:p>
      <w:pPr>
        <w:spacing w:after="0" w:line="33" w:lineRule="exact"/>
        <w:rPr>
          <w:sz w:val="24"/>
          <w:szCs w:val="24"/>
          <w:color w:val="auto"/>
        </w:rPr>
      </w:pPr>
    </w:p>
    <w:p>
      <w:pPr>
        <w:ind w:left="4780"/>
        <w:spacing w:after="0"/>
        <w:rPr>
          <w:sz w:val="20"/>
          <w:szCs w:val="20"/>
          <w:color w:val="auto"/>
        </w:rPr>
      </w:pPr>
      <w:r>
        <w:rPr>
          <w:rFonts w:ascii="Arial" w:cs="Arial" w:eastAsia="Arial" w:hAnsi="Arial"/>
          <w:sz w:val="22"/>
          <w:szCs w:val="22"/>
          <w:color w:val="auto"/>
        </w:rPr>
        <w:t>(Registrant's name)</w:t>
      </w:r>
    </w:p>
    <w:p>
      <w:pPr>
        <w:spacing w:after="0" w:line="200" w:lineRule="exact"/>
        <w:rPr>
          <w:sz w:val="24"/>
          <w:szCs w:val="24"/>
          <w:color w:val="auto"/>
        </w:rPr>
      </w:pPr>
    </w:p>
    <w:p>
      <w:pPr>
        <w:spacing w:after="0" w:line="252"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(Address of principal executive offices)</w:t>
      </w:r>
    </w:p>
    <w:p>
      <w:pPr>
        <w:spacing w:after="0" w:line="200" w:lineRule="exact"/>
        <w:rPr>
          <w:sz w:val="24"/>
          <w:szCs w:val="24"/>
          <w:color w:val="auto"/>
        </w:rPr>
      </w:pPr>
    </w:p>
    <w:p>
      <w:pPr>
        <w:spacing w:after="0" w:line="258" w:lineRule="exact"/>
        <w:rPr>
          <w:sz w:val="24"/>
          <w:szCs w:val="24"/>
          <w:color w:val="auto"/>
        </w:rPr>
      </w:pPr>
    </w:p>
    <w:p>
      <w:pPr>
        <w:jc w:val="center"/>
        <w:ind w:right="-619"/>
        <w:spacing w:after="0"/>
        <w:rPr>
          <w:sz w:val="20"/>
          <w:szCs w:val="20"/>
          <w:color w:val="auto"/>
        </w:rPr>
      </w:pPr>
      <w:r>
        <w:rPr>
          <w:rFonts w:ascii="Arial" w:cs="Arial" w:eastAsia="Arial" w:hAnsi="Arial"/>
          <w:sz w:val="22"/>
          <w:szCs w:val="22"/>
          <w:color w:val="auto"/>
        </w:rPr>
        <w:t>Brendan Brennan, CFO</w:t>
      </w:r>
    </w:p>
    <w:p>
      <w:pPr>
        <w:jc w:val="center"/>
        <w:ind w:right="-6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619"/>
        <w:spacing w:after="0" w:line="230" w:lineRule="auto"/>
        <w:rPr>
          <w:sz w:val="20"/>
          <w:szCs w:val="20"/>
          <w:color w:val="auto"/>
        </w:rPr>
      </w:pPr>
      <w:r>
        <w:rPr>
          <w:rFonts w:ascii="Arial" w:cs="Arial" w:eastAsia="Arial" w:hAnsi="Arial"/>
          <w:sz w:val="22"/>
          <w:szCs w:val="22"/>
          <w:color w:val="auto"/>
        </w:rPr>
        <w:t>Brendan.Brennan@iconplc.com</w:t>
      </w:r>
    </w:p>
    <w:p>
      <w:pPr>
        <w:jc w:val="center"/>
        <w:ind w:right="-619"/>
        <w:spacing w:after="0" w:line="231" w:lineRule="auto"/>
        <w:rPr>
          <w:sz w:val="20"/>
          <w:szCs w:val="20"/>
          <w:color w:val="auto"/>
        </w:rPr>
      </w:pPr>
      <w:r>
        <w:rPr>
          <w:rFonts w:ascii="Arial" w:cs="Arial" w:eastAsia="Arial" w:hAnsi="Arial"/>
          <w:sz w:val="22"/>
          <w:szCs w:val="22"/>
          <w:color w:val="auto"/>
        </w:rPr>
        <w:t>+353-1-291-2000</w:t>
      </w:r>
    </w:p>
    <w:p>
      <w:pPr>
        <w:jc w:val="center"/>
        <w:ind w:right="-67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Form 20-F_X___</w:t>
      </w:r>
      <w:r>
        <w:rPr>
          <w:sz w:val="20"/>
          <w:szCs w:val="20"/>
          <w:color w:val="auto"/>
        </w:rPr>
        <w:tab/>
      </w:r>
      <w:r>
        <w:rPr>
          <w:rFonts w:ascii="Arial" w:cs="Arial" w:eastAsia="Arial" w:hAnsi="Arial"/>
          <w:sz w:val="16"/>
          <w:szCs w:val="16"/>
          <w:color w:val="auto"/>
        </w:rPr>
        <w:t>Form 40-F_______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101(b)(1):</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submitting the Form 6-K in paper as permitted by Regulation S-T Rule 101(b)(7):</w:t>
      </w:r>
    </w:p>
    <w:p>
      <w:pPr>
        <w:spacing w:after="0" w:line="23"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11"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500"/>
        <w:spacing w:after="0"/>
        <w:tabs>
          <w:tab w:leader="none" w:pos="6400" w:val="left"/>
        </w:tabs>
        <w:rPr>
          <w:sz w:val="20"/>
          <w:szCs w:val="20"/>
          <w:color w:val="auto"/>
        </w:rPr>
      </w:pPr>
      <w:r>
        <w:rPr>
          <w:rFonts w:ascii="Arial" w:cs="Arial" w:eastAsia="Arial" w:hAnsi="Arial"/>
          <w:sz w:val="18"/>
          <w:szCs w:val="18"/>
          <w:color w:val="auto"/>
        </w:rPr>
        <w:t>Yes______</w:t>
      </w:r>
      <w:r>
        <w:rPr>
          <w:sz w:val="20"/>
          <w:szCs w:val="20"/>
          <w:color w:val="auto"/>
        </w:rPr>
        <w:tab/>
      </w:r>
      <w:r>
        <w:rPr>
          <w:rFonts w:ascii="Arial" w:cs="Arial" w:eastAsia="Arial" w:hAnsi="Arial"/>
          <w:sz w:val="17"/>
          <w:szCs w:val="17"/>
          <w:color w:val="auto"/>
        </w:rPr>
        <w:t>No___</w:t>
      </w:r>
      <w:r>
        <w:rPr>
          <w:rFonts w:ascii="Arial" w:cs="Arial" w:eastAsia="Arial" w:hAnsi="Arial"/>
          <w:sz w:val="17"/>
          <w:szCs w:val="17"/>
          <w:b w:val="1"/>
          <w:bCs w:val="1"/>
          <w:color w:val="auto"/>
        </w:rPr>
        <w:t>X</w:t>
      </w:r>
      <w:r>
        <w:rPr>
          <w:rFonts w:ascii="Arial" w:cs="Arial" w:eastAsia="Arial" w:hAnsi="Arial"/>
          <w:sz w:val="17"/>
          <w:szCs w:val="17"/>
          <w:color w:val="auto"/>
        </w:rPr>
        <w:t>___</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If "Yes" is marked, indicate below the file number assigned to the registrant in connection with Rule 12g3-2(b):82 </w:t>
      </w: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215" w:right="959" w:bottom="1440" w:gutter="0" w:footer="0" w:header="0"/>
        </w:sectPr>
      </w:pPr>
    </w:p>
    <w:bookmarkStart w:id="1" w:name="page2"/>
    <w:bookmarkEnd w:id="1"/>
    <w:p>
      <w:pPr>
        <w:jc w:val="center"/>
        <w:ind w:right="-139"/>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EXHIBIT LIST</w:t>
      </w:r>
    </w:p>
    <w:p>
      <w:pPr>
        <w:spacing w:after="0" w:line="246" w:lineRule="exact"/>
        <w:rPr>
          <w:sz w:val="20"/>
          <w:szCs w:val="20"/>
          <w:color w:val="auto"/>
        </w:rPr>
      </w:pPr>
    </w:p>
    <w:p>
      <w:pPr>
        <w:spacing w:after="0"/>
        <w:tabs>
          <w:tab w:leader="none" w:pos="15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25" w:lineRule="exact"/>
        <w:rPr>
          <w:sz w:val="20"/>
          <w:szCs w:val="20"/>
          <w:color w:val="auto"/>
        </w:rPr>
      </w:pPr>
    </w:p>
    <w:p>
      <w:pPr>
        <w:spacing w:after="0"/>
        <w:tabs>
          <w:tab w:leader="none" w:pos="154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ICON plc Press Release issued July 21, 2021 – ICON Shareholders Vote in Favour of All Resolutions at its Annual General Meeting</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598"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b w:val="1"/>
                <w:bCs w:val="1"/>
                <w:color w:val="auto"/>
              </w:rPr>
              <w:t>ICON plc</w:t>
            </w:r>
          </w:p>
        </w:tc>
        <w:tc>
          <w:tcPr>
            <w:tcW w:w="0" w:type="dxa"/>
            <w:vAlign w:val="bottom"/>
          </w:tcPr>
          <w:p>
            <w:pPr>
              <w:spacing w:after="0"/>
              <w:rPr>
                <w:sz w:val="1"/>
                <w:szCs w:val="1"/>
                <w:color w:val="auto"/>
              </w:rPr>
            </w:pPr>
          </w:p>
        </w:tc>
      </w:tr>
      <w:tr>
        <w:trPr>
          <w:trHeight w:val="871"/>
        </w:trPr>
        <w:tc>
          <w:tcPr>
            <w:tcW w:w="6200" w:type="dxa"/>
            <w:vAlign w:val="bottom"/>
            <w:vMerge w:val="restart"/>
          </w:tcPr>
          <w:p>
            <w:pPr>
              <w:spacing w:after="0"/>
              <w:rPr>
                <w:sz w:val="20"/>
                <w:szCs w:val="20"/>
                <w:color w:val="auto"/>
              </w:rPr>
            </w:pPr>
            <w:r>
              <w:rPr>
                <w:rFonts w:ascii="Arial" w:cs="Arial" w:eastAsia="Arial" w:hAnsi="Arial"/>
                <w:sz w:val="18"/>
                <w:szCs w:val="18"/>
                <w:color w:val="auto"/>
              </w:rPr>
              <w:t>Date: July 21, 2021</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Brendan Brennan</w:t>
            </w:r>
          </w:p>
        </w:tc>
        <w:tc>
          <w:tcPr>
            <w:tcW w:w="0" w:type="dxa"/>
            <w:vAlign w:val="bottom"/>
          </w:tcPr>
          <w:p>
            <w:pPr>
              <w:spacing w:after="0"/>
              <w:rPr>
                <w:sz w:val="1"/>
                <w:szCs w:val="1"/>
                <w:color w:val="auto"/>
              </w:rPr>
            </w:pPr>
          </w:p>
        </w:tc>
      </w:tr>
      <w:tr>
        <w:trPr>
          <w:trHeight w:val="202"/>
        </w:trPr>
        <w:tc>
          <w:tcPr>
            <w:tcW w:w="6200" w:type="dxa"/>
            <w:vAlign w:val="bottom"/>
            <w:vMerge w:val="continue"/>
          </w:tcPr>
          <w:p>
            <w:pPr>
              <w:spacing w:after="0"/>
              <w:rPr>
                <w:sz w:val="17"/>
                <w:szCs w:val="17"/>
                <w:color w:val="auto"/>
              </w:rPr>
            </w:pP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Brendan Brennan</w:t>
            </w:r>
          </w:p>
        </w:tc>
        <w:tc>
          <w:tcPr>
            <w:tcW w:w="0" w:type="dxa"/>
            <w:vAlign w:val="bottom"/>
          </w:tcPr>
          <w:p>
            <w:pPr>
              <w:spacing w:after="0"/>
              <w:rPr>
                <w:sz w:val="1"/>
                <w:szCs w:val="1"/>
                <w:color w:val="auto"/>
              </w:rPr>
            </w:pPr>
          </w:p>
        </w:tc>
      </w:tr>
      <w:tr>
        <w:trPr>
          <w:trHeight w:val="230"/>
        </w:trPr>
        <w:tc>
          <w:tcPr>
            <w:tcW w:w="62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1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ICON Shareholders Vote in Favour of All Resolutions at its Annual General Meeting</w:t>
      </w:r>
    </w:p>
    <w:p>
      <w:pPr>
        <w:spacing w:after="0" w:line="221" w:lineRule="exact"/>
        <w:rPr>
          <w:sz w:val="20"/>
          <w:szCs w:val="20"/>
          <w:color w:val="auto"/>
        </w:rPr>
      </w:pPr>
    </w:p>
    <w:p>
      <w:pPr>
        <w:ind w:right="60"/>
        <w:spacing w:after="0" w:line="237" w:lineRule="auto"/>
        <w:rPr>
          <w:sz w:val="20"/>
          <w:szCs w:val="20"/>
          <w:color w:val="auto"/>
        </w:rPr>
      </w:pPr>
      <w:r>
        <w:rPr>
          <w:rFonts w:ascii="Arial" w:cs="Arial" w:eastAsia="Arial" w:hAnsi="Arial"/>
          <w:sz w:val="22"/>
          <w:szCs w:val="22"/>
          <w:color w:val="auto"/>
        </w:rPr>
        <w:t>DUBLIN,--(BUSINESS WIRE)--July 21, 2021--</w:t>
      </w:r>
      <w:r>
        <w:rPr>
          <w:rFonts w:ascii="Arial" w:cs="Arial" w:eastAsia="Arial" w:hAnsi="Arial"/>
          <w:sz w:val="22"/>
          <w:szCs w:val="22"/>
          <w:b w:val="1"/>
          <w:bCs w:val="1"/>
          <w:color w:val="auto"/>
        </w:rPr>
        <w:t>ICON plc (NASDAQ: ICLR) (“ICON”),</w:t>
      </w:r>
      <w:r>
        <w:rPr>
          <w:rFonts w:ascii="Arial" w:cs="Arial" w:eastAsia="Arial" w:hAnsi="Arial"/>
          <w:sz w:val="22"/>
          <w:szCs w:val="22"/>
          <w:color w:val="auto"/>
        </w:rPr>
        <w:t xml:space="preserve"> a world-leading healthcare intelligence and clinical research organisation, today announced that all resolutions at the Annual General Meeting of the Company (AGM) held on July 20, 2021 (which resolutions had all been recommended by the Board) were all duly passed by shareholders. These resolutions were set out in the Notice of the AGM sent to shareholders dated June 16, 2021 and are available on the ICON plc website.</w:t>
      </w:r>
    </w:p>
    <w:p>
      <w:pPr>
        <w:spacing w:after="0" w:line="188" w:lineRule="exact"/>
        <w:rPr>
          <w:sz w:val="20"/>
          <w:szCs w:val="20"/>
          <w:color w:val="auto"/>
        </w:rPr>
      </w:pPr>
    </w:p>
    <w:p>
      <w:pPr>
        <w:ind w:right="780"/>
        <w:spacing w:after="0" w:line="250" w:lineRule="auto"/>
        <w:rPr>
          <w:sz w:val="20"/>
          <w:szCs w:val="20"/>
          <w:color w:val="auto"/>
        </w:rPr>
      </w:pPr>
      <w:r>
        <w:rPr>
          <w:rFonts w:ascii="Arial" w:cs="Arial" w:eastAsia="Arial" w:hAnsi="Arial"/>
          <w:sz w:val="22"/>
          <w:szCs w:val="22"/>
          <w:color w:val="auto"/>
        </w:rPr>
        <w:t>Forms of Proxy were received by ICON plc before the meeting, appointing proxies and giving them the following voting instructions: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10" w:type="dxa"/>
        <w:tblCellMar>
          <w:top w:w="0" w:type="dxa"/>
          <w:left w:w="0" w:type="dxa"/>
          <w:bottom w:w="0" w:type="dxa"/>
          <w:right w:w="0" w:type="dxa"/>
        </w:tblCellMar>
      </w:tblPr>
      <w:tr>
        <w:trPr>
          <w:trHeight w:val="228"/>
        </w:trPr>
        <w:tc>
          <w:tcPr>
            <w:tcW w:w="13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RESOLUTION</w:t>
            </w:r>
          </w:p>
        </w:tc>
        <w:tc>
          <w:tcPr>
            <w:tcW w:w="43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RESOLUTION</w:t>
            </w:r>
          </w:p>
        </w:tc>
        <w:tc>
          <w:tcPr>
            <w:tcW w:w="1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TOTAL NUMBER</w:t>
            </w:r>
          </w:p>
        </w:tc>
        <w:tc>
          <w:tcPr>
            <w:tcW w:w="15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VOTE FOR</w:t>
            </w:r>
          </w:p>
        </w:tc>
        <w:tc>
          <w:tcPr>
            <w:tcW w:w="12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VOTE</w:t>
            </w:r>
          </w:p>
        </w:tc>
        <w:tc>
          <w:tcPr>
            <w:tcW w:w="1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VOTE</w:t>
            </w:r>
          </w:p>
        </w:tc>
        <w:tc>
          <w:tcPr>
            <w:tcW w:w="0" w:type="dxa"/>
            <w:vAlign w:val="bottom"/>
          </w:tcPr>
          <w:p>
            <w:pPr>
              <w:spacing w:after="0"/>
              <w:rPr>
                <w:sz w:val="1"/>
                <w:szCs w:val="1"/>
                <w:color w:val="auto"/>
              </w:rPr>
            </w:pPr>
          </w:p>
        </w:tc>
      </w:tr>
      <w:tr>
        <w:trPr>
          <w:trHeight w:val="126"/>
        </w:trPr>
        <w:tc>
          <w:tcPr>
            <w:tcW w:w="1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NUMBER</w:t>
            </w:r>
          </w:p>
        </w:tc>
        <w:tc>
          <w:tcPr>
            <w:tcW w:w="4320" w:type="dxa"/>
            <w:vAlign w:val="bottom"/>
            <w:tcBorders>
              <w:right w:val="single" w:sz="8" w:color="auto"/>
            </w:tcBorders>
            <w:vMerge w:val="continue"/>
          </w:tcPr>
          <w:p>
            <w:pPr>
              <w:spacing w:after="0"/>
              <w:rPr>
                <w:sz w:val="10"/>
                <w:szCs w:val="10"/>
                <w:color w:val="auto"/>
              </w:rPr>
            </w:pP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8"/>
              </w:rPr>
              <w:t>OF VOTES</w:t>
            </w:r>
          </w:p>
        </w:tc>
        <w:tc>
          <w:tcPr>
            <w:tcW w:w="156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AGAINST</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WITHHELD</w:t>
            </w:r>
          </w:p>
        </w:tc>
        <w:tc>
          <w:tcPr>
            <w:tcW w:w="0" w:type="dxa"/>
            <w:vAlign w:val="bottom"/>
          </w:tcPr>
          <w:p>
            <w:pPr>
              <w:spacing w:after="0"/>
              <w:rPr>
                <w:sz w:val="1"/>
                <w:szCs w:val="1"/>
                <w:color w:val="auto"/>
              </w:rPr>
            </w:pPr>
          </w:p>
        </w:tc>
      </w:tr>
      <w:tr>
        <w:trPr>
          <w:trHeight w:val="108"/>
        </w:trPr>
        <w:tc>
          <w:tcPr>
            <w:tcW w:w="1320" w:type="dxa"/>
            <w:vAlign w:val="bottom"/>
            <w:tcBorders>
              <w:left w:val="single" w:sz="8" w:color="auto"/>
              <w:right w:val="single" w:sz="8" w:color="auto"/>
            </w:tcBorders>
            <w:vMerge w:val="continue"/>
          </w:tcPr>
          <w:p>
            <w:pPr>
              <w:spacing w:after="0"/>
              <w:rPr>
                <w:sz w:val="9"/>
                <w:szCs w:val="9"/>
                <w:color w:val="auto"/>
              </w:rPr>
            </w:pPr>
          </w:p>
        </w:tc>
        <w:tc>
          <w:tcPr>
            <w:tcW w:w="4320" w:type="dxa"/>
            <w:vAlign w:val="bottom"/>
            <w:tcBorders>
              <w:right w:val="single" w:sz="8" w:color="auto"/>
            </w:tcBorders>
          </w:tcPr>
          <w:p>
            <w:pPr>
              <w:spacing w:after="0"/>
              <w:rPr>
                <w:sz w:val="9"/>
                <w:szCs w:val="9"/>
                <w:color w:val="auto"/>
              </w:rPr>
            </w:pPr>
          </w:p>
        </w:tc>
        <w:tc>
          <w:tcPr>
            <w:tcW w:w="1520" w:type="dxa"/>
            <w:vAlign w:val="bottom"/>
            <w:tcBorders>
              <w:right w:val="single" w:sz="8" w:color="auto"/>
            </w:tcBorders>
            <w:vMerge w:val="continue"/>
          </w:tcPr>
          <w:p>
            <w:pPr>
              <w:spacing w:after="0"/>
              <w:rPr>
                <w:sz w:val="9"/>
                <w:szCs w:val="9"/>
                <w:color w:val="auto"/>
              </w:rPr>
            </w:pPr>
          </w:p>
        </w:tc>
        <w:tc>
          <w:tcPr>
            <w:tcW w:w="1560" w:type="dxa"/>
            <w:vAlign w:val="bottom"/>
            <w:tcBorders>
              <w:right w:val="single" w:sz="8" w:color="auto"/>
            </w:tcBorders>
          </w:tcPr>
          <w:p>
            <w:pPr>
              <w:spacing w:after="0"/>
              <w:rPr>
                <w:sz w:val="9"/>
                <w:szCs w:val="9"/>
                <w:color w:val="auto"/>
              </w:rPr>
            </w:pPr>
          </w:p>
        </w:tc>
        <w:tc>
          <w:tcPr>
            <w:tcW w:w="128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1320" w:type="dxa"/>
            <w:vAlign w:val="bottom"/>
            <w:tcBorders>
              <w:left w:val="single" w:sz="8" w:color="auto"/>
              <w:bottom w:val="single" w:sz="8" w:color="auto"/>
              <w:right w:val="single" w:sz="8" w:color="auto"/>
            </w:tcBorders>
          </w:tcPr>
          <w:p>
            <w:pPr>
              <w:spacing w:after="0"/>
              <w:rPr>
                <w:sz w:val="3"/>
                <w:szCs w:val="3"/>
                <w:color w:val="auto"/>
              </w:rPr>
            </w:pPr>
          </w:p>
        </w:tc>
        <w:tc>
          <w:tcPr>
            <w:tcW w:w="4320" w:type="dxa"/>
            <w:vAlign w:val="bottom"/>
            <w:tcBorders>
              <w:bottom w:val="single" w:sz="8" w:color="auto"/>
              <w:right w:val="single" w:sz="8" w:color="auto"/>
            </w:tcBorders>
          </w:tcPr>
          <w:p>
            <w:pPr>
              <w:spacing w:after="0"/>
              <w:rPr>
                <w:sz w:val="3"/>
                <w:szCs w:val="3"/>
                <w:color w:val="auto"/>
              </w:rPr>
            </w:pPr>
          </w:p>
        </w:tc>
        <w:tc>
          <w:tcPr>
            <w:tcW w:w="1520" w:type="dxa"/>
            <w:vAlign w:val="bottom"/>
            <w:tcBorders>
              <w:bottom w:val="single" w:sz="8" w:color="auto"/>
              <w:right w:val="single" w:sz="8" w:color="auto"/>
            </w:tcBorders>
          </w:tcPr>
          <w:p>
            <w:pPr>
              <w:spacing w:after="0"/>
              <w:rPr>
                <w:sz w:val="3"/>
                <w:szCs w:val="3"/>
                <w:color w:val="auto"/>
              </w:rPr>
            </w:pPr>
          </w:p>
        </w:tc>
        <w:tc>
          <w:tcPr>
            <w:tcW w:w="1560" w:type="dxa"/>
            <w:vAlign w:val="bottom"/>
            <w:tcBorders>
              <w:bottom w:val="single" w:sz="8" w:color="auto"/>
              <w:right w:val="single" w:sz="8" w:color="auto"/>
            </w:tcBorders>
          </w:tcPr>
          <w:p>
            <w:pPr>
              <w:spacing w:after="0"/>
              <w:rPr>
                <w:sz w:val="3"/>
                <w:szCs w:val="3"/>
                <w:color w:val="auto"/>
              </w:rPr>
            </w:pPr>
          </w:p>
        </w:tc>
        <w:tc>
          <w:tcPr>
            <w:tcW w:w="1280" w:type="dxa"/>
            <w:vAlign w:val="bottom"/>
            <w:tcBorders>
              <w:bottom w:val="single" w:sz="8" w:color="auto"/>
              <w:right w:val="single" w:sz="8" w:color="auto"/>
            </w:tcBorders>
          </w:tcPr>
          <w:p>
            <w:pPr>
              <w:spacing w:after="0"/>
              <w:rPr>
                <w:sz w:val="3"/>
                <w:szCs w:val="3"/>
                <w:color w:val="auto"/>
              </w:rPr>
            </w:pPr>
          </w:p>
        </w:tc>
        <w:tc>
          <w:tcPr>
            <w:tcW w:w="12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7"/>
        </w:trPr>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1.1</w:t>
            </w:r>
          </w:p>
        </w:tc>
        <w:tc>
          <w:tcPr>
            <w:tcW w:w="432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2"/>
              </w:rPr>
              <w:t>To re-elect Mr. Ciaran Murray</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45,442,486</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43,550,051</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1,877,670</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14,765</w:t>
            </w:r>
          </w:p>
        </w:tc>
        <w:tc>
          <w:tcPr>
            <w:tcW w:w="0" w:type="dxa"/>
            <w:vAlign w:val="bottom"/>
          </w:tcPr>
          <w:p>
            <w:pPr>
              <w:spacing w:after="0"/>
              <w:rPr>
                <w:sz w:val="1"/>
                <w:szCs w:val="1"/>
                <w:color w:val="auto"/>
              </w:rPr>
            </w:pPr>
          </w:p>
        </w:tc>
      </w:tr>
      <w:tr>
        <w:trPr>
          <w:trHeight w:val="235"/>
        </w:trPr>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1.2</w:t>
            </w:r>
          </w:p>
        </w:tc>
        <w:tc>
          <w:tcPr>
            <w:tcW w:w="4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To re-elect Ms. Joan Garahy</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45,442,486</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45,384,011</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43,920</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14,555</w:t>
            </w:r>
          </w:p>
        </w:tc>
        <w:tc>
          <w:tcPr>
            <w:tcW w:w="0" w:type="dxa"/>
            <w:vAlign w:val="bottom"/>
          </w:tcPr>
          <w:p>
            <w:pPr>
              <w:spacing w:after="0"/>
              <w:rPr>
                <w:sz w:val="1"/>
                <w:szCs w:val="1"/>
                <w:color w:val="auto"/>
              </w:rPr>
            </w:pPr>
          </w:p>
        </w:tc>
      </w:tr>
      <w:tr>
        <w:trPr>
          <w:trHeight w:val="236"/>
        </w:trPr>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1.3</w:t>
            </w:r>
          </w:p>
        </w:tc>
        <w:tc>
          <w:tcPr>
            <w:tcW w:w="4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To re-elect Mr. Eugene McCague</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45,442,486</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41,502,872</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1,287,437</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2,652,177</w:t>
            </w:r>
          </w:p>
        </w:tc>
        <w:tc>
          <w:tcPr>
            <w:tcW w:w="0" w:type="dxa"/>
            <w:vAlign w:val="bottom"/>
          </w:tcPr>
          <w:p>
            <w:pPr>
              <w:spacing w:after="0"/>
              <w:rPr>
                <w:sz w:val="1"/>
                <w:szCs w:val="1"/>
                <w:color w:val="auto"/>
              </w:rPr>
            </w:pPr>
          </w:p>
        </w:tc>
      </w:tr>
      <w:tr>
        <w:trPr>
          <w:trHeight w:val="237"/>
        </w:trPr>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2.1</w:t>
            </w:r>
          </w:p>
        </w:tc>
        <w:tc>
          <w:tcPr>
            <w:tcW w:w="4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To elect Mr Colin Shannon</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45,442,486</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45,383,112</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44,270</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15,104</w:t>
            </w:r>
          </w:p>
        </w:tc>
        <w:tc>
          <w:tcPr>
            <w:tcW w:w="0" w:type="dxa"/>
            <w:vAlign w:val="bottom"/>
          </w:tcPr>
          <w:p>
            <w:pPr>
              <w:spacing w:after="0"/>
              <w:rPr>
                <w:sz w:val="1"/>
                <w:szCs w:val="1"/>
                <w:color w:val="auto"/>
              </w:rPr>
            </w:pPr>
          </w:p>
        </w:tc>
      </w:tr>
      <w:tr>
        <w:trPr>
          <w:trHeight w:val="237"/>
        </w:trPr>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2.2</w:t>
            </w:r>
          </w:p>
        </w:tc>
        <w:tc>
          <w:tcPr>
            <w:tcW w:w="4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To elect Dr. Linda Grais</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45,442,486</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40,034,813</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5,392,732</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14,941</w:t>
            </w:r>
          </w:p>
        </w:tc>
        <w:tc>
          <w:tcPr>
            <w:tcW w:w="0" w:type="dxa"/>
            <w:vAlign w:val="bottom"/>
          </w:tcPr>
          <w:p>
            <w:pPr>
              <w:spacing w:after="0"/>
              <w:rPr>
                <w:sz w:val="1"/>
                <w:szCs w:val="1"/>
                <w:color w:val="auto"/>
              </w:rPr>
            </w:pPr>
          </w:p>
        </w:tc>
      </w:tr>
      <w:tr>
        <w:trPr>
          <w:trHeight w:val="237"/>
        </w:trPr>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3</w:t>
            </w:r>
          </w:p>
        </w:tc>
        <w:tc>
          <w:tcPr>
            <w:tcW w:w="4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To receive accounts and reports</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45,442,486</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45,387,374</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2,453</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52,659</w:t>
            </w:r>
          </w:p>
        </w:tc>
        <w:tc>
          <w:tcPr>
            <w:tcW w:w="0" w:type="dxa"/>
            <w:vAlign w:val="bottom"/>
          </w:tcPr>
          <w:p>
            <w:pPr>
              <w:spacing w:after="0"/>
              <w:rPr>
                <w:sz w:val="1"/>
                <w:szCs w:val="1"/>
                <w:color w:val="auto"/>
              </w:rPr>
            </w:pPr>
          </w:p>
        </w:tc>
      </w:tr>
      <w:tr>
        <w:trPr>
          <w:trHeight w:val="236"/>
        </w:trPr>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4</w:t>
            </w:r>
          </w:p>
        </w:tc>
        <w:tc>
          <w:tcPr>
            <w:tcW w:w="4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To authorise the fixing of the auditors’ remuneration</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45,442,486</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40,668,597</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4,757,041</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16,848</w:t>
            </w:r>
          </w:p>
        </w:tc>
        <w:tc>
          <w:tcPr>
            <w:tcW w:w="0" w:type="dxa"/>
            <w:vAlign w:val="bottom"/>
          </w:tcPr>
          <w:p>
            <w:pPr>
              <w:spacing w:after="0"/>
              <w:rPr>
                <w:sz w:val="1"/>
                <w:szCs w:val="1"/>
                <w:color w:val="auto"/>
              </w:rPr>
            </w:pPr>
          </w:p>
        </w:tc>
      </w:tr>
      <w:tr>
        <w:trPr>
          <w:trHeight w:val="237"/>
        </w:trPr>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79"/>
              </w:rPr>
              <w:t>5</w:t>
            </w:r>
          </w:p>
        </w:tc>
        <w:tc>
          <w:tcPr>
            <w:tcW w:w="4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To authorise the Company to allot shares</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45,442,486</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44,650,315</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774,763</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17,408</w:t>
            </w:r>
          </w:p>
        </w:tc>
        <w:tc>
          <w:tcPr>
            <w:tcW w:w="0" w:type="dxa"/>
            <w:vAlign w:val="bottom"/>
          </w:tcPr>
          <w:p>
            <w:pPr>
              <w:spacing w:after="0"/>
              <w:rPr>
                <w:sz w:val="1"/>
                <w:szCs w:val="1"/>
                <w:color w:val="auto"/>
              </w:rPr>
            </w:pPr>
          </w:p>
        </w:tc>
      </w:tr>
      <w:tr>
        <w:trPr>
          <w:trHeight w:val="236"/>
        </w:trPr>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6**</w:t>
            </w:r>
          </w:p>
        </w:tc>
        <w:tc>
          <w:tcPr>
            <w:tcW w:w="4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To disapply pre-emption rights</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45,442,486</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45,315,550</w:t>
            </w:r>
          </w:p>
        </w:tc>
        <w:tc>
          <w:tcPr>
            <w:tcW w:w="1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103,174</w:t>
            </w:r>
          </w:p>
        </w:tc>
        <w:tc>
          <w:tcPr>
            <w:tcW w:w="1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23,762</w:t>
            </w:r>
          </w:p>
        </w:tc>
        <w:tc>
          <w:tcPr>
            <w:tcW w:w="0" w:type="dxa"/>
            <w:vAlign w:val="bottom"/>
          </w:tcPr>
          <w:p>
            <w:pPr>
              <w:spacing w:after="0"/>
              <w:rPr>
                <w:sz w:val="1"/>
                <w:szCs w:val="1"/>
                <w:color w:val="auto"/>
              </w:rPr>
            </w:pPr>
          </w:p>
        </w:tc>
      </w:tr>
      <w:tr>
        <w:trPr>
          <w:trHeight w:val="213"/>
        </w:trPr>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7**</w:t>
            </w:r>
          </w:p>
        </w:tc>
        <w:tc>
          <w:tcPr>
            <w:tcW w:w="4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To disapply pre-emption rights for funding capital</w:t>
            </w:r>
          </w:p>
        </w:tc>
        <w:tc>
          <w:tcPr>
            <w:tcW w:w="15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320" w:type="dxa"/>
            <w:vAlign w:val="bottom"/>
            <w:tcBorders>
              <w:right w:val="single" w:sz="8" w:color="auto"/>
            </w:tcBorders>
            <w:vMerge w:val="continue"/>
          </w:tcPr>
          <w:p>
            <w:pPr>
              <w:spacing w:after="0"/>
              <w:rPr>
                <w:sz w:val="10"/>
                <w:szCs w:val="10"/>
                <w:color w:val="auto"/>
              </w:rPr>
            </w:pPr>
          </w:p>
        </w:tc>
        <w:tc>
          <w:tcPr>
            <w:tcW w:w="4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investment or acquisitions</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45,442,486</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45,299,002</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119,991</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23,493</w:t>
            </w:r>
          </w:p>
        </w:tc>
        <w:tc>
          <w:tcPr>
            <w:tcW w:w="0" w:type="dxa"/>
            <w:vAlign w:val="bottom"/>
          </w:tcPr>
          <w:p>
            <w:pPr>
              <w:spacing w:after="0"/>
              <w:rPr>
                <w:sz w:val="1"/>
                <w:szCs w:val="1"/>
                <w:color w:val="auto"/>
              </w:rPr>
            </w:pPr>
          </w:p>
        </w:tc>
      </w:tr>
      <w:tr>
        <w:trPr>
          <w:trHeight w:val="115"/>
        </w:trPr>
        <w:tc>
          <w:tcPr>
            <w:tcW w:w="1320" w:type="dxa"/>
            <w:vAlign w:val="bottom"/>
            <w:tcBorders>
              <w:bottom w:val="single" w:sz="8" w:color="auto"/>
              <w:right w:val="single" w:sz="8" w:color="auto"/>
            </w:tcBorders>
          </w:tcPr>
          <w:p>
            <w:pPr>
              <w:spacing w:after="0"/>
              <w:rPr>
                <w:sz w:val="10"/>
                <w:szCs w:val="10"/>
                <w:color w:val="auto"/>
              </w:rPr>
            </w:pPr>
          </w:p>
        </w:tc>
        <w:tc>
          <w:tcPr>
            <w:tcW w:w="4320" w:type="dxa"/>
            <w:vAlign w:val="bottom"/>
            <w:tcBorders>
              <w:bottom w:val="single" w:sz="8" w:color="auto"/>
              <w:right w:val="single" w:sz="8" w:color="auto"/>
            </w:tcBorders>
            <w:vMerge w:val="continue"/>
          </w:tcPr>
          <w:p>
            <w:pPr>
              <w:spacing w:after="0"/>
              <w:rPr>
                <w:sz w:val="10"/>
                <w:szCs w:val="10"/>
                <w:color w:val="auto"/>
              </w:rPr>
            </w:pPr>
          </w:p>
        </w:tc>
        <w:tc>
          <w:tcPr>
            <w:tcW w:w="1520" w:type="dxa"/>
            <w:vAlign w:val="bottom"/>
            <w:tcBorders>
              <w:bottom w:val="single" w:sz="8" w:color="auto"/>
              <w:right w:val="single" w:sz="8" w:color="auto"/>
            </w:tcBorders>
            <w:vMerge w:val="continue"/>
          </w:tcPr>
          <w:p>
            <w:pPr>
              <w:spacing w:after="0"/>
              <w:rPr>
                <w:sz w:val="10"/>
                <w:szCs w:val="10"/>
                <w:color w:val="auto"/>
              </w:rPr>
            </w:pPr>
          </w:p>
        </w:tc>
        <w:tc>
          <w:tcPr>
            <w:tcW w:w="1560" w:type="dxa"/>
            <w:vAlign w:val="bottom"/>
            <w:tcBorders>
              <w:bottom w:val="single" w:sz="8" w:color="auto"/>
              <w:right w:val="single" w:sz="8" w:color="auto"/>
            </w:tcBorders>
            <w:vMerge w:val="continue"/>
          </w:tcPr>
          <w:p>
            <w:pPr>
              <w:spacing w:after="0"/>
              <w:rPr>
                <w:sz w:val="10"/>
                <w:szCs w:val="10"/>
                <w:color w:val="auto"/>
              </w:rPr>
            </w:pPr>
          </w:p>
        </w:tc>
        <w:tc>
          <w:tcPr>
            <w:tcW w:w="1280" w:type="dxa"/>
            <w:vAlign w:val="bottom"/>
            <w:tcBorders>
              <w:bottom w:val="single" w:sz="8" w:color="auto"/>
              <w:right w:val="single" w:sz="8" w:color="auto"/>
            </w:tcBorders>
            <w:vMerge w:val="continue"/>
          </w:tcPr>
          <w:p>
            <w:pPr>
              <w:spacing w:after="0"/>
              <w:rPr>
                <w:sz w:val="10"/>
                <w:szCs w:val="10"/>
                <w:color w:val="auto"/>
              </w:rPr>
            </w:pPr>
          </w:p>
        </w:tc>
        <w:tc>
          <w:tcPr>
            <w:tcW w:w="12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8**</w:t>
            </w:r>
          </w:p>
        </w:tc>
        <w:tc>
          <w:tcPr>
            <w:tcW w:w="4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To authorise the Company to make market purchases of</w:t>
            </w:r>
          </w:p>
        </w:tc>
        <w:tc>
          <w:tcPr>
            <w:tcW w:w="152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1320" w:type="dxa"/>
            <w:vAlign w:val="bottom"/>
            <w:tcBorders>
              <w:right w:val="single" w:sz="8" w:color="auto"/>
            </w:tcBorders>
            <w:vMerge w:val="continue"/>
          </w:tcPr>
          <w:p>
            <w:pPr>
              <w:spacing w:after="0"/>
              <w:rPr>
                <w:sz w:val="10"/>
                <w:szCs w:val="10"/>
                <w:color w:val="auto"/>
              </w:rPr>
            </w:pPr>
          </w:p>
        </w:tc>
        <w:tc>
          <w:tcPr>
            <w:tcW w:w="4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1"/>
              </w:rPr>
              <w:t>shares</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45,442,486</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45,235,016</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142,259</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65,211</w:t>
            </w:r>
          </w:p>
        </w:tc>
        <w:tc>
          <w:tcPr>
            <w:tcW w:w="0" w:type="dxa"/>
            <w:vAlign w:val="bottom"/>
          </w:tcPr>
          <w:p>
            <w:pPr>
              <w:spacing w:after="0"/>
              <w:rPr>
                <w:sz w:val="1"/>
                <w:szCs w:val="1"/>
                <w:color w:val="auto"/>
              </w:rPr>
            </w:pPr>
          </w:p>
        </w:tc>
      </w:tr>
      <w:tr>
        <w:trPr>
          <w:trHeight w:val="115"/>
        </w:trPr>
        <w:tc>
          <w:tcPr>
            <w:tcW w:w="1320" w:type="dxa"/>
            <w:vAlign w:val="bottom"/>
            <w:tcBorders>
              <w:bottom w:val="single" w:sz="8" w:color="auto"/>
              <w:right w:val="single" w:sz="8" w:color="auto"/>
            </w:tcBorders>
          </w:tcPr>
          <w:p>
            <w:pPr>
              <w:spacing w:after="0"/>
              <w:rPr>
                <w:sz w:val="10"/>
                <w:szCs w:val="10"/>
                <w:color w:val="auto"/>
              </w:rPr>
            </w:pPr>
          </w:p>
        </w:tc>
        <w:tc>
          <w:tcPr>
            <w:tcW w:w="4320" w:type="dxa"/>
            <w:vAlign w:val="bottom"/>
            <w:tcBorders>
              <w:bottom w:val="single" w:sz="8" w:color="auto"/>
              <w:right w:val="single" w:sz="8" w:color="auto"/>
            </w:tcBorders>
            <w:vMerge w:val="continue"/>
          </w:tcPr>
          <w:p>
            <w:pPr>
              <w:spacing w:after="0"/>
              <w:rPr>
                <w:sz w:val="10"/>
                <w:szCs w:val="10"/>
                <w:color w:val="auto"/>
              </w:rPr>
            </w:pPr>
          </w:p>
        </w:tc>
        <w:tc>
          <w:tcPr>
            <w:tcW w:w="1520" w:type="dxa"/>
            <w:vAlign w:val="bottom"/>
            <w:tcBorders>
              <w:bottom w:val="single" w:sz="8" w:color="auto"/>
              <w:right w:val="single" w:sz="8" w:color="auto"/>
            </w:tcBorders>
            <w:vMerge w:val="continue"/>
          </w:tcPr>
          <w:p>
            <w:pPr>
              <w:spacing w:after="0"/>
              <w:rPr>
                <w:sz w:val="10"/>
                <w:szCs w:val="10"/>
                <w:color w:val="auto"/>
              </w:rPr>
            </w:pPr>
          </w:p>
        </w:tc>
        <w:tc>
          <w:tcPr>
            <w:tcW w:w="1560" w:type="dxa"/>
            <w:vAlign w:val="bottom"/>
            <w:tcBorders>
              <w:bottom w:val="single" w:sz="8" w:color="auto"/>
              <w:right w:val="single" w:sz="8" w:color="auto"/>
            </w:tcBorders>
            <w:vMerge w:val="continue"/>
          </w:tcPr>
          <w:p>
            <w:pPr>
              <w:spacing w:after="0"/>
              <w:rPr>
                <w:sz w:val="10"/>
                <w:szCs w:val="10"/>
                <w:color w:val="auto"/>
              </w:rPr>
            </w:pPr>
          </w:p>
        </w:tc>
        <w:tc>
          <w:tcPr>
            <w:tcW w:w="1280" w:type="dxa"/>
            <w:vAlign w:val="bottom"/>
            <w:tcBorders>
              <w:bottom w:val="single" w:sz="8" w:color="auto"/>
              <w:right w:val="single" w:sz="8" w:color="auto"/>
            </w:tcBorders>
            <w:vMerge w:val="continue"/>
          </w:tcPr>
          <w:p>
            <w:pPr>
              <w:spacing w:after="0"/>
              <w:rPr>
                <w:sz w:val="10"/>
                <w:szCs w:val="10"/>
                <w:color w:val="auto"/>
              </w:rPr>
            </w:pPr>
          </w:p>
        </w:tc>
        <w:tc>
          <w:tcPr>
            <w:tcW w:w="124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9**</w:t>
            </w:r>
          </w:p>
        </w:tc>
        <w:tc>
          <w:tcPr>
            <w:tcW w:w="43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To authorise the price range at which the Company can</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45,442,486</w:t>
            </w: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45,172,229</w:t>
            </w:r>
          </w:p>
        </w:tc>
        <w:tc>
          <w:tcPr>
            <w:tcW w:w="1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117,834</w:t>
            </w:r>
          </w:p>
        </w:tc>
        <w:tc>
          <w:tcPr>
            <w:tcW w:w="12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9"/>
              </w:rPr>
              <w:t>152,423</w:t>
            </w:r>
          </w:p>
        </w:tc>
        <w:tc>
          <w:tcPr>
            <w:tcW w:w="0" w:type="dxa"/>
            <w:vAlign w:val="bottom"/>
          </w:tcPr>
          <w:p>
            <w:pPr>
              <w:spacing w:after="0"/>
              <w:rPr>
                <w:sz w:val="1"/>
                <w:szCs w:val="1"/>
                <w:color w:val="auto"/>
              </w:rPr>
            </w:pPr>
          </w:p>
        </w:tc>
      </w:tr>
      <w:tr>
        <w:trPr>
          <w:trHeight w:val="122"/>
        </w:trPr>
        <w:tc>
          <w:tcPr>
            <w:tcW w:w="1320" w:type="dxa"/>
            <w:vAlign w:val="bottom"/>
            <w:tcBorders>
              <w:right w:val="single" w:sz="8" w:color="auto"/>
            </w:tcBorders>
            <w:vMerge w:val="continue"/>
          </w:tcPr>
          <w:p>
            <w:pPr>
              <w:spacing w:after="0"/>
              <w:rPr>
                <w:sz w:val="10"/>
                <w:szCs w:val="10"/>
                <w:color w:val="auto"/>
              </w:rPr>
            </w:pPr>
          </w:p>
        </w:tc>
        <w:tc>
          <w:tcPr>
            <w:tcW w:w="4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6"/>
              </w:rPr>
              <w:t>reissue shares it holds as treasury shares</w:t>
            </w:r>
          </w:p>
        </w:tc>
        <w:tc>
          <w:tcPr>
            <w:tcW w:w="152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280" w:type="dxa"/>
            <w:vAlign w:val="bottom"/>
            <w:tcBorders>
              <w:right w:val="single" w:sz="8" w:color="auto"/>
            </w:tcBorders>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1320" w:type="dxa"/>
            <w:vAlign w:val="bottom"/>
            <w:tcBorders>
              <w:bottom w:val="single" w:sz="8" w:color="auto"/>
              <w:right w:val="single" w:sz="8" w:color="auto"/>
            </w:tcBorders>
          </w:tcPr>
          <w:p>
            <w:pPr>
              <w:spacing w:after="0"/>
              <w:rPr>
                <w:sz w:val="10"/>
                <w:szCs w:val="10"/>
                <w:color w:val="auto"/>
              </w:rPr>
            </w:pPr>
          </w:p>
        </w:tc>
        <w:tc>
          <w:tcPr>
            <w:tcW w:w="4320" w:type="dxa"/>
            <w:vAlign w:val="bottom"/>
            <w:tcBorders>
              <w:bottom w:val="single" w:sz="8" w:color="auto"/>
              <w:right w:val="single" w:sz="8" w:color="auto"/>
            </w:tcBorders>
            <w:vMerge w:val="continue"/>
          </w:tcPr>
          <w:p>
            <w:pPr>
              <w:spacing w:after="0"/>
              <w:rPr>
                <w:sz w:val="10"/>
                <w:szCs w:val="10"/>
                <w:color w:val="auto"/>
              </w:rPr>
            </w:pPr>
          </w:p>
        </w:tc>
        <w:tc>
          <w:tcPr>
            <w:tcW w:w="152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280" w:type="dxa"/>
            <w:vAlign w:val="bottom"/>
            <w:tcBorders>
              <w:bottom w:val="single" w:sz="8" w:color="auto"/>
              <w:right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 Special Resolution. All resolutions are ordinary resolutions unless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spacing w:after="0" w:line="271" w:lineRule="auto"/>
        <w:rPr>
          <w:sz w:val="20"/>
          <w:szCs w:val="20"/>
          <w:color w:val="auto"/>
        </w:rPr>
      </w:pPr>
      <w:r>
        <w:rPr>
          <w:rFonts w:ascii="Arial" w:cs="Arial" w:eastAsia="Arial" w:hAnsi="Arial"/>
          <w:sz w:val="19"/>
          <w:szCs w:val="19"/>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http://www.sec.gov.</w:t>
      </w:r>
    </w:p>
    <w:p>
      <w:pPr>
        <w:spacing w:after="0" w:line="200" w:lineRule="exact"/>
        <w:rPr>
          <w:sz w:val="20"/>
          <w:szCs w:val="20"/>
          <w:color w:val="auto"/>
        </w:rPr>
      </w:pPr>
    </w:p>
    <w:p>
      <w:pPr>
        <w:spacing w:after="0" w:line="207" w:lineRule="exact"/>
        <w:rPr>
          <w:sz w:val="20"/>
          <w:szCs w:val="20"/>
          <w:color w:val="auto"/>
        </w:rPr>
      </w:pPr>
    </w:p>
    <w:p>
      <w:pPr>
        <w:ind w:right="120"/>
        <w:spacing w:after="0" w:line="282" w:lineRule="auto"/>
        <w:rPr>
          <w:sz w:val="20"/>
          <w:szCs w:val="20"/>
          <w:color w:val="auto"/>
        </w:rPr>
      </w:pPr>
      <w:r>
        <w:rPr>
          <w:rFonts w:ascii="Arial" w:cs="Arial" w:eastAsia="Arial" w:hAnsi="Arial"/>
          <w:sz w:val="19"/>
          <w:szCs w:val="19"/>
          <w:color w:val="auto"/>
        </w:rPr>
        <w:t>ICON plc is a world-leading healthcare intelligence and clinical research organisation. From molecule to medicine, we advance clinical research providing outsourced services to pharmaceutical, biotechnology, medical device and government and public health organisations. We develop new innovations, drive emerging therapies forward and improve patient lives. With headquarters in Dublin, Ireland, ICON employed approximately 16,480 employees in 89 locations in 45 countries as at June 30, 2021. For further information about ICON, visit: www.iconplc.com and www.iconplc.com/pra.</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Source: ICON plc</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ICON/ICLR-F</w:t>
      </w:r>
    </w:p>
    <w:p>
      <w:pPr>
        <w:spacing w:after="0" w:line="21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Investor Relations</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1 888 381 7923</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Brendan Brennan</w:t>
      </w:r>
    </w:p>
    <w:p>
      <w:pPr>
        <w:spacing w:after="0" w:line="238" w:lineRule="auto"/>
        <w:rPr>
          <w:sz w:val="20"/>
          <w:szCs w:val="20"/>
          <w:color w:val="auto"/>
        </w:rPr>
      </w:pPr>
      <w:r>
        <w:rPr>
          <w:rFonts w:ascii="Arial" w:cs="Arial" w:eastAsia="Arial" w:hAnsi="Arial"/>
          <w:sz w:val="22"/>
          <w:szCs w:val="22"/>
          <w:color w:val="auto"/>
        </w:rPr>
        <w:t>Chief Financial Officer</w:t>
      </w:r>
    </w:p>
    <w:p>
      <w:pPr>
        <w:spacing w:after="0"/>
        <w:rPr>
          <w:sz w:val="20"/>
          <w:szCs w:val="20"/>
          <w:color w:val="auto"/>
        </w:rPr>
      </w:pPr>
      <w:r>
        <w:rPr>
          <w:rFonts w:ascii="Arial" w:cs="Arial" w:eastAsia="Arial" w:hAnsi="Arial"/>
          <w:sz w:val="22"/>
          <w:szCs w:val="22"/>
          <w:color w:val="auto"/>
        </w:rPr>
        <w:t>+ 353 1 291 2000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Jonathan Curtain</w:t>
      </w:r>
    </w:p>
    <w:p>
      <w:pPr>
        <w:spacing w:after="0" w:line="238" w:lineRule="auto"/>
        <w:rPr>
          <w:sz w:val="20"/>
          <w:szCs w:val="20"/>
          <w:color w:val="auto"/>
        </w:rPr>
      </w:pPr>
      <w:r>
        <w:rPr>
          <w:rFonts w:ascii="Arial" w:cs="Arial" w:eastAsia="Arial" w:hAnsi="Arial"/>
          <w:sz w:val="22"/>
          <w:szCs w:val="22"/>
          <w:color w:val="auto"/>
        </w:rPr>
        <w:t>Vice President Corporate Finance and Investor Relations</w:t>
      </w:r>
    </w:p>
    <w:p>
      <w:pPr>
        <w:ind w:right="9640" w:firstLine="8"/>
        <w:spacing w:after="0" w:line="545" w:lineRule="auto"/>
        <w:tabs>
          <w:tab w:leader="none" w:pos="176" w:val="left"/>
        </w:tabs>
        <w:numPr>
          <w:ilvl w:val="0"/>
          <w:numId w:val="1"/>
        </w:numPr>
        <w:rPr>
          <w:rFonts w:ascii="Arial" w:cs="Arial" w:eastAsia="Arial" w:hAnsi="Arial"/>
          <w:sz w:val="19"/>
          <w:szCs w:val="19"/>
          <w:color w:val="auto"/>
        </w:rPr>
      </w:pPr>
      <w:r>
        <w:rPr>
          <w:rFonts w:ascii="Arial" w:cs="Arial" w:eastAsia="Arial" w:hAnsi="Arial"/>
          <w:sz w:val="19"/>
          <w:szCs w:val="19"/>
          <w:color w:val="auto"/>
        </w:rPr>
        <w:t>353 1 291 2000 All at ICON.</w:t>
      </w:r>
    </w:p>
    <w:sectPr>
      <w:pgSz w:w="11900" w:h="16838" w:orient="portrait"/>
      <w:cols w:equalWidth="0" w:num="1">
        <w:col w:w="11180"/>
      </w:cols>
      <w:pgMar w:left="320" w:top="334"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2021-07-21T05:18:08Z</dcterms:created>
  <dcterms:modified xsi:type="dcterms:W3CDTF">2021-07-21T05:18:08Z</dcterms:modified>
</cp:coreProperties>
</file>