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80"/>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Pursuant to Rule 13a-16 under</w:t>
      </w:r>
    </w:p>
    <w:p>
      <w:pPr>
        <w:jc w:val="center"/>
        <w:ind w:right="-1100"/>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For the month of July 2023</w:t>
      </w:r>
    </w:p>
    <w:p>
      <w:pPr>
        <w:spacing w:after="0" w:line="22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60"/>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ind w:left="490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July 26, 2023 - ICON Reports Second Quarter 2023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500" w:type="dxa"/>
            <w:vAlign w:val="bottom"/>
            <w:vMerge w:val="restart"/>
          </w:tcPr>
          <w:p>
            <w:pPr>
              <w:spacing w:after="0"/>
              <w:rPr>
                <w:sz w:val="20"/>
                <w:szCs w:val="20"/>
                <w:color w:val="auto"/>
              </w:rPr>
            </w:pPr>
            <w:r>
              <w:rPr>
                <w:rFonts w:ascii="Arial" w:cs="Arial" w:eastAsia="Arial" w:hAnsi="Arial"/>
                <w:sz w:val="18"/>
                <w:szCs w:val="18"/>
                <w:color w:val="auto"/>
              </w:rPr>
              <w:t>Date: July 26, 2023</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500" w:type="dxa"/>
            <w:vAlign w:val="bottom"/>
            <w:vMerge w:val="continue"/>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Second Quarter 2023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Net business wins in the quarter of $2,419 million; a net book to bill of 1.20 or 1.21 on a trailing twelve month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-73660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540" w:right="440"/>
        <w:spacing w:after="0" w:line="256" w:lineRule="auto"/>
        <w:rPr>
          <w:sz w:val="20"/>
          <w:szCs w:val="20"/>
          <w:color w:val="auto"/>
        </w:rPr>
      </w:pPr>
      <w:r>
        <w:rPr>
          <w:rFonts w:ascii="Arial" w:cs="Arial" w:eastAsia="Arial" w:hAnsi="Arial"/>
          <w:sz w:val="22"/>
          <w:szCs w:val="22"/>
          <w:b w:val="1"/>
          <w:bCs w:val="1"/>
          <w:color w:val="auto"/>
        </w:rPr>
        <w:t>Closing backlog of $21.7 billion, an increase of 2.2% on quarter one 2023 or an increase of 8.5% on quarter two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140"/>
        <w:spacing w:after="0" w:line="243" w:lineRule="auto"/>
        <w:rPr>
          <w:sz w:val="20"/>
          <w:szCs w:val="20"/>
          <w:color w:val="auto"/>
        </w:rPr>
      </w:pPr>
      <w:r>
        <w:rPr>
          <w:rFonts w:ascii="Arial" w:cs="Arial" w:eastAsia="Arial" w:hAnsi="Arial"/>
          <w:sz w:val="22"/>
          <w:szCs w:val="22"/>
          <w:b w:val="1"/>
          <w:bCs w:val="1"/>
          <w:color w:val="auto"/>
        </w:rPr>
        <w:t>Quarter two revenue of $2,020.3 million representing an increase of 4.4% on prior year revenue and 4.3% on a constant currency organic basis. YTD revenue of $3,998.8 million representing a year on year increase of 4.2% and 4.7%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Quarter two adjusted EBITDA of $414.2 million or 20.5% of revenue, an increase of 16.9% on quarter two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-73660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9"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YTD adjusted EBITDA of $813.4 million or 20.3% of revenue, representing a year on year increase of 17.0%.</w:t>
      </w:r>
    </w:p>
    <w:p>
      <w:pPr>
        <w:spacing w:after="0" w:line="194" w:lineRule="exact"/>
        <w:rPr>
          <w:sz w:val="20"/>
          <w:szCs w:val="20"/>
          <w:color w:val="auto"/>
        </w:rPr>
      </w:pPr>
    </w:p>
    <w:p>
      <w:pPr>
        <w:ind w:left="540"/>
        <w:spacing w:after="0" w:line="280" w:lineRule="auto"/>
        <w:rPr>
          <w:sz w:val="20"/>
          <w:szCs w:val="20"/>
          <w:color w:val="auto"/>
        </w:rPr>
      </w:pPr>
      <w:r>
        <w:rPr>
          <w:rFonts w:ascii="Arial" w:cs="Arial" w:eastAsia="Arial" w:hAnsi="Arial"/>
          <w:sz w:val="21"/>
          <w:szCs w:val="21"/>
          <w:b w:val="1"/>
          <w:bCs w:val="1"/>
          <w:color w:val="auto"/>
        </w:rPr>
        <w:t>GAAP net income attributable to the Group for the quarter of $115.6 million or $1.40 per diluted share. YTD GAAP net income of $232.3 million or $2.81 per diluted share, an increase of 1.8% on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-292735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right="140"/>
        <w:spacing w:after="0" w:line="260" w:lineRule="auto"/>
        <w:rPr>
          <w:sz w:val="20"/>
          <w:szCs w:val="20"/>
          <w:color w:val="auto"/>
        </w:rPr>
      </w:pPr>
      <w:r>
        <w:rPr>
          <w:rFonts w:ascii="Arial" w:cs="Arial" w:eastAsia="Arial" w:hAnsi="Arial"/>
          <w:sz w:val="21"/>
          <w:szCs w:val="21"/>
          <w:b w:val="1"/>
          <w:bCs w:val="1"/>
          <w:color w:val="auto"/>
        </w:rPr>
        <w:t>Quarter two adjusted net income attributable to the Group was $256.9 million or $3.11 per diluted share, an increase of 8.7% on quarter two 2022 adjusted earnings per share. Year to date adjusted net income attributable to the Group of $496.7 million or $6.01 per diluted share, an increase of 6.9%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Days sales outstanding reduced to 52 days from 54 days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540"/>
        <w:spacing w:after="0" w:line="256" w:lineRule="auto"/>
        <w:rPr>
          <w:sz w:val="20"/>
          <w:szCs w:val="20"/>
          <w:color w:val="auto"/>
        </w:rPr>
      </w:pPr>
      <w:r>
        <w:rPr>
          <w:rFonts w:ascii="Arial" w:cs="Arial" w:eastAsia="Arial" w:hAnsi="Arial"/>
          <w:sz w:val="22"/>
          <w:szCs w:val="22"/>
          <w:b w:val="1"/>
          <w:bCs w:val="1"/>
          <w:color w:val="auto"/>
        </w:rPr>
        <w:t>$150 million repayment made on Term Loan B debt. Net debt balance of $4.0 billion with Net Debt to adjusted EBITDA ratio of 2.5x.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200"/>
        <w:spacing w:after="0" w:line="256" w:lineRule="auto"/>
        <w:rPr>
          <w:sz w:val="20"/>
          <w:szCs w:val="20"/>
          <w:color w:val="auto"/>
        </w:rPr>
      </w:pPr>
      <w:r>
        <w:rPr>
          <w:rFonts w:ascii="Arial" w:cs="Arial" w:eastAsia="Arial" w:hAnsi="Arial"/>
          <w:sz w:val="22"/>
          <w:szCs w:val="22"/>
          <w:b w:val="1"/>
          <w:bCs w:val="1"/>
          <w:color w:val="auto"/>
        </w:rPr>
        <w:t>Quarter two effective tax rate of 15.2%. Updated estimate for full year 2023 effective tax rate of 15.5%, a decrease from prior estimated effective tax rate of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300"/>
        <w:spacing w:after="0" w:line="283" w:lineRule="auto"/>
        <w:rPr>
          <w:sz w:val="20"/>
          <w:szCs w:val="20"/>
          <w:color w:val="auto"/>
        </w:rPr>
      </w:pPr>
      <w:r>
        <w:rPr>
          <w:rFonts w:ascii="Arial" w:cs="Arial" w:eastAsia="Arial" w:hAnsi="Arial"/>
          <w:sz w:val="19"/>
          <w:szCs w:val="19"/>
          <w:b w:val="1"/>
          <w:bCs w:val="1"/>
          <w:color w:val="auto"/>
        </w:rPr>
        <w:t>Updated full-year 2023 financial guidance for revenue by narrowing the revenue range to $8,070 - $8,210 million, representing a year over year increase of 4.3 to 6.1%, and adjusted earnings per share* in the range of $12.63 - $12.91, representing a year over year increase of 7.5 to 9.9%. This is an increase of $.04 at the midpoint from our previous adjusted earnings per share guidance range. Adjusted earnings per share to exclude amortization, stock compensation, foreign exchange and transaction-related / integrated-related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-752475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9" w:lineRule="exact"/>
        <w:rPr>
          <w:sz w:val="20"/>
          <w:szCs w:val="20"/>
          <w:color w:val="auto"/>
        </w:rPr>
      </w:pPr>
    </w:p>
    <w:p>
      <w:pPr>
        <w:ind w:right="660"/>
        <w:spacing w:after="0" w:line="274" w:lineRule="auto"/>
        <w:rPr>
          <w:sz w:val="20"/>
          <w:szCs w:val="20"/>
          <w:color w:val="auto"/>
        </w:rPr>
      </w:pPr>
      <w:r>
        <w:rPr>
          <w:rFonts w:ascii="Arial" w:cs="Arial" w:eastAsia="Arial" w:hAnsi="Arial"/>
          <w:sz w:val="21"/>
          <w:szCs w:val="21"/>
          <w:color w:val="auto"/>
        </w:rPr>
        <w:t>DUBLIN--(BUSINESS WIRE)--July 26, 2023--ICON plc (NASDAQ: ICLR), a world-leading healthcare intelligence and clinical research organization, today reported its financial results for the second quarter ended June 30, 2023.</w:t>
      </w:r>
    </w:p>
    <w:p>
      <w:pPr>
        <w:spacing w:after="0" w:line="151"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 xml:space="preserve">CEO, Dr. Steve Cutler commented, </w:t>
      </w:r>
      <w:r>
        <w:rPr>
          <w:rFonts w:ascii="Arial" w:cs="Arial" w:eastAsia="Arial" w:hAnsi="Arial"/>
          <w:sz w:val="22"/>
          <w:szCs w:val="22"/>
          <w:i w:val="1"/>
          <w:iCs w:val="1"/>
          <w:color w:val="auto"/>
        </w:rPr>
        <w:t>“ICON delivered positive results in the second quarter, with revenue growth of 4.4% year</w:t>
      </w:r>
      <w:r>
        <w:rPr>
          <w:rFonts w:ascii="Arial" w:cs="Arial" w:eastAsia="Arial" w:hAnsi="Arial"/>
          <w:sz w:val="22"/>
          <w:szCs w:val="22"/>
          <w:color w:val="auto"/>
        </w:rPr>
        <w:t xml:space="preserve"> </w:t>
      </w:r>
      <w:r>
        <w:rPr>
          <w:rFonts w:ascii="Arial" w:cs="Arial" w:eastAsia="Arial" w:hAnsi="Arial"/>
          <w:sz w:val="22"/>
          <w:szCs w:val="22"/>
          <w:i w:val="1"/>
          <w:iCs w:val="1"/>
          <w:color w:val="auto"/>
        </w:rPr>
        <w:t>over year and excellent adjusted EBITDA performance resulting in 17% year over year growth. We are encouraged by the positive customer demand trends across our business and have confidence in our long-term growth trajectory. We now expect revenue in the range of $8,070 - $8,210 million for the full-year 2023, representing growth of 4.3 to 6.1% on a year over year basis. Given our strong margin performance, as well as a more favorable tax position, we are revising our adjusted earnings per share* range to $12.63 - $12.91, reflecting a year over year increase of 7.5 to 9.9%, an increase of $.04 at the midpoint from our previous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Second Quarter 2023 Results</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Gross business wins in the second quarter were $2,860 million and cancellations were $441 million. This resulted in net business wins of $2,419 million and a book to bill of 1.20.</w:t>
      </w:r>
    </w:p>
    <w:p>
      <w:pPr>
        <w:spacing w:after="0" w:line="175"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Revenue for the second quarter was $2,020.3 million. This represents an increase of 4.4% on prior year revenue or 4.3% on a constant currency organic basis.</w:t>
      </w:r>
    </w:p>
    <w:p>
      <w:pPr>
        <w:spacing w:after="0" w:line="17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GAAP net income attributable to the Group was $115.6 million resulting in $1.40 diluted earnings per share in quarter two 2023 compared to $1.41 diluted earnings per share in quarter two 2022. Adjusted net income attributable to the Group for the quarter was $256.9 million resulting in an adjusted diluted earnings per share of $3.11 compared to $2.86 per share for the second quarter 2022.</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Adjusted EBITDA for the second quarter was $414.2 million or 20.5% of revenue, a year on year increase of 16.9%.</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The effective tax rate in quarter two was 15.2%.</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Cash generated from operating activities for the quarter was $203.9 million. During the quarter $32.1 million was spent on capital expenditure. At June 30, 2023, the Group had cash and cash equivalents of $270.2 million, compared to cash and cash equivalents of $279.9 million at March 31, 2023 and $614.9 million at June 30, 2022. $50 million of the revolving credit facility was drawn down in April 2023 and $80 million was repaid in June 2023. Additionally, $150 million of Term Loan B payments were made during the quarter resulting in a net indebtedness of $4.0 billion at June 30, 2023.</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to date 2023 Results</w:t>
      </w:r>
    </w:p>
    <w:p>
      <w:pPr>
        <w:spacing w:after="0" w:line="212"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Gross business wins year to date were $5,718 million and cancellations were $884 million. This resulted in net business wins of $4,834 million and a book to bill of 1.21.</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Year to date GAAP revenue was $3,998.8 million. This represents a year on year increase of 4.2% or 4.7% on a constant currency basis.</w:t>
      </w:r>
    </w:p>
    <w:p>
      <w:pPr>
        <w:spacing w:after="0" w:line="175" w:lineRule="exact"/>
        <w:rPr>
          <w:sz w:val="20"/>
          <w:szCs w:val="20"/>
          <w:color w:val="auto"/>
        </w:rPr>
      </w:pPr>
    </w:p>
    <w:p>
      <w:pPr>
        <w:ind w:right="420"/>
        <w:spacing w:after="0"/>
        <w:rPr>
          <w:sz w:val="20"/>
          <w:szCs w:val="20"/>
          <w:color w:val="auto"/>
        </w:rPr>
      </w:pPr>
      <w:r>
        <w:rPr>
          <w:rFonts w:ascii="Arial" w:cs="Arial" w:eastAsia="Arial" w:hAnsi="Arial"/>
          <w:sz w:val="22"/>
          <w:szCs w:val="22"/>
          <w:color w:val="auto"/>
        </w:rPr>
        <w:t>GAAP net income attributable to the Group year to date was $232.3 million resulting in $2.81 diluted earnings per share. Adjusted net income attributable to the Group was $496.7 million resulting in an adjusted diluted earnings per share of $6.01 compared to $5.62 per share for the equivalent prior year period.</w:t>
      </w:r>
    </w:p>
    <w:p>
      <w:pPr>
        <w:spacing w:after="0" w:line="186" w:lineRule="exact"/>
        <w:rPr>
          <w:sz w:val="20"/>
          <w:szCs w:val="20"/>
          <w:color w:val="auto"/>
        </w:rPr>
      </w:pPr>
    </w:p>
    <w:p>
      <w:pPr>
        <w:ind w:right="2040"/>
        <w:spacing w:after="0" w:line="435" w:lineRule="auto"/>
        <w:rPr>
          <w:sz w:val="20"/>
          <w:szCs w:val="20"/>
          <w:color w:val="auto"/>
        </w:rPr>
      </w:pPr>
      <w:r>
        <w:rPr>
          <w:rFonts w:ascii="Arial" w:cs="Arial" w:eastAsia="Arial" w:hAnsi="Arial"/>
          <w:sz w:val="22"/>
          <w:szCs w:val="22"/>
          <w:color w:val="auto"/>
        </w:rPr>
        <w:t xml:space="preserve">Adjusted EBITDA year to date was $813.4 million or 20.3% of revenue, a year on year increase of 17.0%. </w:t>
      </w:r>
      <w:r>
        <w:rPr>
          <w:rFonts w:ascii="Arial" w:cs="Arial" w:eastAsia="Arial" w:hAnsi="Arial"/>
          <w:sz w:val="22"/>
          <w:szCs w:val="22"/>
          <w:b w:val="1"/>
          <w:bCs w:val="1"/>
          <w:color w:val="auto"/>
        </w:rPr>
        <w:t>Other Information</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In addition to the financial measures prepared in accordance with generally accepted accounting principles (GAAP), this press release contains certain non-GAAP financial measures, including adjusted EBITDA, adjusted net income attributable to the Group and adjusted diluted earnings per share attributable to the Group.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ICON will hold a conference call on July 27, 2023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9"/>
          <w:szCs w:val="19"/>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ind w:right="120" w:firstLine="8"/>
        <w:spacing w:after="0" w:line="297"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Our full-year 2023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41,160 employees in 108 locations in 53 countries as at June 30, 2023. For further information about ICON, visit: www.iconplc.com.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THREE AND SIX MONTHS ENDED JUNE 30, 2023 AND JUNE 30,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720" w:type="dxa"/>
            <w:vAlign w:val="bottom"/>
          </w:tcPr>
          <w:p>
            <w:pPr>
              <w:spacing w:after="0"/>
              <w:rPr>
                <w:sz w:val="24"/>
                <w:szCs w:val="24"/>
                <w:color w:val="auto"/>
              </w:rPr>
            </w:pPr>
          </w:p>
        </w:tc>
        <w:tc>
          <w:tcPr>
            <w:tcW w:w="2300" w:type="dxa"/>
            <w:vAlign w:val="bottom"/>
            <w:gridSpan w:val="2"/>
          </w:tcPr>
          <w:p>
            <w:pPr>
              <w:jc w:val="right"/>
              <w:ind w:right="590"/>
              <w:spacing w:after="0"/>
              <w:rPr>
                <w:sz w:val="20"/>
                <w:szCs w:val="20"/>
                <w:color w:val="auto"/>
              </w:rPr>
            </w:pPr>
            <w:r>
              <w:rPr>
                <w:rFonts w:ascii="Arial" w:cs="Arial" w:eastAsia="Arial" w:hAnsi="Arial"/>
                <w:sz w:val="22"/>
                <w:szCs w:val="22"/>
                <w:b w:val="1"/>
                <w:bCs w:val="1"/>
                <w:color w:val="auto"/>
              </w:rPr>
              <w:t>(UNAUDITED)</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5"/>
        </w:trPr>
        <w:tc>
          <w:tcPr>
            <w:tcW w:w="4720" w:type="dxa"/>
            <w:vAlign w:val="bottom"/>
          </w:tcPr>
          <w:p>
            <w:pPr>
              <w:spacing w:after="0"/>
              <w:rPr>
                <w:sz w:val="24"/>
                <w:szCs w:val="24"/>
                <w:color w:val="auto"/>
              </w:rPr>
            </w:pPr>
          </w:p>
        </w:tc>
        <w:tc>
          <w:tcPr>
            <w:tcW w:w="2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21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2100" w:type="dxa"/>
            <w:vAlign w:val="bottom"/>
          </w:tcPr>
          <w:p>
            <w:pPr>
              <w:spacing w:after="0"/>
              <w:rPr>
                <w:sz w:val="24"/>
                <w:szCs w:val="24"/>
                <w:color w:val="auto"/>
              </w:rPr>
            </w:pPr>
          </w:p>
        </w:tc>
      </w:tr>
      <w:tr>
        <w:trPr>
          <w:trHeight w:val="243"/>
        </w:trPr>
        <w:tc>
          <w:tcPr>
            <w:tcW w:w="4720" w:type="dxa"/>
            <w:vAlign w:val="bottom"/>
          </w:tcPr>
          <w:p>
            <w:pPr>
              <w:spacing w:after="0"/>
              <w:rPr>
                <w:sz w:val="21"/>
                <w:szCs w:val="21"/>
                <w:color w:val="auto"/>
              </w:rPr>
            </w:pPr>
          </w:p>
        </w:tc>
        <w:tc>
          <w:tcPr>
            <w:tcW w:w="442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June 30, 2023 June 30, 2022 June 30, 2023 June 30, 2022</w:t>
            </w:r>
          </w:p>
        </w:tc>
        <w:tc>
          <w:tcPr>
            <w:tcW w:w="2100" w:type="dxa"/>
            <w:vAlign w:val="bottom"/>
          </w:tcPr>
          <w:p>
            <w:pPr>
              <w:spacing w:after="0"/>
              <w:rPr>
                <w:sz w:val="21"/>
                <w:szCs w:val="21"/>
                <w:color w:val="auto"/>
              </w:rPr>
            </w:pPr>
          </w:p>
        </w:tc>
      </w:tr>
      <w:tr>
        <w:trPr>
          <w:trHeight w:val="243"/>
        </w:trPr>
        <w:tc>
          <w:tcPr>
            <w:tcW w:w="4720" w:type="dxa"/>
            <w:vAlign w:val="bottom"/>
          </w:tcPr>
          <w:p>
            <w:pPr>
              <w:spacing w:after="0"/>
              <w:rPr>
                <w:sz w:val="21"/>
                <w:szCs w:val="21"/>
                <w:color w:val="auto"/>
              </w:rPr>
            </w:pPr>
          </w:p>
        </w:tc>
        <w:tc>
          <w:tcPr>
            <w:tcW w:w="44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7"/>
              </w:rPr>
              <w:t>(in thousands except share and per share data)</w:t>
            </w:r>
          </w:p>
        </w:tc>
        <w:tc>
          <w:tcPr>
            <w:tcW w:w="2100" w:type="dxa"/>
            <w:vAlign w:val="bottom"/>
          </w:tcPr>
          <w:p>
            <w:pPr>
              <w:spacing w:after="0"/>
              <w:rPr>
                <w:sz w:val="21"/>
                <w:szCs w:val="2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Revenue</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$ 2,020,251</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$ 1,935,193</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$ 3,998,829</w:t>
            </w:r>
          </w:p>
        </w:tc>
        <w:tc>
          <w:tcPr>
            <w:tcW w:w="1000" w:type="dxa"/>
            <w:vAlign w:val="bottom"/>
          </w:tcPr>
          <w:p>
            <w:pPr>
              <w:jc w:val="right"/>
              <w:spacing w:after="0"/>
              <w:rPr>
                <w:sz w:val="20"/>
                <w:szCs w:val="20"/>
                <w:color w:val="auto"/>
              </w:rPr>
            </w:pPr>
            <w:r>
              <w:rPr>
                <w:rFonts w:ascii="Arial" w:cs="Arial" w:eastAsia="Arial" w:hAnsi="Arial"/>
                <w:sz w:val="18"/>
                <w:szCs w:val="18"/>
                <w:color w:val="auto"/>
              </w:rPr>
              <w:t>$ 3,836,957</w:t>
            </w:r>
          </w:p>
        </w:tc>
        <w:tc>
          <w:tcPr>
            <w:tcW w:w="2100" w:type="dxa"/>
            <w:vAlign w:val="bottom"/>
          </w:tcPr>
          <w:p>
            <w:pPr>
              <w:spacing w:after="0"/>
              <w:rPr>
                <w:sz w:val="24"/>
                <w:szCs w:val="24"/>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Costs and expenses:</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1,429,540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1,392,062</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2,825,086</w:t>
            </w:r>
          </w:p>
        </w:tc>
        <w:tc>
          <w:tcPr>
            <w:tcW w:w="1000" w:type="dxa"/>
            <w:vAlign w:val="bottom"/>
          </w:tcPr>
          <w:p>
            <w:pPr>
              <w:jc w:val="right"/>
              <w:spacing w:after="0"/>
              <w:rPr>
                <w:sz w:val="20"/>
                <w:szCs w:val="20"/>
                <w:color w:val="auto"/>
              </w:rPr>
            </w:pPr>
            <w:r>
              <w:rPr>
                <w:rFonts w:ascii="Arial" w:cs="Arial" w:eastAsia="Arial" w:hAnsi="Arial"/>
                <w:sz w:val="18"/>
                <w:szCs w:val="18"/>
                <w:color w:val="auto"/>
              </w:rPr>
              <w:t>2,770,529</w:t>
            </w:r>
          </w:p>
        </w:tc>
        <w:tc>
          <w:tcPr>
            <w:tcW w:w="21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187,806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189,953</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387,812</w:t>
            </w:r>
          </w:p>
        </w:tc>
        <w:tc>
          <w:tcPr>
            <w:tcW w:w="1000" w:type="dxa"/>
            <w:vAlign w:val="bottom"/>
          </w:tcPr>
          <w:p>
            <w:pPr>
              <w:jc w:val="right"/>
              <w:spacing w:after="0"/>
              <w:rPr>
                <w:sz w:val="20"/>
                <w:szCs w:val="20"/>
                <w:color w:val="auto"/>
              </w:rPr>
            </w:pPr>
            <w:r>
              <w:rPr>
                <w:rFonts w:ascii="Arial" w:cs="Arial" w:eastAsia="Arial" w:hAnsi="Arial"/>
                <w:sz w:val="18"/>
                <w:szCs w:val="18"/>
                <w:color w:val="auto"/>
              </w:rPr>
              <w:t>385,214</w:t>
            </w:r>
          </w:p>
        </w:tc>
        <w:tc>
          <w:tcPr>
            <w:tcW w:w="21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145,059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144,019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290,185</w:t>
            </w:r>
          </w:p>
        </w:tc>
        <w:tc>
          <w:tcPr>
            <w:tcW w:w="1000" w:type="dxa"/>
            <w:vAlign w:val="bottom"/>
          </w:tcPr>
          <w:p>
            <w:pPr>
              <w:jc w:val="right"/>
              <w:spacing w:after="0"/>
              <w:rPr>
                <w:sz w:val="20"/>
                <w:szCs w:val="20"/>
                <w:color w:val="auto"/>
              </w:rPr>
            </w:pPr>
            <w:r>
              <w:rPr>
                <w:rFonts w:ascii="Arial" w:cs="Arial" w:eastAsia="Arial" w:hAnsi="Arial"/>
                <w:sz w:val="18"/>
                <w:szCs w:val="18"/>
                <w:color w:val="auto"/>
              </w:rPr>
              <w:t>285,424</w:t>
            </w:r>
          </w:p>
        </w:tc>
        <w:tc>
          <w:tcPr>
            <w:tcW w:w="21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Transaction and integration-related expenses</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12,701</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8,884</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24,083</w:t>
            </w:r>
          </w:p>
        </w:tc>
        <w:tc>
          <w:tcPr>
            <w:tcW w:w="1000" w:type="dxa"/>
            <w:vAlign w:val="bottom"/>
          </w:tcPr>
          <w:p>
            <w:pPr>
              <w:jc w:val="right"/>
              <w:spacing w:after="0"/>
              <w:rPr>
                <w:sz w:val="20"/>
                <w:szCs w:val="20"/>
                <w:color w:val="auto"/>
              </w:rPr>
            </w:pPr>
            <w:r>
              <w:rPr>
                <w:rFonts w:ascii="Arial" w:cs="Arial" w:eastAsia="Arial" w:hAnsi="Arial"/>
                <w:sz w:val="18"/>
                <w:szCs w:val="18"/>
                <w:color w:val="auto"/>
              </w:rPr>
              <w:t>20,969</w:t>
            </w:r>
          </w:p>
        </w:tc>
        <w:tc>
          <w:tcPr>
            <w:tcW w:w="2100" w:type="dxa"/>
            <w:vAlign w:val="bottom"/>
          </w:tcPr>
          <w:p>
            <w:pPr>
              <w:spacing w:after="0"/>
              <w:rPr>
                <w:sz w:val="21"/>
                <w:szCs w:val="21"/>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35,661</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22,486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45,390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26,693</w:t>
            </w:r>
          </w:p>
        </w:tc>
        <w:tc>
          <w:tcPr>
            <w:tcW w:w="2100" w:type="dxa"/>
            <w:vAlign w:val="bottom"/>
          </w:tcPr>
          <w:p>
            <w:pPr>
              <w:spacing w:after="0"/>
              <w:rPr>
                <w:sz w:val="21"/>
                <w:szCs w:val="21"/>
                <w:color w:val="auto"/>
              </w:rPr>
            </w:pPr>
          </w:p>
        </w:tc>
      </w:tr>
      <w:tr>
        <w:trPr>
          <w:trHeight w:val="479"/>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1,810,767</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1,757,404</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3,572,556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3,488,829</w:t>
            </w:r>
          </w:p>
        </w:tc>
        <w:tc>
          <w:tcPr>
            <w:tcW w:w="2100" w:type="dxa"/>
            <w:vAlign w:val="bottom"/>
          </w:tcPr>
          <w:p>
            <w:pPr>
              <w:spacing w:after="0"/>
              <w:rPr>
                <w:sz w:val="24"/>
                <w:szCs w:val="24"/>
                <w:color w:val="auto"/>
              </w:rPr>
            </w:pPr>
          </w:p>
        </w:tc>
      </w:tr>
      <w:tr>
        <w:trPr>
          <w:trHeight w:val="473"/>
        </w:trPr>
        <w:tc>
          <w:tcPr>
            <w:tcW w:w="4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209,484</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177,789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426,273</w:t>
            </w:r>
          </w:p>
        </w:tc>
        <w:tc>
          <w:tcPr>
            <w:tcW w:w="1000" w:type="dxa"/>
            <w:vAlign w:val="bottom"/>
          </w:tcPr>
          <w:p>
            <w:pPr>
              <w:jc w:val="right"/>
              <w:spacing w:after="0"/>
              <w:rPr>
                <w:sz w:val="20"/>
                <w:szCs w:val="20"/>
                <w:color w:val="auto"/>
              </w:rPr>
            </w:pPr>
            <w:r>
              <w:rPr>
                <w:rFonts w:ascii="Arial" w:cs="Arial" w:eastAsia="Arial" w:hAnsi="Arial"/>
                <w:sz w:val="18"/>
                <w:szCs w:val="18"/>
                <w:color w:val="auto"/>
              </w:rPr>
              <w:t>348,128</w:t>
            </w:r>
          </w:p>
        </w:tc>
        <w:tc>
          <w:tcPr>
            <w:tcW w:w="21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Interest income</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949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2100" w:type="dxa"/>
            <w:vAlign w:val="bottom"/>
          </w:tcPr>
          <w:p>
            <w:pPr>
              <w:spacing w:after="0"/>
              <w:rPr>
                <w:sz w:val="21"/>
                <w:szCs w:val="21"/>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(85,206)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(47,111)</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(171,757)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(91,536)</w:t>
            </w:r>
          </w:p>
        </w:tc>
        <w:tc>
          <w:tcPr>
            <w:tcW w:w="2100" w:type="dxa"/>
            <w:vAlign w:val="bottom"/>
          </w:tcPr>
          <w:p>
            <w:pPr>
              <w:spacing w:after="0"/>
              <w:rPr>
                <w:sz w:val="21"/>
                <w:szCs w:val="21"/>
                <w:color w:val="auto"/>
              </w:rPr>
            </w:pPr>
          </w:p>
        </w:tc>
      </w:tr>
      <w:tr>
        <w:trPr>
          <w:trHeight w:val="473"/>
        </w:trPr>
        <w:tc>
          <w:tcPr>
            <w:tcW w:w="47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125,227</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130,844</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256,537</w:t>
            </w:r>
          </w:p>
        </w:tc>
        <w:tc>
          <w:tcPr>
            <w:tcW w:w="1000" w:type="dxa"/>
            <w:vAlign w:val="bottom"/>
          </w:tcPr>
          <w:p>
            <w:pPr>
              <w:jc w:val="right"/>
              <w:spacing w:after="0"/>
              <w:rPr>
                <w:sz w:val="20"/>
                <w:szCs w:val="20"/>
                <w:color w:val="auto"/>
              </w:rPr>
            </w:pPr>
            <w:r>
              <w:rPr>
                <w:rFonts w:ascii="Arial" w:cs="Arial" w:eastAsia="Arial" w:hAnsi="Arial"/>
                <w:sz w:val="18"/>
                <w:szCs w:val="18"/>
                <w:color w:val="auto"/>
              </w:rPr>
              <w:t>256,885</w:t>
            </w:r>
          </w:p>
        </w:tc>
        <w:tc>
          <w:tcPr>
            <w:tcW w:w="2100" w:type="dxa"/>
            <w:vAlign w:val="bottom"/>
          </w:tcPr>
          <w:p>
            <w:pPr>
              <w:spacing w:after="0"/>
              <w:rPr>
                <w:sz w:val="24"/>
                <w:szCs w:val="24"/>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(9,629)</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(14,254)</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(23,902)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(27,540)</w:t>
            </w:r>
          </w:p>
        </w:tc>
        <w:tc>
          <w:tcPr>
            <w:tcW w:w="2100" w:type="dxa"/>
            <w:vAlign w:val="bottom"/>
          </w:tcPr>
          <w:p>
            <w:pPr>
              <w:spacing w:after="0"/>
              <w:rPr>
                <w:sz w:val="21"/>
                <w:szCs w:val="21"/>
                <w:color w:val="auto"/>
              </w:rPr>
            </w:pPr>
          </w:p>
        </w:tc>
      </w:tr>
      <w:tr>
        <w:trPr>
          <w:trHeight w:val="473"/>
        </w:trPr>
        <w:tc>
          <w:tcPr>
            <w:tcW w:w="4720" w:type="dxa"/>
            <w:vAlign w:val="bottom"/>
          </w:tcPr>
          <w:p>
            <w:pPr>
              <w:spacing w:after="0"/>
              <w:rPr>
                <w:sz w:val="20"/>
                <w:szCs w:val="20"/>
                <w:color w:val="auto"/>
              </w:rPr>
            </w:pPr>
            <w:r>
              <w:rPr>
                <w:rFonts w:ascii="Arial" w:cs="Arial" w:eastAsia="Arial" w:hAnsi="Arial"/>
                <w:sz w:val="18"/>
                <w:szCs w:val="18"/>
                <w:color w:val="auto"/>
                <w:w w:val="90"/>
              </w:rPr>
              <w:t>Income before share of earnings from equity method investments</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115,598</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116,590</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232,635</w:t>
            </w:r>
          </w:p>
        </w:tc>
        <w:tc>
          <w:tcPr>
            <w:tcW w:w="1000" w:type="dxa"/>
            <w:vAlign w:val="bottom"/>
          </w:tcPr>
          <w:p>
            <w:pPr>
              <w:jc w:val="right"/>
              <w:spacing w:after="0"/>
              <w:rPr>
                <w:sz w:val="20"/>
                <w:szCs w:val="20"/>
                <w:color w:val="auto"/>
              </w:rPr>
            </w:pPr>
            <w:r>
              <w:rPr>
                <w:rFonts w:ascii="Arial" w:cs="Arial" w:eastAsia="Arial" w:hAnsi="Arial"/>
                <w:sz w:val="18"/>
                <w:szCs w:val="18"/>
                <w:color w:val="auto"/>
              </w:rPr>
              <w:t>229,345</w:t>
            </w:r>
          </w:p>
        </w:tc>
        <w:tc>
          <w:tcPr>
            <w:tcW w:w="21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180" w:type="dxa"/>
            <w:vAlign w:val="bottom"/>
          </w:tcPr>
          <w:p>
            <w:pPr>
              <w:jc w:val="right"/>
              <w:ind w:right="2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1000" w:type="dxa"/>
            <w:vAlign w:val="bottom"/>
          </w:tcPr>
          <w:p>
            <w:pPr>
              <w:jc w:val="right"/>
              <w:spacing w:after="0"/>
              <w:rPr>
                <w:sz w:val="20"/>
                <w:szCs w:val="20"/>
                <w:color w:val="auto"/>
              </w:rPr>
            </w:pPr>
            <w:r>
              <w:rPr>
                <w:rFonts w:ascii="Arial" w:cs="Arial" w:eastAsia="Arial" w:hAnsi="Arial"/>
                <w:sz w:val="18"/>
                <w:szCs w:val="18"/>
                <w:color w:val="auto"/>
              </w:rPr>
              <w:t>(1,641)</w:t>
            </w:r>
          </w:p>
        </w:tc>
        <w:tc>
          <w:tcPr>
            <w:tcW w:w="2100" w:type="dxa"/>
            <w:vAlign w:val="bottom"/>
          </w:tcPr>
          <w:p>
            <w:pPr>
              <w:spacing w:after="0"/>
              <w:rPr>
                <w:sz w:val="21"/>
                <w:szCs w:val="21"/>
                <w:color w:val="auto"/>
              </w:rPr>
            </w:pPr>
          </w:p>
        </w:tc>
      </w:tr>
      <w:tr>
        <w:trPr>
          <w:trHeight w:val="256"/>
        </w:trPr>
        <w:tc>
          <w:tcPr>
            <w:tcW w:w="47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100" w:type="dxa"/>
            <w:vAlign w:val="bottom"/>
          </w:tcPr>
          <w:p>
            <w:pPr>
              <w:spacing w:after="0"/>
              <w:rPr>
                <w:sz w:val="22"/>
                <w:szCs w:val="22"/>
                <w:color w:val="auto"/>
              </w:rPr>
            </w:pPr>
          </w:p>
        </w:tc>
      </w:tr>
      <w:tr>
        <w:trPr>
          <w:trHeight w:val="23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Group</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$ 115,598</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$ 115,734</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$ 232,252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$ 227,704</w:t>
            </w:r>
          </w:p>
        </w:tc>
        <w:tc>
          <w:tcPr>
            <w:tcW w:w="2100" w:type="dxa"/>
            <w:vAlign w:val="bottom"/>
          </w:tcPr>
          <w:p>
            <w:pPr>
              <w:spacing w:after="0"/>
              <w:rPr>
                <w:sz w:val="20"/>
                <w:szCs w:val="20"/>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59"/>
        </w:trPr>
        <w:tc>
          <w:tcPr>
            <w:tcW w:w="472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93"/>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$ 1.41</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$ 1.42</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$ 2.84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$ 2.80</w:t>
            </w:r>
          </w:p>
        </w:tc>
        <w:tc>
          <w:tcPr>
            <w:tcW w:w="2100" w:type="dxa"/>
            <w:vAlign w:val="bottom"/>
          </w:tcPr>
          <w:p>
            <w:pPr>
              <w:spacing w:after="0"/>
              <w:rPr>
                <w:sz w:val="24"/>
                <w:szCs w:val="24"/>
                <w:color w:val="auto"/>
              </w:rPr>
            </w:pPr>
          </w:p>
        </w:tc>
      </w:tr>
      <w:tr>
        <w:trPr>
          <w:trHeight w:val="237"/>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$ 1.40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$ 1.41</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$ 2.81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$ 2.76</w:t>
            </w:r>
          </w:p>
        </w:tc>
        <w:tc>
          <w:tcPr>
            <w:tcW w:w="2100" w:type="dxa"/>
            <w:vAlign w:val="bottom"/>
          </w:tcPr>
          <w:p>
            <w:pPr>
              <w:spacing w:after="0"/>
              <w:rPr>
                <w:sz w:val="20"/>
                <w:szCs w:val="20"/>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59"/>
        </w:trPr>
        <w:tc>
          <w:tcPr>
            <w:tcW w:w="4720" w:type="dxa"/>
            <w:vAlign w:val="bottom"/>
          </w:tcPr>
          <w:p>
            <w:pPr>
              <w:spacing w:after="0"/>
              <w:rPr>
                <w:sz w:val="20"/>
                <w:szCs w:val="20"/>
                <w:color w:val="auto"/>
              </w:rPr>
            </w:pPr>
            <w:r>
              <w:rPr>
                <w:rFonts w:ascii="Arial" w:cs="Arial" w:eastAsia="Arial" w:hAnsi="Arial"/>
                <w:sz w:val="18"/>
                <w:szCs w:val="18"/>
                <w:color w:val="auto"/>
                <w:w w:val="99"/>
              </w:rPr>
              <w:t>Weighted average number of Ordinary Shares outstanding:</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93"/>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81,999,746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81,398,071</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81,892,662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81,430,507</w:t>
            </w:r>
          </w:p>
        </w:tc>
        <w:tc>
          <w:tcPr>
            <w:tcW w:w="2100" w:type="dxa"/>
            <w:vAlign w:val="bottom"/>
          </w:tcPr>
          <w:p>
            <w:pPr>
              <w:spacing w:after="0"/>
              <w:rPr>
                <w:sz w:val="24"/>
                <w:szCs w:val="24"/>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2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82,627,933</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82,312,946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82,617,391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82,462,842</w:t>
            </w:r>
          </w:p>
        </w:tc>
        <w:tc>
          <w:tcPr>
            <w:tcW w:w="2100" w:type="dxa"/>
            <w:vAlign w:val="bottom"/>
          </w:tcPr>
          <w:p>
            <w:pPr>
              <w:spacing w:after="0"/>
              <w:rPr>
                <w:sz w:val="19"/>
                <w:szCs w:val="19"/>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69"/>
        </w:trPr>
        <w:tc>
          <w:tcPr>
            <w:tcW w:w="47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920" w:type="dxa"/>
            <w:vAlign w:val="bottom"/>
          </w:tcPr>
          <w:p>
            <w:pPr>
              <w:spacing w:after="0"/>
              <w:rPr>
                <w:sz w:val="24"/>
                <w:szCs w:val="24"/>
                <w:color w:val="auto"/>
              </w:rPr>
            </w:pPr>
          </w:p>
        </w:tc>
        <w:tc>
          <w:tcPr>
            <w:tcW w:w="2180" w:type="dxa"/>
            <w:vAlign w:val="bottom"/>
          </w:tcPr>
          <w:p>
            <w:pPr>
              <w:jc w:val="center"/>
              <w:ind w:right="670"/>
              <w:spacing w:after="0"/>
              <w:rPr>
                <w:sz w:val="20"/>
                <w:szCs w:val="20"/>
                <w:color w:val="auto"/>
              </w:rPr>
            </w:pPr>
            <w:r>
              <w:rPr>
                <w:rFonts w:ascii="Arial" w:cs="Arial" w:eastAsia="Arial" w:hAnsi="Arial"/>
                <w:sz w:val="22"/>
                <w:szCs w:val="22"/>
                <w:b w:val="1"/>
                <w:bCs w:val="1"/>
                <w:color w:val="auto"/>
                <w:w w:val="96"/>
              </w:rPr>
              <w:t>ICON plc</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59"/>
        </w:trPr>
        <w:tc>
          <w:tcPr>
            <w:tcW w:w="8400" w:type="dxa"/>
            <w:vAlign w:val="bottom"/>
            <w:gridSpan w:val="4"/>
          </w:tcPr>
          <w:p>
            <w:pPr>
              <w:jc w:val="center"/>
              <w:ind w:left="2749"/>
              <w:spacing w:after="0"/>
              <w:rPr>
                <w:sz w:val="20"/>
                <w:szCs w:val="20"/>
                <w:color w:val="auto"/>
              </w:rPr>
            </w:pPr>
            <w:r>
              <w:rPr>
                <w:rFonts w:ascii="Arial" w:cs="Arial" w:eastAsia="Arial" w:hAnsi="Arial"/>
                <w:sz w:val="22"/>
                <w:szCs w:val="22"/>
                <w:b w:val="1"/>
                <w:bCs w:val="1"/>
                <w:color w:val="auto"/>
                <w:w w:val="97"/>
              </w:rPr>
              <w:t>CONDENSED CONSOLIDATED BALANCE SHEETS</w:t>
            </w:r>
          </w:p>
        </w:tc>
        <w:tc>
          <w:tcPr>
            <w:tcW w:w="2840" w:type="dxa"/>
            <w:vAlign w:val="bottom"/>
          </w:tcPr>
          <w:p>
            <w:pPr>
              <w:spacing w:after="0"/>
              <w:rPr>
                <w:sz w:val="24"/>
                <w:szCs w:val="24"/>
                <w:color w:val="auto"/>
              </w:rPr>
            </w:pPr>
          </w:p>
        </w:tc>
      </w:tr>
      <w:tr>
        <w:trPr>
          <w:trHeight w:val="459"/>
        </w:trPr>
        <w:tc>
          <w:tcPr>
            <w:tcW w:w="8400" w:type="dxa"/>
            <w:vAlign w:val="bottom"/>
            <w:gridSpan w:val="4"/>
          </w:tcPr>
          <w:p>
            <w:pPr>
              <w:jc w:val="center"/>
              <w:ind w:left="2749"/>
              <w:spacing w:after="0"/>
              <w:rPr>
                <w:sz w:val="20"/>
                <w:szCs w:val="20"/>
                <w:color w:val="auto"/>
              </w:rPr>
            </w:pPr>
            <w:r>
              <w:rPr>
                <w:rFonts w:ascii="Arial" w:cs="Arial" w:eastAsia="Arial" w:hAnsi="Arial"/>
                <w:sz w:val="22"/>
                <w:szCs w:val="22"/>
                <w:b w:val="1"/>
                <w:bCs w:val="1"/>
                <w:color w:val="auto"/>
                <w:w w:val="92"/>
              </w:rPr>
              <w:t>AS AT JUNE 30, 2023 AND DECEMBER 31, 2022</w:t>
            </w:r>
          </w:p>
        </w:tc>
        <w:tc>
          <w:tcPr>
            <w:tcW w:w="2840" w:type="dxa"/>
            <w:vAlign w:val="bottom"/>
          </w:tcPr>
          <w:p>
            <w:pPr>
              <w:spacing w:after="0"/>
              <w:rPr>
                <w:sz w:val="24"/>
                <w:szCs w:val="24"/>
                <w:color w:val="auto"/>
              </w:rPr>
            </w:pPr>
          </w:p>
        </w:tc>
      </w:tr>
      <w:tr>
        <w:trPr>
          <w:trHeight w:val="436"/>
        </w:trPr>
        <w:tc>
          <w:tcPr>
            <w:tcW w:w="4920" w:type="dxa"/>
            <w:vAlign w:val="bottom"/>
          </w:tcPr>
          <w:p>
            <w:pPr>
              <w:spacing w:after="0"/>
              <w:rPr>
                <w:sz w:val="24"/>
                <w:szCs w:val="24"/>
                <w:color w:val="auto"/>
              </w:rPr>
            </w:pPr>
          </w:p>
        </w:tc>
        <w:tc>
          <w:tcPr>
            <w:tcW w:w="2180" w:type="dxa"/>
            <w:vAlign w:val="bottom"/>
          </w:tcPr>
          <w:p>
            <w:pPr>
              <w:jc w:val="right"/>
              <w:ind w:right="150"/>
              <w:spacing w:after="0"/>
              <w:rPr>
                <w:sz w:val="20"/>
                <w:szCs w:val="20"/>
                <w:color w:val="auto"/>
              </w:rPr>
            </w:pPr>
            <w:r>
              <w:rPr>
                <w:rFonts w:ascii="Arial" w:cs="Arial" w:eastAsia="Arial" w:hAnsi="Arial"/>
                <w:sz w:val="18"/>
                <w:szCs w:val="18"/>
                <w:b w:val="1"/>
                <w:bCs w:val="1"/>
                <w:color w:val="auto"/>
              </w:rPr>
              <w:t>(Unaudited)</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(Audited)</w:t>
            </w:r>
          </w:p>
        </w:tc>
        <w:tc>
          <w:tcPr>
            <w:tcW w:w="2840" w:type="dxa"/>
            <w:vAlign w:val="bottom"/>
          </w:tcPr>
          <w:p>
            <w:pPr>
              <w:spacing w:after="0"/>
              <w:rPr>
                <w:sz w:val="24"/>
                <w:szCs w:val="24"/>
                <w:color w:val="auto"/>
              </w:rPr>
            </w:pPr>
          </w:p>
        </w:tc>
      </w:tr>
      <w:tr>
        <w:trPr>
          <w:trHeight w:val="243"/>
        </w:trPr>
        <w:tc>
          <w:tcPr>
            <w:tcW w:w="4920" w:type="dxa"/>
            <w:vAlign w:val="bottom"/>
          </w:tcPr>
          <w:p>
            <w:pPr>
              <w:spacing w:after="0"/>
              <w:rPr>
                <w:sz w:val="21"/>
                <w:szCs w:val="21"/>
                <w:color w:val="auto"/>
              </w:rPr>
            </w:pPr>
          </w:p>
        </w:tc>
        <w:tc>
          <w:tcPr>
            <w:tcW w:w="3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June 30, 2023December, 31 2022</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4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(in thousands)</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2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$ 270,176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$ 288,768</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Available for sale investments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1,653</w:t>
            </w:r>
          </w:p>
        </w:tc>
        <w:tc>
          <w:tcPr>
            <w:tcW w:w="1280" w:type="dxa"/>
            <w:vAlign w:val="bottom"/>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Accounts receivable, net of allowance for credit losses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1,759,111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1,731,388</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Unbilled revenue</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985,034</w:t>
            </w:r>
          </w:p>
        </w:tc>
        <w:tc>
          <w:tcPr>
            <w:tcW w:w="1280" w:type="dxa"/>
            <w:vAlign w:val="bottom"/>
          </w:tcPr>
          <w:p>
            <w:pPr>
              <w:jc w:val="right"/>
              <w:spacing w:after="0"/>
              <w:rPr>
                <w:sz w:val="20"/>
                <w:szCs w:val="20"/>
                <w:color w:val="auto"/>
              </w:rPr>
            </w:pPr>
            <w:r>
              <w:rPr>
                <w:rFonts w:ascii="Arial" w:cs="Arial" w:eastAsia="Arial" w:hAnsi="Arial"/>
                <w:sz w:val="18"/>
                <w:szCs w:val="18"/>
                <w:color w:val="auto"/>
              </w:rPr>
              <w:t>957,655</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Other receivables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129,101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63,658</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152,774</w:t>
            </w:r>
          </w:p>
        </w:tc>
        <w:tc>
          <w:tcPr>
            <w:tcW w:w="1280" w:type="dxa"/>
            <w:vAlign w:val="bottom"/>
          </w:tcPr>
          <w:p>
            <w:pPr>
              <w:jc w:val="right"/>
              <w:spacing w:after="0"/>
              <w:rPr>
                <w:sz w:val="20"/>
                <w:szCs w:val="20"/>
                <w:color w:val="auto"/>
              </w:rPr>
            </w:pPr>
            <w:r>
              <w:rPr>
                <w:rFonts w:ascii="Arial" w:cs="Arial" w:eastAsia="Arial" w:hAnsi="Arial"/>
                <w:sz w:val="18"/>
                <w:szCs w:val="18"/>
                <w:color w:val="auto"/>
              </w:rPr>
              <w:t>137,094</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5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 receivable</w:t>
            </w: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70,021</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48,790</w:t>
            </w:r>
          </w:p>
        </w:tc>
        <w:tc>
          <w:tcPr>
            <w:tcW w:w="2840" w:type="dxa"/>
            <w:vAlign w:val="bottom"/>
          </w:tcPr>
          <w:p>
            <w:pPr>
              <w:spacing w:after="0"/>
              <w:rPr>
                <w:sz w:val="21"/>
                <w:szCs w:val="2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current assets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3,367,870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3,229,066</w:t>
            </w:r>
          </w:p>
        </w:tc>
        <w:tc>
          <w:tcPr>
            <w:tcW w:w="2840" w:type="dxa"/>
            <w:vAlign w:val="bottom"/>
          </w:tcPr>
          <w:p>
            <w:pPr>
              <w:spacing w:after="0"/>
              <w:rPr>
                <w:sz w:val="20"/>
                <w:szCs w:val="20"/>
                <w:color w:val="auto"/>
              </w:rPr>
            </w:pPr>
          </w:p>
        </w:tc>
      </w:tr>
      <w:tr>
        <w:trPr>
          <w:trHeight w:val="485"/>
        </w:trPr>
        <w:tc>
          <w:tcPr>
            <w:tcW w:w="4920" w:type="dxa"/>
            <w:vAlign w:val="bottom"/>
          </w:tcPr>
          <w:p>
            <w:pPr>
              <w:spacing w:after="0"/>
              <w:rPr>
                <w:sz w:val="20"/>
                <w:szCs w:val="20"/>
                <w:color w:val="auto"/>
              </w:rPr>
            </w:pPr>
            <w:r>
              <w:rPr>
                <w:rFonts w:ascii="Arial" w:cs="Arial" w:eastAsia="Arial" w:hAnsi="Arial"/>
                <w:sz w:val="18"/>
                <w:szCs w:val="18"/>
                <w:color w:val="auto"/>
              </w:rPr>
              <w:t>Non-current Assets:</w:t>
            </w: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346,521</w:t>
            </w:r>
          </w:p>
        </w:tc>
        <w:tc>
          <w:tcPr>
            <w:tcW w:w="1280" w:type="dxa"/>
            <w:vAlign w:val="bottom"/>
          </w:tcPr>
          <w:p>
            <w:pPr>
              <w:jc w:val="right"/>
              <w:spacing w:after="0"/>
              <w:rPr>
                <w:sz w:val="20"/>
                <w:szCs w:val="20"/>
                <w:color w:val="auto"/>
              </w:rPr>
            </w:pPr>
            <w:r>
              <w:rPr>
                <w:rFonts w:ascii="Arial" w:cs="Arial" w:eastAsia="Arial" w:hAnsi="Arial"/>
                <w:sz w:val="18"/>
                <w:szCs w:val="18"/>
                <w:color w:val="auto"/>
              </w:rPr>
              <w:t>350,320</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Goodwill</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8,993,583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8,971,670</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Intangible assets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4,049,793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4,278,659</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144,514</w:t>
            </w:r>
          </w:p>
        </w:tc>
        <w:tc>
          <w:tcPr>
            <w:tcW w:w="1280" w:type="dxa"/>
            <w:vAlign w:val="bottom"/>
          </w:tcPr>
          <w:p>
            <w:pPr>
              <w:jc w:val="right"/>
              <w:spacing w:after="0"/>
              <w:rPr>
                <w:sz w:val="20"/>
                <w:szCs w:val="20"/>
                <w:color w:val="auto"/>
              </w:rPr>
            </w:pPr>
            <w:r>
              <w:rPr>
                <w:rFonts w:ascii="Arial" w:cs="Arial" w:eastAsia="Arial" w:hAnsi="Arial"/>
                <w:sz w:val="18"/>
                <w:szCs w:val="18"/>
                <w:color w:val="auto"/>
              </w:rPr>
              <w:t>153,832</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Other receivables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64,140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70,790</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25,169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21,380</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Deferred tax asset</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80,772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76,930</w:t>
            </w:r>
          </w:p>
        </w:tc>
        <w:tc>
          <w:tcPr>
            <w:tcW w:w="2840" w:type="dxa"/>
            <w:vAlign w:val="bottom"/>
          </w:tcPr>
          <w:p>
            <w:pPr>
              <w:spacing w:after="0"/>
              <w:rPr>
                <w:sz w:val="21"/>
                <w:szCs w:val="2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Investments in equity- long term</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35,298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32,631</w:t>
            </w:r>
          </w:p>
        </w:tc>
        <w:tc>
          <w:tcPr>
            <w:tcW w:w="2840" w:type="dxa"/>
            <w:vAlign w:val="bottom"/>
          </w:tcPr>
          <w:p>
            <w:pPr>
              <w:spacing w:after="0"/>
              <w:rPr>
                <w:sz w:val="21"/>
                <w:szCs w:val="21"/>
                <w:color w:val="auto"/>
              </w:rPr>
            </w:pPr>
          </w:p>
        </w:tc>
      </w:tr>
      <w:tr>
        <w:trPr>
          <w:trHeight w:val="237"/>
        </w:trPr>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$ 17,107,660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$ 17,185,278</w:t>
            </w: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38"/>
        </w:trPr>
        <w:tc>
          <w:tcPr>
            <w:tcW w:w="4920" w:type="dxa"/>
            <w:vAlign w:val="bottom"/>
          </w:tcPr>
          <w:p>
            <w:pPr>
              <w:spacing w:after="0"/>
              <w:rPr>
                <w:sz w:val="20"/>
                <w:szCs w:val="20"/>
                <w:color w:val="auto"/>
              </w:rPr>
            </w:pPr>
            <w:r>
              <w:rPr>
                <w:rFonts w:ascii="Arial" w:cs="Arial" w:eastAsia="Arial" w:hAnsi="Arial"/>
                <w:sz w:val="18"/>
                <w:szCs w:val="18"/>
                <w:color w:val="auto"/>
              </w:rPr>
              <w:t>Current Liabilities:</w:t>
            </w: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Accounts payable</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$ 46,920</w:t>
            </w:r>
          </w:p>
        </w:tc>
        <w:tc>
          <w:tcPr>
            <w:tcW w:w="1280" w:type="dxa"/>
            <w:vAlign w:val="bottom"/>
          </w:tcPr>
          <w:p>
            <w:pPr>
              <w:jc w:val="right"/>
              <w:spacing w:after="0"/>
              <w:rPr>
                <w:sz w:val="20"/>
                <w:szCs w:val="20"/>
                <w:color w:val="auto"/>
              </w:rPr>
            </w:pPr>
            <w:r>
              <w:rPr>
                <w:rFonts w:ascii="Arial" w:cs="Arial" w:eastAsia="Arial" w:hAnsi="Arial"/>
                <w:sz w:val="18"/>
                <w:szCs w:val="18"/>
                <w:color w:val="auto"/>
              </w:rPr>
              <w:t>$ 81,194</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Unearned revenue</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1,573,311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1,507,449</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Other liabilities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994,883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1,005,025</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Income taxes payable</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39,885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41,783</w:t>
            </w:r>
          </w:p>
        </w:tc>
        <w:tc>
          <w:tcPr>
            <w:tcW w:w="2840" w:type="dxa"/>
            <w:vAlign w:val="bottom"/>
          </w:tcPr>
          <w:p>
            <w:pPr>
              <w:spacing w:after="0"/>
              <w:rPr>
                <w:sz w:val="21"/>
                <w:szCs w:val="21"/>
                <w:color w:val="auto"/>
              </w:rPr>
            </w:pPr>
          </w:p>
        </w:tc>
      </w:tr>
      <w:tr>
        <w:trPr>
          <w:trHeight w:val="25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bank credit lines and loan facilities</w:t>
            </w: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105,150</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55,150</w:t>
            </w:r>
          </w:p>
        </w:tc>
        <w:tc>
          <w:tcPr>
            <w:tcW w:w="2840" w:type="dxa"/>
            <w:vAlign w:val="bottom"/>
          </w:tcPr>
          <w:p>
            <w:pPr>
              <w:spacing w:after="0"/>
              <w:rPr>
                <w:sz w:val="21"/>
                <w:szCs w:val="2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2,760,149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2,690,601</w:t>
            </w:r>
          </w:p>
        </w:tc>
        <w:tc>
          <w:tcPr>
            <w:tcW w:w="2840" w:type="dxa"/>
            <w:vAlign w:val="bottom"/>
          </w:tcPr>
          <w:p>
            <w:pPr>
              <w:spacing w:after="0"/>
              <w:rPr>
                <w:sz w:val="20"/>
                <w:szCs w:val="20"/>
                <w:color w:val="auto"/>
              </w:rPr>
            </w:pPr>
          </w:p>
        </w:tc>
      </w:tr>
      <w:tr>
        <w:trPr>
          <w:trHeight w:val="242"/>
        </w:trPr>
        <w:tc>
          <w:tcPr>
            <w:tcW w:w="4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Non-current bank credit lines and loan facilities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4,206,936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4,599,037</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Lease liabilities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129,079</w:t>
            </w:r>
          </w:p>
        </w:tc>
        <w:tc>
          <w:tcPr>
            <w:tcW w:w="1280" w:type="dxa"/>
            <w:vAlign w:val="bottom"/>
          </w:tcPr>
          <w:p>
            <w:pPr>
              <w:jc w:val="right"/>
              <w:spacing w:after="0"/>
              <w:rPr>
                <w:sz w:val="20"/>
                <w:szCs w:val="20"/>
                <w:color w:val="auto"/>
              </w:rPr>
            </w:pPr>
            <w:r>
              <w:rPr>
                <w:rFonts w:ascii="Arial" w:cs="Arial" w:eastAsia="Arial" w:hAnsi="Arial"/>
                <w:sz w:val="18"/>
                <w:szCs w:val="18"/>
                <w:color w:val="auto"/>
              </w:rPr>
              <w:t>131,644</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39,438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38,260</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Non-current income taxes payable</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241,410</w:t>
            </w:r>
          </w:p>
        </w:tc>
        <w:tc>
          <w:tcPr>
            <w:tcW w:w="1280" w:type="dxa"/>
            <w:vAlign w:val="bottom"/>
          </w:tcPr>
          <w:p>
            <w:pPr>
              <w:jc w:val="right"/>
              <w:spacing w:after="0"/>
              <w:rPr>
                <w:sz w:val="20"/>
                <w:szCs w:val="20"/>
                <w:color w:val="auto"/>
              </w:rPr>
            </w:pPr>
            <w:r>
              <w:rPr>
                <w:rFonts w:ascii="Arial" w:cs="Arial" w:eastAsia="Arial" w:hAnsi="Arial"/>
                <w:sz w:val="18"/>
                <w:szCs w:val="18"/>
                <w:color w:val="auto"/>
              </w:rPr>
              <w:t>239,188</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5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liability</w:t>
            </w: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934,208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988,585</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8,311,220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8,687,315</w:t>
            </w: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72"/>
        </w:trPr>
        <w:tc>
          <w:tcPr>
            <w:tcW w:w="4920" w:type="dxa"/>
            <w:vAlign w:val="bottom"/>
          </w:tcPr>
          <w:p>
            <w:pPr>
              <w:spacing w:after="0"/>
              <w:rPr>
                <w:sz w:val="20"/>
                <w:szCs w:val="20"/>
                <w:color w:val="auto"/>
              </w:rPr>
            </w:pPr>
            <w:r>
              <w:rPr>
                <w:rFonts w:ascii="Arial" w:cs="Arial" w:eastAsia="Arial" w:hAnsi="Arial"/>
                <w:sz w:val="18"/>
                <w:szCs w:val="18"/>
                <w:color w:val="auto"/>
              </w:rPr>
              <w:t>Shareholders' Equity:</w:t>
            </w: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3"/>
        </w:trPr>
        <w:tc>
          <w:tcPr>
            <w:tcW w:w="7100" w:type="dxa"/>
            <w:vAlign w:val="bottom"/>
            <w:gridSpan w:val="2"/>
          </w:tcPr>
          <w:p>
            <w:pPr>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w w:val="95"/>
              </w:rPr>
              <w:t>82,151,049 shares issued and outstanding at June 30, 2023 and</w:t>
            </w:r>
          </w:p>
        </w:tc>
        <w:tc>
          <w:tcPr>
            <w:tcW w:w="2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w w:val="92"/>
              </w:rPr>
              <w:t>81,723,555 shares issued and outstanding at December 31, 2022.</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6,676</w:t>
            </w:r>
          </w:p>
        </w:tc>
        <w:tc>
          <w:tcPr>
            <w:tcW w:w="1280" w:type="dxa"/>
            <w:vAlign w:val="bottom"/>
          </w:tcPr>
          <w:p>
            <w:pPr>
              <w:jc w:val="right"/>
              <w:spacing w:after="0"/>
              <w:rPr>
                <w:sz w:val="20"/>
                <w:szCs w:val="20"/>
                <w:color w:val="auto"/>
              </w:rPr>
            </w:pPr>
            <w:r>
              <w:rPr>
                <w:rFonts w:ascii="Arial" w:cs="Arial" w:eastAsia="Arial" w:hAnsi="Arial"/>
                <w:sz w:val="18"/>
                <w:szCs w:val="18"/>
                <w:color w:val="auto"/>
              </w:rPr>
              <w:t>6,649</w:t>
            </w: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4920" w:type="dxa"/>
            <w:vAlign w:val="bottom"/>
          </w:tcPr>
          <w:p>
            <w:pPr>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6,891,494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6,840,306</w:t>
            </w: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Other undenominated capital</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1,162</w:t>
            </w:r>
          </w:p>
        </w:tc>
        <w:tc>
          <w:tcPr>
            <w:tcW w:w="1280" w:type="dxa"/>
            <w:vAlign w:val="bottom"/>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(156,528)</w:t>
            </w:r>
          </w:p>
        </w:tc>
        <w:tc>
          <w:tcPr>
            <w:tcW w:w="1280" w:type="dxa"/>
            <w:vAlign w:val="bottom"/>
          </w:tcPr>
          <w:p>
            <w:pPr>
              <w:jc w:val="right"/>
              <w:spacing w:after="0"/>
              <w:rPr>
                <w:sz w:val="20"/>
                <w:szCs w:val="20"/>
                <w:color w:val="auto"/>
              </w:rPr>
            </w:pPr>
            <w:r>
              <w:rPr>
                <w:rFonts w:ascii="Arial" w:cs="Arial" w:eastAsia="Arial" w:hAnsi="Arial"/>
                <w:sz w:val="18"/>
                <w:szCs w:val="18"/>
                <w:color w:val="auto"/>
              </w:rPr>
              <w:t>(171,538)</w:t>
            </w: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5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2,053,636</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1,821,384</w:t>
            </w:r>
          </w:p>
        </w:tc>
        <w:tc>
          <w:tcPr>
            <w:tcW w:w="2840" w:type="dxa"/>
            <w:vAlign w:val="bottom"/>
          </w:tcPr>
          <w:p>
            <w:pPr>
              <w:spacing w:after="0"/>
              <w:rPr>
                <w:sz w:val="21"/>
                <w:szCs w:val="2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8,796,440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8,497,963</w:t>
            </w:r>
          </w:p>
        </w:tc>
        <w:tc>
          <w:tcPr>
            <w:tcW w:w="2840" w:type="dxa"/>
            <w:vAlign w:val="bottom"/>
          </w:tcPr>
          <w:p>
            <w:pPr>
              <w:spacing w:after="0"/>
              <w:rPr>
                <w:sz w:val="20"/>
                <w:szCs w:val="20"/>
                <w:color w:val="auto"/>
              </w:rPr>
            </w:pPr>
          </w:p>
        </w:tc>
      </w:tr>
      <w:tr>
        <w:trPr>
          <w:trHeight w:val="237"/>
        </w:trPr>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Liabilities and Equity</w:t>
            </w:r>
          </w:p>
        </w:tc>
        <w:tc>
          <w:tcPr>
            <w:tcW w:w="2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$ 17,107,660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$ 17,185,278</w:t>
            </w: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668"/>
        </w:trPr>
        <w:tc>
          <w:tcPr>
            <w:tcW w:w="4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SIX MONTHS ENDED JUNE 30, 2023 AND JUNE 30,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600" w:type="dxa"/>
            <w:vAlign w:val="bottom"/>
          </w:tcPr>
          <w:p>
            <w:pPr>
              <w:spacing w:after="0"/>
              <w:rPr>
                <w:sz w:val="24"/>
                <w:szCs w:val="24"/>
                <w:color w:val="auto"/>
              </w:rPr>
            </w:pPr>
          </w:p>
        </w:tc>
        <w:tc>
          <w:tcPr>
            <w:tcW w:w="2500" w:type="dxa"/>
            <w:vAlign w:val="bottom"/>
          </w:tcPr>
          <w:p>
            <w:pPr>
              <w:jc w:val="right"/>
              <w:ind w:right="670"/>
              <w:spacing w:after="0"/>
              <w:rPr>
                <w:sz w:val="20"/>
                <w:szCs w:val="20"/>
                <w:color w:val="auto"/>
              </w:rPr>
            </w:pPr>
            <w:r>
              <w:rPr>
                <w:rFonts w:ascii="Arial" w:cs="Arial" w:eastAsia="Arial" w:hAnsi="Arial"/>
                <w:sz w:val="22"/>
                <w:szCs w:val="22"/>
                <w:b w:val="1"/>
                <w:bCs w:val="1"/>
                <w:color w:val="auto"/>
              </w:rPr>
              <w:t>(UNAUDITED)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35"/>
        </w:trPr>
        <w:tc>
          <w:tcPr>
            <w:tcW w:w="4600" w:type="dxa"/>
            <w:vAlign w:val="bottom"/>
          </w:tcPr>
          <w:p>
            <w:pPr>
              <w:spacing w:after="0"/>
              <w:rPr>
                <w:sz w:val="24"/>
                <w:szCs w:val="24"/>
                <w:color w:val="auto"/>
              </w:rPr>
            </w:pPr>
          </w:p>
        </w:tc>
        <w:tc>
          <w:tcPr>
            <w:tcW w:w="344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0"/>
              </w:rPr>
              <w:t>Six Months Ended</w:t>
            </w:r>
          </w:p>
        </w:tc>
        <w:tc>
          <w:tcPr>
            <w:tcW w:w="3200" w:type="dxa"/>
            <w:vAlign w:val="bottom"/>
          </w:tcPr>
          <w:p>
            <w:pPr>
              <w:spacing w:after="0"/>
              <w:rPr>
                <w:sz w:val="24"/>
                <w:szCs w:val="24"/>
                <w:color w:val="auto"/>
              </w:rPr>
            </w:pPr>
          </w:p>
        </w:tc>
      </w:tr>
      <w:tr>
        <w:trPr>
          <w:trHeight w:val="243"/>
        </w:trPr>
        <w:tc>
          <w:tcPr>
            <w:tcW w:w="4600" w:type="dxa"/>
            <w:vAlign w:val="bottom"/>
          </w:tcPr>
          <w:p>
            <w:pPr>
              <w:spacing w:after="0"/>
              <w:rPr>
                <w:sz w:val="21"/>
                <w:szCs w:val="21"/>
                <w:color w:val="auto"/>
              </w:rPr>
            </w:pPr>
          </w:p>
        </w:tc>
        <w:tc>
          <w:tcPr>
            <w:tcW w:w="344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June 30, 2023 June 30, 2022</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1"/>
                <w:szCs w:val="21"/>
                <w:color w:val="auto"/>
              </w:rPr>
            </w:pPr>
          </w:p>
        </w:tc>
        <w:tc>
          <w:tcPr>
            <w:tcW w:w="344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88"/>
              </w:rPr>
              <w:t>(in thousands)</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$ 232,252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$ 227,704</w:t>
            </w:r>
          </w:p>
        </w:tc>
        <w:tc>
          <w:tcPr>
            <w:tcW w:w="3200" w:type="dxa"/>
            <w:vAlign w:val="bottom"/>
          </w:tcPr>
          <w:p>
            <w:pPr>
              <w:spacing w:after="0"/>
              <w:rPr>
                <w:sz w:val="21"/>
                <w:szCs w:val="21"/>
                <w:color w:val="auto"/>
              </w:rPr>
            </w:pPr>
          </w:p>
        </w:tc>
      </w:tr>
      <w:tr>
        <w:trPr>
          <w:trHeight w:val="243"/>
        </w:trPr>
        <w:tc>
          <w:tcPr>
            <w:tcW w:w="71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290,185</w:t>
            </w:r>
          </w:p>
        </w:tc>
        <w:tc>
          <w:tcPr>
            <w:tcW w:w="920" w:type="dxa"/>
            <w:vAlign w:val="bottom"/>
          </w:tcPr>
          <w:p>
            <w:pPr>
              <w:jc w:val="right"/>
              <w:spacing w:after="0"/>
              <w:rPr>
                <w:sz w:val="20"/>
                <w:szCs w:val="20"/>
                <w:color w:val="auto"/>
              </w:rPr>
            </w:pPr>
            <w:r>
              <w:rPr>
                <w:rFonts w:ascii="Arial" w:cs="Arial" w:eastAsia="Arial" w:hAnsi="Arial"/>
                <w:sz w:val="18"/>
                <w:szCs w:val="18"/>
                <w:color w:val="auto"/>
              </w:rPr>
              <w:t>285,424</w:t>
            </w: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Impairment of long lived assets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8,613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20,749</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w w:val="97"/>
              </w:rPr>
              <w:t>Reduction in carrying value of operating right-of-use assets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23,607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23,570</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Loss on equity method investments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383</w:t>
            </w:r>
          </w:p>
        </w:tc>
        <w:tc>
          <w:tcPr>
            <w:tcW w:w="920" w:type="dxa"/>
            <w:vAlign w:val="bottom"/>
          </w:tcPr>
          <w:p>
            <w:pPr>
              <w:jc w:val="right"/>
              <w:spacing w:after="0"/>
              <w:rPr>
                <w:sz w:val="20"/>
                <w:szCs w:val="20"/>
                <w:color w:val="auto"/>
              </w:rPr>
            </w:pPr>
            <w:r>
              <w:rPr>
                <w:rFonts w:ascii="Arial" w:cs="Arial" w:eastAsia="Arial" w:hAnsi="Arial"/>
                <w:sz w:val="18"/>
                <w:szCs w:val="18"/>
                <w:color w:val="auto"/>
              </w:rPr>
              <w:t>1,641</w:t>
            </w: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Acquisition related gain</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(6,160)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Charge on cash flow hedge</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3,646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Amortization of financing costs and debt discount</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7,899</w:t>
            </w:r>
          </w:p>
        </w:tc>
        <w:tc>
          <w:tcPr>
            <w:tcW w:w="920" w:type="dxa"/>
            <w:vAlign w:val="bottom"/>
          </w:tcPr>
          <w:p>
            <w:pPr>
              <w:jc w:val="right"/>
              <w:spacing w:after="0"/>
              <w:rPr>
                <w:sz w:val="20"/>
                <w:szCs w:val="20"/>
                <w:color w:val="auto"/>
              </w:rPr>
            </w:pPr>
            <w:r>
              <w:rPr>
                <w:rFonts w:ascii="Arial" w:cs="Arial" w:eastAsia="Arial" w:hAnsi="Arial"/>
                <w:sz w:val="18"/>
                <w:szCs w:val="18"/>
                <w:color w:val="auto"/>
              </w:rPr>
              <w:t>9,188</w:t>
            </w: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31,357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38,186</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Deferred taxes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(59,177)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(75,265)</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Foreign exchange movements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(3,345)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(37,421)</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Other non-cash items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18,202</w:t>
            </w:r>
          </w:p>
        </w:tc>
        <w:tc>
          <w:tcPr>
            <w:tcW w:w="920" w:type="dxa"/>
            <w:vAlign w:val="bottom"/>
          </w:tcPr>
          <w:p>
            <w:pPr>
              <w:jc w:val="right"/>
              <w:spacing w:after="0"/>
              <w:rPr>
                <w:sz w:val="20"/>
                <w:szCs w:val="20"/>
                <w:color w:val="auto"/>
              </w:rPr>
            </w:pPr>
            <w:r>
              <w:rPr>
                <w:rFonts w:ascii="Arial" w:cs="Arial" w:eastAsia="Arial" w:hAnsi="Arial"/>
                <w:sz w:val="18"/>
                <w:szCs w:val="18"/>
                <w:color w:val="auto"/>
              </w:rPr>
              <w:t>9,159</w:t>
            </w: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2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Accounts receivable</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(40,675)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(41,032)</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Unbilled revenue</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(27,210)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(33,187)</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Unearned revenue</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65,266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(176,904)</w:t>
            </w:r>
          </w:p>
        </w:tc>
        <w:tc>
          <w:tcPr>
            <w:tcW w:w="3200" w:type="dxa"/>
            <w:vAlign w:val="bottom"/>
          </w:tcPr>
          <w:p>
            <w:pPr>
              <w:spacing w:after="0"/>
              <w:rPr>
                <w:sz w:val="21"/>
                <w:szCs w:val="21"/>
                <w:color w:val="auto"/>
              </w:rPr>
            </w:pPr>
          </w:p>
        </w:tc>
      </w:tr>
      <w:tr>
        <w:trPr>
          <w:trHeight w:val="25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 assets</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(165,462)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157,154</w:t>
            </w: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379,381</w:t>
            </w:r>
          </w:p>
        </w:tc>
        <w:tc>
          <w:tcPr>
            <w:tcW w:w="920" w:type="dxa"/>
            <w:vAlign w:val="bottom"/>
          </w:tcPr>
          <w:p>
            <w:pPr>
              <w:jc w:val="right"/>
              <w:spacing w:after="0"/>
              <w:rPr>
                <w:sz w:val="20"/>
                <w:szCs w:val="20"/>
                <w:color w:val="auto"/>
              </w:rPr>
            </w:pPr>
            <w:r>
              <w:rPr>
                <w:rFonts w:ascii="Arial" w:cs="Arial" w:eastAsia="Arial" w:hAnsi="Arial"/>
                <w:sz w:val="18"/>
                <w:szCs w:val="18"/>
                <w:color w:val="auto"/>
              </w:rPr>
              <w:t>408,966</w:t>
            </w:r>
          </w:p>
        </w:tc>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2"/>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(58,880)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(47,840)</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Purchase of subsidiary undertakings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(5,100)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Purchase of investments in equity</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(4,733)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Sale of available for sale investments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482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1"/>
                <w:szCs w:val="21"/>
                <w:color w:val="auto"/>
              </w:rPr>
            </w:pPr>
          </w:p>
        </w:tc>
      </w:tr>
      <w:tr>
        <w:trPr>
          <w:trHeight w:val="25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of available for sale investments</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(422)</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1"/>
                <w:szCs w:val="2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(68,653)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(48,639)</w:t>
            </w:r>
          </w:p>
        </w:tc>
        <w:tc>
          <w:tcPr>
            <w:tcW w:w="3200" w:type="dxa"/>
            <w:vAlign w:val="bottom"/>
          </w:tcPr>
          <w:p>
            <w:pPr>
              <w:spacing w:after="0"/>
              <w:rPr>
                <w:sz w:val="20"/>
                <w:szCs w:val="20"/>
                <w:color w:val="auto"/>
              </w:rPr>
            </w:pPr>
          </w:p>
        </w:tc>
      </w:tr>
      <w:tr>
        <w:trPr>
          <w:trHeight w:val="242"/>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Drawdown of bank credit lines and loan facilities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230,000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Repayment of bank credit lines and loan facilities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(580,000)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(425,000)</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Proceeds from exercise of equity compensation</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20,177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15,140</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Share issue costs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20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(99,983)</w:t>
            </w:r>
          </w:p>
        </w:tc>
        <w:tc>
          <w:tcPr>
            <w:tcW w:w="3200" w:type="dxa"/>
            <w:vAlign w:val="bottom"/>
          </w:tcPr>
          <w:p>
            <w:pPr>
              <w:spacing w:after="0"/>
              <w:rPr>
                <w:sz w:val="21"/>
                <w:szCs w:val="21"/>
                <w:color w:val="auto"/>
              </w:rPr>
            </w:pPr>
          </w:p>
        </w:tc>
      </w:tr>
      <w:tr>
        <w:trPr>
          <w:trHeight w:val="25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repurchase costs</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(329,832)</w:t>
            </w:r>
          </w:p>
        </w:tc>
        <w:tc>
          <w:tcPr>
            <w:tcW w:w="920" w:type="dxa"/>
            <w:vAlign w:val="bottom"/>
          </w:tcPr>
          <w:p>
            <w:pPr>
              <w:jc w:val="right"/>
              <w:spacing w:after="0"/>
              <w:rPr>
                <w:sz w:val="20"/>
                <w:szCs w:val="20"/>
                <w:color w:val="auto"/>
              </w:rPr>
            </w:pPr>
            <w:r>
              <w:rPr>
                <w:rFonts w:ascii="Arial" w:cs="Arial" w:eastAsia="Arial" w:hAnsi="Arial"/>
                <w:sz w:val="18"/>
                <w:szCs w:val="18"/>
                <w:color w:val="auto"/>
              </w:rPr>
              <w:t>(484,863)</w:t>
            </w:r>
          </w:p>
        </w:tc>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49"/>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512</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(12,759)</w:t>
            </w:r>
          </w:p>
        </w:tc>
        <w:tc>
          <w:tcPr>
            <w:tcW w:w="3200" w:type="dxa"/>
            <w:vAlign w:val="bottom"/>
          </w:tcPr>
          <w:p>
            <w:pPr>
              <w:spacing w:after="0"/>
              <w:rPr>
                <w:sz w:val="21"/>
                <w:szCs w:val="21"/>
                <w:color w:val="auto"/>
              </w:rPr>
            </w:pPr>
          </w:p>
        </w:tc>
      </w:t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500" w:type="dxa"/>
            <w:vAlign w:val="bottom"/>
          </w:tcPr>
          <w:p>
            <w:pPr>
              <w:jc w:val="right"/>
              <w:ind w:right="90"/>
              <w:spacing w:after="0"/>
              <w:rPr>
                <w:sz w:val="20"/>
                <w:szCs w:val="20"/>
                <w:color w:val="auto"/>
              </w:rPr>
            </w:pPr>
            <w:r>
              <w:rPr>
                <w:rFonts w:ascii="Arial" w:cs="Arial" w:eastAsia="Arial" w:hAnsi="Arial"/>
                <w:sz w:val="18"/>
                <w:szCs w:val="18"/>
                <w:b w:val="1"/>
                <w:bCs w:val="1"/>
                <w:color w:val="auto"/>
              </w:rPr>
              <w:t>(18,592)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(137,295)</w:t>
            </w:r>
          </w:p>
        </w:tc>
        <w:tc>
          <w:tcPr>
            <w:tcW w:w="3200" w:type="dxa"/>
            <w:vAlign w:val="bottom"/>
          </w:tcPr>
          <w:p>
            <w:pPr>
              <w:spacing w:after="0"/>
              <w:rPr>
                <w:sz w:val="20"/>
                <w:szCs w:val="20"/>
                <w:color w:val="auto"/>
              </w:rPr>
            </w:pPr>
          </w:p>
        </w:tc>
      </w:tr>
      <w:tr>
        <w:trPr>
          <w:trHeight w:val="245"/>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288,768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752,213</w:t>
            </w:r>
          </w:p>
        </w:tc>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39"/>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$ 270,176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$ 614,918</w:t>
            </w:r>
          </w:p>
        </w:tc>
        <w:tc>
          <w:tcPr>
            <w:tcW w:w="2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67"/>
        </w:trPr>
        <w:tc>
          <w:tcPr>
            <w:tcW w:w="46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NON-GAAP MEASURES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THREE AND SIX MONTHS ENDED JUNE 30, 2023 AND JUNE 30, 2022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23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Three Months Ended</w:t>
            </w:r>
          </w:p>
        </w:tc>
        <w:tc>
          <w:tcPr>
            <w:tcW w:w="20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68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8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r>
      <w:tr>
        <w:trPr>
          <w:trHeight w:val="243"/>
        </w:trPr>
        <w:tc>
          <w:tcPr>
            <w:tcW w:w="6840" w:type="dxa"/>
            <w:vAlign w:val="bottom"/>
          </w:tcPr>
          <w:p>
            <w:pPr>
              <w:spacing w:after="0"/>
              <w:rPr>
                <w:sz w:val="21"/>
                <w:szCs w:val="21"/>
                <w:color w:val="auto"/>
              </w:rPr>
            </w:pPr>
          </w:p>
        </w:tc>
        <w:tc>
          <w:tcPr>
            <w:tcW w:w="4400" w:type="dxa"/>
            <w:vAlign w:val="bottom"/>
            <w:gridSpan w:val="7"/>
          </w:tcPr>
          <w:p>
            <w:pPr>
              <w:jc w:val="right"/>
              <w:ind w:right="190"/>
              <w:spacing w:after="0"/>
              <w:rPr>
                <w:sz w:val="20"/>
                <w:szCs w:val="20"/>
                <w:color w:val="auto"/>
              </w:rPr>
            </w:pPr>
            <w:r>
              <w:rPr>
                <w:rFonts w:ascii="Arial" w:cs="Arial" w:eastAsia="Arial" w:hAnsi="Arial"/>
                <w:sz w:val="18"/>
                <w:szCs w:val="18"/>
                <w:b w:val="1"/>
                <w:bCs w:val="1"/>
                <w:color w:val="auto"/>
              </w:rPr>
              <w:t>(in thousands except share and per share data)</w:t>
            </w:r>
          </w:p>
        </w:tc>
      </w:tr>
      <w:tr>
        <w:trPr>
          <w:trHeight w:val="486"/>
        </w:trPr>
        <w:tc>
          <w:tcPr>
            <w:tcW w:w="6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260" w:type="dxa"/>
            <w:vAlign w:val="bottom"/>
          </w:tcPr>
          <w:p>
            <w:pPr>
              <w:jc w:val="right"/>
              <w:spacing w:after="0"/>
              <w:rPr>
                <w:sz w:val="20"/>
                <w:szCs w:val="20"/>
                <w:color w:val="auto"/>
              </w:rPr>
            </w:pPr>
            <w:r>
              <w:rPr>
                <w:rFonts w:ascii="Arial" w:cs="Arial" w:eastAsia="Arial" w:hAnsi="Arial"/>
                <w:sz w:val="18"/>
                <w:szCs w:val="18"/>
                <w:color w:val="auto"/>
              </w:rPr>
              <w:t>$ 115,598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$ 115,734</w:t>
            </w:r>
          </w:p>
        </w:tc>
        <w:tc>
          <w:tcPr>
            <w:tcW w:w="980" w:type="dxa"/>
            <w:vAlign w:val="bottom"/>
          </w:tcPr>
          <w:p>
            <w:pPr>
              <w:jc w:val="right"/>
              <w:spacing w:after="0"/>
              <w:rPr>
                <w:sz w:val="20"/>
                <w:szCs w:val="20"/>
                <w:color w:val="auto"/>
              </w:rPr>
            </w:pPr>
            <w:r>
              <w:rPr>
                <w:rFonts w:ascii="Arial" w:cs="Arial" w:eastAsia="Arial" w:hAnsi="Arial"/>
                <w:sz w:val="18"/>
                <w:szCs w:val="18"/>
                <w:color w:val="auto"/>
              </w:rPr>
              <w:t>$ 232,252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$ 227,704</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856</w:t>
            </w:r>
          </w:p>
        </w:tc>
        <w:tc>
          <w:tcPr>
            <w:tcW w:w="980" w:type="dxa"/>
            <w:vAlign w:val="bottom"/>
          </w:tcPr>
          <w:p>
            <w:pPr>
              <w:jc w:val="right"/>
              <w:spacing w:after="0"/>
              <w:rPr>
                <w:sz w:val="20"/>
                <w:szCs w:val="20"/>
                <w:color w:val="auto"/>
              </w:rPr>
            </w:pPr>
            <w:r>
              <w:rPr>
                <w:rFonts w:ascii="Arial" w:cs="Arial" w:eastAsia="Arial" w:hAnsi="Arial"/>
                <w:sz w:val="18"/>
                <w:szCs w:val="18"/>
                <w:color w:val="auto"/>
              </w:rPr>
              <w:t>383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1,641</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jc w:val="right"/>
              <w:spacing w:after="0"/>
              <w:rPr>
                <w:sz w:val="20"/>
                <w:szCs w:val="20"/>
                <w:color w:val="auto"/>
              </w:rPr>
            </w:pPr>
            <w:r>
              <w:rPr>
                <w:rFonts w:ascii="Arial" w:cs="Arial" w:eastAsia="Arial" w:hAnsi="Arial"/>
                <w:sz w:val="18"/>
                <w:szCs w:val="18"/>
                <w:color w:val="auto"/>
              </w:rPr>
              <w:t>9,629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14,254</w:t>
            </w:r>
          </w:p>
        </w:tc>
        <w:tc>
          <w:tcPr>
            <w:tcW w:w="980" w:type="dxa"/>
            <w:vAlign w:val="bottom"/>
          </w:tcPr>
          <w:p>
            <w:pPr>
              <w:jc w:val="right"/>
              <w:spacing w:after="0"/>
              <w:rPr>
                <w:sz w:val="20"/>
                <w:szCs w:val="20"/>
                <w:color w:val="auto"/>
              </w:rPr>
            </w:pPr>
            <w:r>
              <w:rPr>
                <w:rFonts w:ascii="Arial" w:cs="Arial" w:eastAsia="Arial" w:hAnsi="Arial"/>
                <w:sz w:val="18"/>
                <w:szCs w:val="18"/>
                <w:color w:val="auto"/>
              </w:rPr>
              <w:t>23,902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27,540</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Net interest expense</w:t>
            </w:r>
          </w:p>
        </w:tc>
        <w:tc>
          <w:tcPr>
            <w:tcW w:w="1260" w:type="dxa"/>
            <w:vAlign w:val="bottom"/>
          </w:tcPr>
          <w:p>
            <w:pPr>
              <w:jc w:val="right"/>
              <w:spacing w:after="0"/>
              <w:rPr>
                <w:sz w:val="20"/>
                <w:szCs w:val="20"/>
                <w:color w:val="auto"/>
              </w:rPr>
            </w:pPr>
            <w:r>
              <w:rPr>
                <w:rFonts w:ascii="Arial" w:cs="Arial" w:eastAsia="Arial" w:hAnsi="Arial"/>
                <w:sz w:val="18"/>
                <w:szCs w:val="18"/>
                <w:color w:val="auto"/>
              </w:rPr>
              <w:t>84,257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46,945</w:t>
            </w:r>
          </w:p>
        </w:tc>
        <w:tc>
          <w:tcPr>
            <w:tcW w:w="980" w:type="dxa"/>
            <w:vAlign w:val="bottom"/>
          </w:tcPr>
          <w:p>
            <w:pPr>
              <w:jc w:val="right"/>
              <w:spacing w:after="0"/>
              <w:rPr>
                <w:sz w:val="20"/>
                <w:szCs w:val="20"/>
                <w:color w:val="auto"/>
              </w:rPr>
            </w:pPr>
            <w:r>
              <w:rPr>
                <w:rFonts w:ascii="Arial" w:cs="Arial" w:eastAsia="Arial" w:hAnsi="Arial"/>
                <w:sz w:val="18"/>
                <w:szCs w:val="18"/>
                <w:color w:val="auto"/>
              </w:rPr>
              <w:t>169,736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91,243</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145,059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144,019</w:t>
            </w:r>
          </w:p>
        </w:tc>
        <w:tc>
          <w:tcPr>
            <w:tcW w:w="980" w:type="dxa"/>
            <w:vAlign w:val="bottom"/>
          </w:tcPr>
          <w:p>
            <w:pPr>
              <w:jc w:val="right"/>
              <w:spacing w:after="0"/>
              <w:rPr>
                <w:sz w:val="20"/>
                <w:szCs w:val="20"/>
                <w:color w:val="auto"/>
              </w:rPr>
            </w:pPr>
            <w:r>
              <w:rPr>
                <w:rFonts w:ascii="Arial" w:cs="Arial" w:eastAsia="Arial" w:hAnsi="Arial"/>
                <w:sz w:val="18"/>
                <w:szCs w:val="18"/>
                <w:color w:val="auto"/>
              </w:rPr>
              <w:t>290,185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285,424</w:t>
            </w:r>
          </w:p>
        </w:tc>
      </w:tr>
      <w:tr>
        <w:trPr>
          <w:trHeight w:val="246"/>
        </w:trPr>
        <w:tc>
          <w:tcPr>
            <w:tcW w:w="684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(a)</w:t>
            </w:r>
          </w:p>
        </w:tc>
        <w:tc>
          <w:tcPr>
            <w:tcW w:w="1260" w:type="dxa"/>
            <w:vAlign w:val="bottom"/>
          </w:tcPr>
          <w:p>
            <w:pPr>
              <w:jc w:val="right"/>
              <w:spacing w:after="0"/>
              <w:rPr>
                <w:sz w:val="20"/>
                <w:szCs w:val="20"/>
                <w:color w:val="auto"/>
              </w:rPr>
            </w:pPr>
            <w:r>
              <w:rPr>
                <w:rFonts w:ascii="Arial" w:cs="Arial" w:eastAsia="Arial" w:hAnsi="Arial"/>
                <w:sz w:val="18"/>
                <w:szCs w:val="18"/>
                <w:color w:val="auto"/>
              </w:rPr>
              <w:t>16,598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18,893</w:t>
            </w:r>
          </w:p>
        </w:tc>
        <w:tc>
          <w:tcPr>
            <w:tcW w:w="980" w:type="dxa"/>
            <w:vAlign w:val="bottom"/>
          </w:tcPr>
          <w:p>
            <w:pPr>
              <w:jc w:val="right"/>
              <w:spacing w:after="0"/>
              <w:rPr>
                <w:sz w:val="20"/>
                <w:szCs w:val="20"/>
                <w:color w:val="auto"/>
              </w:rPr>
            </w:pPr>
            <w:r>
              <w:rPr>
                <w:rFonts w:ascii="Arial" w:cs="Arial" w:eastAsia="Arial" w:hAnsi="Arial"/>
                <w:sz w:val="18"/>
                <w:szCs w:val="18"/>
                <w:color w:val="auto"/>
              </w:rPr>
              <w:t>31,357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38,113</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(b)</w:t>
            </w:r>
          </w:p>
        </w:tc>
        <w:tc>
          <w:tcPr>
            <w:tcW w:w="1260" w:type="dxa"/>
            <w:vAlign w:val="bottom"/>
          </w:tcPr>
          <w:p>
            <w:pPr>
              <w:jc w:val="right"/>
              <w:spacing w:after="0"/>
              <w:rPr>
                <w:sz w:val="20"/>
                <w:szCs w:val="20"/>
                <w:color w:val="auto"/>
              </w:rPr>
            </w:pPr>
            <w:r>
              <w:rPr>
                <w:rFonts w:ascii="Arial" w:cs="Arial" w:eastAsia="Arial" w:hAnsi="Arial"/>
                <w:sz w:val="18"/>
                <w:szCs w:val="18"/>
                <w:color w:val="auto"/>
              </w:rPr>
              <w:t>903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(17,817)</w:t>
            </w:r>
          </w:p>
        </w:tc>
        <w:tc>
          <w:tcPr>
            <w:tcW w:w="980" w:type="dxa"/>
            <w:vAlign w:val="bottom"/>
          </w:tcPr>
          <w:p>
            <w:pPr>
              <w:jc w:val="right"/>
              <w:spacing w:after="0"/>
              <w:rPr>
                <w:sz w:val="20"/>
                <w:szCs w:val="20"/>
                <w:color w:val="auto"/>
              </w:rPr>
            </w:pPr>
            <w:r>
              <w:rPr>
                <w:rFonts w:ascii="Arial" w:cs="Arial" w:eastAsia="Arial" w:hAnsi="Arial"/>
                <w:sz w:val="18"/>
                <w:szCs w:val="18"/>
                <w:color w:val="auto"/>
              </w:rPr>
              <w:t>2,241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(24,417)</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(c)</w:t>
            </w:r>
          </w:p>
        </w:tc>
        <w:tc>
          <w:tcPr>
            <w:tcW w:w="1260" w:type="dxa"/>
            <w:vAlign w:val="bottom"/>
          </w:tcPr>
          <w:p>
            <w:pPr>
              <w:jc w:val="right"/>
              <w:spacing w:after="0"/>
              <w:rPr>
                <w:sz w:val="20"/>
                <w:szCs w:val="20"/>
                <w:color w:val="auto"/>
              </w:rPr>
            </w:pPr>
            <w:r>
              <w:rPr>
                <w:rFonts w:ascii="Arial" w:cs="Arial" w:eastAsia="Arial" w:hAnsi="Arial"/>
                <w:sz w:val="18"/>
                <w:szCs w:val="18"/>
                <w:color w:val="auto"/>
              </w:rPr>
              <w:t>35,661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22,486</w:t>
            </w:r>
          </w:p>
        </w:tc>
        <w:tc>
          <w:tcPr>
            <w:tcW w:w="980" w:type="dxa"/>
            <w:vAlign w:val="bottom"/>
          </w:tcPr>
          <w:p>
            <w:pPr>
              <w:jc w:val="right"/>
              <w:spacing w:after="0"/>
              <w:rPr>
                <w:sz w:val="20"/>
                <w:szCs w:val="20"/>
                <w:color w:val="auto"/>
              </w:rPr>
            </w:pPr>
            <w:r>
              <w:rPr>
                <w:rFonts w:ascii="Arial" w:cs="Arial" w:eastAsia="Arial" w:hAnsi="Arial"/>
                <w:sz w:val="18"/>
                <w:szCs w:val="18"/>
                <w:color w:val="auto"/>
              </w:rPr>
              <w:t>45,390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26,693</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 integration-related costs </w:t>
            </w:r>
            <w:r>
              <w:rPr>
                <w:rFonts w:ascii="Arial" w:cs="Arial" w:eastAsia="Arial" w:hAnsi="Arial"/>
                <w:sz w:val="28"/>
                <w:szCs w:val="28"/>
                <w:color w:val="auto"/>
                <w:vertAlign w:val="superscript"/>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12,701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8,884</w:t>
            </w:r>
          </w:p>
        </w:tc>
        <w:tc>
          <w:tcPr>
            <w:tcW w:w="980" w:type="dxa"/>
            <w:vAlign w:val="bottom"/>
          </w:tcPr>
          <w:p>
            <w:pPr>
              <w:jc w:val="right"/>
              <w:spacing w:after="0"/>
              <w:rPr>
                <w:sz w:val="20"/>
                <w:szCs w:val="20"/>
                <w:color w:val="auto"/>
              </w:rPr>
            </w:pPr>
            <w:r>
              <w:rPr>
                <w:rFonts w:ascii="Arial" w:cs="Arial" w:eastAsia="Arial" w:hAnsi="Arial"/>
                <w:sz w:val="18"/>
                <w:szCs w:val="18"/>
                <w:color w:val="auto"/>
              </w:rPr>
              <w:t>24,083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20,969</w:t>
            </w:r>
          </w:p>
        </w:tc>
      </w:tr>
      <w:tr>
        <w:trPr>
          <w:trHeight w:val="254"/>
        </w:trPr>
        <w:tc>
          <w:tcPr>
            <w:tcW w:w="684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Oncacare (gain) </w:t>
            </w:r>
            <w:r>
              <w:rPr>
                <w:rFonts w:ascii="Arial" w:cs="Arial" w:eastAsia="Arial" w:hAnsi="Arial"/>
                <w:sz w:val="29"/>
                <w:szCs w:val="29"/>
                <w:color w:val="auto"/>
                <w:vertAlign w:val="superscript"/>
              </w:rPr>
              <w:t>(f)</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w:t>
            </w:r>
          </w:p>
        </w:tc>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$ 414,246</w:t>
            </w: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$ 354,254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$ 813,369</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$ 694,910</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39"/>
        </w:trPr>
        <w:tc>
          <w:tcPr>
            <w:tcW w:w="6840" w:type="dxa"/>
            <w:vAlign w:val="bottom"/>
          </w:tcPr>
          <w:p>
            <w:pPr>
              <w:spacing w:after="0"/>
              <w:rPr>
                <w:sz w:val="20"/>
                <w:szCs w:val="20"/>
                <w:color w:val="auto"/>
              </w:rPr>
            </w:pPr>
            <w:r>
              <w:rPr>
                <w:rFonts w:ascii="Arial" w:cs="Arial" w:eastAsia="Arial" w:hAnsi="Arial"/>
                <w:sz w:val="18"/>
                <w:szCs w:val="18"/>
                <w:b w:val="1"/>
                <w:bCs w:val="1"/>
                <w:color w:val="auto"/>
                <w:w w:val="96"/>
              </w:rPr>
              <w:t>Adjusted net income attributable to the Group and adjusted diluted net income per</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Ordinary Share attributable to the Group</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260" w:type="dxa"/>
            <w:vAlign w:val="bottom"/>
          </w:tcPr>
          <w:p>
            <w:pPr>
              <w:jc w:val="right"/>
              <w:spacing w:after="0"/>
              <w:rPr>
                <w:sz w:val="20"/>
                <w:szCs w:val="20"/>
                <w:color w:val="auto"/>
              </w:rPr>
            </w:pPr>
            <w:r>
              <w:rPr>
                <w:rFonts w:ascii="Arial" w:cs="Arial" w:eastAsia="Arial" w:hAnsi="Arial"/>
                <w:sz w:val="18"/>
                <w:szCs w:val="18"/>
                <w:color w:val="auto"/>
              </w:rPr>
              <w:t>$ 115,598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$ 115,734</w:t>
            </w:r>
          </w:p>
        </w:tc>
        <w:tc>
          <w:tcPr>
            <w:tcW w:w="980" w:type="dxa"/>
            <w:vAlign w:val="bottom"/>
          </w:tcPr>
          <w:p>
            <w:pPr>
              <w:jc w:val="right"/>
              <w:spacing w:after="0"/>
              <w:rPr>
                <w:sz w:val="20"/>
                <w:szCs w:val="20"/>
                <w:color w:val="auto"/>
              </w:rPr>
            </w:pPr>
            <w:r>
              <w:rPr>
                <w:rFonts w:ascii="Arial" w:cs="Arial" w:eastAsia="Arial" w:hAnsi="Arial"/>
                <w:sz w:val="18"/>
                <w:szCs w:val="18"/>
                <w:color w:val="auto"/>
              </w:rPr>
              <w:t>$ 232,252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$ 227,704</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jc w:val="right"/>
              <w:spacing w:after="0"/>
              <w:rPr>
                <w:sz w:val="20"/>
                <w:szCs w:val="20"/>
                <w:color w:val="auto"/>
              </w:rPr>
            </w:pPr>
            <w:r>
              <w:rPr>
                <w:rFonts w:ascii="Arial" w:cs="Arial" w:eastAsia="Arial" w:hAnsi="Arial"/>
                <w:sz w:val="18"/>
                <w:szCs w:val="18"/>
                <w:color w:val="auto"/>
              </w:rPr>
              <w:t>9,629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14,254</w:t>
            </w:r>
          </w:p>
        </w:tc>
        <w:tc>
          <w:tcPr>
            <w:tcW w:w="980" w:type="dxa"/>
            <w:vAlign w:val="bottom"/>
          </w:tcPr>
          <w:p>
            <w:pPr>
              <w:jc w:val="right"/>
              <w:spacing w:after="0"/>
              <w:rPr>
                <w:sz w:val="20"/>
                <w:szCs w:val="20"/>
                <w:color w:val="auto"/>
              </w:rPr>
            </w:pPr>
            <w:r>
              <w:rPr>
                <w:rFonts w:ascii="Arial" w:cs="Arial" w:eastAsia="Arial" w:hAnsi="Arial"/>
                <w:sz w:val="18"/>
                <w:szCs w:val="18"/>
                <w:color w:val="auto"/>
              </w:rPr>
              <w:t>23,902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27,540</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Amortization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114,617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118,325</w:t>
            </w:r>
          </w:p>
        </w:tc>
        <w:tc>
          <w:tcPr>
            <w:tcW w:w="980" w:type="dxa"/>
            <w:vAlign w:val="bottom"/>
          </w:tcPr>
          <w:p>
            <w:pPr>
              <w:jc w:val="right"/>
              <w:spacing w:after="0"/>
              <w:rPr>
                <w:sz w:val="20"/>
                <w:szCs w:val="20"/>
                <w:color w:val="auto"/>
              </w:rPr>
            </w:pPr>
            <w:r>
              <w:rPr>
                <w:rFonts w:ascii="Arial" w:cs="Arial" w:eastAsia="Arial" w:hAnsi="Arial"/>
                <w:sz w:val="18"/>
                <w:szCs w:val="18"/>
                <w:color w:val="auto"/>
              </w:rPr>
              <w:t>229,295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233,127</w:t>
            </w:r>
          </w:p>
        </w:tc>
      </w:tr>
      <w:tr>
        <w:trPr>
          <w:trHeight w:val="246"/>
        </w:trPr>
        <w:tc>
          <w:tcPr>
            <w:tcW w:w="684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(a)</w:t>
            </w:r>
          </w:p>
        </w:tc>
        <w:tc>
          <w:tcPr>
            <w:tcW w:w="1260" w:type="dxa"/>
            <w:vAlign w:val="bottom"/>
          </w:tcPr>
          <w:p>
            <w:pPr>
              <w:jc w:val="right"/>
              <w:spacing w:after="0"/>
              <w:rPr>
                <w:sz w:val="20"/>
                <w:szCs w:val="20"/>
                <w:color w:val="auto"/>
              </w:rPr>
            </w:pPr>
            <w:r>
              <w:rPr>
                <w:rFonts w:ascii="Arial" w:cs="Arial" w:eastAsia="Arial" w:hAnsi="Arial"/>
                <w:sz w:val="18"/>
                <w:szCs w:val="18"/>
                <w:color w:val="auto"/>
              </w:rPr>
              <w:t>16,598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18,893</w:t>
            </w:r>
          </w:p>
        </w:tc>
        <w:tc>
          <w:tcPr>
            <w:tcW w:w="980" w:type="dxa"/>
            <w:vAlign w:val="bottom"/>
          </w:tcPr>
          <w:p>
            <w:pPr>
              <w:jc w:val="right"/>
              <w:spacing w:after="0"/>
              <w:rPr>
                <w:sz w:val="20"/>
                <w:szCs w:val="20"/>
                <w:color w:val="auto"/>
              </w:rPr>
            </w:pPr>
            <w:r>
              <w:rPr>
                <w:rFonts w:ascii="Arial" w:cs="Arial" w:eastAsia="Arial" w:hAnsi="Arial"/>
                <w:sz w:val="18"/>
                <w:szCs w:val="18"/>
                <w:color w:val="auto"/>
              </w:rPr>
              <w:t>31,357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38,113</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(b)</w:t>
            </w:r>
          </w:p>
        </w:tc>
        <w:tc>
          <w:tcPr>
            <w:tcW w:w="1260" w:type="dxa"/>
            <w:vAlign w:val="bottom"/>
          </w:tcPr>
          <w:p>
            <w:pPr>
              <w:jc w:val="right"/>
              <w:spacing w:after="0"/>
              <w:rPr>
                <w:sz w:val="20"/>
                <w:szCs w:val="20"/>
                <w:color w:val="auto"/>
              </w:rPr>
            </w:pPr>
            <w:r>
              <w:rPr>
                <w:rFonts w:ascii="Arial" w:cs="Arial" w:eastAsia="Arial" w:hAnsi="Arial"/>
                <w:sz w:val="18"/>
                <w:szCs w:val="18"/>
                <w:color w:val="auto"/>
              </w:rPr>
              <w:t>903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(17,817)</w:t>
            </w:r>
          </w:p>
        </w:tc>
        <w:tc>
          <w:tcPr>
            <w:tcW w:w="980" w:type="dxa"/>
            <w:vAlign w:val="bottom"/>
          </w:tcPr>
          <w:p>
            <w:pPr>
              <w:jc w:val="right"/>
              <w:spacing w:after="0"/>
              <w:rPr>
                <w:sz w:val="20"/>
                <w:szCs w:val="20"/>
                <w:color w:val="auto"/>
              </w:rPr>
            </w:pPr>
            <w:r>
              <w:rPr>
                <w:rFonts w:ascii="Arial" w:cs="Arial" w:eastAsia="Arial" w:hAnsi="Arial"/>
                <w:sz w:val="18"/>
                <w:szCs w:val="18"/>
                <w:color w:val="auto"/>
              </w:rPr>
              <w:t>2,241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(24,417)</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(c)</w:t>
            </w:r>
          </w:p>
        </w:tc>
        <w:tc>
          <w:tcPr>
            <w:tcW w:w="1260" w:type="dxa"/>
            <w:vAlign w:val="bottom"/>
          </w:tcPr>
          <w:p>
            <w:pPr>
              <w:jc w:val="right"/>
              <w:spacing w:after="0"/>
              <w:rPr>
                <w:sz w:val="20"/>
                <w:szCs w:val="20"/>
                <w:color w:val="auto"/>
              </w:rPr>
            </w:pPr>
            <w:r>
              <w:rPr>
                <w:rFonts w:ascii="Arial" w:cs="Arial" w:eastAsia="Arial" w:hAnsi="Arial"/>
                <w:sz w:val="18"/>
                <w:szCs w:val="18"/>
                <w:color w:val="auto"/>
              </w:rPr>
              <w:t>35,661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22,486</w:t>
            </w:r>
          </w:p>
        </w:tc>
        <w:tc>
          <w:tcPr>
            <w:tcW w:w="980" w:type="dxa"/>
            <w:vAlign w:val="bottom"/>
          </w:tcPr>
          <w:p>
            <w:pPr>
              <w:jc w:val="right"/>
              <w:spacing w:after="0"/>
              <w:rPr>
                <w:sz w:val="20"/>
                <w:szCs w:val="20"/>
                <w:color w:val="auto"/>
              </w:rPr>
            </w:pPr>
            <w:r>
              <w:rPr>
                <w:rFonts w:ascii="Arial" w:cs="Arial" w:eastAsia="Arial" w:hAnsi="Arial"/>
                <w:sz w:val="18"/>
                <w:szCs w:val="18"/>
                <w:color w:val="auto"/>
              </w:rPr>
              <w:t>45,390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26,693</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 integration-related costs </w:t>
            </w:r>
            <w:r>
              <w:rPr>
                <w:rFonts w:ascii="Arial" w:cs="Arial" w:eastAsia="Arial" w:hAnsi="Arial"/>
                <w:sz w:val="28"/>
                <w:szCs w:val="28"/>
                <w:color w:val="auto"/>
                <w:vertAlign w:val="superscript"/>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12,701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8,884</w:t>
            </w:r>
          </w:p>
        </w:tc>
        <w:tc>
          <w:tcPr>
            <w:tcW w:w="980" w:type="dxa"/>
            <w:vAlign w:val="bottom"/>
          </w:tcPr>
          <w:p>
            <w:pPr>
              <w:jc w:val="right"/>
              <w:spacing w:after="0"/>
              <w:rPr>
                <w:sz w:val="20"/>
                <w:szCs w:val="20"/>
                <w:color w:val="auto"/>
              </w:rPr>
            </w:pPr>
            <w:r>
              <w:rPr>
                <w:rFonts w:ascii="Arial" w:cs="Arial" w:eastAsia="Arial" w:hAnsi="Arial"/>
                <w:sz w:val="18"/>
                <w:szCs w:val="18"/>
                <w:color w:val="auto"/>
              </w:rPr>
              <w:t>24,083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20,969</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financing costs </w:t>
            </w:r>
            <w:r>
              <w:rPr>
                <w:rFonts w:ascii="Arial" w:cs="Arial" w:eastAsia="Arial" w:hAnsi="Arial"/>
                <w:sz w:val="28"/>
                <w:szCs w:val="28"/>
                <w:color w:val="auto"/>
                <w:vertAlign w:val="superscript"/>
              </w:rPr>
              <w:t>(e)</w:t>
            </w:r>
          </w:p>
        </w:tc>
        <w:tc>
          <w:tcPr>
            <w:tcW w:w="1260" w:type="dxa"/>
            <w:vAlign w:val="bottom"/>
          </w:tcPr>
          <w:p>
            <w:pPr>
              <w:jc w:val="right"/>
              <w:spacing w:after="0"/>
              <w:rPr>
                <w:sz w:val="20"/>
                <w:szCs w:val="20"/>
                <w:color w:val="auto"/>
              </w:rPr>
            </w:pPr>
            <w:r>
              <w:rPr>
                <w:rFonts w:ascii="Arial" w:cs="Arial" w:eastAsia="Arial" w:hAnsi="Arial"/>
                <w:sz w:val="18"/>
                <w:szCs w:val="18"/>
                <w:color w:val="auto"/>
              </w:rPr>
              <w:t>3,401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3,504</w:t>
            </w:r>
          </w:p>
        </w:tc>
        <w:tc>
          <w:tcPr>
            <w:tcW w:w="980" w:type="dxa"/>
            <w:vAlign w:val="bottom"/>
          </w:tcPr>
          <w:p>
            <w:pPr>
              <w:jc w:val="right"/>
              <w:spacing w:after="0"/>
              <w:rPr>
                <w:sz w:val="20"/>
                <w:szCs w:val="20"/>
                <w:color w:val="auto"/>
              </w:rPr>
            </w:pPr>
            <w:r>
              <w:rPr>
                <w:rFonts w:ascii="Arial" w:cs="Arial" w:eastAsia="Arial" w:hAnsi="Arial"/>
                <w:sz w:val="18"/>
                <w:szCs w:val="18"/>
                <w:color w:val="auto"/>
              </w:rPr>
              <w:t>7,899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9,255</w:t>
            </w:r>
          </w:p>
        </w:tc>
      </w:tr>
      <w:tr>
        <w:trPr>
          <w:trHeight w:val="243"/>
        </w:trPr>
        <w:tc>
          <w:tcPr>
            <w:tcW w:w="6840" w:type="dxa"/>
            <w:vAlign w:val="bottom"/>
          </w:tcPr>
          <w:p>
            <w:pPr>
              <w:spacing w:after="0" w:line="243" w:lineRule="exact"/>
              <w:rPr>
                <w:sz w:val="20"/>
                <w:szCs w:val="20"/>
                <w:color w:val="auto"/>
              </w:rPr>
            </w:pPr>
            <w:r>
              <w:rPr>
                <w:rFonts w:ascii="Arial" w:cs="Arial" w:eastAsia="Arial" w:hAnsi="Arial"/>
                <w:sz w:val="17"/>
                <w:szCs w:val="17"/>
                <w:color w:val="auto"/>
              </w:rPr>
              <w:t xml:space="preserve">Oncacare (gain) </w:t>
            </w:r>
            <w:r>
              <w:rPr>
                <w:rFonts w:ascii="Arial" w:cs="Arial" w:eastAsia="Arial" w:hAnsi="Arial"/>
                <w:sz w:val="28"/>
                <w:szCs w:val="28"/>
                <w:color w:val="auto"/>
                <w:vertAlign w:val="superscript"/>
              </w:rPr>
              <w:t>(f)</w:t>
            </w:r>
          </w:p>
        </w:tc>
        <w:tc>
          <w:tcPr>
            <w:tcW w:w="1260" w:type="dxa"/>
            <w:vAlign w:val="bottom"/>
          </w:tcPr>
          <w:p>
            <w:pPr>
              <w:jc w:val="right"/>
              <w:spacing w:after="0"/>
              <w:rPr>
                <w:sz w:val="20"/>
                <w:szCs w:val="20"/>
                <w:color w:val="auto"/>
              </w:rPr>
            </w:pPr>
            <w:r>
              <w:rPr>
                <w:rFonts w:ascii="Arial" w:cs="Arial" w:eastAsia="Arial" w:hAnsi="Arial"/>
                <w:sz w:val="18"/>
                <w:szCs w:val="18"/>
                <w:color w:val="auto"/>
              </w:rPr>
              <w:t>(6,160)</w:t>
            </w:r>
          </w:p>
        </w:tc>
        <w:tc>
          <w:tcPr>
            <w:tcW w:w="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(6,160)</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6840" w:type="dxa"/>
            <w:vAlign w:val="bottom"/>
          </w:tcPr>
          <w:p>
            <w:pPr>
              <w:spacing w:after="0" w:line="253" w:lineRule="exact"/>
              <w:rPr>
                <w:sz w:val="20"/>
                <w:szCs w:val="20"/>
                <w:color w:val="auto"/>
              </w:rPr>
            </w:pPr>
            <w:r>
              <w:rPr>
                <w:rFonts w:ascii="Arial" w:cs="Arial" w:eastAsia="Arial" w:hAnsi="Arial"/>
                <w:sz w:val="18"/>
                <w:szCs w:val="18"/>
                <w:color w:val="auto"/>
              </w:rPr>
              <w:t xml:space="preserve">Adjusted tax expense </w:t>
            </w:r>
            <w:r>
              <w:rPr>
                <w:rFonts w:ascii="Arial" w:cs="Arial" w:eastAsia="Arial" w:hAnsi="Arial"/>
                <w:sz w:val="29"/>
                <w:szCs w:val="29"/>
                <w:color w:val="auto"/>
                <w:vertAlign w:val="superscript"/>
              </w:rPr>
              <w:t>(g)</w:t>
            </w:r>
          </w:p>
        </w:tc>
        <w:tc>
          <w:tcPr>
            <w:tcW w:w="1260" w:type="dxa"/>
            <w:vAlign w:val="bottom"/>
          </w:tcPr>
          <w:p>
            <w:pPr>
              <w:jc w:val="right"/>
              <w:spacing w:after="0"/>
              <w:rPr>
                <w:sz w:val="20"/>
                <w:szCs w:val="20"/>
                <w:color w:val="auto"/>
              </w:rPr>
            </w:pPr>
            <w:r>
              <w:rPr>
                <w:rFonts w:ascii="Arial" w:cs="Arial" w:eastAsia="Arial" w:hAnsi="Arial"/>
                <w:sz w:val="18"/>
                <w:szCs w:val="18"/>
                <w:color w:val="auto"/>
              </w:rPr>
              <w:t>(46,048)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(48,465)</w:t>
            </w:r>
          </w:p>
        </w:tc>
        <w:tc>
          <w:tcPr>
            <w:tcW w:w="980" w:type="dxa"/>
            <w:vAlign w:val="bottom"/>
          </w:tcPr>
          <w:p>
            <w:pPr>
              <w:jc w:val="right"/>
              <w:spacing w:after="0"/>
              <w:rPr>
                <w:sz w:val="20"/>
                <w:szCs w:val="20"/>
                <w:color w:val="auto"/>
              </w:rPr>
            </w:pPr>
            <w:r>
              <w:rPr>
                <w:rFonts w:ascii="Arial" w:cs="Arial" w:eastAsia="Arial" w:hAnsi="Arial"/>
                <w:sz w:val="18"/>
                <w:szCs w:val="18"/>
                <w:color w:val="auto"/>
              </w:rPr>
              <w:t>(93,517)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(95,238)</w:t>
            </w:r>
          </w:p>
        </w:tc>
      </w:tr>
      <w:tr>
        <w:trPr>
          <w:trHeight w:val="232"/>
        </w:trPr>
        <w:tc>
          <w:tcPr>
            <w:tcW w:w="6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Adjusted net income attributable to the Group</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$ 256,900</w:t>
            </w:r>
          </w:p>
        </w:tc>
        <w:tc>
          <w:tcPr>
            <w:tcW w:w="60" w:type="dxa"/>
            <w:vAlign w:val="bottom"/>
            <w:tcBorders>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$ 235,798</w:t>
            </w:r>
          </w:p>
        </w:tc>
        <w:tc>
          <w:tcPr>
            <w:tcW w:w="80" w:type="dxa"/>
            <w:vAlign w:val="bottom"/>
            <w:tcBorders>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$ 496,742</w:t>
            </w:r>
          </w:p>
        </w:tc>
        <w:tc>
          <w:tcPr>
            <w:tcW w:w="60" w:type="dxa"/>
            <w:vAlign w:val="bottom"/>
            <w:tcBorders>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$ 463,746</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457"/>
        </w:trPr>
        <w:tc>
          <w:tcPr>
            <w:tcW w:w="6840" w:type="dxa"/>
            <w:vAlign w:val="bottom"/>
          </w:tcPr>
          <w:p>
            <w:pPr>
              <w:spacing w:after="0"/>
              <w:rPr>
                <w:sz w:val="20"/>
                <w:szCs w:val="20"/>
                <w:color w:val="auto"/>
              </w:rPr>
            </w:pPr>
            <w:r>
              <w:rPr>
                <w:rFonts w:ascii="Arial" w:cs="Arial" w:eastAsia="Arial" w:hAnsi="Arial"/>
                <w:sz w:val="18"/>
                <w:szCs w:val="18"/>
                <w:color w:val="auto"/>
              </w:rPr>
              <w:t>Diluted weighted average number of Ordinary Shares outstanding</w:t>
            </w:r>
          </w:p>
        </w:tc>
        <w:tc>
          <w:tcPr>
            <w:tcW w:w="1260" w:type="dxa"/>
            <w:vAlign w:val="bottom"/>
          </w:tcPr>
          <w:p>
            <w:pPr>
              <w:jc w:val="right"/>
              <w:spacing w:after="0"/>
              <w:rPr>
                <w:sz w:val="20"/>
                <w:szCs w:val="20"/>
                <w:color w:val="auto"/>
              </w:rPr>
            </w:pPr>
            <w:r>
              <w:rPr>
                <w:rFonts w:ascii="Arial" w:cs="Arial" w:eastAsia="Arial" w:hAnsi="Arial"/>
                <w:sz w:val="18"/>
                <w:szCs w:val="18"/>
                <w:color w:val="auto"/>
              </w:rPr>
              <w:t>82,627,933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82,312,946</w:t>
            </w:r>
          </w:p>
        </w:tc>
        <w:tc>
          <w:tcPr>
            <w:tcW w:w="980" w:type="dxa"/>
            <w:vAlign w:val="bottom"/>
          </w:tcPr>
          <w:p>
            <w:pPr>
              <w:jc w:val="right"/>
              <w:spacing w:after="0"/>
              <w:rPr>
                <w:sz w:val="20"/>
                <w:szCs w:val="20"/>
                <w:color w:val="auto"/>
              </w:rPr>
            </w:pPr>
            <w:r>
              <w:rPr>
                <w:rFonts w:ascii="Arial" w:cs="Arial" w:eastAsia="Arial" w:hAnsi="Arial"/>
                <w:sz w:val="18"/>
                <w:szCs w:val="18"/>
                <w:color w:val="auto"/>
              </w:rPr>
              <w:t>82,617,391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82,462,842</w:t>
            </w:r>
          </w:p>
        </w:tc>
      </w:tr>
      <w:tr>
        <w:trPr>
          <w:trHeight w:val="256"/>
        </w:trPr>
        <w:tc>
          <w:tcPr>
            <w:tcW w:w="68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spacing w:after="0"/>
              <w:rPr>
                <w:sz w:val="22"/>
                <w:szCs w:val="22"/>
                <w:color w:val="auto"/>
              </w:rPr>
            </w:pPr>
          </w:p>
        </w:tc>
      </w:tr>
      <w:tr>
        <w:trPr>
          <w:trHeight w:val="232"/>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diluted net income per Ordinary Share attributable to the Group</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$ 3.11</w:t>
            </w: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$ 2.86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$ 6.01</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$ 5.62</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0"/>
        </w:trPr>
        <w:tc>
          <w:tcPr>
            <w:tcW w:w="6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10" w:name="page11"/>
    <w:bookmarkEnd w:id="10"/>
    <w:p>
      <w:pPr>
        <w:ind w:right="400" w:firstLine="8"/>
        <w:spacing w:after="0" w:line="250" w:lineRule="auto"/>
        <w:tabs>
          <w:tab w:leader="none" w:pos="294" w:val="left"/>
        </w:tabs>
        <w:numPr>
          <w:ilvl w:val="0"/>
          <w:numId w:val="2"/>
        </w:numPr>
        <w:rPr>
          <w:rFonts w:ascii="Arial" w:cs="Arial" w:eastAsia="Arial" w:hAnsi="Arial"/>
          <w:sz w:val="22"/>
          <w:szCs w:val="22"/>
          <w:color w:val="auto"/>
        </w:rPr>
      </w:pPr>
      <w:r>
        <w:rPr>
          <w:rFonts w:ascii="Arial" w:cs="Arial" w:eastAsia="Arial" w:hAnsi="Arial"/>
          <w:sz w:val="22"/>
          <w:szCs w:val="22"/>
          <w:color w:val="auto"/>
        </w:rPr>
        <w:t>Stock-based compensation expense represents the amount of recurring non-cash expense related to the Company’s equity compensation programs (inclusive of employer related taxes).</w:t>
      </w:r>
    </w:p>
    <w:p>
      <w:pPr>
        <w:spacing w:after="0" w:line="174" w:lineRule="exact"/>
        <w:rPr>
          <w:rFonts w:ascii="Arial" w:cs="Arial" w:eastAsia="Arial" w:hAnsi="Arial"/>
          <w:sz w:val="22"/>
          <w:szCs w:val="22"/>
          <w:color w:val="auto"/>
        </w:rPr>
      </w:pPr>
    </w:p>
    <w:p>
      <w:pPr>
        <w:jc w:val="both"/>
        <w:ind w:right="380" w:firstLine="8"/>
        <w:spacing w:after="0" w:line="297" w:lineRule="auto"/>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Foreign currency losses (gains), net relates to gains or losses that arise in connection with the revaluation or settlement of non-US dollar denominated assets and liabilities. We exclude these gains and losses from adjusted EBITDA and adjusted net income because fluctuations from period- to- period do not necessarily correspond to changes in our operating results.</w:t>
      </w:r>
    </w:p>
    <w:p>
      <w:pPr>
        <w:spacing w:after="0" w:line="133" w:lineRule="exact"/>
        <w:rPr>
          <w:rFonts w:ascii="Arial" w:cs="Arial" w:eastAsia="Arial" w:hAnsi="Arial"/>
          <w:sz w:val="19"/>
          <w:szCs w:val="19"/>
          <w:color w:val="auto"/>
        </w:rPr>
      </w:pPr>
    </w:p>
    <w:p>
      <w:pPr>
        <w:ind w:right="140" w:firstLine="8"/>
        <w:spacing w:after="0" w:line="328" w:lineRule="auto"/>
        <w:tabs>
          <w:tab w:leader="none" w:pos="294" w:val="left"/>
        </w:tabs>
        <w:numPr>
          <w:ilvl w:val="0"/>
          <w:numId w:val="2"/>
        </w:numPr>
        <w:rPr>
          <w:rFonts w:ascii="Arial" w:cs="Arial" w:eastAsia="Arial" w:hAnsi="Arial"/>
          <w:sz w:val="19"/>
          <w:szCs w:val="19"/>
          <w:color w:val="auto"/>
        </w:rPr>
      </w:pPr>
      <w:r>
        <w:rPr>
          <w:rFonts w:ascii="Arial" w:cs="Arial" w:eastAsia="Arial" w:hAnsi="Arial"/>
          <w:sz w:val="19"/>
          <w:szCs w:val="19"/>
          <w:color w:val="auto"/>
        </w:rPr>
        <w:t>Restructuring charges incurred relate to charges incurred in connection with the termination of leases at locations that are no longer being used and amounts incurred in connection with the elimination of redundant positions within the organization.</w:t>
      </w:r>
    </w:p>
    <w:p>
      <w:pPr>
        <w:spacing w:after="0" w:line="104" w:lineRule="exact"/>
        <w:rPr>
          <w:rFonts w:ascii="Arial" w:cs="Arial" w:eastAsia="Arial" w:hAnsi="Arial"/>
          <w:sz w:val="19"/>
          <w:szCs w:val="19"/>
          <w:color w:val="auto"/>
        </w:rPr>
      </w:pPr>
    </w:p>
    <w:p>
      <w:pPr>
        <w:ind w:right="260" w:firstLine="8"/>
        <w:spacing w:after="0" w:line="250" w:lineRule="auto"/>
        <w:tabs>
          <w:tab w:leader="none" w:pos="302"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Transaction-related / integration-related costs include expenses/credits associated with our acquisitions and any other costs incurred directly related to the integration of these acquisitions.</w:t>
      </w:r>
    </w:p>
    <w:p>
      <w:pPr>
        <w:spacing w:after="0" w:line="174" w:lineRule="exact"/>
        <w:rPr>
          <w:rFonts w:ascii="Arial" w:cs="Arial" w:eastAsia="Arial" w:hAnsi="Arial"/>
          <w:sz w:val="22"/>
          <w:szCs w:val="22"/>
          <w:color w:val="auto"/>
        </w:rPr>
      </w:pPr>
    </w:p>
    <w:p>
      <w:pPr>
        <w:ind w:firstLine="8"/>
        <w:spacing w:after="0"/>
        <w:tabs>
          <w:tab w:leader="none" w:pos="290" w:val="left"/>
        </w:tabs>
        <w:numPr>
          <w:ilvl w:val="0"/>
          <w:numId w:val="2"/>
        </w:numPr>
        <w:rPr>
          <w:rFonts w:ascii="Arial" w:cs="Arial" w:eastAsia="Arial" w:hAnsi="Arial"/>
          <w:sz w:val="22"/>
          <w:szCs w:val="22"/>
          <w:color w:val="auto"/>
        </w:rPr>
      </w:pPr>
      <w:r>
        <w:rPr>
          <w:rFonts w:ascii="Arial" w:cs="Arial" w:eastAsia="Arial" w:hAnsi="Arial"/>
          <w:sz w:val="22"/>
          <w:szCs w:val="22"/>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186" w:lineRule="exact"/>
        <w:rPr>
          <w:rFonts w:ascii="Arial" w:cs="Arial" w:eastAsia="Arial" w:hAnsi="Arial"/>
          <w:sz w:val="22"/>
          <w:szCs w:val="22"/>
          <w:color w:val="auto"/>
        </w:rPr>
      </w:pPr>
    </w:p>
    <w:p>
      <w:pPr>
        <w:jc w:val="both"/>
        <w:ind w:right="520" w:firstLine="8"/>
        <w:spacing w:after="0"/>
        <w:tabs>
          <w:tab w:leader="none" w:pos="270" w:val="left"/>
        </w:tabs>
        <w:numPr>
          <w:ilvl w:val="0"/>
          <w:numId w:val="2"/>
        </w:numPr>
        <w:rPr>
          <w:rFonts w:ascii="Arial" w:cs="Arial" w:eastAsia="Arial" w:hAnsi="Arial"/>
          <w:sz w:val="22"/>
          <w:szCs w:val="22"/>
          <w:color w:val="auto"/>
        </w:rPr>
      </w:pPr>
      <w:r>
        <w:rPr>
          <w:rFonts w:ascii="Arial" w:cs="Arial" w:eastAsia="Arial" w:hAnsi="Arial"/>
          <w:sz w:val="22"/>
          <w:szCs w:val="22"/>
          <w:color w:val="auto"/>
        </w:rPr>
        <w:t>On April 20, 2023, the Company completed the purchase of the majority investor’s 51% majority voting share capital of Oncacare Limited (“Oncacare”). This gave rise to an acquisition-related gain of $6.2 million. This gain was excluded from adjusted EBITDA and adjusted net income.</w:t>
      </w:r>
    </w:p>
    <w:p>
      <w:pPr>
        <w:spacing w:after="0" w:line="186" w:lineRule="exact"/>
        <w:rPr>
          <w:rFonts w:ascii="Arial" w:cs="Arial" w:eastAsia="Arial" w:hAnsi="Arial"/>
          <w:sz w:val="22"/>
          <w:szCs w:val="22"/>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the tax effect of adjusted pre-tax income at our estimated effective tax rate.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http://www.iconplc.com</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+1 888 381 7923 or</w:t>
      </w:r>
    </w:p>
    <w:p>
      <w:pPr>
        <w:spacing w:after="0" w:line="238" w:lineRule="auto"/>
        <w:rPr>
          <w:sz w:val="20"/>
          <w:szCs w:val="20"/>
          <w:color w:val="auto"/>
        </w:rPr>
      </w:pPr>
      <w:r>
        <w:rPr>
          <w:rFonts w:ascii="Arial" w:cs="Arial" w:eastAsia="Arial" w:hAnsi="Arial"/>
          <w:sz w:val="22"/>
          <w:szCs w:val="22"/>
          <w:color w:val="auto"/>
        </w:rPr>
        <w:t>Brendan Brennan Chief Financial Officer +353 1 291 2000</w:t>
      </w:r>
    </w:p>
    <w:p>
      <w:pPr>
        <w:spacing w:after="0" w:line="230" w:lineRule="auto"/>
        <w:rPr>
          <w:sz w:val="20"/>
          <w:szCs w:val="20"/>
          <w:color w:val="auto"/>
        </w:rPr>
      </w:pPr>
      <w:r>
        <w:rPr>
          <w:rFonts w:ascii="Arial" w:cs="Arial" w:eastAsia="Arial" w:hAnsi="Arial"/>
          <w:sz w:val="22"/>
          <w:szCs w:val="22"/>
          <w:color w:val="auto"/>
        </w:rPr>
        <w:t>Kate Haven Vice President Investor Relations +1888 381 7923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1180"/>
      </w:cols>
      <w:pgMar w:left="320" w:top="33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2023-07-26T15:55:16Z</dcterms:created>
  <dcterms:modified xsi:type="dcterms:W3CDTF">2023-07-26T15:55:16Z</dcterms:modified>
</cp:coreProperties>
</file>