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February 24,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5060"/>
        <w:spacing w:after="0" w:line="504" w:lineRule="auto"/>
        <w:rPr>
          <w:sz w:val="20"/>
          <w:szCs w:val="20"/>
          <w:color w:val="auto"/>
        </w:rPr>
      </w:pPr>
      <w:r>
        <w:rPr>
          <w:rFonts w:ascii="Arial" w:cs="Arial" w:eastAsia="Arial" w:hAnsi="Arial"/>
          <w:sz w:val="19"/>
          <w:szCs w:val="19"/>
          <w:b w:val="1"/>
          <w:bCs w:val="1"/>
          <w:color w:val="auto"/>
        </w:rPr>
        <w:t>ICON Reports Full-Year 2010 Revenue of $900m and EPS of $1.44 Highlights – Full Year 2010 and Fourth Quarter ended December 31.</w:t>
      </w:r>
    </w:p>
    <w:p>
      <w:pPr>
        <w:spacing w:after="0" w:line="1" w:lineRule="exact"/>
        <w:rPr>
          <w:sz w:val="20"/>
          <w:szCs w:val="20"/>
          <w:color w:val="auto"/>
        </w:rPr>
      </w:pPr>
    </w:p>
    <w:p>
      <w:pPr>
        <w:ind w:right="22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2010 net revenue increased 1.4% to $900 million, or 3.1% on a constant currency basis. Q4 net revenues increased 2.1% or 5.6% on a constant currency basis to $232 million.</w:t>
      </w:r>
    </w:p>
    <w:p>
      <w:pPr>
        <w:spacing w:after="0" w:line="162"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2010 operating income was 10.2% or $92 million. Q4 operating income was 9.5% or $22 million.</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Diluted 2010 EPS was $1.44. EPS for Q4 was 36 cents.</w:t>
      </w:r>
    </w:p>
    <w:p>
      <w:pPr>
        <w:spacing w:after="0" w:line="206" w:lineRule="exact"/>
        <w:rPr>
          <w:rFonts w:ascii="Arial" w:cs="Arial" w:eastAsia="Arial" w:hAnsi="Arial"/>
          <w:sz w:val="22"/>
          <w:szCs w:val="22"/>
          <w:b w:val="1"/>
          <w:bCs w:val="1"/>
          <w:color w:val="auto"/>
        </w:rPr>
      </w:pPr>
    </w:p>
    <w:p>
      <w:pPr>
        <w:ind w:right="52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2010 net new business awards were $1.05 billion, a book-to-bill of 1.16x. Q4 net business awards were $237 million, a book-to-bill of 1.0x.</w:t>
      </w:r>
    </w:p>
    <w:p>
      <w:pPr>
        <w:spacing w:after="0" w:line="162" w:lineRule="exact"/>
        <w:rPr>
          <w:rFonts w:ascii="Arial" w:cs="Arial" w:eastAsia="Arial" w:hAnsi="Arial"/>
          <w:sz w:val="22"/>
          <w:szCs w:val="22"/>
          <w:b w:val="1"/>
          <w:bCs w:val="1"/>
          <w:color w:val="auto"/>
        </w:rPr>
      </w:pPr>
    </w:p>
    <w:p>
      <w:pPr>
        <w:ind w:right="28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Guidance for 2011 is for revenue in the range of $945 - $980 million, growth of 5 – 9%, and EPS in the range of $1.10 to $1.25</w:t>
      </w:r>
    </w:p>
    <w:p>
      <w:pPr>
        <w:spacing w:after="0" w:line="163"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color w:val="auto"/>
        </w:rPr>
        <w:t>DUBLIN--(BUSINESS WIRE)--February 24, 2011--</w:t>
      </w:r>
      <w:r>
        <w:rPr>
          <w:rFonts w:ascii="Arial" w:cs="Arial" w:eastAsia="Arial" w:hAnsi="Arial"/>
          <w:sz w:val="22"/>
          <w:szCs w:val="22"/>
          <w:b w:val="1"/>
          <w:bCs w:val="1"/>
          <w:color w:val="auto"/>
        </w:rPr>
        <w:t>ICON (NASDAQ:ICLR) (ISIN:IE0005711209)</w:t>
      </w:r>
      <w:r>
        <w:rPr>
          <w:rFonts w:ascii="Arial" w:cs="Arial" w:eastAsia="Arial" w:hAnsi="Arial"/>
          <w:sz w:val="22"/>
          <w:szCs w:val="22"/>
          <w:color w:val="auto"/>
        </w:rPr>
        <w:t>, a global provider of outsourced development services to the pharmaceutical, biotechnology and medical device industries, today reported its financial results for the full year and fourth quarter ended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Net revenues for 2010 grew 1.4% to $900 million, representing a constant currency increase of 3.1% year on year.</w:t>
      </w:r>
    </w:p>
    <w:p>
      <w:pPr>
        <w:spacing w:after="0" w:line="206" w:lineRule="exact"/>
        <w:rPr>
          <w:sz w:val="20"/>
          <w:szCs w:val="20"/>
          <w:color w:val="auto"/>
        </w:rPr>
      </w:pPr>
    </w:p>
    <w:p>
      <w:pPr>
        <w:ind w:right="840"/>
        <w:spacing w:after="0" w:line="328" w:lineRule="auto"/>
        <w:rPr>
          <w:sz w:val="20"/>
          <w:szCs w:val="20"/>
          <w:color w:val="auto"/>
        </w:rPr>
      </w:pPr>
      <w:r>
        <w:rPr>
          <w:rFonts w:ascii="Arial" w:cs="Arial" w:eastAsia="Arial" w:hAnsi="Arial"/>
          <w:sz w:val="19"/>
          <w:szCs w:val="19"/>
          <w:color w:val="auto"/>
        </w:rPr>
        <w:t>Operating income was $92 million, representing 10.2% of revenue, compared to $116.3 million and 13.1% last year. This comprised clinical services operating income of $104.8 million or 12.5% and central lab operating losses of $12.8 million.</w:t>
      </w:r>
    </w:p>
    <w:p>
      <w:pPr>
        <w:spacing w:after="0" w:line="105"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Net income was $87.1 million, a net margin of 9.7%, compared to $91.6 million last year and 10.3% of revenue. Diluted EPS for 2010 was $1.44 per share compared with $1.53 in 2009.</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the fourth quarter, net revenues grew 2% to $232.1 million. On a constant currency basis the increase was 5.6%.</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Operating income was $22 million, representing 9.5% of revenue, compared to $29.6 million or 13% for the same quarter last year.</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This comprised clinical services operating income of $26 million or 12.1% and a central lab operating loss of $4 million.</w:t>
      </w:r>
    </w:p>
    <w:p>
      <w:pPr>
        <w:spacing w:after="0" w:line="200"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Net income was $22 million, compared with $23.9 million last year, producing a diluted earnings per share of 36c compared to 40c in the same quarter last year.</w:t>
      </w:r>
    </w:p>
    <w:p>
      <w:pPr>
        <w:spacing w:after="0" w:line="17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37 days at December 31, 2010. This compares to 33 days at December 31, 2009.</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For the quarter ended December 31, 2010, cash provided by operating activities was $31.9 million and capital expenditure was $7.1 million. Full year 2010 cash flow from operating activities was $87.4 million and capital expenditure was $31 million. As a result, the company’s net cash amounted to $256 million at December 31, 2010 compared to $194 million of net cash at December 31, 2009.</w:t>
      </w:r>
    </w:p>
    <w:p>
      <w:pPr>
        <w:spacing w:after="0" w:line="185"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Commenting on the results, CEO Peter Gray said “2010 has been a challenging year, as some parts of our business, and particularly our central lab, absorbed the impact of the weak business environment in 2009. 2010 has also seen an acceleration in the pace of change in the biopharmaceutical industry, which is creating strong opportunities for the future, but is requiring us to adapt our business model and structures to effectively capitalise on these. This process continues, and we are making significant investments to build additional capabilities, to leverage our scale more effectively, and to implement process and systems change necessary to prosper in the evolving market. We do not expect the benefit of our investments to be realised until late 2011 and into 2012. Consequently we are guiding revenue for 2011 in the range of $945 – $980 million, representing growth of 5-9%, and EPS in the range of $1.10 -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The company will hold its fourth quarter conference call today, February 24, 2011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77 locations in 39 countries and has approximately 7,700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Income Statements (Before one time net charges &amp; tax credits)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Twelve Months ended December 31, 2010 and December 31, 2009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2320" w:type="dxa"/>
            <w:vAlign w:val="bottom"/>
            <w:gridSpan w:val="4"/>
          </w:tcPr>
          <w:p>
            <w:pPr>
              <w:ind w:left="940"/>
              <w:spacing w:after="0"/>
              <w:rPr>
                <w:sz w:val="20"/>
                <w:szCs w:val="20"/>
                <w:color w:val="auto"/>
              </w:rPr>
            </w:pPr>
            <w:r>
              <w:rPr>
                <w:rFonts w:ascii="Arial" w:cs="Arial" w:eastAsia="Arial" w:hAnsi="Arial"/>
                <w:sz w:val="14"/>
                <w:szCs w:val="14"/>
                <w:b w:val="1"/>
                <w:bCs w:val="1"/>
                <w:color w:val="auto"/>
                <w:w w:val="98"/>
              </w:rPr>
              <w:t>Three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3"/>
          </w:tcPr>
          <w:p>
            <w:pPr>
              <w:ind w:left="940"/>
              <w:spacing w:after="0"/>
              <w:rPr>
                <w:sz w:val="20"/>
                <w:szCs w:val="20"/>
                <w:color w:val="auto"/>
              </w:rPr>
            </w:pPr>
            <w:r>
              <w:rPr>
                <w:rFonts w:ascii="Arial" w:cs="Arial" w:eastAsia="Arial" w:hAnsi="Arial"/>
                <w:sz w:val="14"/>
                <w:szCs w:val="14"/>
                <w:b w:val="1"/>
                <w:bCs w:val="1"/>
                <w:color w:val="auto"/>
                <w:w w:val="95"/>
              </w:rPr>
              <w:t>Twelve Months Ended</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32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2360" w:type="dxa"/>
            <w:vAlign w:val="bottom"/>
            <w:gridSpan w:val="3"/>
          </w:tcPr>
          <w:p>
            <w:pPr>
              <w:ind w:left="7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4"/>
                <w:szCs w:val="14"/>
                <w:color w:val="auto"/>
              </w:rPr>
              <w:t>Gross Revenue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317,279</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321,541</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1,263,147</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1,258,227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4"/>
                <w:szCs w:val="14"/>
                <w:color w:val="auto"/>
              </w:rPr>
              <w:t>Reimbursable expenses</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85,193</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94,122</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363,103</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370,615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232,086</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227,419</w:t>
            </w: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900,044</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887,612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Direct costs</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139,741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131,291</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541,388</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507,783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61,463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57,271</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232,688</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230,910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8,868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9,238</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33,873</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32,659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1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210,072</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197,800</w:t>
            </w:r>
          </w:p>
        </w:tc>
        <w:tc>
          <w:tcPr>
            <w:tcW w:w="12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807,949</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771,352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82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22,014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29,619</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92,095</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116,260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4"/>
                <w:szCs w:val="14"/>
                <w:color w:val="auto"/>
              </w:rPr>
              <w:t>Interest income/(expense)</w:t>
            </w:r>
          </w:p>
        </w:tc>
        <w:tc>
          <w:tcPr>
            <w:tcW w:w="1540" w:type="dxa"/>
            <w:vAlign w:val="bottom"/>
          </w:tcPr>
          <w:p>
            <w:pPr>
              <w:jc w:val="right"/>
              <w:spacing w:after="0"/>
              <w:rPr>
                <w:sz w:val="20"/>
                <w:szCs w:val="20"/>
                <w:color w:val="auto"/>
              </w:rPr>
            </w:pPr>
            <w:r>
              <w:rPr>
                <w:rFonts w:ascii="Arial" w:cs="Arial" w:eastAsia="Arial" w:hAnsi="Arial"/>
                <w:sz w:val="14"/>
                <w:szCs w:val="14"/>
                <w:color w:val="auto"/>
              </w:rPr>
              <w:t>484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(474)</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629</w:t>
            </w:r>
          </w:p>
        </w:tc>
        <w:tc>
          <w:tcPr>
            <w:tcW w:w="6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(2,778)</w:t>
            </w:r>
          </w:p>
        </w:tc>
        <w:tc>
          <w:tcPr>
            <w:tcW w:w="0" w:type="dxa"/>
            <w:vAlign w:val="bottom"/>
          </w:tcPr>
          <w:p>
            <w:pPr>
              <w:spacing w:after="0"/>
              <w:rPr>
                <w:sz w:val="1"/>
                <w:szCs w:val="1"/>
                <w:color w:val="auto"/>
              </w:rPr>
            </w:pPr>
          </w:p>
        </w:tc>
      </w:tr>
      <w:tr>
        <w:trPr>
          <w:trHeight w:val="174"/>
        </w:trPr>
        <w:tc>
          <w:tcPr>
            <w:tcW w:w="4820" w:type="dxa"/>
            <w:vAlign w:val="bottom"/>
            <w:vMerge w:val="restart"/>
          </w:tcPr>
          <w:p>
            <w:pPr>
              <w:spacing w:after="0"/>
              <w:rPr>
                <w:sz w:val="20"/>
                <w:szCs w:val="20"/>
                <w:color w:val="auto"/>
              </w:rPr>
            </w:pPr>
            <w:r>
              <w:rPr>
                <w:rFonts w:ascii="Arial" w:cs="Arial" w:eastAsia="Arial" w:hAnsi="Arial"/>
                <w:sz w:val="14"/>
                <w:szCs w:val="14"/>
                <w:color w:val="auto"/>
              </w:rPr>
              <w:t>Income before provision for income taxes</w:t>
            </w:r>
          </w:p>
        </w:tc>
        <w:tc>
          <w:tcPr>
            <w:tcW w:w="15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22,498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29,145</w:t>
            </w:r>
          </w:p>
        </w:tc>
        <w:tc>
          <w:tcPr>
            <w:tcW w:w="12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92,724</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113,482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8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40" w:type="dxa"/>
            <w:vAlign w:val="bottom"/>
          </w:tcPr>
          <w:p>
            <w:pPr>
              <w:jc w:val="right"/>
              <w:spacing w:after="0"/>
              <w:rPr>
                <w:sz w:val="20"/>
                <w:szCs w:val="20"/>
                <w:color w:val="auto"/>
              </w:rPr>
            </w:pPr>
            <w:r>
              <w:rPr>
                <w:rFonts w:ascii="Arial" w:cs="Arial" w:eastAsia="Arial" w:hAnsi="Arial"/>
                <w:sz w:val="14"/>
                <w:szCs w:val="14"/>
                <w:color w:val="auto"/>
              </w:rPr>
              <w:t>(398)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(5,237)</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(5,653)</w:t>
            </w:r>
          </w:p>
        </w:tc>
        <w:tc>
          <w:tcPr>
            <w:tcW w:w="6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(21,924)</w:t>
            </w:r>
          </w:p>
        </w:tc>
        <w:tc>
          <w:tcPr>
            <w:tcW w:w="0" w:type="dxa"/>
            <w:vAlign w:val="bottom"/>
          </w:tcPr>
          <w:p>
            <w:pPr>
              <w:spacing w:after="0"/>
              <w:rPr>
                <w:sz w:val="1"/>
                <w:szCs w:val="1"/>
                <w:color w:val="auto"/>
              </w:rPr>
            </w:pPr>
          </w:p>
        </w:tc>
      </w:tr>
      <w:tr>
        <w:trPr>
          <w:trHeight w:val="174"/>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820" w:type="dxa"/>
            <w:vAlign w:val="bottom"/>
            <w:vMerge w:val="continue"/>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22,100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23,908</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87,071</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91,558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Basic</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$0.41</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$1.46</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20" w:type="dxa"/>
            <w:vAlign w:val="bottom"/>
          </w:tcPr>
          <w:p>
            <w:pPr>
              <w:spacing w:after="0"/>
              <w:rPr>
                <w:sz w:val="20"/>
                <w:szCs w:val="20"/>
                <w:color w:val="auto"/>
              </w:rPr>
            </w:pPr>
            <w:r>
              <w:rPr>
                <w:rFonts w:ascii="Arial" w:cs="Arial" w:eastAsia="Arial" w:hAnsi="Arial"/>
                <w:sz w:val="14"/>
                <w:szCs w:val="14"/>
                <w:color w:val="auto"/>
              </w:rPr>
              <w:t>Diluted</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$0.40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$1.44</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Arial" w:cs="Arial" w:eastAsia="Arial" w:hAnsi="Arial"/>
                <w:sz w:val="14"/>
                <w:szCs w:val="14"/>
                <w:color w:val="auto"/>
              </w:rPr>
              <w:t>Basic</w:t>
            </w:r>
          </w:p>
        </w:tc>
        <w:tc>
          <w:tcPr>
            <w:tcW w:w="1540" w:type="dxa"/>
            <w:vAlign w:val="bottom"/>
          </w:tcPr>
          <w:p>
            <w:pPr>
              <w:jc w:val="right"/>
              <w:spacing w:after="0"/>
              <w:rPr>
                <w:sz w:val="20"/>
                <w:szCs w:val="20"/>
                <w:color w:val="auto"/>
              </w:rPr>
            </w:pPr>
            <w:r>
              <w:rPr>
                <w:rFonts w:ascii="Arial" w:cs="Arial" w:eastAsia="Arial" w:hAnsi="Arial"/>
                <w:sz w:val="14"/>
                <w:szCs w:val="14"/>
                <w:color w:val="auto"/>
              </w:rPr>
              <w:t>60,145,383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58,808,946</w:t>
            </w:r>
          </w:p>
        </w:tc>
        <w:tc>
          <w:tcPr>
            <w:tcW w:w="12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59,718,934</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58,636,878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4"/>
                <w:szCs w:val="14"/>
                <w:color w:val="auto"/>
              </w:rPr>
              <w:t>Diluted</w:t>
            </w:r>
          </w:p>
        </w:tc>
        <w:tc>
          <w:tcPr>
            <w:tcW w:w="1540" w:type="dxa"/>
            <w:vAlign w:val="bottom"/>
          </w:tcPr>
          <w:p>
            <w:pPr>
              <w:jc w:val="right"/>
              <w:spacing w:after="0"/>
              <w:rPr>
                <w:sz w:val="20"/>
                <w:szCs w:val="20"/>
                <w:color w:val="auto"/>
              </w:rPr>
            </w:pPr>
            <w:r>
              <w:rPr>
                <w:rFonts w:ascii="Arial" w:cs="Arial" w:eastAsia="Arial" w:hAnsi="Arial"/>
                <w:sz w:val="14"/>
                <w:szCs w:val="14"/>
                <w:color w:val="auto"/>
              </w:rPr>
              <w:t>60,817,130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60,092,814</w:t>
            </w:r>
          </w:p>
        </w:tc>
        <w:tc>
          <w:tcPr>
            <w:tcW w:w="120" w:type="dxa"/>
            <w:vAlign w:val="bottom"/>
          </w:tcPr>
          <w:p>
            <w:pPr>
              <w:spacing w:after="0"/>
              <w:rPr>
                <w:sz w:val="24"/>
                <w:szCs w:val="24"/>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60,637,103</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59,900,504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2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82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Income Statements (US GAAP)</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Twelve Months ended December 31, 2010 and December 31, 2009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2320" w:type="dxa"/>
            <w:vAlign w:val="bottom"/>
            <w:gridSpan w:val="4"/>
          </w:tcPr>
          <w:p>
            <w:pPr>
              <w:ind w:left="940"/>
              <w:spacing w:after="0"/>
              <w:rPr>
                <w:sz w:val="20"/>
                <w:szCs w:val="20"/>
                <w:color w:val="auto"/>
              </w:rPr>
            </w:pPr>
            <w:r>
              <w:rPr>
                <w:rFonts w:ascii="Arial" w:cs="Arial" w:eastAsia="Arial" w:hAnsi="Arial"/>
                <w:sz w:val="14"/>
                <w:szCs w:val="14"/>
                <w:b w:val="1"/>
                <w:bCs w:val="1"/>
                <w:color w:val="auto"/>
                <w:w w:val="98"/>
              </w:rPr>
              <w:t>Three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3"/>
          </w:tcPr>
          <w:p>
            <w:pPr>
              <w:ind w:left="940"/>
              <w:spacing w:after="0"/>
              <w:rPr>
                <w:sz w:val="20"/>
                <w:szCs w:val="20"/>
                <w:color w:val="auto"/>
              </w:rPr>
            </w:pPr>
            <w:r>
              <w:rPr>
                <w:rFonts w:ascii="Arial" w:cs="Arial" w:eastAsia="Arial" w:hAnsi="Arial"/>
                <w:sz w:val="14"/>
                <w:szCs w:val="14"/>
                <w:b w:val="1"/>
                <w:bCs w:val="1"/>
                <w:color w:val="auto"/>
                <w:w w:val="95"/>
              </w:rPr>
              <w:t>Twelve Months Ended</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32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2360" w:type="dxa"/>
            <w:vAlign w:val="bottom"/>
            <w:gridSpan w:val="3"/>
          </w:tcPr>
          <w:p>
            <w:pPr>
              <w:ind w:left="7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4"/>
                <w:szCs w:val="14"/>
                <w:color w:val="auto"/>
              </w:rPr>
              <w:t>Gross Revenue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317,279</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321,541</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1,263,147</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1,258,227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4"/>
                <w:szCs w:val="14"/>
                <w:color w:val="auto"/>
              </w:rPr>
              <w:t>Reimbursable expenses</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85,193</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94,122</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363,103</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370,615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232,086</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227,419</w:t>
            </w: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900,044</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887,612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Direct costs</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139,741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131,291</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541,388</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507,783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61,463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57,271</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232,688</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230,910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8,868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9,238</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33,873</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32,659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One time net charges</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(133)</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costs and expenses</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210,072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197,667</w:t>
            </w:r>
          </w:p>
        </w:tc>
        <w:tc>
          <w:tcPr>
            <w:tcW w:w="12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807,949</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82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22,014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29,752</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92,095</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107,452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4"/>
                <w:szCs w:val="14"/>
                <w:color w:val="auto"/>
              </w:rPr>
              <w:t>Interest income/(expense)</w:t>
            </w:r>
          </w:p>
        </w:tc>
        <w:tc>
          <w:tcPr>
            <w:tcW w:w="1540" w:type="dxa"/>
            <w:vAlign w:val="bottom"/>
          </w:tcPr>
          <w:p>
            <w:pPr>
              <w:jc w:val="right"/>
              <w:spacing w:after="0"/>
              <w:rPr>
                <w:sz w:val="20"/>
                <w:szCs w:val="20"/>
                <w:color w:val="auto"/>
              </w:rPr>
            </w:pPr>
            <w:r>
              <w:rPr>
                <w:rFonts w:ascii="Arial" w:cs="Arial" w:eastAsia="Arial" w:hAnsi="Arial"/>
                <w:sz w:val="14"/>
                <w:szCs w:val="14"/>
                <w:color w:val="auto"/>
              </w:rPr>
              <w:t>484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(474)</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629</w:t>
            </w:r>
          </w:p>
        </w:tc>
        <w:tc>
          <w:tcPr>
            <w:tcW w:w="6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(2,778)</w:t>
            </w:r>
          </w:p>
        </w:tc>
        <w:tc>
          <w:tcPr>
            <w:tcW w:w="0" w:type="dxa"/>
            <w:vAlign w:val="bottom"/>
          </w:tcPr>
          <w:p>
            <w:pPr>
              <w:spacing w:after="0"/>
              <w:rPr>
                <w:sz w:val="1"/>
                <w:szCs w:val="1"/>
                <w:color w:val="auto"/>
              </w:rPr>
            </w:pPr>
          </w:p>
        </w:tc>
      </w:tr>
      <w:tr>
        <w:trPr>
          <w:trHeight w:val="174"/>
        </w:trPr>
        <w:tc>
          <w:tcPr>
            <w:tcW w:w="4820" w:type="dxa"/>
            <w:vAlign w:val="bottom"/>
            <w:vMerge w:val="restart"/>
          </w:tcPr>
          <w:p>
            <w:pPr>
              <w:spacing w:after="0"/>
              <w:rPr>
                <w:sz w:val="20"/>
                <w:szCs w:val="20"/>
                <w:color w:val="auto"/>
              </w:rPr>
            </w:pPr>
            <w:r>
              <w:rPr>
                <w:rFonts w:ascii="Arial" w:cs="Arial" w:eastAsia="Arial" w:hAnsi="Arial"/>
                <w:sz w:val="14"/>
                <w:szCs w:val="14"/>
                <w:color w:val="auto"/>
              </w:rPr>
              <w:t>Income before provision for income taxes</w:t>
            </w:r>
          </w:p>
        </w:tc>
        <w:tc>
          <w:tcPr>
            <w:tcW w:w="15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22,498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29,278</w:t>
            </w:r>
          </w:p>
        </w:tc>
        <w:tc>
          <w:tcPr>
            <w:tcW w:w="12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92,724</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104,674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8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40" w:type="dxa"/>
            <w:vAlign w:val="bottom"/>
          </w:tcPr>
          <w:p>
            <w:pPr>
              <w:jc w:val="right"/>
              <w:spacing w:after="0"/>
              <w:rPr>
                <w:sz w:val="20"/>
                <w:szCs w:val="20"/>
                <w:color w:val="auto"/>
              </w:rPr>
            </w:pPr>
            <w:r>
              <w:rPr>
                <w:rFonts w:ascii="Arial" w:cs="Arial" w:eastAsia="Arial" w:hAnsi="Arial"/>
                <w:sz w:val="14"/>
                <w:szCs w:val="14"/>
                <w:color w:val="auto"/>
              </w:rPr>
              <w:t>(398)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1,598</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(5,653)</w:t>
            </w:r>
          </w:p>
        </w:tc>
        <w:tc>
          <w:tcPr>
            <w:tcW w:w="6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(10,375)</w:t>
            </w:r>
          </w:p>
        </w:tc>
        <w:tc>
          <w:tcPr>
            <w:tcW w:w="0" w:type="dxa"/>
            <w:vAlign w:val="bottom"/>
          </w:tcPr>
          <w:p>
            <w:pPr>
              <w:spacing w:after="0"/>
              <w:rPr>
                <w:sz w:val="1"/>
                <w:szCs w:val="1"/>
                <w:color w:val="auto"/>
              </w:rPr>
            </w:pPr>
          </w:p>
        </w:tc>
      </w:tr>
      <w:tr>
        <w:trPr>
          <w:trHeight w:val="174"/>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820" w:type="dxa"/>
            <w:vAlign w:val="bottom"/>
            <w:vMerge w:val="continue"/>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22,100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30,876</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87,071</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94,299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Basic</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$0.53</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$1.46</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20" w:type="dxa"/>
            <w:vAlign w:val="bottom"/>
          </w:tcPr>
          <w:p>
            <w:pPr>
              <w:spacing w:after="0"/>
              <w:rPr>
                <w:sz w:val="20"/>
                <w:szCs w:val="20"/>
                <w:color w:val="auto"/>
              </w:rPr>
            </w:pPr>
            <w:r>
              <w:rPr>
                <w:rFonts w:ascii="Arial" w:cs="Arial" w:eastAsia="Arial" w:hAnsi="Arial"/>
                <w:sz w:val="14"/>
                <w:szCs w:val="14"/>
                <w:color w:val="auto"/>
              </w:rPr>
              <w:t>Diluted</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$0.51</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$1.44</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Arial" w:cs="Arial" w:eastAsia="Arial" w:hAnsi="Arial"/>
                <w:sz w:val="14"/>
                <w:szCs w:val="14"/>
                <w:color w:val="auto"/>
              </w:rPr>
              <w:t>Basic</w:t>
            </w:r>
          </w:p>
        </w:tc>
        <w:tc>
          <w:tcPr>
            <w:tcW w:w="1540" w:type="dxa"/>
            <w:vAlign w:val="bottom"/>
          </w:tcPr>
          <w:p>
            <w:pPr>
              <w:jc w:val="right"/>
              <w:spacing w:after="0"/>
              <w:rPr>
                <w:sz w:val="20"/>
                <w:szCs w:val="20"/>
                <w:color w:val="auto"/>
              </w:rPr>
            </w:pPr>
            <w:r>
              <w:rPr>
                <w:rFonts w:ascii="Arial" w:cs="Arial" w:eastAsia="Arial" w:hAnsi="Arial"/>
                <w:sz w:val="14"/>
                <w:szCs w:val="14"/>
                <w:color w:val="auto"/>
              </w:rPr>
              <w:t>60,145,383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58,808,946</w:t>
            </w:r>
          </w:p>
        </w:tc>
        <w:tc>
          <w:tcPr>
            <w:tcW w:w="12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59,718,934</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58,636,878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4"/>
                <w:szCs w:val="14"/>
                <w:color w:val="auto"/>
              </w:rPr>
              <w:t>Diluted</w:t>
            </w:r>
          </w:p>
        </w:tc>
        <w:tc>
          <w:tcPr>
            <w:tcW w:w="1540" w:type="dxa"/>
            <w:vAlign w:val="bottom"/>
          </w:tcPr>
          <w:p>
            <w:pPr>
              <w:jc w:val="right"/>
              <w:spacing w:after="0"/>
              <w:rPr>
                <w:sz w:val="20"/>
                <w:szCs w:val="20"/>
                <w:color w:val="auto"/>
              </w:rPr>
            </w:pPr>
            <w:r>
              <w:rPr>
                <w:rFonts w:ascii="Arial" w:cs="Arial" w:eastAsia="Arial" w:hAnsi="Arial"/>
                <w:sz w:val="14"/>
                <w:szCs w:val="14"/>
                <w:color w:val="auto"/>
              </w:rPr>
              <w:t>60,817,130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60,092,814</w:t>
            </w:r>
          </w:p>
        </w:tc>
        <w:tc>
          <w:tcPr>
            <w:tcW w:w="120" w:type="dxa"/>
            <w:vAlign w:val="bottom"/>
          </w:tcPr>
          <w:p>
            <w:pPr>
              <w:spacing w:after="0"/>
              <w:rPr>
                <w:sz w:val="24"/>
                <w:szCs w:val="24"/>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60,637,103</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59,900,504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2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82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2010 and December 31, 2009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6880" w:type="dxa"/>
            <w:vAlign w:val="bottom"/>
          </w:tcPr>
          <w:p>
            <w:pPr>
              <w:jc w:val="right"/>
              <w:ind w:right="648"/>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2860" w:type="dxa"/>
            <w:vAlign w:val="bottom"/>
          </w:tcPr>
          <w:p>
            <w:pPr>
              <w:spacing w:after="0"/>
              <w:rPr>
                <w:sz w:val="15"/>
                <w:szCs w:val="15"/>
                <w:color w:val="auto"/>
              </w:rPr>
            </w:pPr>
          </w:p>
        </w:tc>
        <w:tc>
          <w:tcPr>
            <w:tcW w:w="6880" w:type="dxa"/>
            <w:vAlign w:val="bottom"/>
          </w:tcPr>
          <w:p>
            <w:pPr>
              <w:jc w:val="right"/>
              <w:ind w:right="648"/>
              <w:spacing w:after="0"/>
              <w:rPr>
                <w:sz w:val="20"/>
                <w:szCs w:val="20"/>
                <w:color w:val="auto"/>
              </w:rPr>
            </w:pPr>
            <w:r>
              <w:rPr>
                <w:rFonts w:ascii="Arial" w:cs="Arial" w:eastAsia="Arial" w:hAnsi="Arial"/>
                <w:sz w:val="14"/>
                <w:szCs w:val="14"/>
                <w:b w:val="1"/>
                <w:bCs w:val="1"/>
                <w:color w:val="auto"/>
              </w:rPr>
              <w:t>2010</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r>
      <w:tr>
        <w:trPr>
          <w:trHeight w:val="180"/>
        </w:trPr>
        <w:tc>
          <w:tcPr>
            <w:tcW w:w="2860" w:type="dxa"/>
            <w:vAlign w:val="bottom"/>
          </w:tcPr>
          <w:p>
            <w:pPr>
              <w:spacing w:after="0"/>
              <w:rPr>
                <w:sz w:val="15"/>
                <w:szCs w:val="15"/>
                <w:color w:val="auto"/>
              </w:rPr>
            </w:pPr>
          </w:p>
        </w:tc>
        <w:tc>
          <w:tcPr>
            <w:tcW w:w="6880" w:type="dxa"/>
            <w:vAlign w:val="bottom"/>
          </w:tcPr>
          <w:p>
            <w:pPr>
              <w:jc w:val="right"/>
              <w:ind w:right="648"/>
              <w:spacing w:after="0"/>
              <w:rPr>
                <w:sz w:val="20"/>
                <w:szCs w:val="20"/>
                <w:color w:val="auto"/>
              </w:rPr>
            </w:pPr>
            <w:r>
              <w:rPr>
                <w:rFonts w:ascii="Arial" w:cs="Arial" w:eastAsia="Arial" w:hAnsi="Arial"/>
                <w:sz w:val="14"/>
                <w:szCs w:val="14"/>
                <w:b w:val="1"/>
                <w:bCs w:val="1"/>
                <w:color w:val="auto"/>
              </w:rPr>
              <w:t>(Audited)</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76"/>
        </w:trPr>
        <w:tc>
          <w:tcPr>
            <w:tcW w:w="286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255,706</w:t>
            </w:r>
          </w:p>
        </w:tc>
        <w:tc>
          <w:tcPr>
            <w:tcW w:w="1540" w:type="dxa"/>
            <w:vAlign w:val="bottom"/>
          </w:tcPr>
          <w:p>
            <w:pPr>
              <w:jc w:val="right"/>
              <w:spacing w:after="0"/>
              <w:rPr>
                <w:sz w:val="20"/>
                <w:szCs w:val="20"/>
                <w:color w:val="auto"/>
              </w:rPr>
            </w:pPr>
            <w:r>
              <w:rPr>
                <w:rFonts w:ascii="Arial" w:cs="Arial" w:eastAsia="Arial" w:hAnsi="Arial"/>
                <w:sz w:val="14"/>
                <w:szCs w:val="14"/>
                <w:color w:val="auto"/>
              </w:rPr>
              <w:t>194,028</w:t>
            </w:r>
          </w:p>
        </w:tc>
      </w:tr>
      <w:tr>
        <w:trPr>
          <w:trHeight w:val="176"/>
        </w:trPr>
        <w:tc>
          <w:tcPr>
            <w:tcW w:w="2860" w:type="dxa"/>
            <w:vAlign w:val="bottom"/>
          </w:tcPr>
          <w:p>
            <w:pPr>
              <w:spacing w:after="0"/>
              <w:rPr>
                <w:sz w:val="20"/>
                <w:szCs w:val="20"/>
                <w:color w:val="auto"/>
              </w:rPr>
            </w:pPr>
            <w:r>
              <w:rPr>
                <w:rFonts w:ascii="Arial" w:cs="Arial" w:eastAsia="Arial" w:hAnsi="Arial"/>
                <w:sz w:val="14"/>
                <w:szCs w:val="14"/>
                <w:color w:val="auto"/>
              </w:rPr>
              <w:t>Debt</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Net cash</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255,706</w:t>
            </w:r>
          </w:p>
        </w:tc>
        <w:tc>
          <w:tcPr>
            <w:tcW w:w="1540" w:type="dxa"/>
            <w:vAlign w:val="bottom"/>
          </w:tcPr>
          <w:p>
            <w:pPr>
              <w:jc w:val="right"/>
              <w:spacing w:after="0"/>
              <w:rPr>
                <w:sz w:val="20"/>
                <w:szCs w:val="20"/>
                <w:color w:val="auto"/>
              </w:rPr>
            </w:pPr>
            <w:r>
              <w:rPr>
                <w:rFonts w:ascii="Arial" w:cs="Arial" w:eastAsia="Arial" w:hAnsi="Arial"/>
                <w:sz w:val="14"/>
                <w:szCs w:val="14"/>
                <w:color w:val="auto"/>
              </w:rPr>
              <w:t>194,028</w:t>
            </w:r>
          </w:p>
        </w:tc>
      </w:tr>
      <w:tr>
        <w:trPr>
          <w:trHeight w:val="344"/>
        </w:trPr>
        <w:tc>
          <w:tcPr>
            <w:tcW w:w="2860" w:type="dxa"/>
            <w:vAlign w:val="bottom"/>
          </w:tcPr>
          <w:p>
            <w:pPr>
              <w:spacing w:after="0"/>
              <w:rPr>
                <w:sz w:val="20"/>
                <w:szCs w:val="20"/>
                <w:color w:val="auto"/>
              </w:rPr>
            </w:pPr>
            <w:r>
              <w:rPr>
                <w:rFonts w:ascii="Arial" w:cs="Arial" w:eastAsia="Arial" w:hAnsi="Arial"/>
                <w:sz w:val="14"/>
                <w:szCs w:val="14"/>
                <w:color w:val="auto"/>
              </w:rPr>
              <w:t>Accounts receivable</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164,907</w:t>
            </w:r>
          </w:p>
        </w:tc>
        <w:tc>
          <w:tcPr>
            <w:tcW w:w="1540" w:type="dxa"/>
            <w:vAlign w:val="bottom"/>
          </w:tcPr>
          <w:p>
            <w:pPr>
              <w:jc w:val="right"/>
              <w:spacing w:after="0"/>
              <w:rPr>
                <w:sz w:val="20"/>
                <w:szCs w:val="20"/>
                <w:color w:val="auto"/>
              </w:rPr>
            </w:pPr>
            <w:r>
              <w:rPr>
                <w:rFonts w:ascii="Arial" w:cs="Arial" w:eastAsia="Arial" w:hAnsi="Arial"/>
                <w:sz w:val="14"/>
                <w:szCs w:val="14"/>
                <w:color w:val="auto"/>
              </w:rPr>
              <w:t>191,924</w:t>
            </w:r>
          </w:p>
        </w:tc>
      </w:tr>
      <w:tr>
        <w:trPr>
          <w:trHeight w:val="176"/>
        </w:trPr>
        <w:tc>
          <w:tcPr>
            <w:tcW w:w="2860" w:type="dxa"/>
            <w:vAlign w:val="bottom"/>
          </w:tcPr>
          <w:p>
            <w:pPr>
              <w:spacing w:after="0"/>
              <w:rPr>
                <w:sz w:val="20"/>
                <w:szCs w:val="20"/>
                <w:color w:val="auto"/>
              </w:rPr>
            </w:pPr>
            <w:r>
              <w:rPr>
                <w:rFonts w:ascii="Arial" w:cs="Arial" w:eastAsia="Arial" w:hAnsi="Arial"/>
                <w:sz w:val="14"/>
                <w:szCs w:val="14"/>
                <w:color w:val="auto"/>
              </w:rPr>
              <w:t>Unbilled revenue</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101,431</w:t>
            </w:r>
          </w:p>
        </w:tc>
        <w:tc>
          <w:tcPr>
            <w:tcW w:w="1540" w:type="dxa"/>
            <w:vAlign w:val="bottom"/>
          </w:tcPr>
          <w:p>
            <w:pPr>
              <w:jc w:val="right"/>
              <w:spacing w:after="0"/>
              <w:rPr>
                <w:sz w:val="20"/>
                <w:szCs w:val="20"/>
                <w:color w:val="auto"/>
              </w:rPr>
            </w:pPr>
            <w:r>
              <w:rPr>
                <w:rFonts w:ascii="Arial" w:cs="Arial" w:eastAsia="Arial" w:hAnsi="Arial"/>
                <w:sz w:val="14"/>
                <w:szCs w:val="14"/>
                <w:color w:val="auto"/>
              </w:rPr>
              <w:t>92,080</w:t>
            </w:r>
          </w:p>
        </w:tc>
      </w:tr>
      <w:tr>
        <w:trPr>
          <w:trHeight w:val="176"/>
        </w:trPr>
        <w:tc>
          <w:tcPr>
            <w:tcW w:w="2860" w:type="dxa"/>
            <w:vAlign w:val="bottom"/>
          </w:tcPr>
          <w:p>
            <w:pPr>
              <w:spacing w:after="0"/>
              <w:rPr>
                <w:sz w:val="20"/>
                <w:szCs w:val="20"/>
                <w:color w:val="auto"/>
              </w:rPr>
            </w:pPr>
            <w:r>
              <w:rPr>
                <w:rFonts w:ascii="Arial" w:cs="Arial" w:eastAsia="Arial" w:hAnsi="Arial"/>
                <w:sz w:val="14"/>
                <w:szCs w:val="14"/>
                <w:color w:val="auto"/>
              </w:rPr>
              <w:t>Payments on account</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(134,240)</w:t>
            </w:r>
          </w:p>
        </w:tc>
        <w:tc>
          <w:tcPr>
            <w:tcW w:w="1540" w:type="dxa"/>
            <w:vAlign w:val="bottom"/>
          </w:tcPr>
          <w:p>
            <w:pPr>
              <w:jc w:val="right"/>
              <w:spacing w:after="0"/>
              <w:rPr>
                <w:sz w:val="20"/>
                <w:szCs w:val="20"/>
                <w:color w:val="auto"/>
              </w:rPr>
            </w:pPr>
            <w:r>
              <w:rPr>
                <w:rFonts w:ascii="Arial" w:cs="Arial" w:eastAsia="Arial" w:hAnsi="Arial"/>
                <w:sz w:val="14"/>
                <w:szCs w:val="14"/>
                <w:color w:val="auto"/>
              </w:rPr>
              <w:t>(165,198)</w:t>
            </w: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Total</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132,098</w:t>
            </w:r>
          </w:p>
        </w:tc>
        <w:tc>
          <w:tcPr>
            <w:tcW w:w="1540" w:type="dxa"/>
            <w:vAlign w:val="bottom"/>
          </w:tcPr>
          <w:p>
            <w:pPr>
              <w:jc w:val="right"/>
              <w:spacing w:after="0"/>
              <w:rPr>
                <w:sz w:val="20"/>
                <w:szCs w:val="20"/>
                <w:color w:val="auto"/>
              </w:rPr>
            </w:pPr>
            <w:r>
              <w:rPr>
                <w:rFonts w:ascii="Arial" w:cs="Arial" w:eastAsia="Arial" w:hAnsi="Arial"/>
                <w:sz w:val="14"/>
                <w:szCs w:val="14"/>
                <w:color w:val="auto"/>
              </w:rPr>
              <w:t>118,806</w:t>
            </w:r>
          </w:p>
        </w:tc>
      </w:tr>
      <w:tr>
        <w:trPr>
          <w:trHeight w:val="351"/>
        </w:trPr>
        <w:tc>
          <w:tcPr>
            <w:tcW w:w="2860" w:type="dxa"/>
            <w:vAlign w:val="bottom"/>
          </w:tcPr>
          <w:p>
            <w:pPr>
              <w:spacing w:after="0"/>
              <w:rPr>
                <w:sz w:val="20"/>
                <w:szCs w:val="20"/>
                <w:color w:val="auto"/>
              </w:rPr>
            </w:pPr>
            <w:r>
              <w:rPr>
                <w:rFonts w:ascii="Arial" w:cs="Arial" w:eastAsia="Arial" w:hAnsi="Arial"/>
                <w:sz w:val="14"/>
                <w:szCs w:val="14"/>
                <w:color w:val="auto"/>
              </w:rPr>
              <w:t>Working Capital</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329,350</w:t>
            </w:r>
          </w:p>
        </w:tc>
        <w:tc>
          <w:tcPr>
            <w:tcW w:w="1540" w:type="dxa"/>
            <w:vAlign w:val="bottom"/>
          </w:tcPr>
          <w:p>
            <w:pPr>
              <w:jc w:val="right"/>
              <w:spacing w:after="0"/>
              <w:rPr>
                <w:sz w:val="20"/>
                <w:szCs w:val="20"/>
                <w:color w:val="auto"/>
              </w:rPr>
            </w:pPr>
            <w:r>
              <w:rPr>
                <w:rFonts w:ascii="Arial" w:cs="Arial" w:eastAsia="Arial" w:hAnsi="Arial"/>
                <w:sz w:val="14"/>
                <w:szCs w:val="14"/>
                <w:color w:val="auto"/>
              </w:rPr>
              <w:t>235,906</w:t>
            </w:r>
          </w:p>
        </w:tc>
      </w:tr>
      <w:tr>
        <w:trPr>
          <w:trHeight w:val="351"/>
        </w:trPr>
        <w:tc>
          <w:tcPr>
            <w:tcW w:w="2860" w:type="dxa"/>
            <w:vAlign w:val="bottom"/>
          </w:tcPr>
          <w:p>
            <w:pPr>
              <w:spacing w:after="0"/>
              <w:rPr>
                <w:sz w:val="20"/>
                <w:szCs w:val="20"/>
                <w:color w:val="auto"/>
              </w:rPr>
            </w:pPr>
            <w:r>
              <w:rPr>
                <w:rFonts w:ascii="Arial" w:cs="Arial" w:eastAsia="Arial" w:hAnsi="Arial"/>
                <w:sz w:val="14"/>
                <w:szCs w:val="14"/>
                <w:color w:val="auto"/>
              </w:rPr>
              <w:t>Total assets</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949,538</w:t>
            </w:r>
          </w:p>
        </w:tc>
        <w:tc>
          <w:tcPr>
            <w:tcW w:w="1540" w:type="dxa"/>
            <w:vAlign w:val="bottom"/>
          </w:tcPr>
          <w:p>
            <w:pPr>
              <w:jc w:val="right"/>
              <w:spacing w:after="0"/>
              <w:rPr>
                <w:sz w:val="20"/>
                <w:szCs w:val="20"/>
                <w:color w:val="auto"/>
              </w:rPr>
            </w:pPr>
            <w:r>
              <w:rPr>
                <w:rFonts w:ascii="Arial" w:cs="Arial" w:eastAsia="Arial" w:hAnsi="Arial"/>
                <w:sz w:val="14"/>
                <w:szCs w:val="14"/>
                <w:color w:val="auto"/>
              </w:rPr>
              <w:t>908,398</w:t>
            </w:r>
          </w:p>
        </w:tc>
      </w:tr>
      <w:tr>
        <w:trPr>
          <w:trHeight w:val="351"/>
        </w:trPr>
        <w:tc>
          <w:tcPr>
            <w:tcW w:w="2860" w:type="dxa"/>
            <w:vAlign w:val="bottom"/>
          </w:tcPr>
          <w:p>
            <w:pPr>
              <w:spacing w:after="0"/>
              <w:rPr>
                <w:sz w:val="20"/>
                <w:szCs w:val="20"/>
                <w:color w:val="auto"/>
              </w:rPr>
            </w:pPr>
            <w:r>
              <w:rPr>
                <w:rFonts w:ascii="Arial" w:cs="Arial" w:eastAsia="Arial" w:hAnsi="Arial"/>
                <w:sz w:val="14"/>
                <w:szCs w:val="14"/>
                <w:color w:val="auto"/>
              </w:rPr>
              <w:t>Shareholders’ equity</w:t>
            </w:r>
          </w:p>
        </w:tc>
        <w:tc>
          <w:tcPr>
            <w:tcW w:w="6880" w:type="dxa"/>
            <w:vAlign w:val="bottom"/>
          </w:tcPr>
          <w:p>
            <w:pPr>
              <w:jc w:val="right"/>
              <w:ind w:right="648"/>
              <w:spacing w:after="0"/>
              <w:rPr>
                <w:sz w:val="20"/>
                <w:szCs w:val="20"/>
                <w:color w:val="auto"/>
              </w:rPr>
            </w:pPr>
            <w:r>
              <w:rPr>
                <w:rFonts w:ascii="Arial" w:cs="Arial" w:eastAsia="Arial" w:hAnsi="Arial"/>
                <w:sz w:val="14"/>
                <w:szCs w:val="14"/>
                <w:color w:val="auto"/>
              </w:rPr>
              <w:t>669,999</w:t>
            </w:r>
          </w:p>
        </w:tc>
        <w:tc>
          <w:tcPr>
            <w:tcW w:w="1540" w:type="dxa"/>
            <w:vAlign w:val="bottom"/>
          </w:tcPr>
          <w:p>
            <w:pPr>
              <w:jc w:val="right"/>
              <w:spacing w:after="0"/>
              <w:rPr>
                <w:sz w:val="20"/>
                <w:szCs w:val="20"/>
                <w:color w:val="auto"/>
              </w:rPr>
            </w:pPr>
            <w:r>
              <w:rPr>
                <w:rFonts w:ascii="Arial" w:cs="Arial" w:eastAsia="Arial" w:hAnsi="Arial"/>
                <w:sz w:val="14"/>
                <w:szCs w:val="14"/>
                <w:color w:val="auto"/>
              </w:rPr>
              <w:t>572,246</w:t>
            </w:r>
          </w:p>
        </w:tc>
      </w:tr>
      <w:tr>
        <w:trPr>
          <w:trHeight w:val="527"/>
        </w:trPr>
        <w:tc>
          <w:tcPr>
            <w:tcW w:w="286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6880" w:type="dxa"/>
            <w:vAlign w:val="bottom"/>
          </w:tcPr>
          <w:p>
            <w:pPr>
              <w:ind w:left="940"/>
              <w:spacing w:after="0"/>
              <w:rPr>
                <w:sz w:val="20"/>
                <w:szCs w:val="20"/>
                <w:color w:val="auto"/>
              </w:rPr>
            </w:pPr>
            <w:r>
              <w:rPr>
                <w:rFonts w:ascii="Arial" w:cs="Arial" w:eastAsia="Arial" w:hAnsi="Arial"/>
                <w:sz w:val="14"/>
                <w:szCs w:val="14"/>
                <w:color w:val="auto"/>
              </w:rPr>
              <w:t>ICON plc</w:t>
            </w:r>
          </w:p>
        </w:tc>
        <w:tc>
          <w:tcPr>
            <w:tcW w:w="1540" w:type="dxa"/>
            <w:vAlign w:val="bottom"/>
          </w:tcPr>
          <w:p>
            <w:pPr>
              <w:spacing w:after="0"/>
              <w:rPr>
                <w:sz w:val="24"/>
                <w:szCs w:val="24"/>
                <w:color w:val="auto"/>
              </w:rPr>
            </w:pPr>
          </w:p>
        </w:tc>
      </w:tr>
      <w:tr>
        <w:trPr>
          <w:trHeight w:val="344"/>
        </w:trPr>
        <w:tc>
          <w:tcPr>
            <w:tcW w:w="286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6880" w:type="dxa"/>
            <w:vAlign w:val="bottom"/>
          </w:tcPr>
          <w:p>
            <w:pPr>
              <w:ind w:left="940"/>
              <w:spacing w:after="0"/>
              <w:rPr>
                <w:sz w:val="20"/>
                <w:szCs w:val="20"/>
                <w:color w:val="auto"/>
              </w:rPr>
            </w:pPr>
            <w:r>
              <w:rPr>
                <w:rFonts w:ascii="Arial" w:cs="Arial" w:eastAsia="Arial" w:hAnsi="Arial"/>
                <w:sz w:val="14"/>
                <w:szCs w:val="14"/>
                <w:color w:val="auto"/>
              </w:rPr>
              <w:t>Investor Relations 1-888-381-7923 or</w:t>
            </w:r>
          </w:p>
        </w:tc>
        <w:tc>
          <w:tcPr>
            <w:tcW w:w="1540" w:type="dxa"/>
            <w:vAlign w:val="bottom"/>
          </w:tcPr>
          <w:p>
            <w:pPr>
              <w:spacing w:after="0"/>
              <w:rPr>
                <w:sz w:val="24"/>
                <w:szCs w:val="24"/>
                <w:color w:val="auto"/>
              </w:rPr>
            </w:pPr>
          </w:p>
        </w:tc>
      </w:tr>
      <w:tr>
        <w:trPr>
          <w:trHeight w:val="176"/>
        </w:trPr>
        <w:tc>
          <w:tcPr>
            <w:tcW w:w="2860" w:type="dxa"/>
            <w:vAlign w:val="bottom"/>
          </w:tcPr>
          <w:p>
            <w:pPr>
              <w:spacing w:after="0"/>
              <w:rPr>
                <w:sz w:val="15"/>
                <w:szCs w:val="15"/>
                <w:color w:val="auto"/>
              </w:rPr>
            </w:pPr>
          </w:p>
        </w:tc>
        <w:tc>
          <w:tcPr>
            <w:tcW w:w="6880" w:type="dxa"/>
            <w:vAlign w:val="bottom"/>
          </w:tcPr>
          <w:p>
            <w:pPr>
              <w:ind w:left="940"/>
              <w:spacing w:after="0"/>
              <w:rPr>
                <w:sz w:val="20"/>
                <w:szCs w:val="20"/>
                <w:color w:val="auto"/>
              </w:rPr>
            </w:pPr>
            <w:r>
              <w:rPr>
                <w:rFonts w:ascii="Arial" w:cs="Arial" w:eastAsia="Arial" w:hAnsi="Arial"/>
                <w:sz w:val="14"/>
                <w:szCs w:val="14"/>
                <w:color w:val="auto"/>
              </w:rPr>
              <w:t>Ciaran Murray CFO + 353 1 291 2000</w:t>
            </w:r>
          </w:p>
        </w:tc>
        <w:tc>
          <w:tcPr>
            <w:tcW w:w="1540" w:type="dxa"/>
            <w:vAlign w:val="bottom"/>
          </w:tcPr>
          <w:p>
            <w:pPr>
              <w:spacing w:after="0"/>
              <w:rPr>
                <w:sz w:val="15"/>
                <w:szCs w:val="15"/>
                <w:color w:val="auto"/>
              </w:rPr>
            </w:pPr>
          </w:p>
        </w:tc>
      </w:tr>
      <w:tr>
        <w:trPr>
          <w:trHeight w:val="176"/>
        </w:trPr>
        <w:tc>
          <w:tcPr>
            <w:tcW w:w="2860" w:type="dxa"/>
            <w:vAlign w:val="bottom"/>
          </w:tcPr>
          <w:p>
            <w:pPr>
              <w:spacing w:after="0"/>
              <w:rPr>
                <w:sz w:val="15"/>
                <w:szCs w:val="15"/>
                <w:color w:val="auto"/>
              </w:rPr>
            </w:pPr>
          </w:p>
        </w:tc>
        <w:tc>
          <w:tcPr>
            <w:tcW w:w="6880" w:type="dxa"/>
            <w:vAlign w:val="bottom"/>
          </w:tcPr>
          <w:p>
            <w:pPr>
              <w:ind w:left="940"/>
              <w:spacing w:after="0"/>
              <w:rPr>
                <w:sz w:val="20"/>
                <w:szCs w:val="20"/>
                <w:color w:val="auto"/>
              </w:rPr>
            </w:pPr>
            <w:r>
              <w:rPr>
                <w:rFonts w:ascii="Arial" w:cs="Arial" w:eastAsia="Arial" w:hAnsi="Arial"/>
                <w:sz w:val="14"/>
                <w:szCs w:val="14"/>
                <w:color w:val="auto"/>
              </w:rPr>
              <w:t>Brendan Brennan VP Corp Fin+ 353 1 291 2000</w:t>
            </w:r>
          </w:p>
        </w:tc>
        <w:tc>
          <w:tcPr>
            <w:tcW w:w="1540" w:type="dxa"/>
            <w:vAlign w:val="bottom"/>
          </w:tcPr>
          <w:p>
            <w:pPr>
              <w:spacing w:after="0"/>
              <w:rPr>
                <w:sz w:val="15"/>
                <w:szCs w:val="15"/>
                <w:color w:val="auto"/>
              </w:rPr>
            </w:pPr>
          </w:p>
        </w:tc>
      </w:tr>
      <w:tr>
        <w:trPr>
          <w:trHeight w:val="176"/>
        </w:trPr>
        <w:tc>
          <w:tcPr>
            <w:tcW w:w="2860" w:type="dxa"/>
            <w:vAlign w:val="bottom"/>
          </w:tcPr>
          <w:p>
            <w:pPr>
              <w:spacing w:after="0"/>
              <w:rPr>
                <w:sz w:val="15"/>
                <w:szCs w:val="15"/>
                <w:color w:val="auto"/>
              </w:rPr>
            </w:pPr>
          </w:p>
        </w:tc>
        <w:tc>
          <w:tcPr>
            <w:tcW w:w="6880" w:type="dxa"/>
            <w:vAlign w:val="bottom"/>
          </w:tcPr>
          <w:p>
            <w:pPr>
              <w:ind w:left="940"/>
              <w:spacing w:after="0"/>
              <w:rPr>
                <w:sz w:val="20"/>
                <w:szCs w:val="20"/>
                <w:color w:val="auto"/>
              </w:rPr>
            </w:pPr>
            <w:r>
              <w:rPr>
                <w:rFonts w:ascii="Arial" w:cs="Arial" w:eastAsia="Arial" w:hAnsi="Arial"/>
                <w:sz w:val="14"/>
                <w:szCs w:val="14"/>
                <w:color w:val="auto"/>
              </w:rPr>
              <w:t>all at ICON.</w:t>
            </w:r>
          </w:p>
        </w:tc>
        <w:tc>
          <w:tcPr>
            <w:tcW w:w="1540" w:type="dxa"/>
            <w:vAlign w:val="bottom"/>
          </w:tcPr>
          <w:p>
            <w:pPr>
              <w:spacing w:after="0"/>
              <w:rPr>
                <w:sz w:val="15"/>
                <w:szCs w:val="15"/>
                <w:color w:val="auto"/>
              </w:rPr>
            </w:pPr>
          </w:p>
        </w:tc>
      </w:tr>
      <w:tr>
        <w:trPr>
          <w:trHeight w:val="182"/>
        </w:trPr>
        <w:tc>
          <w:tcPr>
            <w:tcW w:w="2860" w:type="dxa"/>
            <w:vAlign w:val="bottom"/>
          </w:tcPr>
          <w:p>
            <w:pPr>
              <w:spacing w:after="0"/>
              <w:rPr>
                <w:sz w:val="15"/>
                <w:szCs w:val="15"/>
                <w:color w:val="auto"/>
              </w:rPr>
            </w:pPr>
          </w:p>
        </w:tc>
        <w:tc>
          <w:tcPr>
            <w:tcW w:w="6880" w:type="dxa"/>
            <w:vAlign w:val="bottom"/>
          </w:tcPr>
          <w:p>
            <w:pPr>
              <w:ind w:left="940"/>
              <w:spacing w:after="0"/>
              <w:rPr>
                <w:sz w:val="20"/>
                <w:szCs w:val="20"/>
                <w:color w:val="auto"/>
              </w:rPr>
            </w:pPr>
            <w:r>
              <w:rPr>
                <w:rFonts w:ascii="Arial" w:cs="Arial" w:eastAsia="Arial" w:hAnsi="Arial"/>
                <w:sz w:val="14"/>
                <w:szCs w:val="14"/>
                <w:color w:val="auto"/>
              </w:rPr>
              <w:t>http://www.iconplc.com</w:t>
            </w:r>
          </w:p>
        </w:tc>
        <w:tc>
          <w:tcPr>
            <w:tcW w:w="1540" w:type="dxa"/>
            <w:vAlign w:val="bottom"/>
          </w:tcPr>
          <w:p>
            <w:pPr>
              <w:spacing w:after="0"/>
              <w:rPr>
                <w:sz w:val="15"/>
                <w:szCs w:val="15"/>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Contact : 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Chief Financial Officer + 353 –1-291-2000</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SVP Corp Fin + 353 –1-291-2000</w:t>
      </w:r>
    </w:p>
    <w:p>
      <w:pPr>
        <w:spacing w:after="0" w:line="231" w:lineRule="auto"/>
        <w:rPr>
          <w:sz w:val="20"/>
          <w:szCs w:val="20"/>
          <w:color w:val="auto"/>
        </w:rPr>
      </w:pPr>
      <w:r>
        <w:rPr>
          <w:rFonts w:ascii="Arial" w:cs="Arial" w:eastAsia="Arial" w:hAnsi="Arial"/>
          <w:sz w:val="22"/>
          <w:szCs w:val="22"/>
          <w:color w:val="auto"/>
        </w:rPr>
        <w:t>or</w:t>
      </w:r>
    </w:p>
    <w:p>
      <w:pPr>
        <w:spacing w:after="0"/>
        <w:rPr>
          <w:sz w:val="20"/>
          <w:szCs w:val="20"/>
          <w:color w:val="auto"/>
        </w:rPr>
      </w:pPr>
      <w:r>
        <w:rPr>
          <w:rFonts w:ascii="Arial" w:cs="Arial" w:eastAsia="Arial" w:hAnsi="Arial"/>
          <w:sz w:val="22"/>
          <w:szCs w:val="22"/>
          <w:color w:val="auto"/>
        </w:rPr>
        <w:t>Sam Farthing VP Investor Relations + 353 –1-291-2000</w:t>
      </w:r>
    </w:p>
    <w:sectPr>
      <w:pgSz w:w="11900" w:h="16838" w:orient="portrait"/>
      <w:cols w:equalWidth="0" w:num="1">
        <w:col w:w="11280"/>
      </w:cols>
      <w:pgMar w:left="240" w:top="30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2019-12-10T17:26:10Z</dcterms:created>
  <dcterms:modified xsi:type="dcterms:W3CDTF">2019-12-10T17:26:10Z</dcterms:modified>
</cp:coreProperties>
</file>