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2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18"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1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Pursuant to Rule 13a - 16 under</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46"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Supplement for the quarterly period ended August 31, 2003</w:t>
      </w:r>
    </w:p>
    <w:p>
      <w:pPr>
        <w:spacing w:after="0" w:line="200" w:lineRule="exact"/>
        <w:rPr>
          <w:sz w:val="24"/>
          <w:szCs w:val="24"/>
          <w:color w:val="auto"/>
        </w:rPr>
      </w:pPr>
    </w:p>
    <w:p>
      <w:pPr>
        <w:spacing w:after="0" w:line="318"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(Registrant's name)</w:t>
      </w:r>
    </w:p>
    <w:p>
      <w:pPr>
        <w:spacing w:after="0" w:line="200" w:lineRule="exact"/>
        <w:rPr>
          <w:sz w:val="24"/>
          <w:szCs w:val="24"/>
          <w:color w:val="auto"/>
        </w:rPr>
      </w:pPr>
    </w:p>
    <w:p>
      <w:pPr>
        <w:spacing w:after="0" w:line="318"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0-29714</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(Commission file number)</w:t>
      </w:r>
    </w:p>
    <w:p>
      <w:pPr>
        <w:spacing w:after="0" w:line="346"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8" w:lineRule="exact"/>
        <w:rPr>
          <w:sz w:val="24"/>
          <w:szCs w:val="24"/>
          <w:color w:val="auto"/>
        </w:rPr>
      </w:pPr>
    </w:p>
    <w:p>
      <w:pPr>
        <w:ind w:right="3159"/>
        <w:spacing w:after="0"/>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4" w:lineRule="exact"/>
        <w:rPr>
          <w:sz w:val="24"/>
          <w:szCs w:val="24"/>
          <w:color w:val="auto"/>
        </w:rPr>
      </w:pPr>
    </w:p>
    <w:p>
      <w:pPr>
        <w:ind w:left="1960"/>
        <w:spacing w:after="0"/>
        <w:tabs>
          <w:tab w:leader="none" w:pos="4080" w:val="left"/>
        </w:tabs>
        <w:rPr>
          <w:sz w:val="20"/>
          <w:szCs w:val="20"/>
          <w:color w:val="auto"/>
        </w:rPr>
      </w:pPr>
      <w:r>
        <w:rPr>
          <w:rFonts w:ascii="Courier New" w:cs="Courier New" w:eastAsia="Courier New" w:hAnsi="Courier New"/>
          <w:sz w:val="15"/>
          <w:szCs w:val="15"/>
          <w:color w:val="auto"/>
        </w:rPr>
        <w:t>Yes___X___</w:t>
      </w:r>
      <w:r>
        <w:rPr>
          <w:sz w:val="20"/>
          <w:szCs w:val="20"/>
          <w:color w:val="auto"/>
        </w:rPr>
        <w:tab/>
      </w:r>
      <w:r>
        <w:rPr>
          <w:rFonts w:ascii="Courier New" w:cs="Courier New" w:eastAsia="Courier New" w:hAnsi="Courier New"/>
          <w:sz w:val="15"/>
          <w:szCs w:val="15"/>
          <w:color w:val="auto"/>
        </w:rPr>
        <w:t>No_______</w:t>
      </w:r>
    </w:p>
    <w:p>
      <w:pPr>
        <w:spacing w:after="0" w:line="176" w:lineRule="exact"/>
        <w:rPr>
          <w:sz w:val="24"/>
          <w:szCs w:val="24"/>
          <w:color w:val="auto"/>
        </w:rPr>
      </w:pPr>
    </w:p>
    <w:p>
      <w:pPr>
        <w:ind w:right="3519"/>
        <w:spacing w:after="0"/>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4" w:lineRule="exact"/>
        <w:rPr>
          <w:sz w:val="24"/>
          <w:szCs w:val="24"/>
          <w:color w:val="auto"/>
        </w:rPr>
      </w:pPr>
    </w:p>
    <w:p>
      <w:pPr>
        <w:ind w:left="1960"/>
        <w:spacing w:after="0"/>
        <w:tabs>
          <w:tab w:leader="none" w:pos="408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76" w:lineRule="exact"/>
        <w:rPr>
          <w:sz w:val="24"/>
          <w:szCs w:val="24"/>
          <w:color w:val="auto"/>
        </w:rPr>
      </w:pPr>
    </w:p>
    <w:p>
      <w:pPr>
        <w:ind w:right="3519"/>
        <w:spacing w:after="0"/>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4" w:lineRule="exact"/>
        <w:rPr>
          <w:sz w:val="24"/>
          <w:szCs w:val="24"/>
          <w:color w:val="auto"/>
        </w:rPr>
      </w:pPr>
    </w:p>
    <w:p>
      <w:pPr>
        <w:ind w:left="1960"/>
        <w:spacing w:after="0"/>
        <w:tabs>
          <w:tab w:leader="none" w:pos="408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76" w:lineRule="exact"/>
        <w:rPr>
          <w:sz w:val="24"/>
          <w:szCs w:val="24"/>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1960"/>
        <w:spacing w:after="0"/>
        <w:tabs>
          <w:tab w:leader="none" w:pos="4080" w:val="left"/>
        </w:tabs>
        <w:rPr>
          <w:sz w:val="20"/>
          <w:szCs w:val="20"/>
          <w:color w:val="auto"/>
        </w:rPr>
      </w:pPr>
      <w:r>
        <w:rPr>
          <w:rFonts w:ascii="Courier New" w:cs="Courier New" w:eastAsia="Courier New" w:hAnsi="Courier New"/>
          <w:sz w:val="15"/>
          <w:szCs w:val="15"/>
          <w:color w:val="auto"/>
        </w:rPr>
        <w:t>Yes______</w:t>
      </w:r>
      <w:r>
        <w:rPr>
          <w:sz w:val="20"/>
          <w:szCs w:val="20"/>
          <w:color w:val="auto"/>
        </w:rPr>
        <w:tab/>
      </w:r>
      <w:r>
        <w:rPr>
          <w:rFonts w:ascii="Courier New" w:cs="Courier New" w:eastAsia="Courier New" w:hAnsi="Courier New"/>
          <w:sz w:val="15"/>
          <w:szCs w:val="15"/>
          <w:color w:val="auto"/>
        </w:rPr>
        <w:t>No___X___</w:t>
      </w:r>
    </w:p>
    <w:p>
      <w:pPr>
        <w:spacing w:after="0" w:line="176" w:lineRule="exact"/>
        <w:rPr>
          <w:sz w:val="24"/>
          <w:szCs w:val="24"/>
          <w:color w:val="auto"/>
        </w:rPr>
      </w:pPr>
    </w:p>
    <w:p>
      <w:pPr>
        <w:ind w:right="3079"/>
        <w:spacing w:after="0"/>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Quarterly Period Ended August 31, 2003</w:t>
      </w:r>
    </w:p>
    <w:p>
      <w:pPr>
        <w:spacing w:after="0" w:line="346" w:lineRule="exact"/>
        <w:rPr>
          <w:sz w:val="24"/>
          <w:szCs w:val="24"/>
          <w:color w:val="auto"/>
        </w:rPr>
      </w:pPr>
    </w:p>
    <w:p>
      <w:pPr>
        <w:spacing w:after="0"/>
        <w:tabs>
          <w:tab w:leader="none" w:pos="668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5"/>
          <w:szCs w:val="15"/>
          <w:color w:val="auto"/>
        </w:rPr>
        <w:t>Page</w:t>
      </w:r>
    </w:p>
    <w:p>
      <w:pPr>
        <w:spacing w:after="0" w:line="346" w:lineRule="exact"/>
        <w:rPr>
          <w:sz w:val="24"/>
          <w:szCs w:val="24"/>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 -</w:t>
      </w:r>
    </w:p>
    <w:p>
      <w:pPr>
        <w:spacing w:after="0" w:line="2" w:lineRule="exact"/>
        <w:rPr>
          <w:sz w:val="24"/>
          <w:szCs w:val="24"/>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August 31, 2003 and May 31, 2003</w:t>
      </w:r>
      <w:r>
        <w:rPr>
          <w:sz w:val="20"/>
          <w:szCs w:val="20"/>
          <w:color w:val="auto"/>
        </w:rPr>
        <w:tab/>
      </w:r>
      <w:r>
        <w:rPr>
          <w:rFonts w:ascii="Courier New" w:cs="Courier New" w:eastAsia="Courier New" w:hAnsi="Courier New"/>
          <w:sz w:val="15"/>
          <w:szCs w:val="15"/>
          <w:color w:val="auto"/>
        </w:rPr>
        <w:t>2</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p>
      <w:pPr>
        <w:spacing w:after="0" w:line="2" w:lineRule="exact"/>
        <w:rPr>
          <w:sz w:val="24"/>
          <w:szCs w:val="24"/>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three months ended August 31, 2003 and 2002</w:t>
      </w:r>
      <w:r>
        <w:rPr>
          <w:sz w:val="20"/>
          <w:szCs w:val="20"/>
          <w:color w:val="auto"/>
        </w:rPr>
        <w:tab/>
      </w:r>
      <w:r>
        <w:rPr>
          <w:rFonts w:ascii="Courier New" w:cs="Courier New" w:eastAsia="Courier New" w:hAnsi="Courier New"/>
          <w:sz w:val="15"/>
          <w:szCs w:val="15"/>
          <w:color w:val="auto"/>
        </w:rPr>
        <w:t>3</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Cash Flows for the</w:t>
      </w:r>
    </w:p>
    <w:p>
      <w:pPr>
        <w:spacing w:after="0" w:line="2" w:lineRule="exact"/>
        <w:rPr>
          <w:sz w:val="24"/>
          <w:szCs w:val="24"/>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three months ended August 31, 2003 and 2002</w:t>
      </w:r>
      <w:r>
        <w:rPr>
          <w:sz w:val="20"/>
          <w:szCs w:val="20"/>
          <w:color w:val="auto"/>
        </w:rPr>
        <w:tab/>
      </w:r>
      <w:r>
        <w:rPr>
          <w:rFonts w:ascii="Courier New" w:cs="Courier New" w:eastAsia="Courier New" w:hAnsi="Courier New"/>
          <w:sz w:val="15"/>
          <w:szCs w:val="15"/>
          <w:color w:val="auto"/>
        </w:rPr>
        <w:t>4</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p>
      <w:pPr>
        <w:spacing w:after="0" w:line="2" w:lineRule="exact"/>
        <w:rPr>
          <w:sz w:val="24"/>
          <w:szCs w:val="24"/>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and Comprehensive Income</w:t>
      </w:r>
      <w:r>
        <w:rPr>
          <w:sz w:val="20"/>
          <w:szCs w:val="20"/>
          <w:color w:val="auto"/>
        </w:rPr>
        <w:tab/>
      </w:r>
      <w:r>
        <w:rPr>
          <w:rFonts w:ascii="Courier New" w:cs="Courier New" w:eastAsia="Courier New" w:hAnsi="Courier New"/>
          <w:sz w:val="15"/>
          <w:szCs w:val="15"/>
          <w:color w:val="auto"/>
        </w:rPr>
        <w:t>5</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 to the Condensed Consolidated Financial</w:t>
      </w:r>
    </w:p>
    <w:p>
      <w:pPr>
        <w:spacing w:after="0" w:line="2" w:lineRule="exact"/>
        <w:rPr>
          <w:sz w:val="24"/>
          <w:szCs w:val="24"/>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6</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w:t>
      </w:r>
    </w:p>
    <w:p>
      <w:pPr>
        <w:spacing w:after="0" w:line="2" w:lineRule="exact"/>
        <w:rPr>
          <w:sz w:val="24"/>
          <w:szCs w:val="24"/>
          <w:color w:val="auto"/>
        </w:rPr>
      </w:pPr>
    </w:p>
    <w:p>
      <w:pPr>
        <w:spacing w:after="0"/>
        <w:tabs>
          <w:tab w:leader="dot" w:pos="686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5"/>
          <w:szCs w:val="15"/>
          <w:color w:val="auto"/>
        </w:rPr>
        <w:t>11</w:t>
      </w:r>
    </w:p>
    <w:p>
      <w:pPr>
        <w:sectPr>
          <w:pgSz w:w="11900" w:h="16838" w:orient="portrait"/>
          <w:cols w:equalWidth="0" w:num="1">
            <w:col w:w="10219"/>
          </w:cols>
          <w:pgMar w:left="240" w:top="231" w:right="1440" w:bottom="0" w:gutter="0" w:footer="0" w:header="0"/>
        </w:sectPr>
      </w:pPr>
    </w:p>
    <w:p>
      <w:pPr>
        <w:spacing w:after="0" w:line="346" w:lineRule="exact"/>
        <w:rPr>
          <w:sz w:val="24"/>
          <w:szCs w:val="24"/>
          <w:color w:val="auto"/>
        </w:rPr>
      </w:pPr>
    </w:p>
    <w:p>
      <w:pPr>
        <w:spacing w:after="0"/>
        <w:tabs>
          <w:tab w:leader="none" w:pos="6860" w:val="left"/>
        </w:tabs>
        <w:rPr>
          <w:sz w:val="20"/>
          <w:szCs w:val="20"/>
          <w:color w:val="auto"/>
        </w:rPr>
      </w:pPr>
      <w:r>
        <w:rPr>
          <w:rFonts w:ascii="Courier New" w:cs="Courier New" w:eastAsia="Courier New" w:hAnsi="Courier New"/>
          <w:sz w:val="15"/>
          <w:szCs w:val="15"/>
          <w:color w:val="auto"/>
        </w:rPr>
        <w:t>Signature Page............................................................</w:t>
        <w:tab/>
        <w:t>17</w:t>
      </w:r>
    </w:p>
    <w:p>
      <w:pPr>
        <w:sectPr>
          <w:pgSz w:w="11900" w:h="16838" w:orient="portrait"/>
          <w:cols w:equalWidth="0" w:num="1">
            <w:col w:w="10219"/>
          </w:cols>
          <w:pgMar w:left="240" w:top="231" w:right="1440" w:bottom="0" w:gutter="0" w:footer="0" w:header="0"/>
          <w:type w:val="continuous"/>
        </w:sectPr>
      </w:pPr>
    </w:p>
    <w:bookmarkStart w:id="1" w:name="page2"/>
    <w:bookmarkEnd w:id="1"/>
    <w:p>
      <w:pPr>
        <w:spacing w:after="0"/>
        <w:tabs>
          <w:tab w:leader="none" w:pos="686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220"/>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2,500 employees and operations in 31 locations in 18 countries. Our main operations are in the United States, South America, Europe and the Rest of the World. For the three months ended August 31, 2003, we derived approximately 64.5%, 32.4% and 3.1% of our net revenue in the United States, Europe and Rest of World, respectively.</w:t>
      </w:r>
    </w:p>
    <w:p>
      <w:pPr>
        <w:spacing w:after="0" w:line="182"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On September 9, 2003, we completed the acquisition of Globomax LLC, ("Globomax"), a leading US Drug Development Company which provides a range of development and consulting services to the Pharmaceutical and Biotechnology industries.</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05" w:right="1440" w:bottom="1440" w:gutter="0" w:footer="0" w:header="0"/>
        </w:sectPr>
      </w:pPr>
    </w:p>
    <w:bookmarkStart w:id="3" w:name="page4"/>
    <w:bookmarkEnd w:id="3"/>
    <w:p>
      <w:pPr>
        <w:jc w:val="center"/>
        <w:ind w:right="3400"/>
        <w:spacing w:after="0"/>
        <w:rPr>
          <w:sz w:val="20"/>
          <w:szCs w:val="20"/>
          <w:color w:val="auto"/>
        </w:rPr>
      </w:pPr>
      <w:r>
        <w:rPr>
          <w:rFonts w:ascii="Courier New" w:cs="Courier New" w:eastAsia="Courier New" w:hAnsi="Courier New"/>
          <w:sz w:val="15"/>
          <w:szCs w:val="15"/>
          <w:color w:val="auto"/>
        </w:rPr>
        <w:t>ICON plc</w:t>
      </w:r>
    </w:p>
    <w:p>
      <w:pPr>
        <w:spacing w:after="0" w:line="17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1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AS AT AUGUST 31, 2003</w:t>
      </w:r>
    </w:p>
    <w:p>
      <w:pPr>
        <w:sectPr>
          <w:pgSz w:w="11900" w:h="16838" w:orient="portrait"/>
          <w:cols w:equalWidth="0" w:num="1">
            <w:col w:w="10540"/>
          </w:cols>
          <w:pgMar w:left="240" w:top="1321" w:right="1119" w:bottom="1440" w:gutter="0" w:footer="0" w:header="0"/>
        </w:sectPr>
      </w:pPr>
    </w:p>
    <w:p>
      <w:pPr>
        <w:spacing w:after="0" w:line="176" w:lineRule="exact"/>
        <w:rPr>
          <w:sz w:val="20"/>
          <w:szCs w:val="20"/>
          <w:color w:val="auto"/>
        </w:rPr>
      </w:pPr>
    </w:p>
    <w:p>
      <w:pPr>
        <w:ind w:left="7860"/>
        <w:spacing w:after="0"/>
        <w:rPr>
          <w:sz w:val="20"/>
          <w:szCs w:val="20"/>
          <w:color w:val="auto"/>
        </w:rPr>
      </w:pPr>
      <w:r>
        <w:rPr>
          <w:rFonts w:ascii="Courier New" w:cs="Courier New" w:eastAsia="Courier New" w:hAnsi="Courier New"/>
          <w:sz w:val="14"/>
          <w:szCs w:val="14"/>
          <w:color w:val="auto"/>
        </w:rPr>
        <w:t>(Unaudited)</w:t>
      </w:r>
    </w:p>
    <w:p>
      <w:pPr>
        <w:spacing w:after="0" w:line="12" w:lineRule="exact"/>
        <w:rPr>
          <w:sz w:val="20"/>
          <w:szCs w:val="20"/>
          <w:color w:val="auto"/>
        </w:rPr>
      </w:pPr>
    </w:p>
    <w:p>
      <w:pPr>
        <w:ind w:left="7860"/>
        <w:spacing w:after="0"/>
        <w:rPr>
          <w:sz w:val="20"/>
          <w:szCs w:val="20"/>
          <w:color w:val="auto"/>
        </w:rPr>
      </w:pPr>
      <w:r>
        <w:rPr>
          <w:rFonts w:ascii="Courier New" w:cs="Courier New" w:eastAsia="Courier New" w:hAnsi="Courier New"/>
          <w:sz w:val="15"/>
          <w:szCs w:val="15"/>
          <w:color w:val="auto"/>
        </w:rPr>
        <w:t>August 31,</w:t>
      </w:r>
    </w:p>
    <w:p>
      <w:pPr>
        <w:spacing w:after="0" w:line="2" w:lineRule="exact"/>
        <w:rPr>
          <w:sz w:val="20"/>
          <w:szCs w:val="20"/>
          <w:color w:val="auto"/>
        </w:rPr>
      </w:pPr>
    </w:p>
    <w:p>
      <w:pPr>
        <w:ind w:left="78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400"/>
        <w:spacing w:after="0"/>
        <w:rPr>
          <w:sz w:val="20"/>
          <w:szCs w:val="20"/>
          <w:color w:val="auto"/>
        </w:rPr>
      </w:pPr>
      <w:r>
        <w:rPr>
          <w:rFonts w:ascii="Courier New" w:cs="Courier New" w:eastAsia="Courier New" w:hAnsi="Courier New"/>
          <w:sz w:val="15"/>
          <w:szCs w:val="15"/>
          <w:color w:val="auto"/>
        </w:rPr>
        <w:t>2003</w:t>
      </w:r>
    </w:p>
    <w:p>
      <w:pPr>
        <w:spacing w:after="0" w:line="2" w:lineRule="exact"/>
        <w:rPr>
          <w:sz w:val="20"/>
          <w:szCs w:val="20"/>
          <w:color w:val="auto"/>
        </w:rPr>
      </w:pPr>
    </w:p>
    <w:p>
      <w:pPr>
        <w:ind w:left="84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(Audited)</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May 31,</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2003</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ectPr>
          <w:pgSz w:w="11900" w:h="16838" w:orient="portrait"/>
          <w:cols w:equalWidth="0" w:num="2">
            <w:col w:w="8840" w:space="720"/>
            <w:col w:w="980"/>
          </w:cols>
          <w:pgMar w:left="240" w:top="1321" w:right="1119" w:bottom="1440" w:gutter="0" w:footer="0" w:header="0"/>
          <w:type w:val="continuous"/>
        </w:sectPr>
      </w:pPr>
    </w:p>
    <w:p>
      <w:pPr>
        <w:ind w:left="848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$57,415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$18,311</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69,087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74,645</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Unbilled revenue................................................................</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52,402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44,783</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receivables...............................................................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4,385</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Deferred taxes..................................................................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Prepayments and other current assets............................................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9,950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8,326</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assets.........................................................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192,847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150,482</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38,711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Goodwill........................................................................</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44,175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$275,733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$5,317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$11,092</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Payments on account.............................................................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47,362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45,763</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28,445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28,289</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Taxes payable...................................................................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6,267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4,385</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Bank creditlines and loan facilities............................................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6,046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7,126</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liabilities......................................................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93,437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96,655</w:t>
            </w:r>
          </w:p>
        </w:tc>
      </w:tr>
      <w:tr>
        <w:trPr>
          <w:trHeight w:val="172"/>
        </w:trPr>
        <w:tc>
          <w:tcPr>
            <w:tcW w:w="78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Long term government grants.....................................................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Other liabilities...............................................................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r>
      <w:tr>
        <w:trPr>
          <w:trHeight w:val="172"/>
        </w:trPr>
        <w:tc>
          <w:tcPr>
            <w:tcW w:w="782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authorized, 13,543,387 shares issued and outstanding at August 31, 2003</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and 11,841,557 shares issued and outstanding at May 31, 2003</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Additional paid-in capital......................................................</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107,181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61,164</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Accumulated other comprehensive income..........................................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7,787</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Merger reserve..................................................................</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2"/>
        </w:trPr>
        <w:tc>
          <w:tcPr>
            <w:tcW w:w="7820" w:type="dxa"/>
            <w:vAlign w:val="bottom"/>
          </w:tcPr>
          <w:p>
            <w:pPr>
              <w:ind w:left="520"/>
              <w:spacing w:after="0"/>
              <w:rPr>
                <w:sz w:val="20"/>
                <w:szCs w:val="20"/>
                <w:color w:val="auto"/>
              </w:rPr>
            </w:pPr>
            <w:r>
              <w:rPr>
                <w:rFonts w:ascii="Courier New" w:cs="Courier New" w:eastAsia="Courier New" w:hAnsi="Courier New"/>
                <w:sz w:val="15"/>
                <w:szCs w:val="15"/>
                <w:color w:val="auto"/>
              </w:rPr>
              <w:t>Retained earnings...............................................................</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72,675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67,071</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180,950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136,910</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8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$275,733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r>
        <w:trPr>
          <w:trHeight w:val="172"/>
        </w:trPr>
        <w:tc>
          <w:tcPr>
            <w:tcW w:w="7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84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540"/>
          </w:cols>
          <w:pgMar w:left="240" w:top="1321" w:right="1119" w:bottom="1440" w:gutter="0" w:footer="0" w:header="0"/>
          <w:type w:val="continuous"/>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 THE THREE MONTHS ENDED AUGUST 31, 2003 AND 2002</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3"/>
          </w:tcPr>
          <w:p>
            <w:pPr>
              <w:jc w:val="center"/>
              <w:ind w:right="285"/>
              <w:spacing w:after="0"/>
              <w:rPr>
                <w:sz w:val="20"/>
                <w:szCs w:val="20"/>
                <w:color w:val="auto"/>
              </w:rPr>
            </w:pPr>
            <w:r>
              <w:rPr>
                <w:rFonts w:ascii="Courier New" w:cs="Courier New" w:eastAsia="Courier New" w:hAnsi="Courier New"/>
                <w:sz w:val="15"/>
                <w:szCs w:val="15"/>
                <w:color w:val="auto"/>
                <w:w w:val="98"/>
              </w:rPr>
              <w:t>Three Months Ended</w:t>
            </w:r>
          </w:p>
        </w:tc>
      </w:t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9"/>
              </w:rPr>
              <w:t>August 31,</w:t>
            </w:r>
          </w:p>
        </w:tc>
        <w:tc>
          <w:tcPr>
            <w:tcW w:w="70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2400" w:type="dxa"/>
            <w:vAlign w:val="bottom"/>
            <w:gridSpan w:val="4"/>
          </w:tcPr>
          <w:p>
            <w:pPr>
              <w:jc w:val="center"/>
              <w:ind w:left="5"/>
              <w:spacing w:after="0"/>
              <w:rPr>
                <w:sz w:val="20"/>
                <w:szCs w:val="20"/>
                <w:color w:val="auto"/>
              </w:rPr>
            </w:pPr>
            <w:r>
              <w:rPr>
                <w:rFonts w:ascii="Courier New" w:cs="Courier New" w:eastAsia="Courier New" w:hAnsi="Courier New"/>
                <w:sz w:val="15"/>
                <w:szCs w:val="15"/>
                <w:color w:val="auto"/>
                <w:w w:val="99"/>
              </w:rPr>
              <w:t>(in thousands except share</w:t>
            </w:r>
          </w:p>
        </w:tc>
      </w:t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and per share data)</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Gross revenue ...................................</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$ 106,177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72,087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Subcontractor costs .............................</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(37,242)</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(25,228)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revenue .....................................</w:t>
            </w:r>
          </w:p>
        </w:tc>
        <w:tc>
          <w:tcPr>
            <w:tcW w:w="44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68,935</w:t>
            </w:r>
          </w:p>
        </w:tc>
        <w:tc>
          <w:tcPr>
            <w:tcW w:w="3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46,859</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Direct costs ....................................</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37,699</w:t>
            </w:r>
          </w:p>
        </w:tc>
        <w:tc>
          <w:tcPr>
            <w:tcW w:w="3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25,425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 expense .....</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21,025</w:t>
            </w:r>
          </w:p>
        </w:tc>
        <w:tc>
          <w:tcPr>
            <w:tcW w:w="3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14,643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2,589</w:t>
            </w:r>
          </w:p>
        </w:tc>
        <w:tc>
          <w:tcPr>
            <w:tcW w:w="3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1,570</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costs and expenses ........................</w:t>
            </w:r>
          </w:p>
        </w:tc>
        <w:tc>
          <w:tcPr>
            <w:tcW w:w="44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61,313</w:t>
            </w:r>
          </w:p>
        </w:tc>
        <w:tc>
          <w:tcPr>
            <w:tcW w:w="3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41,638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from operations .............................</w:t>
            </w:r>
          </w:p>
        </w:tc>
        <w:tc>
          <w:tcPr>
            <w:tcW w:w="44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7,622</w:t>
            </w:r>
          </w:p>
        </w:tc>
        <w:tc>
          <w:tcPr>
            <w:tcW w:w="3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w:t>
            </w:r>
          </w:p>
        </w:tc>
        <w:tc>
          <w:tcPr>
            <w:tcW w:w="36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 ...................................</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provision for income taxes ...........</w:t>
            </w:r>
          </w:p>
        </w:tc>
        <w:tc>
          <w:tcPr>
            <w:tcW w:w="44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7,669</w:t>
            </w:r>
          </w:p>
        </w:tc>
        <w:tc>
          <w:tcPr>
            <w:tcW w:w="3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5,407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 .........................</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(2,065)</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(1,434)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5,604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3,973</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Basic ...........................................</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Diluted .........................................</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0.33</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number of Ordinary Shares outstanding:</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12,153,772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11,798,354</w:t>
            </w:r>
          </w:p>
        </w:tc>
      </w:tr>
      <w:tr>
        <w:trPr>
          <w:trHeight w:val="172"/>
        </w:trPr>
        <w:tc>
          <w:tcPr>
            <w:tcW w:w="452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12,606,971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12,147,634</w:t>
            </w:r>
          </w:p>
        </w:tc>
      </w:tr>
      <w:tr>
        <w:trPr>
          <w:trHeight w:val="172"/>
        </w:trPr>
        <w:tc>
          <w:tcPr>
            <w:tcW w:w="452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7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670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ICON plc</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6700" w:type="dxa"/>
            <w:vAlign w:val="bottom"/>
          </w:tcPr>
          <w:p>
            <w:pPr>
              <w:jc w:val="center"/>
              <w:ind w:left="465"/>
              <w:spacing w:after="0"/>
              <w:rPr>
                <w:sz w:val="20"/>
                <w:szCs w:val="20"/>
                <w:color w:val="auto"/>
              </w:rPr>
            </w:pPr>
            <w:r>
              <w:rPr>
                <w:rFonts w:ascii="Courier New" w:cs="Courier New" w:eastAsia="Courier New" w:hAnsi="Courier New"/>
                <w:sz w:val="15"/>
                <w:szCs w:val="15"/>
                <w:color w:val="auto"/>
                <w:w w:val="99"/>
              </w:rPr>
              <w:t>CONDENSED CONSOLIDATED STATEMENTS OF CASH FLOWS</w:t>
            </w:r>
          </w:p>
        </w:tc>
        <w:tc>
          <w:tcPr>
            <w:tcW w:w="2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6700" w:type="dxa"/>
            <w:vAlign w:val="bottom"/>
          </w:tcPr>
          <w:p>
            <w:pPr>
              <w:jc w:val="center"/>
              <w:ind w:left="465"/>
              <w:spacing w:after="0"/>
              <w:rPr>
                <w:sz w:val="20"/>
                <w:szCs w:val="20"/>
                <w:color w:val="auto"/>
              </w:rPr>
            </w:pPr>
            <w:r>
              <w:rPr>
                <w:rFonts w:ascii="Courier New" w:cs="Courier New" w:eastAsia="Courier New" w:hAnsi="Courier New"/>
                <w:sz w:val="15"/>
                <w:szCs w:val="15"/>
                <w:color w:val="auto"/>
                <w:w w:val="99"/>
              </w:rPr>
              <w:t>FOR THE THREE MONTHS ENDED AUGUST 31, 2003 AND 2002</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700" w:type="dxa"/>
            <w:vAlign w:val="bottom"/>
          </w:tcPr>
          <w:p>
            <w:pPr>
              <w:jc w:val="center"/>
              <w:ind w:left="445"/>
              <w:spacing w:after="0"/>
              <w:rPr>
                <w:sz w:val="20"/>
                <w:szCs w:val="20"/>
                <w:color w:val="auto"/>
              </w:rPr>
            </w:pPr>
            <w:r>
              <w:rPr>
                <w:rFonts w:ascii="Courier New" w:cs="Courier New" w:eastAsia="Courier New" w:hAnsi="Courier New"/>
                <w:sz w:val="15"/>
                <w:szCs w:val="15"/>
                <w:color w:val="auto"/>
                <w:w w:val="98"/>
              </w:rPr>
              <w:t>(UNAUDITED)</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700" w:type="dxa"/>
            <w:vAlign w:val="bottom"/>
          </w:tcPr>
          <w:p>
            <w:pPr>
              <w:spacing w:after="0"/>
              <w:rPr>
                <w:sz w:val="14"/>
                <w:szCs w:val="14"/>
                <w:color w:val="auto"/>
              </w:rPr>
            </w:pPr>
          </w:p>
        </w:tc>
        <w:tc>
          <w:tcPr>
            <w:tcW w:w="35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6700" w:type="dxa"/>
            <w:vAlign w:val="bottom"/>
          </w:tcPr>
          <w:p>
            <w:pPr>
              <w:spacing w:after="0"/>
              <w:rPr>
                <w:sz w:val="14"/>
                <w:szCs w:val="14"/>
                <w:color w:val="auto"/>
              </w:rPr>
            </w:pPr>
          </w:p>
        </w:tc>
        <w:tc>
          <w:tcPr>
            <w:tcW w:w="35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14"/>
                <w:szCs w:val="14"/>
                <w:color w:val="auto"/>
              </w:rPr>
            </w:pPr>
          </w:p>
        </w:tc>
        <w:tc>
          <w:tcPr>
            <w:tcW w:w="358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August 31</w:t>
            </w:r>
          </w:p>
        </w:tc>
      </w:tr>
      <w:tr>
        <w:trPr>
          <w:trHeight w:val="172"/>
        </w:trPr>
        <w:tc>
          <w:tcPr>
            <w:tcW w:w="6700" w:type="dxa"/>
            <w:vAlign w:val="bottom"/>
          </w:tcPr>
          <w:p>
            <w:pPr>
              <w:spacing w:after="0"/>
              <w:rPr>
                <w:sz w:val="14"/>
                <w:szCs w:val="14"/>
                <w:color w:val="auto"/>
              </w:rPr>
            </w:pPr>
          </w:p>
        </w:tc>
        <w:tc>
          <w:tcPr>
            <w:tcW w:w="358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2003</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14"/>
                <w:szCs w:val="14"/>
                <w:color w:val="auto"/>
              </w:rPr>
            </w:pPr>
          </w:p>
        </w:tc>
        <w:tc>
          <w:tcPr>
            <w:tcW w:w="35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$5,604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$3,973</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(used in)/provided by</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operating activities:..................................</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Loss on disposal of fixed assets.......................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Depreciation...........................................</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2,589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1,570</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Amortization of grants.................................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Decrease in accounts receivable........................</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4,055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4,231</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Increase in unbilled revenue...........................</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(8,090)</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(6,975)</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(Increase)/decrease in other receivables...............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(3,466)</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547</w:t>
            </w:r>
          </w:p>
        </w:tc>
      </w:tr>
      <w:tr>
        <w:trPr>
          <w:trHeight w:val="172"/>
        </w:trPr>
        <w:tc>
          <w:tcPr>
            <w:tcW w:w="670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(Increase)/decrease in prepayments and other current assets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(1,976)</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779</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Increase in payments on account........................</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1,736</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1,828</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Increase/(decrease) in other liabilities...............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2,823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(2,698)</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Increase in income taxes payable.......................</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Decrease in accounts payable...........................</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(1,587)</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Net cash (used in)/provided by operating activities.......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2,035</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Purchase of fixed assets...............................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(3,428)</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(3,130)</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Sale of short term investments.........................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6,072</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Purchase of short term investments.....................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(4,638)</w:t>
            </w:r>
          </w:p>
        </w:tc>
      </w:tr>
      <w:tr>
        <w:trPr>
          <w:trHeight w:val="172"/>
        </w:trPr>
        <w:tc>
          <w:tcPr>
            <w:tcW w:w="6700" w:type="dxa"/>
            <w:vAlign w:val="bottom"/>
          </w:tcPr>
          <w:p>
            <w:pPr>
              <w:jc w:val="right"/>
              <w:ind w:right="2065"/>
              <w:spacing w:after="0"/>
              <w:rPr>
                <w:sz w:val="20"/>
                <w:szCs w:val="20"/>
                <w:color w:val="auto"/>
              </w:rPr>
            </w:pPr>
            <w:r>
              <w:rPr>
                <w:rFonts w:ascii="Courier New" w:cs="Courier New" w:eastAsia="Courier New" w:hAnsi="Courier New"/>
                <w:sz w:val="15"/>
                <w:szCs w:val="15"/>
                <w:color w:val="auto"/>
              </w:rPr>
              <w:t>Payments in respect of prior year acquisitions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(3,078)</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(3,530)</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(4,774)</w:t>
            </w:r>
          </w:p>
        </w:tc>
      </w:tr>
      <w:tr>
        <w:trPr>
          <w:trHeight w:val="172"/>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0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Repayment of bank overdraft...............................</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(1,080)</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(678)</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Proceeds from issuance of share capital...................</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45,705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Proceeds from exercise of share options...................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1,819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Share issuance costs......................................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Repayment of other liabilities............................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Net cash provided by/(used in) financing activities.......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46,039</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(652)</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Effect of exchange rate movements on cash.................</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(3,197)</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Net increase/(decrease) in cash and cash equivalents......</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39,104</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(3,433)</w:t>
            </w:r>
          </w:p>
        </w:tc>
      </w:tr>
      <w:tr>
        <w:trPr>
          <w:trHeight w:val="172"/>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18,311</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36,291</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70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20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$57,415</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$32,858</w:t>
            </w:r>
          </w:p>
        </w:tc>
      </w:tr>
      <w:tr>
        <w:trPr>
          <w:trHeight w:val="172"/>
        </w:trPr>
        <w:tc>
          <w:tcPr>
            <w:tcW w:w="6700" w:type="dxa"/>
            <w:vAlign w:val="bottom"/>
          </w:tcPr>
          <w:p>
            <w:pPr>
              <w:spacing w:after="0"/>
              <w:rPr>
                <w:sz w:val="14"/>
                <w:szCs w:val="14"/>
                <w:color w:val="auto"/>
              </w:rPr>
            </w:pPr>
          </w:p>
        </w:tc>
        <w:tc>
          <w:tcPr>
            <w:tcW w:w="2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5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80"/>
          </w:cols>
          <w:pgMar w:left="240" w:top="1321" w:right="1379" w:bottom="1440" w:gutter="0" w:footer="0" w:header="0"/>
        </w:sectPr>
      </w:pPr>
    </w:p>
    <w:bookmarkStart w:id="6" w:name="page7"/>
    <w:bookmarkEnd w:id="6"/>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52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ICON plc</w:t>
            </w: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8140" w:type="dxa"/>
            <w:vAlign w:val="bottom"/>
            <w:gridSpan w:val="5"/>
          </w:tcPr>
          <w:p>
            <w:pPr>
              <w:jc w:val="right"/>
              <w:ind w:right="725"/>
              <w:spacing w:after="0"/>
              <w:rPr>
                <w:sz w:val="20"/>
                <w:szCs w:val="20"/>
                <w:color w:val="auto"/>
              </w:rPr>
            </w:pPr>
            <w:r>
              <w:rPr>
                <w:rFonts w:ascii="Courier New" w:cs="Courier New" w:eastAsia="Courier New" w:hAnsi="Courier New"/>
                <w:sz w:val="15"/>
                <w:szCs w:val="15"/>
                <w:color w:val="auto"/>
                <w:w w:val="99"/>
              </w:rPr>
              <w:t>CONDENSED CONSOLIDATED STATEMENTS OF SHAREHOLDERS' EQUITY AND COMPREHENSIVE INCOME</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5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(UNAUDITED)</w:t>
            </w: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Accumulated</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Additional</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Comprehensive</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Retained</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Merger</w:t>
            </w: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Earnings</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Reserve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80" w:type="dxa"/>
            <w:vAlign w:val="bottom"/>
            <w:gridSpan w:val="4"/>
          </w:tcPr>
          <w:p>
            <w:pPr>
              <w:jc w:val="right"/>
              <w:ind w:right="825"/>
              <w:spacing w:after="0"/>
              <w:rPr>
                <w:sz w:val="20"/>
                <w:szCs w:val="20"/>
                <w:color w:val="auto"/>
              </w:rPr>
            </w:pPr>
            <w:r>
              <w:rPr>
                <w:rFonts w:ascii="Courier New" w:cs="Courier New" w:eastAsia="Courier New" w:hAnsi="Courier New"/>
                <w:sz w:val="15"/>
                <w:szCs w:val="15"/>
                <w:color w:val="auto"/>
              </w:rPr>
              <w:t>(dollars in thousands, except share data)</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88"/>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Balance at May 31, 2003........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11,841,557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$61,164</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$7,787</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$67,071</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$136,910</w:t>
            </w:r>
          </w:p>
        </w:tc>
      </w:tr>
      <w:tr>
        <w:trPr>
          <w:trHeight w:val="516"/>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5,604</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5,604</w:t>
            </w:r>
          </w:p>
        </w:tc>
      </w:tr>
      <w:tr>
        <w:trPr>
          <w:trHeight w:val="172"/>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Currency translation adjustment..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(7,699)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(7,699)</w:t>
            </w:r>
          </w:p>
        </w:tc>
      </w:tr>
      <w:tr>
        <w:trPr>
          <w:trHeight w:val="172"/>
        </w:trPr>
        <w:tc>
          <w:tcPr>
            <w:tcW w:w="3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Total comprehensive income.......</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(2,095)</w:t>
            </w:r>
          </w:p>
        </w:tc>
      </w:tr>
      <w:tr>
        <w:trPr>
          <w:trHeight w:val="172"/>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Exercise of Share Options........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201,830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1,805</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r>
        <w:trPr>
          <w:trHeight w:val="172"/>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Shares issued....................</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1,500,000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45,601</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45,705</w:t>
            </w:r>
          </w:p>
        </w:tc>
      </w:tr>
      <w:tr>
        <w:trPr>
          <w:trHeight w:val="172"/>
        </w:trPr>
        <w:tc>
          <w:tcPr>
            <w:tcW w:w="3400" w:type="dxa"/>
            <w:vAlign w:val="bottom"/>
          </w:tcPr>
          <w:p>
            <w:pPr>
              <w:ind w:left="360"/>
              <w:spacing w:after="0"/>
              <w:rPr>
                <w:sz w:val="20"/>
                <w:szCs w:val="20"/>
                <w:color w:val="auto"/>
              </w:rPr>
            </w:pPr>
            <w:r>
              <w:rPr>
                <w:rFonts w:ascii="Courier New" w:cs="Courier New" w:eastAsia="Courier New" w:hAnsi="Courier New"/>
                <w:sz w:val="15"/>
                <w:szCs w:val="15"/>
                <w:color w:val="auto"/>
              </w:rPr>
              <w:t>Share Issue costs................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(1,389)</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(1,389)</w:t>
            </w:r>
          </w:p>
        </w:tc>
      </w:tr>
      <w:tr>
        <w:trPr>
          <w:trHeight w:val="172"/>
        </w:trPr>
        <w:tc>
          <w:tcPr>
            <w:tcW w:w="340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Balance at August 31, 2003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13,543,387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$107,181</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$72,675</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$180,950</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82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1440" w:right="139" w:bottom="1440" w:gutter="0" w:footer="0" w:header="0"/>
        </w:sectPr>
      </w:pPr>
    </w:p>
    <w:bookmarkStart w:id="7" w:name="page8"/>
    <w:bookmarkEnd w:id="7"/>
    <w:p>
      <w:pPr>
        <w:jc w:val="center"/>
        <w:ind w:right="3079"/>
        <w:spacing w:after="0"/>
        <w:rPr>
          <w:sz w:val="20"/>
          <w:szCs w:val="20"/>
          <w:color w:val="auto"/>
        </w:rPr>
      </w:pPr>
      <w:r>
        <w:rPr>
          <w:rFonts w:ascii="Courier New" w:cs="Courier New" w:eastAsia="Courier New" w:hAnsi="Courier New"/>
          <w:sz w:val="15"/>
          <w:szCs w:val="15"/>
          <w:color w:val="auto"/>
        </w:rPr>
        <w:t>ICON plc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AUGUST 31, 2003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United States generally accepted accounting principles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2003, except as described below.</w:t>
      </w:r>
    </w:p>
    <w:p>
      <w:pPr>
        <w:spacing w:after="0" w:line="18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2003 annual report on Form 20-F. Operating results for the three months ended August 31, 2003 are not necessarily indicative of the results that may be expected for the fiscal year ending May 31, 2004.</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July 25, 2003, August 20, 2003 and August 29, 2003, additional cash payments totaling U.S.$33,700 were made to the former shareholders of Barton &amp; Polansky Associates, Inc. ("BPA") and Managed Clinical Solutions, Inc. ("MCS"), Companies we acquired on October 9, 2002, as part of the working capital provisions in the acquisition contract.</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May 31, 2003, an amount of Stg(pound)1.225 million (U.S.$2.0 million) was accrued, in relation to the Medeval Group Limited ("Medeval") acquisition, a Company we acquired on January 24, 2003, as the first earn-out target identified in the acquisition contract was reached on this date.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3. Goodwill</w:t>
            </w:r>
          </w:p>
        </w:tc>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Three months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ended</w:t>
            </w:r>
          </w:p>
        </w:tc>
        <w:tc>
          <w:tcPr>
            <w:tcW w:w="102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40" w:type="dxa"/>
            <w:vAlign w:val="bottom"/>
          </w:tcPr>
          <w:p>
            <w:pPr>
              <w:ind w:left="840"/>
              <w:spacing w:after="0"/>
              <w:rPr>
                <w:sz w:val="20"/>
                <w:szCs w:val="20"/>
                <w:color w:val="auto"/>
              </w:rPr>
            </w:pPr>
            <w:r>
              <w:rPr>
                <w:rFonts w:ascii="Courier New" w:cs="Courier New" w:eastAsia="Courier New" w:hAnsi="Courier New"/>
                <w:sz w:val="15"/>
                <w:szCs w:val="15"/>
                <w:color w:val="auto"/>
              </w:rPr>
              <w:t>August 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6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40" w:type="dxa"/>
            <w:vAlign w:val="bottom"/>
          </w:tcPr>
          <w:p>
            <w:pPr>
              <w:ind w:left="840"/>
              <w:spacing w:after="0"/>
              <w:rPr>
                <w:sz w:val="20"/>
                <w:szCs w:val="20"/>
                <w:color w:val="auto"/>
              </w:rPr>
            </w:pPr>
            <w:r>
              <w:rPr>
                <w:rFonts w:ascii="Courier New" w:cs="Courier New" w:eastAsia="Courier New" w:hAnsi="Courier New"/>
                <w:sz w:val="15"/>
                <w:szCs w:val="15"/>
                <w:color w:val="auto"/>
              </w:rPr>
              <w:t>(in thousands)</w:t>
            </w:r>
          </w:p>
        </w:tc>
        <w:tc>
          <w:tcPr>
            <w:tcW w:w="1020" w:type="dxa"/>
            <w:vAlign w:val="bottom"/>
          </w:tcPr>
          <w:p>
            <w:pPr>
              <w:spacing w:after="0"/>
              <w:rPr>
                <w:sz w:val="14"/>
                <w:szCs w:val="14"/>
                <w:color w:val="auto"/>
              </w:rPr>
            </w:pPr>
          </w:p>
        </w:tc>
      </w:tr>
      <w:tr>
        <w:trPr>
          <w:trHeight w:val="344"/>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Opening</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c>
          <w:tcPr>
            <w:tcW w:w="22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$45,029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$10,093</w:t>
            </w:r>
          </w:p>
        </w:tc>
      </w:tr>
      <w:tr>
        <w:trPr>
          <w:trHeight w:val="172"/>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Arising</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during the year</w:t>
            </w:r>
          </w:p>
        </w:tc>
        <w:tc>
          <w:tcPr>
            <w:tcW w:w="22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32,302</w:t>
            </w:r>
          </w:p>
        </w:tc>
      </w:tr>
      <w:tr>
        <w:trPr>
          <w:trHeight w:val="172"/>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Arising</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on earn-out (current and</w:t>
            </w:r>
          </w:p>
        </w:tc>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prior</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year acquisitions)</w:t>
            </w:r>
          </w:p>
        </w:tc>
        <w:tc>
          <w:tcPr>
            <w:tcW w:w="22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Foreign</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exchange Movement</w:t>
            </w:r>
          </w:p>
        </w:tc>
        <w:tc>
          <w:tcPr>
            <w:tcW w:w="22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631</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Closing Goodwill</w:t>
            </w:r>
          </w:p>
        </w:tc>
        <w:tc>
          <w:tcPr>
            <w:tcW w:w="26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$44,175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$45,029</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97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4. Net income per Ordinary Share</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6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4"/>
          <w:szCs w:val="14"/>
          <w:color w:val="auto"/>
        </w:rPr>
        <w:t>Three Months Ended</w:t>
      </w:r>
    </w:p>
    <w:p>
      <w:pPr>
        <w:spacing w:after="0" w:line="13"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5"/>
          <w:szCs w:val="15"/>
          <w:color w:val="auto"/>
        </w:rPr>
        <w:t>August 31,</w:t>
      </w:r>
    </w:p>
    <w:p>
      <w:pPr>
        <w:spacing w:after="0" w:line="2"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5"/>
          <w:szCs w:val="15"/>
          <w:color w:val="auto"/>
        </w:rPr>
        <w:t>2003</w:t>
      </w:r>
    </w:p>
    <w:p>
      <w:pPr>
        <w:spacing w:after="0" w:line="2" w:lineRule="exact"/>
        <w:rPr>
          <w:sz w:val="20"/>
          <w:szCs w:val="20"/>
          <w:color w:val="auto"/>
        </w:rPr>
      </w:pPr>
    </w:p>
    <w:p>
      <w:pPr>
        <w:jc w:val="center"/>
        <w:ind w:left="63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7960" w:space="360"/>
            <w:col w:w="189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Weighted average number of Ordinary Shares outstanding</w:t>
      </w:r>
    </w:p>
    <w:p>
      <w:pPr>
        <w:sectPr>
          <w:pgSz w:w="11900" w:h="16838" w:orient="portrait"/>
          <w:cols w:equalWidth="0" w:num="1">
            <w:col w:w="10219"/>
          </w:cols>
          <w:pgMar w:left="240" w:top="633" w:right="1440" w:bottom="1440" w:gutter="0" w:footer="0" w:header="0"/>
          <w:type w:val="continuous"/>
        </w:sectPr>
      </w:pPr>
    </w:p>
    <w:p>
      <w:pPr>
        <w:spacing w:after="0" w:line="185" w:lineRule="exact"/>
        <w:rPr>
          <w:sz w:val="20"/>
          <w:szCs w:val="20"/>
          <w:color w:val="auto"/>
        </w:rPr>
      </w:pPr>
    </w:p>
    <w:p>
      <w:pPr>
        <w:ind w:right="980" w:firstLine="179"/>
        <w:spacing w:after="0" w:line="274" w:lineRule="auto"/>
        <w:rPr>
          <w:sz w:val="20"/>
          <w:szCs w:val="20"/>
          <w:color w:val="auto"/>
        </w:rPr>
      </w:pPr>
      <w:r>
        <w:rPr>
          <w:rFonts w:ascii="Courier New" w:cs="Courier New" w:eastAsia="Courier New" w:hAnsi="Courier New"/>
          <w:sz w:val="14"/>
          <w:szCs w:val="14"/>
          <w:color w:val="auto"/>
        </w:rPr>
        <w:t>for basic net income per Ordinary Share Effect of dilutive share options outstanding</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820"/>
        <w:spacing w:after="0"/>
        <w:tabs>
          <w:tab w:leader="none" w:pos="2140" w:val="left"/>
        </w:tabs>
        <w:rPr>
          <w:sz w:val="20"/>
          <w:szCs w:val="20"/>
          <w:color w:val="auto"/>
        </w:rPr>
      </w:pPr>
      <w:r>
        <w:rPr>
          <w:rFonts w:ascii="Courier New" w:cs="Courier New" w:eastAsia="Courier New" w:hAnsi="Courier New"/>
          <w:sz w:val="15"/>
          <w:szCs w:val="15"/>
          <w:color w:val="auto"/>
        </w:rPr>
        <w:t>12,153,772</w:t>
      </w:r>
      <w:r>
        <w:rPr>
          <w:sz w:val="20"/>
          <w:szCs w:val="20"/>
          <w:color w:val="auto"/>
        </w:rPr>
        <w:tab/>
      </w:r>
      <w:r>
        <w:rPr>
          <w:rFonts w:ascii="Courier New" w:cs="Courier New" w:eastAsia="Courier New" w:hAnsi="Courier New"/>
          <w:sz w:val="15"/>
          <w:szCs w:val="15"/>
          <w:color w:val="auto"/>
        </w:rPr>
        <w:t>11,798,354</w:t>
      </w:r>
    </w:p>
    <w:p>
      <w:pPr>
        <w:spacing w:after="0" w:line="2" w:lineRule="exact"/>
        <w:rPr>
          <w:sz w:val="20"/>
          <w:szCs w:val="20"/>
          <w:color w:val="auto"/>
        </w:rPr>
      </w:pPr>
    </w:p>
    <w:p>
      <w:pPr>
        <w:ind w:left="1080"/>
        <w:spacing w:after="0"/>
        <w:tabs>
          <w:tab w:leader="none" w:pos="2400" w:val="left"/>
        </w:tabs>
        <w:rPr>
          <w:sz w:val="20"/>
          <w:szCs w:val="20"/>
          <w:color w:val="auto"/>
        </w:rPr>
      </w:pPr>
      <w:r>
        <w:rPr>
          <w:rFonts w:ascii="Courier New" w:cs="Courier New" w:eastAsia="Courier New" w:hAnsi="Courier New"/>
          <w:sz w:val="15"/>
          <w:szCs w:val="15"/>
          <w:color w:val="auto"/>
        </w:rPr>
        <w:t>453,199</w:t>
      </w:r>
      <w:r>
        <w:rPr>
          <w:sz w:val="20"/>
          <w:szCs w:val="20"/>
          <w:color w:val="auto"/>
        </w:rPr>
        <w:tab/>
      </w:r>
      <w:r>
        <w:rPr>
          <w:rFonts w:ascii="Courier New" w:cs="Courier New" w:eastAsia="Courier New" w:hAnsi="Courier New"/>
          <w:sz w:val="15"/>
          <w:szCs w:val="15"/>
          <w:color w:val="auto"/>
        </w:rPr>
        <w:t>349,280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5" w:lineRule="exact"/>
        <w:rPr>
          <w:sz w:val="20"/>
          <w:szCs w:val="20"/>
          <w:color w:val="auto"/>
        </w:rPr>
      </w:pPr>
    </w:p>
    <w:p>
      <w:pPr>
        <w:sectPr>
          <w:pgSz w:w="11900" w:h="16838" w:orient="portrait"/>
          <w:cols w:equalWidth="0" w:num="2">
            <w:col w:w="4900" w:space="720"/>
            <w:col w:w="4599"/>
          </w:cols>
          <w:pgMar w:left="240" w:top="633" w:right="1440" w:bottom="1440" w:gutter="0" w:footer="0" w:header="0"/>
          <w:type w:val="continuous"/>
        </w:sectPr>
      </w:pPr>
    </w:p>
    <w:p>
      <w:pPr>
        <w:ind w:left="180" w:right="800" w:hanging="178"/>
        <w:spacing w:after="0"/>
        <w:rPr>
          <w:sz w:val="20"/>
          <w:szCs w:val="20"/>
          <w:color w:val="auto"/>
        </w:rPr>
      </w:pPr>
      <w:r>
        <w:rPr>
          <w:rFonts w:ascii="Courier New" w:cs="Courier New" w:eastAsia="Courier New" w:hAnsi="Courier New"/>
          <w:sz w:val="15"/>
          <w:szCs w:val="15"/>
          <w:color w:val="auto"/>
        </w:rPr>
        <w:t>Weighted average number of Ordinary Shares for diluted net income per Ordinary Share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20"/>
        <w:spacing w:after="0"/>
        <w:tabs>
          <w:tab w:leader="none" w:pos="2140" w:val="left"/>
        </w:tabs>
        <w:rPr>
          <w:sz w:val="20"/>
          <w:szCs w:val="20"/>
          <w:color w:val="auto"/>
        </w:rPr>
      </w:pPr>
      <w:r>
        <w:rPr>
          <w:rFonts w:ascii="Courier New" w:cs="Courier New" w:eastAsia="Courier New" w:hAnsi="Courier New"/>
          <w:sz w:val="15"/>
          <w:szCs w:val="15"/>
          <w:color w:val="auto"/>
        </w:rPr>
        <w:t>12,606,971</w:t>
      </w:r>
      <w:r>
        <w:rPr>
          <w:sz w:val="20"/>
          <w:szCs w:val="20"/>
          <w:color w:val="auto"/>
        </w:rPr>
        <w:tab/>
      </w:r>
      <w:r>
        <w:rPr>
          <w:rFonts w:ascii="Courier New" w:cs="Courier New" w:eastAsia="Courier New" w:hAnsi="Courier New"/>
          <w:sz w:val="15"/>
          <w:szCs w:val="15"/>
          <w:color w:val="auto"/>
        </w:rPr>
        <w:t>12,147,634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ectPr>
          <w:pgSz w:w="11900" w:h="16838" w:orient="portrait"/>
          <w:cols w:equalWidth="0" w:num="2">
            <w:col w:w="4900" w:space="720"/>
            <w:col w:w="4599"/>
          </w:cols>
          <w:pgMar w:left="240" w:top="633" w:right="1440"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Business Segment Information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States, United Kingdom, Germany, France, The Netherlands, Latvia, Israel, Hungary, Russia, Sweden, Australia, Argentina, Japan, Singapore, South Africa, Canada and India. Segment information for the three month periods ended August 31, 2003 and 2002 are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6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2720" w:type="dxa"/>
            <w:vAlign w:val="bottom"/>
          </w:tcPr>
          <w:p>
            <w:pPr>
              <w:spacing w:after="0"/>
              <w:rPr>
                <w:sz w:val="14"/>
                <w:szCs w:val="14"/>
                <w:color w:val="auto"/>
              </w:rPr>
            </w:pPr>
          </w:p>
        </w:tc>
        <w:tc>
          <w:tcPr>
            <w:tcW w:w="36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c>
          <w:tcPr>
            <w:tcW w:w="58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720" w:type="dxa"/>
            <w:vAlign w:val="bottom"/>
          </w:tcPr>
          <w:p>
            <w:pPr>
              <w:spacing w:after="0"/>
              <w:rPr>
                <w:sz w:val="14"/>
                <w:szCs w:val="14"/>
                <w:color w:val="auto"/>
              </w:rPr>
            </w:pP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14"/>
                <w:szCs w:val="14"/>
                <w:color w:val="auto"/>
              </w:rPr>
            </w:pPr>
          </w:p>
        </w:tc>
        <w:tc>
          <w:tcPr>
            <w:tcW w:w="30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(in thousands)</w:t>
            </w:r>
          </w:p>
        </w:tc>
        <w:tc>
          <w:tcPr>
            <w:tcW w:w="58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$9,884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$5,166</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12,459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7,015</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44,464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33,394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0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2,128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1,284</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$68,935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$46,859</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0" w:hanging="182"/>
        <w:spacing w:after="0"/>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type w:val="continuous"/>
        </w:sectPr>
      </w:pPr>
    </w:p>
    <w:bookmarkStart w:id="9" w:name="page10"/>
    <w:bookmarkEnd w:id="9"/>
    <w:p>
      <w:pPr>
        <w:ind w:left="440"/>
        <w:spacing w:after="0"/>
        <w:rPr>
          <w:sz w:val="20"/>
          <w:szCs w:val="20"/>
          <w:color w:val="auto"/>
        </w:rPr>
      </w:pPr>
      <w:r>
        <w:rPr>
          <w:rFonts w:ascii="Courier New" w:cs="Courier New" w:eastAsia="Courier New" w:hAnsi="Courier New"/>
          <w:sz w:val="15"/>
          <w:szCs w:val="15"/>
          <w:color w:val="auto"/>
        </w:rPr>
        <w:t>b) The distribution of net revenue by business segment was as follows:</w:t>
      </w:r>
    </w:p>
    <w:p>
      <w:pPr>
        <w:spacing w:after="0" w:line="17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August 31,</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180"/>
        <w:spacing w:after="0"/>
        <w:tabs>
          <w:tab w:leader="none" w:pos="642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2" w:lineRule="exact"/>
        <w:rPr>
          <w:sz w:val="20"/>
          <w:szCs w:val="20"/>
          <w:color w:val="auto"/>
        </w:rPr>
      </w:pPr>
    </w:p>
    <w:p>
      <w:pPr>
        <w:ind w:left="5180"/>
        <w:spacing w:after="0"/>
        <w:tabs>
          <w:tab w:leader="none" w:pos="6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620"/>
        <w:spacing w:after="0"/>
        <w:tabs>
          <w:tab w:leader="none" w:pos="4980" w:val="left"/>
          <w:tab w:leader="none" w:pos="624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$5,723</w:t>
      </w:r>
      <w:r>
        <w:rPr>
          <w:sz w:val="20"/>
          <w:szCs w:val="20"/>
          <w:color w:val="auto"/>
        </w:rPr>
        <w:tab/>
      </w:r>
      <w:r>
        <w:rPr>
          <w:rFonts w:ascii="Courier New" w:cs="Courier New" w:eastAsia="Courier New" w:hAnsi="Courier New"/>
          <w:sz w:val="14"/>
          <w:szCs w:val="14"/>
          <w:color w:val="auto"/>
        </w:rPr>
        <w:t>$7,187</w:t>
      </w:r>
    </w:p>
    <w:p>
      <w:pPr>
        <w:spacing w:after="0" w:line="2" w:lineRule="exact"/>
        <w:rPr>
          <w:sz w:val="20"/>
          <w:szCs w:val="20"/>
          <w:color w:val="auto"/>
        </w:rPr>
      </w:pPr>
    </w:p>
    <w:p>
      <w:pPr>
        <w:ind w:left="620"/>
        <w:spacing w:after="0"/>
        <w:tabs>
          <w:tab w:leader="none" w:pos="4980" w:val="left"/>
          <w:tab w:leader="none" w:pos="624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63,212</w:t>
      </w:r>
      <w:r>
        <w:rPr>
          <w:sz w:val="20"/>
          <w:szCs w:val="20"/>
          <w:color w:val="auto"/>
        </w:rPr>
        <w:tab/>
      </w:r>
      <w:r>
        <w:rPr>
          <w:rFonts w:ascii="Courier New" w:cs="Courier New" w:eastAsia="Courier New" w:hAnsi="Courier New"/>
          <w:sz w:val="14"/>
          <w:szCs w:val="14"/>
          <w:color w:val="auto"/>
        </w:rPr>
        <w:t>39,672</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$68,935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$46,859</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00" w:hanging="261"/>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2780" w:type="dxa"/>
            <w:vAlign w:val="bottom"/>
          </w:tcPr>
          <w:p>
            <w:pPr>
              <w:spacing w:after="0"/>
              <w:rPr>
                <w:sz w:val="14"/>
                <w:szCs w:val="14"/>
                <w:color w:val="auto"/>
              </w:rPr>
            </w:pPr>
          </w:p>
        </w:tc>
        <w:tc>
          <w:tcPr>
            <w:tcW w:w="3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80" w:type="dxa"/>
            <w:vAlign w:val="bottom"/>
          </w:tcPr>
          <w:p>
            <w:pPr>
              <w:spacing w:after="0"/>
              <w:rPr>
                <w:sz w:val="14"/>
                <w:szCs w:val="14"/>
                <w:color w:val="auto"/>
              </w:rPr>
            </w:pPr>
          </w:p>
        </w:tc>
        <w:tc>
          <w:tcPr>
            <w:tcW w:w="3040" w:type="dxa"/>
            <w:vAlign w:val="bottom"/>
          </w:tcPr>
          <w:p>
            <w:pPr>
              <w:jc w:val="center"/>
              <w:ind w:left="1705"/>
              <w:spacing w:after="0"/>
              <w:rPr>
                <w:sz w:val="20"/>
                <w:szCs w:val="20"/>
                <w:color w:val="auto"/>
              </w:rPr>
            </w:pPr>
            <w:r>
              <w:rPr>
                <w:rFonts w:ascii="Courier New" w:cs="Courier New" w:eastAsia="Courier New" w:hAnsi="Courier New"/>
                <w:sz w:val="15"/>
                <w:szCs w:val="15"/>
                <w:color w:val="auto"/>
                <w:w w:val="99"/>
              </w:rPr>
              <w:t>August 31,</w:t>
            </w:r>
          </w:p>
        </w:tc>
        <w:tc>
          <w:tcPr>
            <w:tcW w:w="440" w:type="dxa"/>
            <w:vAlign w:val="bottom"/>
          </w:tcPr>
          <w:p>
            <w:pPr>
              <w:spacing w:after="0"/>
              <w:rPr>
                <w:sz w:val="14"/>
                <w:szCs w:val="14"/>
                <w:color w:val="auto"/>
              </w:rPr>
            </w:pPr>
          </w:p>
        </w:tc>
      </w:tr>
      <w:tr>
        <w:trPr>
          <w:trHeight w:val="172"/>
        </w:trPr>
        <w:tc>
          <w:tcPr>
            <w:tcW w:w="2780" w:type="dxa"/>
            <w:vAlign w:val="bottom"/>
          </w:tcPr>
          <w:p>
            <w:pPr>
              <w:spacing w:after="0"/>
              <w:rPr>
                <w:sz w:val="14"/>
                <w:szCs w:val="14"/>
                <w:color w:val="auto"/>
              </w:rPr>
            </w:pPr>
          </w:p>
        </w:tc>
        <w:tc>
          <w:tcPr>
            <w:tcW w:w="3040" w:type="dxa"/>
            <w:vAlign w:val="bottom"/>
          </w:tcPr>
          <w:p>
            <w:pPr>
              <w:jc w:val="center"/>
              <w:ind w:left="1705"/>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r>
      <w:tr>
        <w:trPr>
          <w:trHeight w:val="172"/>
        </w:trPr>
        <w:tc>
          <w:tcPr>
            <w:tcW w:w="2780" w:type="dxa"/>
            <w:vAlign w:val="bottom"/>
          </w:tcPr>
          <w:p>
            <w:pPr>
              <w:spacing w:after="0"/>
              <w:rPr>
                <w:sz w:val="14"/>
                <w:szCs w:val="14"/>
                <w:color w:val="auto"/>
              </w:rPr>
            </w:pPr>
          </w:p>
        </w:tc>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780" w:type="dxa"/>
            <w:vAlign w:val="bottom"/>
          </w:tcPr>
          <w:p>
            <w:pPr>
              <w:spacing w:after="0"/>
              <w:rPr>
                <w:sz w:val="14"/>
                <w:szCs w:val="14"/>
                <w:color w:val="auto"/>
              </w:rPr>
            </w:pPr>
          </w:p>
        </w:tc>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80" w:type="dxa"/>
            <w:vAlign w:val="bottom"/>
          </w:tcPr>
          <w:p>
            <w:pPr>
              <w:spacing w:after="0"/>
              <w:rPr>
                <w:sz w:val="14"/>
                <w:szCs w:val="14"/>
                <w:color w:val="auto"/>
              </w:rPr>
            </w:pPr>
          </w:p>
        </w:tc>
        <w:tc>
          <w:tcPr>
            <w:tcW w:w="3040" w:type="dxa"/>
            <w:vAlign w:val="bottom"/>
          </w:tcPr>
          <w:p>
            <w:pPr>
              <w:jc w:val="center"/>
              <w:ind w:left="1705"/>
              <w:spacing w:after="0"/>
              <w:rPr>
                <w:sz w:val="20"/>
                <w:szCs w:val="20"/>
                <w:color w:val="auto"/>
              </w:rPr>
            </w:pPr>
            <w:r>
              <w:rPr>
                <w:rFonts w:ascii="Courier New" w:cs="Courier New" w:eastAsia="Courier New" w:hAnsi="Courier New"/>
                <w:sz w:val="15"/>
                <w:szCs w:val="15"/>
                <w:color w:val="auto"/>
                <w:w w:val="99"/>
              </w:rPr>
              <w:t>(in thousands)</w:t>
            </w:r>
          </w:p>
        </w:tc>
        <w:tc>
          <w:tcPr>
            <w:tcW w:w="440" w:type="dxa"/>
            <w:vAlign w:val="bottom"/>
          </w:tcPr>
          <w:p>
            <w:pPr>
              <w:spacing w:after="0"/>
              <w:rPr>
                <w:sz w:val="14"/>
                <w:szCs w:val="14"/>
                <w:color w:val="auto"/>
              </w:rPr>
            </w:pPr>
          </w:p>
        </w:tc>
      </w:t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$2,056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639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4,835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4,411</w:t>
            </w:r>
          </w:p>
        </w:tc>
      </w:t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0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92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$5,221</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700" w:hanging="261"/>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74"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August 31,</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440"/>
        <w:spacing w:after="0"/>
        <w:tabs>
          <w:tab w:leader="none" w:pos="66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4" w:lineRule="exact"/>
        <w:rPr>
          <w:sz w:val="20"/>
          <w:szCs w:val="20"/>
          <w:color w:val="auto"/>
        </w:rPr>
      </w:pPr>
    </w:p>
    <w:p>
      <w:pPr>
        <w:ind w:left="5440"/>
        <w:spacing w:after="0"/>
        <w:tabs>
          <w:tab w:leader="none" w:pos="6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620"/>
        <w:spacing w:after="0"/>
        <w:tabs>
          <w:tab w:leader="none" w:pos="5080" w:val="left"/>
          <w:tab w:leader="none" w:pos="668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$(1,231)</w:t>
      </w:r>
      <w:r>
        <w:rPr>
          <w:sz w:val="20"/>
          <w:szCs w:val="20"/>
          <w:color w:val="auto"/>
        </w:rPr>
        <w:tab/>
      </w:r>
      <w:r>
        <w:rPr>
          <w:rFonts w:ascii="Courier New" w:cs="Courier New" w:eastAsia="Courier New" w:hAnsi="Courier New"/>
          <w:sz w:val="15"/>
          <w:szCs w:val="15"/>
          <w:color w:val="auto"/>
        </w:rPr>
        <w:t>$797</w:t>
      </w:r>
    </w:p>
    <w:p>
      <w:pPr>
        <w:spacing w:after="0" w:line="2" w:lineRule="exact"/>
        <w:rPr>
          <w:sz w:val="20"/>
          <w:szCs w:val="20"/>
          <w:color w:val="auto"/>
        </w:rPr>
      </w:pPr>
    </w:p>
    <w:p>
      <w:pPr>
        <w:ind w:left="620"/>
        <w:spacing w:after="0"/>
        <w:tabs>
          <w:tab w:leader="none" w:pos="5340" w:val="left"/>
          <w:tab w:leader="none" w:pos="660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8,853</w:t>
      </w:r>
      <w:r>
        <w:rPr>
          <w:sz w:val="20"/>
          <w:szCs w:val="20"/>
          <w:color w:val="auto"/>
        </w:rPr>
        <w:tab/>
      </w:r>
      <w:r>
        <w:rPr>
          <w:rFonts w:ascii="Courier New" w:cs="Courier New" w:eastAsia="Courier New" w:hAnsi="Courier New"/>
          <w:sz w:val="14"/>
          <w:szCs w:val="14"/>
          <w:color w:val="auto"/>
        </w:rPr>
        <w:t>4,424</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$5,221</w:t>
            </w:r>
          </w:p>
        </w:tc>
      </w:tr>
    </w:tbl>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right="3159" w:firstLine="439"/>
        <w:spacing w:after="0"/>
        <w:tabs>
          <w:tab w:leader="none" w:pos="71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August 31,</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640" w:type="dxa"/>
            <w:vAlign w:val="bottom"/>
          </w:tcPr>
          <w:p>
            <w:pPr>
              <w:spacing w:after="0"/>
              <w:rPr>
                <w:sz w:val="14"/>
                <w:szCs w:val="14"/>
                <w:color w:val="auto"/>
              </w:rPr>
            </w:pPr>
          </w:p>
        </w:tc>
        <w:tc>
          <w:tcPr>
            <w:tcW w:w="2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2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2640" w:type="dxa"/>
            <w:vAlign w:val="bottom"/>
          </w:tcPr>
          <w:p>
            <w:pPr>
              <w:spacing w:after="0"/>
              <w:rPr>
                <w:sz w:val="14"/>
                <w:szCs w:val="14"/>
                <w:color w:val="auto"/>
              </w:rPr>
            </w:pPr>
          </w:p>
        </w:tc>
        <w:tc>
          <w:tcPr>
            <w:tcW w:w="2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3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$17,003</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6,316</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15,817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15,066</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1,118</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$38,711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5" w:right="1440" w:bottom="1440" w:gutter="0" w:footer="0" w:header="0"/>
        </w:sectPr>
      </w:pPr>
    </w:p>
    <w:bookmarkStart w:id="10" w:name="page11"/>
    <w:bookmarkEnd w:id="10"/>
    <w:p>
      <w:pPr>
        <w:ind w:left="-439" w:right="3519" w:firstLine="439"/>
        <w:spacing w:after="0"/>
        <w:tabs>
          <w:tab w:leader="none" w:pos="27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4" w:lineRule="exact"/>
        <w:rPr>
          <w:sz w:val="20"/>
          <w:szCs w:val="20"/>
          <w:color w:val="auto"/>
        </w:rPr>
      </w:pPr>
    </w:p>
    <w:tbl>
      <w:tblPr>
        <w:tblLayout w:type="fixed"/>
        <w:tblInd w:w="181"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August 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820" w:type="dxa"/>
            <w:vAlign w:val="bottom"/>
          </w:tcPr>
          <w:p>
            <w:pPr>
              <w:spacing w:after="0"/>
              <w:rPr>
                <w:sz w:val="14"/>
                <w:szCs w:val="14"/>
                <w:color w:val="auto"/>
              </w:rPr>
            </w:pPr>
          </w:p>
        </w:tc>
        <w:tc>
          <w:tcPr>
            <w:tcW w:w="2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20" w:type="dxa"/>
            <w:vAlign w:val="bottom"/>
          </w:tcPr>
          <w:p>
            <w:pPr>
              <w:spacing w:after="0"/>
              <w:rPr>
                <w:sz w:val="14"/>
                <w:szCs w:val="14"/>
                <w:color w:val="auto"/>
              </w:rPr>
            </w:pPr>
          </w:p>
        </w:tc>
        <w:tc>
          <w:tcPr>
            <w:tcW w:w="2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2820" w:type="dxa"/>
            <w:vAlign w:val="bottom"/>
          </w:tcPr>
          <w:p>
            <w:pPr>
              <w:spacing w:after="0"/>
              <w:rPr>
                <w:sz w:val="14"/>
                <w:szCs w:val="14"/>
                <w:color w:val="auto"/>
              </w:rPr>
            </w:pPr>
          </w:p>
        </w:tc>
        <w:tc>
          <w:tcPr>
            <w:tcW w:w="2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$3,560</w:t>
            </w:r>
          </w:p>
        </w:tc>
      </w:tr>
      <w:tr>
        <w:trPr>
          <w:trHeight w:val="172"/>
        </w:trPr>
        <w:tc>
          <w:tcPr>
            <w:tcW w:w="28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35,089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35,943</w:t>
            </w:r>
          </w:p>
        </w:tc>
      </w:tr>
    </w:tbl>
    <w:p>
      <w:pPr>
        <w:spacing w:after="0" w:line="2" w:lineRule="exact"/>
        <w:rPr>
          <w:sz w:val="20"/>
          <w:szCs w:val="20"/>
          <w:color w:val="auto"/>
        </w:rPr>
      </w:pPr>
    </w:p>
    <w:p>
      <w:pPr>
        <w:ind w:left="181"/>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181"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$38,711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$39,503</w:t>
            </w:r>
          </w:p>
        </w:tc>
      </w:tr>
    </w:tbl>
    <w:p>
      <w:pPr>
        <w:spacing w:after="0" w:line="2" w:lineRule="exact"/>
        <w:rPr>
          <w:sz w:val="20"/>
          <w:szCs w:val="20"/>
          <w:color w:val="auto"/>
        </w:rPr>
      </w:pPr>
    </w:p>
    <w:p>
      <w:pPr>
        <w:ind w:left="181"/>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g) The distribution of depreciation by geographical area was as follows:</w:t>
      </w:r>
    </w:p>
    <w:p>
      <w:pPr>
        <w:spacing w:after="0" w:line="174" w:lineRule="exact"/>
        <w:rPr>
          <w:sz w:val="20"/>
          <w:szCs w:val="20"/>
          <w:color w:val="auto"/>
        </w:rPr>
      </w:pPr>
    </w:p>
    <w:tbl>
      <w:tblPr>
        <w:tblLayout w:type="fixed"/>
        <w:tblInd w:w="181"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r>
      <w:tr>
        <w:trPr>
          <w:trHeight w:val="172"/>
        </w:trPr>
        <w:tc>
          <w:tcPr>
            <w:tcW w:w="2600" w:type="dxa"/>
            <w:vAlign w:val="bottom"/>
          </w:tcPr>
          <w:p>
            <w:pPr>
              <w:spacing w:after="0"/>
              <w:rPr>
                <w:sz w:val="14"/>
                <w:szCs w:val="14"/>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r>
      <w:tr>
        <w:trPr>
          <w:trHeight w:val="172"/>
        </w:trPr>
        <w:tc>
          <w:tcPr>
            <w:tcW w:w="2600" w:type="dxa"/>
            <w:vAlign w:val="bottom"/>
          </w:tcPr>
          <w:p>
            <w:pPr>
              <w:spacing w:after="0"/>
              <w:rPr>
                <w:sz w:val="14"/>
                <w:szCs w:val="14"/>
                <w:color w:val="auto"/>
              </w:rPr>
            </w:pPr>
          </w:p>
        </w:tc>
        <w:tc>
          <w:tcPr>
            <w:tcW w:w="2940" w:type="dxa"/>
            <w:vAlign w:val="bottom"/>
          </w:tcPr>
          <w:p>
            <w:pPr>
              <w:jc w:val="center"/>
              <w:ind w:left="1445"/>
              <w:spacing w:after="0"/>
              <w:rPr>
                <w:sz w:val="20"/>
                <w:szCs w:val="20"/>
                <w:color w:val="auto"/>
              </w:rPr>
            </w:pPr>
            <w:r>
              <w:rPr>
                <w:rFonts w:ascii="Courier New" w:cs="Courier New" w:eastAsia="Courier New" w:hAnsi="Courier New"/>
                <w:sz w:val="15"/>
                <w:szCs w:val="15"/>
                <w:color w:val="auto"/>
                <w:w w:val="99"/>
              </w:rPr>
              <w:t>August 31,</w:t>
            </w:r>
          </w:p>
        </w:tc>
        <w:tc>
          <w:tcPr>
            <w:tcW w:w="360" w:type="dxa"/>
            <w:vAlign w:val="bottom"/>
          </w:tcPr>
          <w:p>
            <w:pPr>
              <w:spacing w:after="0"/>
              <w:rPr>
                <w:sz w:val="14"/>
                <w:szCs w:val="14"/>
                <w:color w:val="auto"/>
              </w:rPr>
            </w:pPr>
          </w:p>
        </w:tc>
      </w:tr>
      <w:tr>
        <w:trPr>
          <w:trHeight w:val="172"/>
        </w:trPr>
        <w:tc>
          <w:tcPr>
            <w:tcW w:w="2600" w:type="dxa"/>
            <w:vAlign w:val="bottom"/>
          </w:tcPr>
          <w:p>
            <w:pPr>
              <w:spacing w:after="0"/>
              <w:rPr>
                <w:sz w:val="14"/>
                <w:szCs w:val="14"/>
                <w:color w:val="auto"/>
              </w:rPr>
            </w:pPr>
          </w:p>
        </w:tc>
        <w:tc>
          <w:tcPr>
            <w:tcW w:w="2940" w:type="dxa"/>
            <w:vAlign w:val="bottom"/>
          </w:tcPr>
          <w:p>
            <w:pPr>
              <w:jc w:val="center"/>
              <w:ind w:left="144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72"/>
        </w:trPr>
        <w:tc>
          <w:tcPr>
            <w:tcW w:w="2600" w:type="dxa"/>
            <w:vAlign w:val="bottom"/>
          </w:tcPr>
          <w:p>
            <w:pPr>
              <w:spacing w:after="0"/>
              <w:rPr>
                <w:sz w:val="14"/>
                <w:szCs w:val="14"/>
                <w:color w:val="auto"/>
              </w:rPr>
            </w:pPr>
          </w:p>
        </w:tc>
        <w:tc>
          <w:tcPr>
            <w:tcW w:w="2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r>
      <w:tr>
        <w:trPr>
          <w:trHeight w:val="172"/>
        </w:trPr>
        <w:tc>
          <w:tcPr>
            <w:tcW w:w="2600" w:type="dxa"/>
            <w:vAlign w:val="bottom"/>
          </w:tcPr>
          <w:p>
            <w:pPr>
              <w:spacing w:after="0"/>
              <w:rPr>
                <w:sz w:val="14"/>
                <w:szCs w:val="14"/>
                <w:color w:val="auto"/>
              </w:rPr>
            </w:pPr>
          </w:p>
        </w:tc>
        <w:tc>
          <w:tcPr>
            <w:tcW w:w="2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600" w:type="dxa"/>
            <w:vAlign w:val="bottom"/>
          </w:tcPr>
          <w:p>
            <w:pPr>
              <w:spacing w:after="0"/>
              <w:rPr>
                <w:sz w:val="14"/>
                <w:szCs w:val="14"/>
                <w:color w:val="auto"/>
              </w:rPr>
            </w:pPr>
          </w:p>
        </w:tc>
        <w:tc>
          <w:tcPr>
            <w:tcW w:w="2940" w:type="dxa"/>
            <w:vAlign w:val="bottom"/>
          </w:tcPr>
          <w:p>
            <w:pPr>
              <w:jc w:val="center"/>
              <w:ind w:left="1445"/>
              <w:spacing w:after="0"/>
              <w:rPr>
                <w:sz w:val="20"/>
                <w:szCs w:val="20"/>
                <w:color w:val="auto"/>
              </w:rPr>
            </w:pPr>
            <w:r>
              <w:rPr>
                <w:rFonts w:ascii="Courier New" w:cs="Courier New" w:eastAsia="Courier New" w:hAnsi="Courier New"/>
                <w:sz w:val="15"/>
                <w:szCs w:val="15"/>
                <w:color w:val="auto"/>
                <w:w w:val="99"/>
              </w:rPr>
              <w:t>(in thousands)</w:t>
            </w:r>
          </w:p>
        </w:tc>
        <w:tc>
          <w:tcPr>
            <w:tcW w:w="360" w:type="dxa"/>
            <w:vAlign w:val="bottom"/>
          </w:tcPr>
          <w:p>
            <w:pPr>
              <w:spacing w:after="0"/>
              <w:rPr>
                <w:sz w:val="14"/>
                <w:szCs w:val="14"/>
                <w:color w:val="auto"/>
              </w:rPr>
            </w:pP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$481</w:t>
            </w: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418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1,249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791</w:t>
            </w: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9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bl>
    <w:p>
      <w:pPr>
        <w:spacing w:after="0" w:line="2" w:lineRule="exact"/>
        <w:rPr>
          <w:sz w:val="20"/>
          <w:szCs w:val="20"/>
          <w:color w:val="auto"/>
        </w:rPr>
      </w:pPr>
    </w:p>
    <w:p>
      <w:pPr>
        <w:ind w:left="181"/>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81"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$1,570</w:t>
            </w:r>
          </w:p>
        </w:tc>
      </w:tr>
    </w:tbl>
    <w:p>
      <w:pPr>
        <w:spacing w:after="0" w:line="2" w:lineRule="exact"/>
        <w:rPr>
          <w:sz w:val="20"/>
          <w:szCs w:val="20"/>
          <w:color w:val="auto"/>
        </w:rPr>
      </w:pPr>
    </w:p>
    <w:p>
      <w:pPr>
        <w:ind w:left="181"/>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h) The distribution of depreciation by business segment was as follows:</w:t>
      </w:r>
    </w:p>
    <w:p>
      <w:pPr>
        <w:spacing w:after="0" w:line="174" w:lineRule="exact"/>
        <w:rPr>
          <w:sz w:val="20"/>
          <w:szCs w:val="20"/>
          <w:color w:val="auto"/>
        </w:rPr>
      </w:pPr>
    </w:p>
    <w:p>
      <w:pPr>
        <w:ind w:left="4121"/>
        <w:spacing w:after="0"/>
        <w:rPr>
          <w:sz w:val="20"/>
          <w:szCs w:val="20"/>
          <w:color w:val="auto"/>
        </w:rPr>
      </w:pPr>
      <w:r>
        <w:rPr>
          <w:rFonts w:ascii="Courier New" w:cs="Courier New" w:eastAsia="Courier New" w:hAnsi="Courier New"/>
          <w:sz w:val="15"/>
          <w:szCs w:val="15"/>
          <w:color w:val="auto"/>
        </w:rPr>
        <w:t>Three months ended</w:t>
      </w:r>
    </w:p>
    <w:p>
      <w:pPr>
        <w:spacing w:after="0" w:line="2" w:lineRule="exact"/>
        <w:rPr>
          <w:sz w:val="20"/>
          <w:szCs w:val="20"/>
          <w:color w:val="auto"/>
        </w:rPr>
      </w:pPr>
    </w:p>
    <w:p>
      <w:pPr>
        <w:ind w:left="4121"/>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561"/>
        <w:spacing w:after="0"/>
        <w:rPr>
          <w:sz w:val="20"/>
          <w:szCs w:val="20"/>
          <w:color w:val="auto"/>
        </w:rPr>
      </w:pPr>
      <w:r>
        <w:rPr>
          <w:rFonts w:ascii="Courier New" w:cs="Courier New" w:eastAsia="Courier New" w:hAnsi="Courier New"/>
          <w:sz w:val="15"/>
          <w:szCs w:val="15"/>
          <w:color w:val="auto"/>
        </w:rPr>
        <w:t>August 31,</w:t>
      </w:r>
    </w:p>
    <w:p>
      <w:pPr>
        <w:spacing w:after="0" w:line="2" w:lineRule="exact"/>
        <w:rPr>
          <w:sz w:val="20"/>
          <w:szCs w:val="20"/>
          <w:color w:val="auto"/>
        </w:rPr>
      </w:pPr>
    </w:p>
    <w:p>
      <w:pPr>
        <w:ind w:left="4561"/>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81"/>
        <w:spacing w:after="0"/>
        <w:tabs>
          <w:tab w:leader="none" w:pos="5701"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2" w:lineRule="exact"/>
        <w:rPr>
          <w:sz w:val="20"/>
          <w:szCs w:val="20"/>
          <w:color w:val="auto"/>
        </w:rPr>
      </w:pPr>
    </w:p>
    <w:p>
      <w:pPr>
        <w:ind w:left="4481"/>
        <w:spacing w:after="0"/>
        <w:tabs>
          <w:tab w:leader="none" w:pos="5701"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4381"/>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181"/>
        <w:spacing w:after="0"/>
        <w:tabs>
          <w:tab w:leader="none" w:pos="4461" w:val="left"/>
          <w:tab w:leader="none" w:pos="5701"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$285</w:t>
      </w:r>
      <w:r>
        <w:rPr>
          <w:sz w:val="20"/>
          <w:szCs w:val="20"/>
          <w:color w:val="auto"/>
        </w:rPr>
        <w:tab/>
      </w:r>
      <w:r>
        <w:rPr>
          <w:rFonts w:ascii="Courier New" w:cs="Courier New" w:eastAsia="Courier New" w:hAnsi="Courier New"/>
          <w:sz w:val="15"/>
          <w:szCs w:val="15"/>
          <w:color w:val="auto"/>
        </w:rPr>
        <w:t>$163</w:t>
      </w:r>
    </w:p>
    <w:p>
      <w:pPr>
        <w:spacing w:after="0" w:line="2" w:lineRule="exact"/>
        <w:rPr>
          <w:sz w:val="20"/>
          <w:szCs w:val="20"/>
          <w:color w:val="auto"/>
        </w:rPr>
      </w:pPr>
    </w:p>
    <w:p>
      <w:pPr>
        <w:ind w:left="181"/>
        <w:spacing w:after="0"/>
        <w:tabs>
          <w:tab w:leader="none" w:pos="4361" w:val="left"/>
          <w:tab w:leader="none" w:pos="5621"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2,304</w:t>
      </w:r>
      <w:r>
        <w:rPr>
          <w:sz w:val="20"/>
          <w:szCs w:val="20"/>
          <w:color w:val="auto"/>
        </w:rPr>
        <w:tab/>
      </w:r>
      <w:r>
        <w:rPr>
          <w:rFonts w:ascii="Courier New" w:cs="Courier New" w:eastAsia="Courier New" w:hAnsi="Courier New"/>
          <w:sz w:val="14"/>
          <w:szCs w:val="14"/>
          <w:color w:val="auto"/>
        </w:rPr>
        <w:t>1,407</w:t>
      </w:r>
    </w:p>
    <w:p>
      <w:pPr>
        <w:spacing w:after="0" w:line="2" w:lineRule="exact"/>
        <w:rPr>
          <w:sz w:val="20"/>
          <w:szCs w:val="20"/>
          <w:color w:val="auto"/>
        </w:rPr>
      </w:pPr>
    </w:p>
    <w:p>
      <w:pPr>
        <w:ind w:left="181"/>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181"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$2,589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$1,570</w:t>
            </w:r>
          </w:p>
        </w:tc>
      </w:tr>
    </w:tbl>
    <w:p>
      <w:pPr>
        <w:spacing w:after="0" w:line="2" w:lineRule="exact"/>
        <w:rPr>
          <w:sz w:val="20"/>
          <w:szCs w:val="20"/>
          <w:color w:val="auto"/>
        </w:rPr>
      </w:pPr>
    </w:p>
    <w:p>
      <w:pPr>
        <w:ind w:left="18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174" w:lineRule="exact"/>
        <w:rPr>
          <w:sz w:val="20"/>
          <w:szCs w:val="20"/>
          <w:color w:val="auto"/>
        </w:rPr>
      </w:pPr>
    </w:p>
    <w:tbl>
      <w:tblPr>
        <w:tblLayout w:type="fixed"/>
        <w:tblInd w:w="181"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August 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680" w:type="dxa"/>
            <w:vAlign w:val="bottom"/>
          </w:tcPr>
          <w:p>
            <w:pPr>
              <w:spacing w:after="0"/>
              <w:rPr>
                <w:sz w:val="14"/>
                <w:szCs w:val="14"/>
                <w:color w:val="auto"/>
              </w:rPr>
            </w:pP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14"/>
                <w:szCs w:val="14"/>
                <w:color w:val="auto"/>
              </w:rPr>
            </w:pP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2680" w:type="dxa"/>
            <w:vAlign w:val="bottom"/>
          </w:tcPr>
          <w:p>
            <w:pPr>
              <w:spacing w:after="0"/>
              <w:rPr>
                <w:sz w:val="14"/>
                <w:szCs w:val="14"/>
                <w:color w:val="auto"/>
              </w:rPr>
            </w:pP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14"/>
                <w:szCs w:val="14"/>
                <w:color w:val="auto"/>
              </w:rPr>
            </w:pPr>
          </w:p>
        </w:tc>
        <w:tc>
          <w:tcPr>
            <w:tcW w:w="35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$108,812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$59,838</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47,746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60,982</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115,605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110,602</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3,570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3,592</w:t>
            </w:r>
          </w:p>
        </w:tc>
      </w:tr>
    </w:tbl>
    <w:p>
      <w:pPr>
        <w:spacing w:after="0" w:line="4" w:lineRule="exact"/>
        <w:rPr>
          <w:sz w:val="20"/>
          <w:szCs w:val="20"/>
          <w:color w:val="auto"/>
        </w:rPr>
      </w:pPr>
    </w:p>
    <w:p>
      <w:pPr>
        <w:ind w:left="181"/>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181"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$275,733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4" w:lineRule="exact"/>
        <w:rPr>
          <w:sz w:val="20"/>
          <w:szCs w:val="20"/>
          <w:color w:val="auto"/>
        </w:rPr>
      </w:pPr>
    </w:p>
    <w:p>
      <w:pPr>
        <w:ind w:left="181"/>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80"/>
          </w:cols>
          <w:pgMar w:left="679" w:top="80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August 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2"/>
        </w:trPr>
        <w:tc>
          <w:tcPr>
            <w:tcW w:w="2900" w:type="dxa"/>
            <w:vAlign w:val="bottom"/>
          </w:tcPr>
          <w:p>
            <w:pPr>
              <w:spacing w:after="0"/>
              <w:rPr>
                <w:sz w:val="14"/>
                <w:szCs w:val="14"/>
                <w:color w:val="auto"/>
              </w:rPr>
            </w:pP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2900" w:type="dxa"/>
            <w:vAlign w:val="bottom"/>
          </w:tcPr>
          <w:p>
            <w:pPr>
              <w:spacing w:after="0"/>
              <w:rPr>
                <w:sz w:val="14"/>
                <w:szCs w:val="14"/>
                <w:color w:val="auto"/>
              </w:rPr>
            </w:pP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34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$19,408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$19,175</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5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256,325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215,839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$275,733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$235,014</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3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ICON plc</w:t>
      </w:r>
    </w:p>
    <w:p>
      <w:pPr>
        <w:spacing w:after="0" w:line="348"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Consolidated Financial Statements and accompanying notes included elsewhere herein and the Consolidated Financial Statements and related Notes thereto included in our Annual Report on Form 20-F for the fiscal year ended May 31, 2003. The Consolidated Financial Statements have been prepared in accordance with accounting principles generally accepted in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believe that we are one of a select group of CROs with the capability and expertise to conduct clinical trials in most major therapeutic areas on a global basis. We have approximately 2,500 employees and operations in 31 locations in 18 countries. Our main operations are in the United States, South America, Europe and the Rest of the World. For the three months ended August 31, 2003, we derived approximately 64.5%, 32.4%, and 3.1% of our net revenue in the United States, Europe and Rest of World, respectively.</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8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7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7"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77" w:right="1440" w:bottom="334" w:gutter="0" w:footer="0" w:header="0"/>
        </w:sectPr>
      </w:pPr>
    </w:p>
    <w:bookmarkStart w:id="13" w:name="page14"/>
    <w:bookmarkEnd w:id="13"/>
    <w:p>
      <w:pPr>
        <w:ind w:right="100"/>
        <w:spacing w:after="0" w:line="242" w:lineRule="auto"/>
        <w:rPr>
          <w:sz w:val="20"/>
          <w:szCs w:val="20"/>
          <w:color w:val="auto"/>
        </w:rPr>
      </w:pPr>
      <w:r>
        <w:rPr>
          <w:rFonts w:ascii="Courier New" w:cs="Courier New" w:eastAsia="Courier New" w:hAnsi="Courier New"/>
          <w:sz w:val="15"/>
          <w:szCs w:val="15"/>
          <w:color w:val="auto"/>
        </w:rPr>
        <w:t>In addition to translation exposures, we are also subject to transaction exposures because the currency in which contracts are priced can be different from the currencies in which costs relating to those contracts are incurred. We have twelve operations trading in U.S. dollars, four trading in Euros, three in pounds Sterling, and one each in Australian Dollars, Singapore Dollars, Yen, Israeli New Shekels, Latvian Lats, Swedish Krona, Argentine Peso, South African Rand, Indian Rupee, Russian Rouble, Hungarian Forint and Canadian dollar.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188" w:lineRule="exact"/>
        <w:rPr>
          <w:sz w:val="20"/>
          <w:szCs w:val="20"/>
          <w:color w:val="auto"/>
        </w:rPr>
      </w:pPr>
    </w:p>
    <w:p>
      <w:pPr>
        <w:ind w:right="100"/>
        <w:spacing w:after="0" w:line="261" w:lineRule="auto"/>
        <w:rPr>
          <w:sz w:val="20"/>
          <w:szCs w:val="20"/>
          <w:color w:val="auto"/>
        </w:rPr>
      </w:pPr>
      <w:r>
        <w:rPr>
          <w:rFonts w:ascii="Courier New" w:cs="Courier New" w:eastAsia="Courier New" w:hAnsi="Courier New"/>
          <w:sz w:val="14"/>
          <w:szCs w:val="14"/>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August 31, 2003, we have received $1,361,057 and $1,657,598 under the capital grants and operating grants, respectively. Pursuant to the terms of the grant agreements we are restricted from distributing some of these amounts by way of dividend or otherwise.</w:t>
      </w:r>
    </w:p>
    <w:p>
      <w:pPr>
        <w:spacing w:after="0" w:line="165" w:lineRule="exact"/>
        <w:rPr>
          <w:sz w:val="20"/>
          <w:szCs w:val="20"/>
          <w:color w:val="auto"/>
        </w:rPr>
      </w:pPr>
    </w:p>
    <w:p>
      <w:pPr>
        <w:ind w:right="100"/>
        <w:spacing w:after="0" w:line="242"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280"/>
        <w:spacing w:after="0"/>
        <w:rPr>
          <w:sz w:val="20"/>
          <w:szCs w:val="20"/>
          <w:color w:val="auto"/>
        </w:rPr>
      </w:pPr>
      <w:r>
        <w:rPr>
          <w:rFonts w:ascii="Courier New" w:cs="Courier New" w:eastAsia="Courier New" w:hAnsi="Courier New"/>
          <w:sz w:val="15"/>
          <w:szCs w:val="15"/>
          <w:color w:val="auto"/>
        </w:rPr>
        <w:t>Three Months Ended August 31, 2003 Compared with Three Months Ended August 31, 2002</w:t>
      </w:r>
    </w:p>
    <w:p>
      <w:pPr>
        <w:spacing w:after="0" w:line="176" w:lineRule="exact"/>
        <w:rPr>
          <w:sz w:val="20"/>
          <w:szCs w:val="20"/>
          <w:color w:val="auto"/>
        </w:rPr>
      </w:pPr>
    </w:p>
    <w:p>
      <w:pPr>
        <w:ind w:right="100"/>
        <w:spacing w:after="0" w:line="242"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560" w:type="dxa"/>
        <w:tblCellMar>
          <w:top w:w="0" w:type="dxa"/>
          <w:left w:w="0" w:type="dxa"/>
          <w:bottom w:w="0" w:type="dxa"/>
          <w:right w:w="0" w:type="dxa"/>
        </w:tblCellMar>
      </w:tblPr>
      <w:tr>
        <w:trPr>
          <w:trHeight w:val="170"/>
        </w:trPr>
        <w:tc>
          <w:tcPr>
            <w:tcW w:w="24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Three Months Ended</w:t>
            </w:r>
          </w:p>
        </w:tc>
      </w:tr>
      <w:tr>
        <w:trPr>
          <w:trHeight w:val="172"/>
        </w:trPr>
        <w:tc>
          <w:tcPr>
            <w:tcW w:w="240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August 31,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2"/>
        </w:trPr>
        <w:tc>
          <w:tcPr>
            <w:tcW w:w="12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2003</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12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Percentage of Net Revenue</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54.7%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30.4%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00"/>
        <w:spacing w:after="0" w:line="263" w:lineRule="auto"/>
        <w:rPr>
          <w:sz w:val="20"/>
          <w:szCs w:val="20"/>
          <w:color w:val="auto"/>
        </w:rPr>
      </w:pPr>
      <w:r>
        <w:rPr>
          <w:rFonts w:ascii="Courier New" w:cs="Courier New" w:eastAsia="Courier New" w:hAnsi="Courier New"/>
          <w:sz w:val="14"/>
          <w:szCs w:val="14"/>
          <w:color w:val="auto"/>
        </w:rPr>
        <w:t>Net revenue increased by $22.0 million, or 47.1%, from $46.9 million to $68.9 million. This improvement arose through a combination of increased business from existing clients, business won from new clients and revenues from acquisitions not included in the comparative period. The additional revenues from these acquisitions (BPA, MCS and Medeval) amounted to $8.0 million for the three</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2003</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to 2002</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Increase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5"/>
          <w:szCs w:val="15"/>
          <w:color w:val="auto"/>
        </w:rPr>
        <w:t>47.1%</w:t>
      </w:r>
    </w:p>
    <w:p>
      <w:pPr>
        <w:spacing w:after="0" w:line="174"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5"/>
          <w:szCs w:val="15"/>
          <w:color w:val="auto"/>
        </w:rPr>
        <w:t>48.3%</w:t>
      </w:r>
    </w:p>
    <w:p>
      <w:pPr>
        <w:spacing w:after="0" w:line="2"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5"/>
          <w:szCs w:val="15"/>
          <w:color w:val="auto"/>
        </w:rPr>
        <w:t>43.6%</w:t>
      </w:r>
    </w:p>
    <w:p>
      <w:pPr>
        <w:spacing w:after="0" w:line="2"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5"/>
          <w:szCs w:val="15"/>
          <w:color w:val="auto"/>
        </w:rPr>
        <w:t>64.9%</w:t>
      </w:r>
    </w:p>
    <w:p>
      <w:pPr>
        <w:spacing w:after="0" w:line="2"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5"/>
          <w:szCs w:val="15"/>
          <w:color w:val="auto"/>
        </w:rPr>
        <w:t>46.0%</w:t>
      </w:r>
    </w:p>
    <w:p>
      <w:pPr>
        <w:sectPr>
          <w:pgSz w:w="11900" w:h="16838" w:orient="portrait"/>
          <w:cols w:equalWidth="0" w:num="2">
            <w:col w:w="7240" w:space="620"/>
            <w:col w:w="2359"/>
          </w:cols>
          <w:pgMar w:left="240" w:top="635" w:right="1440" w:bottom="0" w:gutter="0" w:footer="0" w:header="0"/>
        </w:sectPr>
      </w:pPr>
    </w:p>
    <w:bookmarkStart w:id="14" w:name="page15"/>
    <w:bookmarkEnd w:id="14"/>
    <w:p>
      <w:pPr>
        <w:ind w:right="3079"/>
        <w:spacing w:after="0" w:line="261" w:lineRule="auto"/>
        <w:rPr>
          <w:sz w:val="20"/>
          <w:szCs w:val="20"/>
          <w:color w:val="auto"/>
        </w:rPr>
      </w:pPr>
      <w:r>
        <w:rPr>
          <w:rFonts w:ascii="Courier New" w:cs="Courier New" w:eastAsia="Courier New" w:hAnsi="Courier New"/>
          <w:sz w:val="14"/>
          <w:szCs w:val="14"/>
          <w:color w:val="auto"/>
        </w:rPr>
        <w:t>months ended August 31, 2003. Including the impact of acquisitions, revenues in the United States, Europe/Rest of World grew 33.1% and 81.7%, respectively. For the three months ended August 31, 2003, net revenue for our central laboratory business fell by 20.4% from $7.2 million to $5.7 million while our clinical research segment grew by 59.3% from $39.7 million to $63.2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lower volumes in the quarter compared to the comparative period.</w:t>
      </w:r>
    </w:p>
    <w:p>
      <w:pPr>
        <w:spacing w:after="0" w:line="16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Direct costs increased by $12.3 million, or 48.3%, from $25.4 million to $37.7 million, primarily due to increased staff numbers needed to support increased project related activity and increased costs arising from the acquisitions amounting to $4.8 million. Direct costs, as a percentage of net revenue increased from 54.3% in the three months to August 31, 2002 to 54.7% for the quarter ended August 31, 2003, or fell to 54.0% when the effects of acquisitions have been excluded.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$6.4 million, or</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43.6%, from $14.6 million to $21.0 million. The increase in costs is due to the continued expansion of our operations and additional selling, general and administrative costs from acquisitions of $2.3 million not included in the comparative period. As a percentage of net revenue, selling, general and administrative expenses, decreased from 31.2% in the three months to August 31, 2002, to 30.4% for the quarter ended August 31, 2003 or 30.7% when the effects of acquisitions have been excluded.</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Depreciation and amortization expense increased by $1.0 million, or 64.9%, from $1.6 million to $2.6 million. This increase is due to the continued investment in facilities and information technology to support the growth in activity and in providing for future capacity and increased cost arising from acquisitions of $0.2 million in the current quarter. As a percentage of net revenue, depreciation and amortization increased from 3.4% of net revenues in the three months to August 31, 2002, to 3.8% for the three months ended August 31, 2003, or 4.0% when the effects of acquisitions have been excluded.</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Income from operations increased by $2.4 million, or 46.0%, from $5.2 million to $7.6 million, including acquisitions. This improvement is due to increased levels of activity carried out across the Company together with the acquisition of BPA, MCS and Medeval. As a percentage of net revenue, including the effect of acquisitions, income from operations remained unchanged at 11.1% for the three months ended August 31, 2003, over the comparative period. For the quarter, income from operations, as a percentage of net revenue, for the central laboratory was (21.5%) from 11.1% in the same quarter in fiscal 2003, due principally to lower volumes in the quarter ended August 31, 2003. Operating margins for our clinical research segment increased from 11.2% in the three months ended August 31, 2002, to 14.0% for the three months ended August 31, 2003, due principally to improved staff utilization.</w:t>
      </w:r>
    </w:p>
    <w:p>
      <w:pPr>
        <w:spacing w:after="0" w:line="180"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Net interest income for the three months ended August 31, 2003, was $47,000 compared to $186,000 for the equivalent period last year. Net cash invested increased from $11.2 million at May 31, 2003, to $51.4 million at August 31, 2003, due principally to the net proceeds of US$44.3 million raised in our secondary offering in August, 2003. Lower interest rates for the first quarter of fiscal 2004, when compared to the same period last year, contributed to the lower returns on our investments.</w:t>
      </w:r>
    </w:p>
    <w:p>
      <w:pPr>
        <w:spacing w:after="0" w:line="177"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Our effective tax rate for the three months ended August 31, 2003 was 26.9% compared to 26.5% for the comparable period last year. The increase in the effective rate was due to a change in the geographic distribution of pre-tax earnings and the impact of acquisitions.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secondary offering in August 2003. Our principal cash needs are payment of salaries, office rents, travel expenditures and payments to subcontractors. The aggregate amount of employee compensation, excluding stock compensation expense, paid by us and our subsidiaries in the three months ended August 31, 2002 and August 31, 2003, amounted to $27.7 million and $40.3 million, respectively. Investing activities primarily reflect capital expenditures for facilities and for information systems enhancements, the sale and purchase of short term investments and acquisitions.</w:t>
      </w:r>
    </w:p>
    <w:p>
      <w:pPr>
        <w:spacing w:after="0" w:line="180"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Our clinical research and development contracts are generally fixed price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334" w:gutter="0" w:footer="0" w:header="0"/>
        </w:sectPr>
      </w:pPr>
    </w:p>
    <w:bookmarkStart w:id="15" w:name="page16"/>
    <w:bookmarkEnd w:id="15"/>
    <w:p>
      <w:pPr>
        <w:ind w:right="3259"/>
        <w:spacing w:after="0" w:line="242" w:lineRule="auto"/>
        <w:rPr>
          <w:sz w:val="20"/>
          <w:szCs w:val="20"/>
          <w:color w:val="auto"/>
        </w:rPr>
      </w:pPr>
      <w:r>
        <w:rPr>
          <w:rFonts w:ascii="Courier New" w:cs="Courier New" w:eastAsia="Courier New" w:hAnsi="Courier New"/>
          <w:sz w:val="15"/>
          <w:szCs w:val="15"/>
          <w:color w:val="auto"/>
        </w:rPr>
        <w:t>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of August 31, 2003, our working capital amounted to $99.4 million, compared to $53.8 million at May 31, 2003.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at August 31, 2003, was 64 days, unchanged from the 64 days at May 31, 2003.</w:t>
      </w:r>
    </w:p>
    <w:p>
      <w:pPr>
        <w:spacing w:after="0" w:line="177"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Net cash used in operating activities was $0.2 million in the three months ended August 31, 2003, compared to net cash provided by operating activities of $2.0 million in the three months ended August 31, 2002.</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Net cash used in investing activities was $3.5 million in the three months ended August 31, 2003, compared to $4.8 million used in investing activities in the three months ended August 31, 2002.</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Net cash provided by financing activities was $46.0 million in the three months ended August 31, 2003, compared with $0.7 million used in financing activities in the three months ended August 31, 2002. The main reason for this increase is the receipt of the net proceeds of $45.3 million, following the companies placing of 1,500,000 American Depositary Shares in August 2003.</w:t>
      </w:r>
    </w:p>
    <w:p>
      <w:pPr>
        <w:spacing w:after="0" w:line="175"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As a result of these cash flows, cash and cash equivalents increased by $39.1 million in the three months ended August 31, 2003, compared to a decrease of $3.4 million in the three months ended August 31, 2002.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July 3, 2003, ICON entered into a facility agreement (the "Facility Agreement") for the provision of a term loan facility of U.S.$40 million, multi-currency overdraft facility of U.S.$5 million; and revolving credit facility of U.S.$15 million (the "Facilities") with The Governor and Company of the Bank of Ireland and Ulster Bank Ireland Limited (the "Banks"). The obligations of the borrowers under the Facilities are secured by certain composite guarantees and indemnities and pledges in favour of each of the banks. This facility bears interest at an annual rate equal to the Banks Prime Rate plus three quarters of one percent. The Company and certain subsidiaries are entitled to make borrowings under a term loan facility of U.S.$40 million and a multi currency overdraft facility of U.S.$5 million. As at August 31, 2003, the full amount of these facilities were available to be drawn down. ICON Clinical Research, Inc. (a subsidiary of ICON plc) is entitled to make borrowings under a revolving credit facility of U.S.$15 million. As at August 31, 2003, U.S.$9 million of this facility was available to draw down.</w:t>
      </w:r>
    </w:p>
    <w:p>
      <w:pPr>
        <w:spacing w:after="0" w:line="18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November 17, 1998, we entered into an overdraft facility (the "A.I.B. facility") for (euro)2,539,000 (U.S.$2,759,893) with Allied Irish Banks plc ("A.I.B."). This facility bore an annual interest rate equal to A.I.B. Bank's Prime Rate plus one-quarter of one percent. The full sum of the unpaid principal and interest was repayable on demand. This facility was terminated on July 3, 2003.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July 29, 2002, we entered into an additional A.I.B. facility for STG(pound)50,000 (U.S.$78,844) This facility bore interest at an annual rate equal to A.I.B. Bank's Prime Rate plus two percent. The full sum of the unpaid principal and interest was repayable on demand. This facility was terminated on July 3, 2003.</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U.S. subsidiary, ICON Clinical Research, Inc. (the "Borrower"), had a $12 million secured line of credit (the "PNC Facility") with PNC Bank N.A. ("P.N.C."). The PNC Facility bore interest at an annual rate equal to PNC's Prime Rate less three-quarters of one percent. The full sum of the unpaid principal and interest was payable on demand. The PNC Facility was secured by a first priority security interest in certain assets of the Borrower. This facility was terminated on July 3, 2003.</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entered into an overdraft agreement with A.I.B., whereby we guaranteed any overdrafts of our subsidiaries, ICON Clinical Research GmbH and ICON Clinical Research Israel Ltd., up to an amount (euro)112,484 (U.S.$122,270) and U.S.$250,000 (ILS 1,112,743), respectively. As at August 31, 2003, the full German and Israeli facility were available to be drawn down.</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expect to spend approximately U.S.$15.0 million in the next twelve months on further investments in information technology, the expansion of existing facilities and the addition of new offices, and expect an increased level of spending in subsequent years. We believe that we will be able to fund our additional foreseeable cash needs for the next twelve months from cash flow from operations and existing cash balances. In the future, we will consider acquiring further businesses to enhance our service offerings and global presence. Any such acquisitions may require additional external financing and we may from time to time seek to obtain funds from</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506" w:gutter="0" w:footer="0" w:header="0"/>
        </w:sectPr>
      </w:pPr>
    </w:p>
    <w:bookmarkStart w:id="16" w:name="page17"/>
    <w:bookmarkEnd w:id="16"/>
    <w:p>
      <w:pPr>
        <w:ind w:right="3079"/>
        <w:spacing w:after="0"/>
        <w:rPr>
          <w:sz w:val="20"/>
          <w:szCs w:val="20"/>
          <w:color w:val="auto"/>
        </w:rPr>
      </w:pPr>
      <w:r>
        <w:rPr>
          <w:rFonts w:ascii="Courier New" w:cs="Courier New" w:eastAsia="Courier New" w:hAnsi="Courier New"/>
          <w:sz w:val="15"/>
          <w:szCs w:val="15"/>
          <w:color w:val="auto"/>
        </w:rPr>
        <w:t>public or private issues of equity or debt securities. There can be no assurance that such financing will be available on terms acceptable to us.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September 9, 2003, we completed the acquisition of Globomax LLC, a leading US Drug Development Company which provides a range of development and consulting services to the Pharmaceutical and Biotechnology industries. We acquired Globomax for an initial consideration of $11 million in cash, with further payments of up to $4 million payable over the next three fiscal years, subject to the achievement of certain performance targets.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 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The Company adopted SFAS No. 144 on June 1, 2002. Adoption of SFAS No. 144 did not have a material impact on the Company's results of operations and financial position.</w:t>
      </w:r>
    </w:p>
    <w:p>
      <w:pPr>
        <w:spacing w:after="0" w:line="18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November 2001, the Emerging Issues Task Force, or EITF, released EITF Issue 01-14, "Income Statement Characterization of Reimbursements Received for `Out of Pocket' Expenses Incurred", requiring companies to report reimbursed costs as part of gross revenues. Reimbursed costs include such items as payments to investigators and travel costs for our clinical research staff. The Company does not generally earn a profit on these costs. The Company has always included such reimbursed costs within the measure of gross revenues and adoption of EITF Issue 01-14 had no effect on the reported results.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the Company's results of operations and financial position.</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costs associated with an exit or disposal activity be recognized and measured initially at fair value only when the liability is incurred. SFAS No. 146 is effective for exit or disposal activities that are initiated after December 31, 2002. SFAS No. 146 did not have a material impact on our results of operations and financial postion.</w:t>
      </w:r>
    </w:p>
    <w:p>
      <w:pPr>
        <w:spacing w:after="0" w:line="179"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This interpretation addresses the disclosure to be made by a guarantor in its financial statements about its obligation under guarantees. FIN 45 also requires the guarantor to recognize a liability for the non-contingent component of the guarantee, that is the obligation to stand ready to perform in the event that specified triggering events or conditions occur. The initial measurement of this liability is the fair value of the guarantee at inception. The disclosure requirements in this Interpretation are effective for financial statements of interim and annual periods ending after December 15, 2002. The recognition and measurement provisions are applicable on a prospective basis to guarantees issued or modified after December 31, 2002, irrespective of the guarantors fiscal year-end. Adoption of FIN 45 did not have a significant effect on the Company's financial position or results of operations.</w:t>
      </w:r>
    </w:p>
    <w:p>
      <w:pPr>
        <w:spacing w:after="0" w:line="200" w:lineRule="exact"/>
        <w:rPr>
          <w:sz w:val="20"/>
          <w:szCs w:val="20"/>
          <w:color w:val="auto"/>
        </w:rPr>
      </w:pPr>
    </w:p>
    <w:p>
      <w:pPr>
        <w:spacing w:after="0" w:line="3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022" w:gutter="0" w:footer="0" w:header="0"/>
        </w:sectPr>
      </w:pPr>
    </w:p>
    <w:bookmarkStart w:id="17" w:name="page18"/>
    <w:bookmarkEnd w:id="17"/>
    <w:p>
      <w:pPr>
        <w:ind w:right="3079"/>
        <w:spacing w:after="0" w:line="242" w:lineRule="auto"/>
        <w:rPr>
          <w:sz w:val="20"/>
          <w:szCs w:val="20"/>
          <w:color w:val="auto"/>
        </w:rPr>
      </w:pPr>
      <w:r>
        <w:rPr>
          <w:rFonts w:ascii="Courier New" w:cs="Courier New" w:eastAsia="Courier New" w:hAnsi="Courier New"/>
          <w:sz w:val="15"/>
          <w:szCs w:val="15"/>
          <w:color w:val="auto"/>
        </w:rPr>
        <w:t>In December 2002, the FASB issued SFAS No. 148, "Accounting for Stock Based Compensation - Transition and Disclosure - an amendment of FASB statement No. 123" ("SFAS 148"). SFAS 148 provides alternative methods of transition for a voluntary change to the fair value based method of accounting for stock-based employee compensation. In addition, this statement amends the disclosure requirements of SFAS 123 to require prominent disclosures in both annual and interim financial statements about the method of accounting for stock-based employee compensation and the effect of the method used on reported results. The transition provisions of SFAS 148 are effective for fiscal years ending after December 15, 2002. The enhanced disclosure requirements are included in the financial statements. The Company has decided to continue to account for stock options in accordance with the provisions of APB No. 25.</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January 2003, the FASB issued FASB Interpretation No. 46, Consolidation of Variable Interest Entities ("FIN 46"), which interprets Accounting Research Bulletin ("ARB") No. 51, Consolidated Financial Statements. FIN 46 clarifies the application of ARB No. 51 with respect to the consolidation of certain entities (variable interest entities - "VIE's") to which the usual condition for consolidation described in ARB No. 51 does not apply because the controlling financial interest in VIE's may be achieved through arrangements that do not involve voting interests. In addition, FIN 46 requires the primary beneficiary of VIE's and the holder of a significant variable interest in VIE's to disclose certain information relating to their involvement with the VIE's. The provisions of FIN 46 apply immediately to VIE's created after January 31, 2003, and to VIE's in which an enterprise obtains an interest after that date. FIN 46 applies in the first fiscal year beginning after June 15, 2003, to VIE's in which an enterprise holds a variable interest that it acquired before February 1, 2003. The Company did not create or obtain an interest in a VIE after January 31, 2003 and does not expect the impact of fully adopting FIN 46 to have a significant impact on our financial statements.</w:t>
      </w:r>
    </w:p>
    <w:p>
      <w:pPr>
        <w:spacing w:after="0" w:line="18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April 30, 2003, the FASB issued FASB Statement No. 149, Amendment of Statement 133 on Derivative Instruments and Hedging Activities, which amends FASB Statement No. 133, Accounting for Derivative Instruments and Hedging Activities, to address (1) decisions reached by the Derivatives Implementation Group, (2) developments in other Board projects that address financial instruments, and (3) implementation issues related to the definition of a derivative. Statement 149 has multiple effective date provisions depending on the nature of the amendment to Statement 133. Under SFAS No. 133, the Company's foreign exchange contracts do not qualify for hedge accounting treatment. The Company does not expect the impact of adopting Statement 149 to have a significant impact on our financial statements.</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May 15, 2003, the FASB issued FASB Statement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and otherwise is effective at the beginning of the first interim period beginning after June 15, 2003, except for mandatorily redeemable financial instruments of non-public entities. It is to be implemented by reporting the cumulative effect of a change in an accounting principle for financial instruments created before the issuance date of the Statement and still existing at the beginning of the interim period of adoption. Restatement is not permitted. The Company does not expect the impact of adopting Statement 150 to have a significant impact on our financial statements.</w:t>
      </w:r>
    </w:p>
    <w:p>
      <w:pPr>
        <w:spacing w:after="0" w:line="183"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Emerging Issues Task Force (EITF) has reached a final consensus on EITF Issue No. 00-21, Revenue Arrangements with Multiple Deliverables. This Issue addresses certain aspects of the accounting by a vendor for arrangements under which it will perform multiple revenue-generating activities, specifically how to determine whether an arrangement involving multiple deliverables contains more than one unit of accounting. The Issue also addresses how arrangement consideration should be measured and allocated to the separate units of accounting in the arrangement. The guidance in this Issue is effective for revenue arrangements entered into in fiscal periods beginning after June 15, 2003, with a possible alternative means of adoption by applying the new rules to existing contracts and recording the effect of adoption as a cumulative effect of a change in accounting principle. The Company have adopted EITF Issue No.</w:t>
      </w:r>
    </w:p>
    <w:p>
      <w:pPr>
        <w:spacing w:after="0" w:line="2"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00-21 on June 1, 2003 and it did not have a significant impact on the financial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850" w:gutter="0" w:footer="0" w:header="0"/>
        </w:sectPr>
      </w:pPr>
    </w:p>
    <w:bookmarkStart w:id="18" w:name="page19"/>
    <w:bookmarkEnd w:id="18"/>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ICON plc</w:t>
      </w:r>
    </w:p>
    <w:p>
      <w:pPr>
        <w:sectPr>
          <w:pgSz w:w="11900" w:h="16838" w:orient="portrait"/>
          <w:cols w:equalWidth="0" w:num="1">
            <w:col w:w="10219"/>
          </w:cols>
          <w:pgMar w:left="240" w:top="9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26,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3020" w:space="720"/>
            <w:col w:w="6479"/>
          </w:cols>
          <w:pgMar w:left="240" w:top="97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sectPr>
      <w:pgSz w:w="11900" w:h="16838" w:orient="portrait"/>
      <w:cols w:equalWidth="0" w:num="1">
        <w:col w:w="10219"/>
      </w:cols>
      <w:pgMar w:left="240" w:top="97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2019-12-12T02:13:51Z</dcterms:created>
  <dcterms:modified xsi:type="dcterms:W3CDTF">2019-12-12T02:13:51Z</dcterms:modified>
</cp:coreProperties>
</file>