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20-F</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980" w:hanging="972"/>
        <w:spacing w:after="0" w:line="181" w:lineRule="auto"/>
        <w:tabs>
          <w:tab w:leader="none" w:pos="980" w:val="left"/>
        </w:tabs>
        <w:numPr>
          <w:ilvl w:val="0"/>
          <w:numId w:val="1"/>
        </w:numPr>
        <w:rPr>
          <w:rFonts w:ascii="Arial" w:cs="Arial" w:eastAsia="Arial" w:hAnsi="Arial"/>
          <w:sz w:val="28"/>
          <w:szCs w:val="28"/>
          <w:color w:val="auto"/>
          <w:vertAlign w:val="subscript"/>
        </w:rPr>
      </w:pPr>
      <w:r>
        <w:rPr>
          <w:rFonts w:ascii="Arial" w:cs="Arial" w:eastAsia="Arial" w:hAnsi="Arial"/>
          <w:sz w:val="14"/>
          <w:szCs w:val="14"/>
          <w:color w:val="auto"/>
        </w:rPr>
        <w:t>REGISTRATION STATEMENT PURSUANT TO SECTION 12(b) OR (g)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ind w:left="980" w:hanging="972"/>
        <w:spacing w:after="0" w:line="183" w:lineRule="auto"/>
        <w:tabs>
          <w:tab w:leader="none" w:pos="980" w:val="left"/>
        </w:tabs>
        <w:numPr>
          <w:ilvl w:val="0"/>
          <w:numId w:val="2"/>
        </w:numPr>
        <w:rPr>
          <w:rFonts w:ascii="Arial" w:cs="Arial" w:eastAsia="Arial" w:hAnsi="Arial"/>
          <w:sz w:val="26"/>
          <w:szCs w:val="26"/>
          <w:color w:val="auto"/>
          <w:vertAlign w:val="subscript"/>
        </w:rPr>
      </w:pPr>
      <w:r>
        <w:rPr>
          <w:rFonts w:ascii="Arial" w:cs="Arial" w:eastAsia="Arial" w:hAnsi="Arial"/>
          <w:sz w:val="14"/>
          <w:szCs w:val="14"/>
          <w:color w:val="auto"/>
        </w:rPr>
        <w:t>ANNUAL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 w:lineRule="exact"/>
        <w:rPr>
          <w:sz w:val="24"/>
          <w:szCs w:val="24"/>
          <w:color w:val="auto"/>
        </w:rPr>
      </w:pPr>
    </w:p>
    <w:p>
      <w:pPr>
        <w:ind w:left="3840" w:right="1700" w:hanging="3832"/>
        <w:spacing w:after="0" w:line="181" w:lineRule="auto"/>
        <w:tabs>
          <w:tab w:leader="none" w:pos="971" w:val="left"/>
        </w:tabs>
        <w:numPr>
          <w:ilvl w:val="0"/>
          <w:numId w:val="3"/>
        </w:numPr>
        <w:rPr>
          <w:rFonts w:ascii="Arial" w:cs="Arial" w:eastAsia="Arial" w:hAnsi="Arial"/>
          <w:sz w:val="39"/>
          <w:szCs w:val="39"/>
          <w:color w:val="auto"/>
          <w:vertAlign w:val="subscript"/>
        </w:rPr>
      </w:pPr>
      <w:r>
        <w:rPr>
          <w:rFonts w:ascii="Arial" w:cs="Arial" w:eastAsia="Arial" w:hAnsi="Arial"/>
          <w:sz w:val="17"/>
          <w:szCs w:val="17"/>
          <w:color w:val="auto"/>
        </w:rPr>
        <w:t>TRANSITION REPORT PURSUANT TO SECTION 13 OR 15(d) OF THE SECURITIES EXCHANGE ACT OF 1934. For the transition period ended: December 31, 2005</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ICON public limited company</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Ireland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6360" w:type="dxa"/>
            <w:vAlign w:val="bottom"/>
          </w:tcPr>
          <w:p>
            <w:pPr>
              <w:ind w:left="1480"/>
              <w:spacing w:after="0"/>
              <w:rPr>
                <w:sz w:val="20"/>
                <w:szCs w:val="20"/>
                <w:color w:val="auto"/>
              </w:rPr>
            </w:pPr>
            <w:r>
              <w:rPr>
                <w:rFonts w:ascii="Arial" w:cs="Arial" w:eastAsia="Arial" w:hAnsi="Arial"/>
                <w:sz w:val="18"/>
                <w:szCs w:val="18"/>
                <w:color w:val="auto"/>
              </w:rPr>
              <w:t>(Address of principal executive offices)</w:t>
            </w:r>
          </w:p>
        </w:tc>
      </w:tr>
      <w:tr>
        <w:trPr>
          <w:trHeight w:val="458"/>
        </w:trPr>
        <w:tc>
          <w:tcPr>
            <w:tcW w:w="9160" w:type="dxa"/>
            <w:vAlign w:val="bottom"/>
            <w:gridSpan w:val="2"/>
          </w:tcPr>
          <w:p>
            <w:pPr>
              <w:spacing w:after="0"/>
              <w:rPr>
                <w:sz w:val="20"/>
                <w:szCs w:val="20"/>
                <w:color w:val="auto"/>
              </w:rPr>
            </w:pPr>
            <w:r>
              <w:rPr>
                <w:rFonts w:ascii="Arial" w:cs="Arial" w:eastAsia="Arial" w:hAnsi="Arial"/>
                <w:sz w:val="18"/>
                <w:szCs w:val="18"/>
                <w:color w:val="auto"/>
              </w:rPr>
              <w:t>Securities registered or to be registered pursuant to Section 12(b) of the Act:</w:t>
            </w:r>
          </w:p>
        </w:tc>
      </w:tr>
      <w:tr>
        <w:trPr>
          <w:trHeight w:val="216"/>
        </w:trPr>
        <w:tc>
          <w:tcPr>
            <w:tcW w:w="2800" w:type="dxa"/>
            <w:vAlign w:val="bottom"/>
          </w:tcPr>
          <w:p>
            <w:pPr>
              <w:spacing w:after="0"/>
              <w:rPr>
                <w:sz w:val="18"/>
                <w:szCs w:val="18"/>
                <w:color w:val="auto"/>
              </w:rPr>
            </w:pPr>
          </w:p>
        </w:tc>
        <w:tc>
          <w:tcPr>
            <w:tcW w:w="6360" w:type="dxa"/>
            <w:vAlign w:val="bottom"/>
          </w:tcPr>
          <w:p>
            <w:pPr>
              <w:ind w:left="3200"/>
              <w:spacing w:after="0"/>
              <w:rPr>
                <w:sz w:val="20"/>
                <w:szCs w:val="20"/>
                <w:color w:val="auto"/>
              </w:rPr>
            </w:pPr>
            <w:r>
              <w:rPr>
                <w:rFonts w:ascii="Arial" w:cs="Arial" w:eastAsia="Arial" w:hAnsi="Arial"/>
                <w:sz w:val="18"/>
                <w:szCs w:val="18"/>
                <w:color w:val="auto"/>
              </w:rPr>
              <w:t>Name of exchange</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Title of each class</w:t>
            </w:r>
          </w:p>
        </w:tc>
        <w:tc>
          <w:tcPr>
            <w:tcW w:w="6360" w:type="dxa"/>
            <w:vAlign w:val="bottom"/>
          </w:tcPr>
          <w:p>
            <w:pPr>
              <w:ind w:left="3720"/>
              <w:spacing w:after="0"/>
              <w:rPr>
                <w:sz w:val="20"/>
                <w:szCs w:val="20"/>
                <w:color w:val="auto"/>
              </w:rPr>
            </w:pPr>
            <w:r>
              <w:rPr>
                <w:rFonts w:ascii="Arial" w:cs="Arial" w:eastAsia="Arial" w:hAnsi="Arial"/>
                <w:sz w:val="18"/>
                <w:szCs w:val="18"/>
                <w:color w:val="auto"/>
              </w:rPr>
              <w:t>on which registered</w:t>
            </w:r>
          </w:p>
        </w:tc>
      </w:tr>
      <w:tr>
        <w:trPr>
          <w:trHeight w:val="108"/>
        </w:trPr>
        <w:tc>
          <w:tcPr>
            <w:tcW w:w="2800" w:type="dxa"/>
            <w:vAlign w:val="bottom"/>
            <w:tcBorders>
              <w:bottom w:val="single" w:sz="8" w:color="808080"/>
            </w:tcBorders>
          </w:tcPr>
          <w:p>
            <w:pPr>
              <w:spacing w:after="0"/>
              <w:rPr>
                <w:sz w:val="9"/>
                <w:szCs w:val="9"/>
                <w:color w:val="auto"/>
              </w:rPr>
            </w:pPr>
          </w:p>
        </w:tc>
        <w:tc>
          <w:tcPr>
            <w:tcW w:w="6360" w:type="dxa"/>
            <w:vAlign w:val="bottom"/>
            <w:tcBorders>
              <w:bottom w:val="single" w:sz="8" w:color="808080"/>
            </w:tcBorders>
          </w:tcPr>
          <w:p>
            <w:pPr>
              <w:spacing w:after="0"/>
              <w:rPr>
                <w:sz w:val="9"/>
                <w:szCs w:val="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5560"/>
        <w:spacing w:after="0" w:line="277" w:lineRule="auto"/>
        <w:rPr>
          <w:sz w:val="20"/>
          <w:szCs w:val="20"/>
          <w:color w:val="auto"/>
        </w:rPr>
      </w:pPr>
      <w:r>
        <w:rPr>
          <w:rFonts w:ascii="Arial" w:cs="Arial" w:eastAsia="Arial" w:hAnsi="Arial"/>
          <w:sz w:val="18"/>
          <w:szCs w:val="18"/>
          <w:color w:val="auto"/>
        </w:rPr>
        <w:t>American Depository Shares, representing Ordinary Shares, par value €0.06 each Ordinary Shares, par value €0.06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14,018,092 Ordinary Shares.</w:t>
      </w:r>
    </w:p>
    <w:p>
      <w:pPr>
        <w:spacing w:after="0" w:line="26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pacing w:after="0" w:line="272" w:lineRule="exact"/>
        <w:rPr>
          <w:sz w:val="24"/>
          <w:szCs w:val="24"/>
          <w:color w:val="auto"/>
        </w:rPr>
      </w:pPr>
    </w:p>
    <w:p>
      <w:pPr>
        <w:spacing w:after="0"/>
        <w:tabs>
          <w:tab w:leader="none" w:pos="3860" w:val="left"/>
        </w:tabs>
        <w:rPr>
          <w:sz w:val="20"/>
          <w:szCs w:val="20"/>
          <w:color w:val="auto"/>
        </w:rPr>
      </w:pPr>
      <w:r>
        <w:rPr>
          <w:rFonts w:ascii="Arial" w:cs="Arial" w:eastAsia="Arial" w:hAnsi="Arial"/>
          <w:sz w:val="18"/>
          <w:szCs w:val="18"/>
          <w:color w:val="auto"/>
        </w:rPr>
        <w:t>Yes………</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financial statement item the registrant has elected to follow:</w:t>
      </w:r>
    </w:p>
    <w:p>
      <w:pPr>
        <w:spacing w:after="0" w:line="316" w:lineRule="exact"/>
        <w:rPr>
          <w:sz w:val="24"/>
          <w:szCs w:val="24"/>
          <w:color w:val="auto"/>
        </w:rPr>
      </w:pPr>
    </w:p>
    <w:p>
      <w:pPr>
        <w:spacing w:after="0"/>
        <w:tabs>
          <w:tab w:leader="none" w:pos="4020" w:val="left"/>
        </w:tabs>
        <w:rPr>
          <w:sz w:val="20"/>
          <w:szCs w:val="20"/>
          <w:color w:val="auto"/>
        </w:rPr>
      </w:pPr>
      <w:r>
        <w:rPr>
          <w:rFonts w:ascii="Arial" w:cs="Arial" w:eastAsia="Arial" w:hAnsi="Arial"/>
          <w:sz w:val="18"/>
          <w:szCs w:val="18"/>
          <w:color w:val="auto"/>
        </w:rPr>
        <w:t>Item 17……………………………………..</w:t>
      </w:r>
      <w:r>
        <w:rPr>
          <w:sz w:val="20"/>
          <w:szCs w:val="20"/>
          <w:color w:val="auto"/>
        </w:rPr>
        <w:tab/>
      </w:r>
      <w:r>
        <w:rPr>
          <w:rFonts w:ascii="Arial" w:cs="Arial" w:eastAsia="Arial" w:hAnsi="Arial"/>
          <w:sz w:val="17"/>
          <w:szCs w:val="17"/>
          <w:color w:val="auto"/>
        </w:rPr>
        <w:t>Item 18………</w:t>
      </w:r>
      <w:r>
        <w:rPr>
          <w:rFonts w:ascii="Arial" w:cs="Arial" w:eastAsia="Arial" w:hAnsi="Arial"/>
          <w:sz w:val="17"/>
          <w:szCs w:val="17"/>
          <w:b w:val="1"/>
          <w:bCs w:val="1"/>
          <w:color w:val="auto"/>
        </w:rPr>
        <w:t>X</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327025</wp:posOffset>
            </wp:positionV>
            <wp:extent cx="7254875" cy="7089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708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b w:val="1"/>
                <w:bCs w:val="1"/>
                <w:color w:val="auto"/>
              </w:rPr>
              <w:t>General</w:t>
            </w:r>
          </w:p>
        </w:tc>
        <w:tc>
          <w:tcPr>
            <w:tcW w:w="6960" w:type="dxa"/>
            <w:vAlign w:val="bottom"/>
            <w:shd w:val="clear" w:color="auto" w:fill="E2EEF6"/>
          </w:tcPr>
          <w:p>
            <w:pPr>
              <w:spacing w:after="0"/>
              <w:rPr>
                <w:sz w:val="19"/>
                <w:szCs w:val="19"/>
                <w:color w:val="auto"/>
              </w:rPr>
            </w:pP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b w:val="1"/>
                <w:bCs w:val="1"/>
                <w:color w:val="auto"/>
                <w:w w:val="97"/>
              </w:rPr>
              <w:t>Cautionary Statement</w:t>
            </w:r>
          </w:p>
        </w:tc>
        <w:tc>
          <w:tcPr>
            <w:tcW w:w="6960" w:type="dxa"/>
            <w:vAlign w:val="bottom"/>
            <w:shd w:val="clear" w:color="auto" w:fill="E2EEF6"/>
          </w:tcPr>
          <w:p>
            <w:pPr>
              <w:spacing w:after="0"/>
              <w:rPr>
                <w:sz w:val="19"/>
                <w:szCs w:val="19"/>
                <w:color w:val="auto"/>
              </w:rPr>
            </w:pP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b w:val="1"/>
                <w:bCs w:val="1"/>
                <w:color w:val="auto"/>
              </w:rPr>
              <w:t>Part I</w:t>
            </w:r>
          </w:p>
        </w:tc>
        <w:tc>
          <w:tcPr>
            <w:tcW w:w="6960" w:type="dxa"/>
            <w:vAlign w:val="bottom"/>
            <w:shd w:val="clear" w:color="auto" w:fill="E2EEF6"/>
          </w:tcPr>
          <w:p>
            <w:pPr>
              <w:spacing w:after="0"/>
              <w:rPr>
                <w:sz w:val="19"/>
                <w:szCs w:val="19"/>
                <w:color w:val="auto"/>
              </w:rPr>
            </w:pPr>
          </w:p>
        </w:tc>
        <w:tc>
          <w:tcPr>
            <w:tcW w:w="2760" w:type="dxa"/>
            <w:vAlign w:val="bottom"/>
            <w:shd w:val="clear" w:color="auto" w:fill="E2EEF6"/>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Identity of Directors, Senior Management and Advisors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2.</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Offer Statistics and Expected Timetable</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3.</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Key Information</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4.</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Information on the Company</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5.</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Operating and Financial Review and Prospects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6.</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Directors, Senior Management and Employees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7.</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Major Shareholders and Related Party Transactions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8.</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Financial Information</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9.</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The Offer and the Listing</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10.</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Additional Information</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11.</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12.</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Description of Securities Other than Equity Securities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b w:val="1"/>
                <w:bCs w:val="1"/>
                <w:color w:val="auto"/>
              </w:rPr>
              <w:t>Part II</w:t>
            </w:r>
          </w:p>
        </w:tc>
        <w:tc>
          <w:tcPr>
            <w:tcW w:w="6960" w:type="dxa"/>
            <w:vAlign w:val="bottom"/>
            <w:shd w:val="clear" w:color="auto" w:fill="E2EEF6"/>
          </w:tcPr>
          <w:p>
            <w:pPr>
              <w:spacing w:after="0"/>
              <w:rPr>
                <w:sz w:val="19"/>
                <w:szCs w:val="19"/>
                <w:color w:val="auto"/>
              </w:rPr>
            </w:pPr>
          </w:p>
        </w:tc>
        <w:tc>
          <w:tcPr>
            <w:tcW w:w="2760" w:type="dxa"/>
            <w:vAlign w:val="bottom"/>
            <w:shd w:val="clear" w:color="auto" w:fill="E2EEF6"/>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13.</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Defaults, Dividend Arrearages and Delinquencies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14.</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Material Modifications to the Rights of Security Holders and Use of Proceeds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15.</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Controls and Procedures.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16.</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Reserved</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660" w:type="dxa"/>
            <w:vAlign w:val="bottom"/>
            <w:tcBorders>
              <w:bottom w:val="single" w:sz="8" w:color="E2EEF6"/>
            </w:tcBorders>
            <w:shd w:val="clear" w:color="auto" w:fill="E2EEF6"/>
          </w:tcPr>
          <w:p>
            <w:pPr>
              <w:ind w:left="20"/>
              <w:spacing w:after="0"/>
              <w:rPr>
                <w:sz w:val="20"/>
                <w:szCs w:val="20"/>
                <w:color w:val="auto"/>
              </w:rPr>
            </w:pPr>
            <w:r>
              <w:rPr>
                <w:rFonts w:ascii="Arial" w:cs="Arial" w:eastAsia="Arial" w:hAnsi="Arial"/>
                <w:sz w:val="16"/>
                <w:szCs w:val="16"/>
                <w:b w:val="1"/>
                <w:bCs w:val="1"/>
                <w:color w:val="auto"/>
              </w:rPr>
              <w:t>Part III</w:t>
            </w:r>
          </w:p>
        </w:tc>
        <w:tc>
          <w:tcPr>
            <w:tcW w:w="6960" w:type="dxa"/>
            <w:vAlign w:val="bottom"/>
            <w:tcBorders>
              <w:bottom w:val="single" w:sz="8" w:color="E2EEF6"/>
            </w:tcBorders>
            <w:shd w:val="clear" w:color="auto" w:fill="E2EEF6"/>
          </w:tcPr>
          <w:p>
            <w:pPr>
              <w:spacing w:after="0"/>
              <w:rPr>
                <w:sz w:val="21"/>
                <w:szCs w:val="21"/>
                <w:color w:val="auto"/>
              </w:rPr>
            </w:pPr>
          </w:p>
        </w:tc>
        <w:tc>
          <w:tcPr>
            <w:tcW w:w="2760" w:type="dxa"/>
            <w:vAlign w:val="bottom"/>
            <w:tcBorders>
              <w:bottom w:val="single" w:sz="8" w:color="E2EEF6"/>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17.</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Financial Statements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18.</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Financial Statements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E2EEF6"/>
          </w:tcPr>
          <w:p>
            <w:pPr>
              <w:ind w:left="20"/>
              <w:spacing w:after="0"/>
              <w:rPr>
                <w:sz w:val="20"/>
                <w:szCs w:val="20"/>
                <w:color w:val="auto"/>
              </w:rPr>
            </w:pPr>
            <w:r>
              <w:rPr>
                <w:rFonts w:ascii="Arial" w:cs="Arial" w:eastAsia="Arial" w:hAnsi="Arial"/>
                <w:sz w:val="16"/>
                <w:szCs w:val="16"/>
                <w:color w:val="auto"/>
              </w:rPr>
              <w:t>Item 19.</w:t>
            </w:r>
          </w:p>
        </w:tc>
        <w:tc>
          <w:tcPr>
            <w:tcW w:w="6960" w:type="dxa"/>
            <w:vAlign w:val="bottom"/>
            <w:shd w:val="clear" w:color="auto" w:fill="E2EEF6"/>
          </w:tcPr>
          <w:p>
            <w:pPr>
              <w:ind w:left="120"/>
              <w:spacing w:after="0"/>
              <w:rPr>
                <w:sz w:val="20"/>
                <w:szCs w:val="20"/>
                <w:color w:val="auto"/>
              </w:rPr>
            </w:pPr>
            <w:r>
              <w:rPr>
                <w:rFonts w:ascii="Arial" w:cs="Arial" w:eastAsia="Arial" w:hAnsi="Arial"/>
                <w:sz w:val="16"/>
                <w:szCs w:val="16"/>
                <w:color w:val="auto"/>
              </w:rPr>
              <w:t>Financial Statements and Exhibits</w:t>
            </w:r>
          </w:p>
        </w:tc>
        <w:tc>
          <w:tcPr>
            <w:tcW w:w="2760" w:type="dxa"/>
            <w:vAlign w:val="bottom"/>
            <w:shd w:val="clear" w:color="auto" w:fill="E2EEF6"/>
          </w:tcPr>
          <w:p>
            <w:pPr>
              <w:ind w:left="18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9"/>
                <w:szCs w:val="19"/>
                <w:color w:val="auto"/>
              </w:rPr>
            </w:pPr>
          </w:p>
        </w:tc>
      </w:tr>
      <w:tr>
        <w:trPr>
          <w:trHeight w:val="645"/>
        </w:trPr>
        <w:tc>
          <w:tcPr>
            <w:tcW w:w="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69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used herein, “ICON plc”, the “Company” and “we” or “us” refer to ICON public limited company and its consolidated subsidiaries, unless the context requires otherwise.</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this Form 20-F, references to "U.S. dollars", "U.S.$" or "$" are to the lawful currency of the United States, references to "pounds sterling", "sterling", "£", "pence" or "p" are to the lawful currency of the United Kingdom, references to “Israeli Shekels” or “ILS” are to the lawful currency of Israel, references to “Euro” or “€” are to the European single currency adopted by twelve members of the European Union (including the Republic of Ireland, France, Germany Spain and the Netherlands). ICON publishes its consolidated financial statements in U.S. dollars.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ICON has historically prepared its consolidated financial statements on the basis of a fiscal year beginning on June 1 and ending on May 31. On July 27, 2005 the Board of Directors of the Company approved a change of the Company’s fiscal year end from a twelve-month period ending on May 31 to a twelve-month period ending on December 31. The Company is making this change in order to align its fiscal year end with the majority of other contract research organizations. As a requirement of this change, the Company is reporting results for the seven-month period from June 1, 2005 to December 31, 2005 as a separate transition period in this Transition Report filed on Form 20-F. As of January 1, 2006, the Company’s fiscal year will begin on January 1 and end on December 31 and its fiscal quarters will end on the last day of March, June, September and December of each year.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The Company has no obligation under the PSLRA to update any forward looking statements and does not intend to do so.</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selected financial data set forth below are derived from ICON’s consolidated financial statements and should be read in conjunction with, and are qualified by reference to, "Operating and Financial Review and Prospects" and ICON's consolidated financial statements and related notes thereto included elsewhere in this Form 20-F.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7 month</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Period</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ended</w:t>
            </w: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Year Ended May 31,</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r>
      <w:tr>
        <w:trPr>
          <w:trHeight w:val="243"/>
        </w:trPr>
        <w:tc>
          <w:tcPr>
            <w:tcW w:w="440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r>
      <w:tr>
        <w:trPr>
          <w:trHeight w:val="486"/>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1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520" w:type="dxa"/>
            <w:vAlign w:val="bottom"/>
          </w:tcPr>
          <w:p>
            <w:pPr>
              <w:spacing w:after="0"/>
              <w:rPr>
                <w:sz w:val="24"/>
                <w:szCs w:val="24"/>
                <w:color w:val="auto"/>
              </w:rPr>
            </w:pPr>
          </w:p>
        </w:tc>
      </w:tr>
      <w:tr>
        <w:trPr>
          <w:trHeight w:val="500"/>
        </w:trPr>
        <w:tc>
          <w:tcPr>
            <w:tcW w:w="440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Gross revenue</w:t>
            </w:r>
          </w:p>
        </w:tc>
        <w:tc>
          <w:tcPr>
            <w:tcW w:w="220" w:type="dxa"/>
            <w:vAlign w:val="bottom"/>
            <w:gridSpan w:val="2"/>
            <w:shd w:val="clear" w:color="auto" w:fill="E2EEF6"/>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151,832</w:t>
            </w: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218,842</w:t>
            </w:r>
          </w:p>
        </w:tc>
        <w:tc>
          <w:tcPr>
            <w:tcW w:w="120" w:type="dxa"/>
            <w:vAlign w:val="bottom"/>
            <w:shd w:val="clear" w:color="auto" w:fill="E2EEF6"/>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340,971</w:t>
            </w:r>
          </w:p>
        </w:tc>
        <w:tc>
          <w:tcPr>
            <w:tcW w:w="1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443,875</w:t>
            </w:r>
          </w:p>
        </w:tc>
        <w:tc>
          <w:tcPr>
            <w:tcW w:w="1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469,583</w:t>
            </w:r>
          </w:p>
        </w:tc>
        <w:tc>
          <w:tcPr>
            <w:tcW w:w="1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$275,586</w:t>
            </w: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Subcontractor costs (1)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(35,669)</w:t>
            </w:r>
          </w:p>
        </w:tc>
        <w:tc>
          <w:tcPr>
            <w:tcW w:w="1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(62,287)</w:t>
            </w:r>
          </w:p>
        </w:tc>
        <w:tc>
          <w:tcPr>
            <w:tcW w:w="1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(115,246)</w:t>
            </w:r>
          </w:p>
        </w:tc>
        <w:tc>
          <w:tcPr>
            <w:tcW w:w="14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(146,952)</w:t>
            </w:r>
          </w:p>
        </w:tc>
        <w:tc>
          <w:tcPr>
            <w:tcW w:w="1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(142,925)</w:t>
            </w:r>
          </w:p>
        </w:tc>
        <w:tc>
          <w:tcPr>
            <w:tcW w:w="1520" w:type="dxa"/>
            <w:vAlign w:val="bottom"/>
          </w:tcPr>
          <w:p>
            <w:pPr>
              <w:jc w:val="right"/>
              <w:spacing w:after="0"/>
              <w:rPr>
                <w:sz w:val="20"/>
                <w:szCs w:val="20"/>
                <w:color w:val="auto"/>
              </w:rPr>
            </w:pPr>
            <w:r>
              <w:rPr>
                <w:rFonts w:ascii="Arial" w:cs="Arial" w:eastAsia="Arial" w:hAnsi="Arial"/>
                <w:sz w:val="18"/>
                <w:szCs w:val="18"/>
                <w:color w:val="auto"/>
              </w:rPr>
              <w:t>(73,636)</w:t>
            </w:r>
          </w:p>
        </w:tc>
      </w:tr>
      <w:tr>
        <w:trPr>
          <w:trHeight w:val="237"/>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116,163</w:t>
            </w:r>
          </w:p>
        </w:tc>
        <w:tc>
          <w:tcPr>
            <w:tcW w:w="12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156,555</w:t>
            </w:r>
          </w:p>
        </w:tc>
        <w:tc>
          <w:tcPr>
            <w:tcW w:w="10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225,725</w:t>
            </w:r>
          </w:p>
        </w:tc>
        <w:tc>
          <w:tcPr>
            <w:tcW w:w="100" w:type="dxa"/>
            <w:vAlign w:val="bottom"/>
            <w:tcBorders>
              <w:right w:val="single" w:sz="8" w:color="E2EEF6"/>
            </w:tcBorders>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296,923</w:t>
            </w:r>
          </w:p>
        </w:tc>
        <w:tc>
          <w:tcPr>
            <w:tcW w:w="100" w:type="dxa"/>
            <w:vAlign w:val="bottom"/>
            <w:tcBorders>
              <w:right w:val="single" w:sz="8" w:color="E2EEF6"/>
            </w:tcBorders>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86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326,658</w:t>
            </w:r>
          </w:p>
        </w:tc>
        <w:tc>
          <w:tcPr>
            <w:tcW w:w="120" w:type="dxa"/>
            <w:vAlign w:val="bottom"/>
            <w:shd w:val="clear" w:color="auto" w:fill="E2EEF6"/>
          </w:tcPr>
          <w:p>
            <w:pPr>
              <w:spacing w:after="0"/>
              <w:rPr>
                <w:sz w:val="20"/>
                <w:szCs w:val="20"/>
                <w:color w:val="auto"/>
              </w:rPr>
            </w:pPr>
          </w:p>
        </w:tc>
        <w:tc>
          <w:tcPr>
            <w:tcW w:w="152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201,950</w:t>
            </w:r>
          </w:p>
        </w:tc>
      </w:tr>
      <w:tr>
        <w:trPr>
          <w:trHeight w:val="256"/>
        </w:trPr>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Direct costs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83,371</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122,373</w:t>
            </w: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162,562</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179,661</w:t>
            </w:r>
          </w:p>
        </w:tc>
        <w:tc>
          <w:tcPr>
            <w:tcW w:w="1520" w:type="dxa"/>
            <w:vAlign w:val="bottom"/>
          </w:tcPr>
          <w:p>
            <w:pPr>
              <w:jc w:val="right"/>
              <w:spacing w:after="0"/>
              <w:rPr>
                <w:sz w:val="20"/>
                <w:szCs w:val="20"/>
                <w:color w:val="auto"/>
              </w:rPr>
            </w:pPr>
            <w:r>
              <w:rPr>
                <w:rFonts w:ascii="Arial" w:cs="Arial" w:eastAsia="Arial" w:hAnsi="Arial"/>
                <w:sz w:val="18"/>
                <w:szCs w:val="18"/>
                <w:color w:val="auto"/>
              </w:rPr>
              <w:t>114,004</w:t>
            </w:r>
          </w:p>
        </w:tc>
      </w:tr>
      <w:tr>
        <w:trPr>
          <w:trHeight w:val="243"/>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36,312</w:t>
            </w: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48,951</w:t>
            </w:r>
          </w:p>
        </w:tc>
        <w:tc>
          <w:tcPr>
            <w:tcW w:w="12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71,118</w:t>
            </w:r>
          </w:p>
        </w:tc>
        <w:tc>
          <w:tcPr>
            <w:tcW w:w="14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88,807</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103,784</w:t>
            </w:r>
          </w:p>
        </w:tc>
        <w:tc>
          <w:tcPr>
            <w:tcW w:w="1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62,051</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7,305</w:t>
            </w:r>
          </w:p>
        </w:tc>
        <w:tc>
          <w:tcPr>
            <w:tcW w:w="1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11,171</w:t>
            </w: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13,331</w:t>
            </w:r>
          </w:p>
        </w:tc>
        <w:tc>
          <w:tcPr>
            <w:tcW w:w="1520" w:type="dxa"/>
            <w:vAlign w:val="bottom"/>
          </w:tcPr>
          <w:p>
            <w:pPr>
              <w:jc w:val="right"/>
              <w:spacing w:after="0"/>
              <w:rPr>
                <w:sz w:val="20"/>
                <w:szCs w:val="20"/>
                <w:color w:val="auto"/>
              </w:rPr>
            </w:pPr>
            <w:r>
              <w:rPr>
                <w:rFonts w:ascii="Arial" w:cs="Arial" w:eastAsia="Arial" w:hAnsi="Arial"/>
                <w:sz w:val="18"/>
                <w:szCs w:val="18"/>
                <w:color w:val="auto"/>
              </w:rPr>
              <w:t>8,094</w:t>
            </w:r>
          </w:p>
        </w:tc>
      </w:tr>
      <w:tr>
        <w:trPr>
          <w:trHeight w:val="243"/>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Share based compensation (2)</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6,249</w:t>
            </w: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Other charges</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4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E2EEF6"/>
            </w:tcBorders>
            <w:shd w:val="clear" w:color="auto" w:fill="E2EEF6"/>
          </w:tcPr>
          <w:p>
            <w:pPr>
              <w:spacing w:after="0"/>
              <w:rPr>
                <w:sz w:val="22"/>
                <w:szCs w:val="22"/>
                <w:color w:val="auto"/>
              </w:rPr>
            </w:pPr>
          </w:p>
        </w:tc>
        <w:tc>
          <w:tcPr>
            <w:tcW w:w="8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105,087</w:t>
            </w:r>
          </w:p>
        </w:tc>
        <w:tc>
          <w:tcPr>
            <w:tcW w:w="12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E2EEF6"/>
            </w:tcBorders>
            <w:shd w:val="clear" w:color="auto" w:fill="E2EEF6"/>
          </w:tcPr>
          <w:p>
            <w:pPr>
              <w:spacing w:after="0"/>
              <w:rPr>
                <w:sz w:val="22"/>
                <w:szCs w:val="22"/>
                <w:color w:val="auto"/>
              </w:rPr>
            </w:pPr>
          </w:p>
        </w:tc>
        <w:tc>
          <w:tcPr>
            <w:tcW w:w="94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138,342</w:t>
            </w:r>
          </w:p>
        </w:tc>
        <w:tc>
          <w:tcPr>
            <w:tcW w:w="120" w:type="dxa"/>
            <w:vAlign w:val="bottom"/>
            <w:tcBorders>
              <w:bottom w:val="single" w:sz="8" w:color="E2EEF6"/>
            </w:tcBorders>
            <w:shd w:val="clear" w:color="auto" w:fill="E2EEF6"/>
          </w:tcPr>
          <w:p>
            <w:pPr>
              <w:spacing w:after="0"/>
              <w:rPr>
                <w:sz w:val="22"/>
                <w:szCs w:val="22"/>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200,796</w:t>
            </w:r>
          </w:p>
        </w:tc>
        <w:tc>
          <w:tcPr>
            <w:tcW w:w="140" w:type="dxa"/>
            <w:vAlign w:val="bottom"/>
            <w:tcBorders>
              <w:bottom w:val="single" w:sz="8" w:color="E2EEF6"/>
            </w:tcBorders>
            <w:shd w:val="clear" w:color="auto" w:fill="E2EEF6"/>
          </w:tcPr>
          <w:p>
            <w:pPr>
              <w:spacing w:after="0"/>
              <w:rPr>
                <w:sz w:val="22"/>
                <w:szCs w:val="22"/>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262,540</w:t>
            </w:r>
          </w:p>
        </w:tc>
        <w:tc>
          <w:tcPr>
            <w:tcW w:w="140" w:type="dxa"/>
            <w:vAlign w:val="bottom"/>
            <w:tcBorders>
              <w:bottom w:val="single" w:sz="8" w:color="E2EEF6"/>
            </w:tcBorders>
            <w:shd w:val="clear" w:color="auto" w:fill="E2EEF6"/>
          </w:tcPr>
          <w:p>
            <w:pPr>
              <w:spacing w:after="0"/>
              <w:rPr>
                <w:sz w:val="22"/>
                <w:szCs w:val="22"/>
                <w:color w:val="auto"/>
              </w:rPr>
            </w:pPr>
          </w:p>
        </w:tc>
        <w:tc>
          <w:tcPr>
            <w:tcW w:w="9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308,051</w:t>
            </w:r>
          </w:p>
        </w:tc>
        <w:tc>
          <w:tcPr>
            <w:tcW w:w="15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190,398</w:t>
            </w:r>
          </w:p>
        </w:tc>
      </w:tr>
      <w:tr>
        <w:trPr>
          <w:trHeight w:val="237"/>
        </w:trPr>
        <w:tc>
          <w:tcPr>
            <w:tcW w:w="440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18,213</w:t>
            </w: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18,607</w:t>
            </w:r>
          </w:p>
        </w:tc>
        <w:tc>
          <w:tcPr>
            <w:tcW w:w="120" w:type="dxa"/>
            <w:vAlign w:val="bottom"/>
            <w:tcBorders>
              <w:top w:val="single" w:sz="8" w:color="E2EEF6"/>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11,552</w:t>
            </w:r>
          </w:p>
        </w:tc>
      </w:tr>
      <w:tr>
        <w:trPr>
          <w:trHeight w:val="275"/>
        </w:trPr>
        <w:tc>
          <w:tcPr>
            <w:tcW w:w="4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8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94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E2EEF6"/>
            </w:tcBorders>
            <w:shd w:val="clear" w:color="auto" w:fill="E2EEF6"/>
          </w:tcPr>
          <w:p>
            <w:pPr>
              <w:spacing w:after="0"/>
              <w:rPr>
                <w:sz w:val="23"/>
                <w:szCs w:val="23"/>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E2EEF6"/>
            </w:tcBorders>
            <w:shd w:val="clear" w:color="auto" w:fill="E2EEF6"/>
          </w:tcPr>
          <w:p>
            <w:pPr>
              <w:spacing w:after="0"/>
              <w:rPr>
                <w:sz w:val="23"/>
                <w:szCs w:val="23"/>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E2EEF6"/>
            </w:tcBorders>
            <w:shd w:val="clear" w:color="auto" w:fill="E2EEF6"/>
          </w:tcPr>
          <w:p>
            <w:pPr>
              <w:spacing w:after="0"/>
              <w:rPr>
                <w:sz w:val="23"/>
                <w:szCs w:val="23"/>
                <w:color w:val="auto"/>
              </w:rPr>
            </w:pPr>
          </w:p>
        </w:tc>
        <w:tc>
          <w:tcPr>
            <w:tcW w:w="9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979</w:t>
            </w:r>
          </w:p>
        </w:tc>
        <w:tc>
          <w:tcPr>
            <w:tcW w:w="15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1,272</w:t>
            </w:r>
          </w:p>
        </w:tc>
      </w:tr>
      <w:tr>
        <w:trPr>
          <w:trHeight w:val="237"/>
        </w:trPr>
        <w:tc>
          <w:tcPr>
            <w:tcW w:w="440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19,329</w:t>
            </w: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25,283</w:t>
            </w: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34,671</w:t>
            </w: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Borders>
              <w:top w:val="single" w:sz="8" w:color="E2EEF6"/>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12,824</w:t>
            </w:r>
          </w:p>
        </w:tc>
      </w:tr>
      <w:tr>
        <w:trPr>
          <w:trHeight w:val="243"/>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E2EEF6"/>
          </w:tcPr>
          <w:p>
            <w:pPr>
              <w:spacing w:after="0"/>
              <w:rPr>
                <w:sz w:val="21"/>
                <w:szCs w:val="21"/>
                <w:color w:val="auto"/>
              </w:rPr>
            </w:pPr>
          </w:p>
        </w:tc>
        <w:tc>
          <w:tcPr>
            <w:tcW w:w="9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(5,129)</w:t>
            </w:r>
          </w:p>
        </w:tc>
        <w:tc>
          <w:tcPr>
            <w:tcW w:w="12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E2EEF6"/>
          </w:tcPr>
          <w:p>
            <w:pPr>
              <w:spacing w:after="0"/>
              <w:rPr>
                <w:sz w:val="21"/>
                <w:szCs w:val="21"/>
                <w:color w:val="auto"/>
              </w:rPr>
            </w:pPr>
          </w:p>
        </w:tc>
        <w:tc>
          <w:tcPr>
            <w:tcW w:w="940" w:type="dxa"/>
            <w:vAlign w:val="bottom"/>
            <w:tcBorders>
              <w:right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(8,929)</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(5,852)</w:t>
            </w:r>
          </w:p>
        </w:tc>
        <w:tc>
          <w:tcPr>
            <w:tcW w:w="1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(5,396)</w:t>
            </w: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9"/>
        </w:trPr>
        <w:tc>
          <w:tcPr>
            <w:tcW w:w="4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top w:val="single" w:sz="8" w:color="auto"/>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top w:val="single" w:sz="8" w:color="auto"/>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top w:val="single" w:sz="8" w:color="auto"/>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tcBorders>
              <w:bottom w:val="single" w:sz="8" w:color="E2EEF6"/>
              <w:right w:val="single" w:sz="8" w:color="E2EEF6"/>
            </w:tcBorders>
            <w:shd w:val="clear" w:color="auto" w:fill="E2EEF6"/>
          </w:tcPr>
          <w:p>
            <w:pPr>
              <w:spacing w:after="0"/>
              <w:rPr>
                <w:sz w:val="22"/>
                <w:szCs w:val="22"/>
                <w:color w:val="auto"/>
              </w:rPr>
            </w:pPr>
          </w:p>
        </w:tc>
        <w:tc>
          <w:tcPr>
            <w:tcW w:w="140" w:type="dxa"/>
            <w:vAlign w:val="bottom"/>
            <w:tcBorders>
              <w:top w:val="single" w:sz="8" w:color="auto"/>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25,742</w:t>
            </w:r>
          </w:p>
        </w:tc>
        <w:tc>
          <w:tcPr>
            <w:tcW w:w="100" w:type="dxa"/>
            <w:vAlign w:val="bottom"/>
            <w:tcBorders>
              <w:bottom w:val="single" w:sz="8" w:color="E2EEF6"/>
              <w:right w:val="single" w:sz="8" w:color="E2EEF6"/>
            </w:tcBorders>
            <w:shd w:val="clear" w:color="auto" w:fill="E2EEF6"/>
          </w:tcPr>
          <w:p>
            <w:pPr>
              <w:spacing w:after="0"/>
              <w:rPr>
                <w:sz w:val="22"/>
                <w:szCs w:val="22"/>
                <w:color w:val="auto"/>
              </w:rPr>
            </w:pPr>
          </w:p>
        </w:tc>
        <w:tc>
          <w:tcPr>
            <w:tcW w:w="140" w:type="dxa"/>
            <w:vAlign w:val="bottom"/>
            <w:tcBorders>
              <w:top w:val="single" w:sz="8" w:color="auto"/>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E2EEF6"/>
            </w:tcBorders>
            <w:shd w:val="clear" w:color="auto" w:fill="E2EEF6"/>
          </w:tcPr>
          <w:p>
            <w:pPr>
              <w:spacing w:after="0"/>
              <w:rPr>
                <w:sz w:val="22"/>
                <w:szCs w:val="22"/>
                <w:color w:val="auto"/>
              </w:rPr>
            </w:pPr>
          </w:p>
        </w:tc>
        <w:tc>
          <w:tcPr>
            <w:tcW w:w="152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$7,418</w:t>
            </w:r>
          </w:p>
        </w:tc>
      </w:tr>
      <w:tr>
        <w:trPr>
          <w:trHeight w:val="465"/>
        </w:trPr>
        <w:tc>
          <w:tcPr>
            <w:tcW w:w="440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Net income per</w:t>
            </w: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ordinary share (3):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r>
      <w:tr>
        <w:trPr>
          <w:trHeight w:val="269"/>
        </w:trPr>
        <w:tc>
          <w:tcPr>
            <w:tcW w:w="4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0.96</w:t>
            </w:r>
          </w:p>
        </w:tc>
        <w:tc>
          <w:tcPr>
            <w:tcW w:w="15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$0.52</w:t>
            </w:r>
          </w:p>
        </w:tc>
      </w:tr>
      <w:tr>
        <w:trPr>
          <w:trHeight w:val="465"/>
        </w:trPr>
        <w:tc>
          <w:tcPr>
            <w:tcW w:w="440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Weighted average number</w:t>
            </w: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of ordinary shares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11,292,610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11,656,153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11,813,788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13,267,531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13,860,203</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13,970,106</w:t>
            </w:r>
          </w:p>
        </w:tc>
      </w:tr>
      <w:tr>
        <w:trPr>
          <w:trHeight w:val="244"/>
        </w:trPr>
        <w:tc>
          <w:tcPr>
            <w:tcW w:w="4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0"/>
              </w:rPr>
              <w:t>11,943,849</w:t>
            </w:r>
          </w:p>
        </w:tc>
        <w:tc>
          <w:tcPr>
            <w:tcW w:w="12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w w:val="90"/>
              </w:rPr>
              <w:t>12,241,820</w:t>
            </w:r>
          </w:p>
        </w:tc>
        <w:tc>
          <w:tcPr>
            <w:tcW w:w="12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w w:val="90"/>
              </w:rPr>
              <w:t>12,181,094</w:t>
            </w:r>
          </w:p>
        </w:tc>
        <w:tc>
          <w:tcPr>
            <w:tcW w:w="14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right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w w:val="90"/>
              </w:rPr>
              <w:t>13,703,163</w:t>
            </w:r>
          </w:p>
        </w:tc>
        <w:tc>
          <w:tcPr>
            <w:tcW w:w="140" w:type="dxa"/>
            <w:vAlign w:val="bottom"/>
            <w:tcBorders>
              <w:bottom w:val="single" w:sz="8" w:color="E2EEF6"/>
            </w:tcBorders>
            <w:shd w:val="clear" w:color="auto" w:fill="E2EEF6"/>
          </w:tcPr>
          <w:p>
            <w:pPr>
              <w:spacing w:after="0"/>
              <w:rPr>
                <w:sz w:val="21"/>
                <w:szCs w:val="21"/>
                <w:color w:val="auto"/>
              </w:rPr>
            </w:pPr>
          </w:p>
        </w:tc>
        <w:tc>
          <w:tcPr>
            <w:tcW w:w="98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w w:val="93"/>
              </w:rPr>
              <w:t>14,153,445</w:t>
            </w:r>
          </w:p>
        </w:tc>
        <w:tc>
          <w:tcPr>
            <w:tcW w:w="15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14,247,542</w:t>
            </w:r>
          </w:p>
        </w:tc>
      </w:tr>
      <w:tr>
        <w:trPr>
          <w:trHeight w:val="20"/>
        </w:trPr>
        <w:tc>
          <w:tcPr>
            <w:tcW w:w="4400" w:type="dxa"/>
            <w:vAlign w:val="bottom"/>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E2EEF6"/>
            </w:tcBorders>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E2EEF6"/>
            </w:tcBorders>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tbl>
      <w:tblPr>
        <w:tblLayout w:type="fixed"/>
        <w:tblInd w:w="454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400"/>
              <w:spacing w:after="0"/>
              <w:rPr>
                <w:sz w:val="20"/>
                <w:szCs w:val="20"/>
                <w:color w:val="auto"/>
              </w:rPr>
            </w:pPr>
            <w:r>
              <w:rPr>
                <w:rFonts w:ascii="Arial" w:cs="Arial" w:eastAsia="Arial" w:hAnsi="Arial"/>
                <w:sz w:val="18"/>
                <w:szCs w:val="18"/>
                <w:b w:val="1"/>
                <w:bCs w:val="1"/>
                <w:color w:val="auto"/>
              </w:rPr>
              <w:t>As of</w:t>
            </w:r>
          </w:p>
        </w:tc>
      </w:tr>
      <w:tr>
        <w:trPr>
          <w:trHeight w:val="234"/>
        </w:trPr>
        <w:tc>
          <w:tcPr>
            <w:tcW w:w="6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As of May 31,</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ind w:left="400"/>
              <w:spacing w:after="0"/>
              <w:rPr>
                <w:sz w:val="20"/>
                <w:szCs w:val="20"/>
                <w:color w:val="auto"/>
              </w:rPr>
            </w:pPr>
            <w:r>
              <w:rPr>
                <w:rFonts w:ascii="Arial" w:cs="Arial" w:eastAsia="Arial" w:hAnsi="Arial"/>
                <w:sz w:val="18"/>
                <w:szCs w:val="18"/>
                <w:b w:val="1"/>
                <w:bCs w:val="1"/>
                <w:color w:val="auto"/>
                <w:w w:val="89"/>
              </w:rPr>
              <w:t>December31,</w:t>
            </w:r>
          </w:p>
        </w:tc>
      </w:tr>
      <w:tr>
        <w:trPr>
          <w:trHeight w:val="243"/>
        </w:trPr>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2001</w:t>
            </w:r>
          </w:p>
        </w:tc>
        <w:tc>
          <w:tcPr>
            <w:tcW w:w="1400" w:type="dxa"/>
            <w:vAlign w:val="bottom"/>
          </w:tcPr>
          <w:p>
            <w:pPr>
              <w:jc w:val="right"/>
              <w:ind w:right="690"/>
              <w:spacing w:after="0"/>
              <w:rPr>
                <w:sz w:val="20"/>
                <w:szCs w:val="20"/>
                <w:color w:val="auto"/>
              </w:rPr>
            </w:pPr>
            <w:r>
              <w:rPr>
                <w:rFonts w:ascii="Arial" w:cs="Arial" w:eastAsia="Arial" w:hAnsi="Arial"/>
                <w:sz w:val="18"/>
                <w:szCs w:val="18"/>
                <w:b w:val="1"/>
                <w:bCs w:val="1"/>
                <w:color w:val="auto"/>
              </w:rPr>
              <w:t>2002</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2003</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420" w:type="dxa"/>
            <w:vAlign w:val="bottom"/>
          </w:tcPr>
          <w:p>
            <w:pPr>
              <w:ind w:left="400"/>
              <w:spacing w:after="0"/>
              <w:rPr>
                <w:sz w:val="20"/>
                <w:szCs w:val="20"/>
                <w:color w:val="auto"/>
              </w:rPr>
            </w:pPr>
            <w:r>
              <w:rPr>
                <w:rFonts w:ascii="Arial" w:cs="Arial" w:eastAsia="Arial" w:hAnsi="Arial"/>
                <w:sz w:val="18"/>
                <w:szCs w:val="18"/>
                <w:b w:val="1"/>
                <w:bCs w:val="1"/>
                <w:color w:val="auto"/>
              </w:rPr>
              <w:t>2005</w:t>
            </w:r>
          </w:p>
        </w:tc>
      </w:tr>
    </w:tbl>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11,179</w:t>
            </w:r>
          </w:p>
        </w:tc>
        <w:tc>
          <w:tcPr>
            <w:tcW w:w="122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$ 36,291</w:t>
            </w:r>
          </w:p>
        </w:tc>
        <w:tc>
          <w:tcPr>
            <w:tcW w:w="126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$ 18,311</w:t>
            </w:r>
          </w:p>
        </w:tc>
        <w:tc>
          <w:tcPr>
            <w:tcW w:w="128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$ 55,678</w:t>
            </w:r>
          </w:p>
        </w:tc>
        <w:tc>
          <w:tcPr>
            <w:tcW w:w="14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$ 56,341</w:t>
            </w:r>
          </w:p>
        </w:tc>
        <w:tc>
          <w:tcPr>
            <w:tcW w:w="11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$59,509</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24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35,941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18,551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23,085</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22,034</w:t>
            </w:r>
          </w:p>
        </w:tc>
        <w:tc>
          <w:tcPr>
            <w:tcW w:w="1100" w:type="dxa"/>
            <w:vAlign w:val="bottom"/>
          </w:tcPr>
          <w:p>
            <w:pPr>
              <w:jc w:val="right"/>
              <w:spacing w:after="0"/>
              <w:rPr>
                <w:sz w:val="20"/>
                <w:szCs w:val="20"/>
                <w:color w:val="auto"/>
              </w:rPr>
            </w:pPr>
            <w:r>
              <w:rPr>
                <w:rFonts w:ascii="Arial" w:cs="Arial" w:eastAsia="Arial" w:hAnsi="Arial"/>
                <w:sz w:val="18"/>
                <w:szCs w:val="18"/>
                <w:color w:val="auto"/>
              </w:rPr>
              <w:t>22,809</w:t>
            </w:r>
          </w:p>
        </w:tc>
      </w:tr>
      <w:tr>
        <w:trPr>
          <w:trHeight w:val="243"/>
        </w:trPr>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Working capital</w:t>
            </w:r>
          </w:p>
        </w:tc>
        <w:tc>
          <w:tcPr>
            <w:tcW w:w="1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61,147</w:t>
            </w:r>
          </w:p>
        </w:tc>
        <w:tc>
          <w:tcPr>
            <w:tcW w:w="122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72,923</w:t>
            </w:r>
          </w:p>
        </w:tc>
        <w:tc>
          <w:tcPr>
            <w:tcW w:w="126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53,827</w:t>
            </w:r>
          </w:p>
        </w:tc>
        <w:tc>
          <w:tcPr>
            <w:tcW w:w="128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113,813</w:t>
            </w:r>
          </w:p>
        </w:tc>
        <w:tc>
          <w:tcPr>
            <w:tcW w:w="14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125,288</w:t>
            </w:r>
          </w:p>
        </w:tc>
        <w:tc>
          <w:tcPr>
            <w:tcW w:w="11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132,312</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128,967</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165,794</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235,014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335,323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347,553</w:t>
            </w:r>
          </w:p>
        </w:tc>
        <w:tc>
          <w:tcPr>
            <w:tcW w:w="1100" w:type="dxa"/>
            <w:vAlign w:val="bottom"/>
          </w:tcPr>
          <w:p>
            <w:pPr>
              <w:jc w:val="right"/>
              <w:spacing w:after="0"/>
              <w:rPr>
                <w:sz w:val="20"/>
                <w:szCs w:val="20"/>
                <w:color w:val="auto"/>
              </w:rPr>
            </w:pPr>
            <w:r>
              <w:rPr>
                <w:rFonts w:ascii="Arial" w:cs="Arial" w:eastAsia="Arial" w:hAnsi="Arial"/>
                <w:sz w:val="18"/>
                <w:szCs w:val="18"/>
                <w:color w:val="auto"/>
              </w:rPr>
              <w:t>349,067</w:t>
            </w:r>
          </w:p>
        </w:tc>
      </w:tr>
      <w:tr>
        <w:trPr>
          <w:trHeight w:val="243"/>
        </w:trPr>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Total debt</w:t>
            </w:r>
          </w:p>
        </w:tc>
        <w:tc>
          <w:tcPr>
            <w:tcW w:w="1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11,518</w:t>
            </w:r>
          </w:p>
        </w:tc>
        <w:tc>
          <w:tcPr>
            <w:tcW w:w="122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11,745</w:t>
            </w:r>
          </w:p>
        </w:tc>
        <w:tc>
          <w:tcPr>
            <w:tcW w:w="126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7,126</w:t>
            </w:r>
          </w:p>
        </w:tc>
        <w:tc>
          <w:tcPr>
            <w:tcW w:w="128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4,856</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Government grants</w:t>
            </w:r>
          </w:p>
        </w:tc>
        <w:tc>
          <w:tcPr>
            <w:tcW w:w="124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476</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962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1,140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1,411</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1,257</w:t>
            </w:r>
          </w:p>
        </w:tc>
        <w:tc>
          <w:tcPr>
            <w:tcW w:w="11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43"/>
        </w:trPr>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86,580</w:t>
            </w:r>
          </w:p>
        </w:tc>
        <w:tc>
          <w:tcPr>
            <w:tcW w:w="122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$107,561</w:t>
            </w:r>
          </w:p>
        </w:tc>
        <w:tc>
          <w:tcPr>
            <w:tcW w:w="126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$136,910</w:t>
            </w:r>
          </w:p>
        </w:tc>
        <w:tc>
          <w:tcPr>
            <w:tcW w:w="128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$216,760</w:t>
            </w:r>
          </w:p>
        </w:tc>
        <w:tc>
          <w:tcPr>
            <w:tcW w:w="14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$233,066</w:t>
            </w:r>
          </w:p>
        </w:tc>
        <w:tc>
          <w:tcPr>
            <w:tcW w:w="11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$241,558</w:t>
            </w:r>
          </w:p>
        </w:tc>
      </w:tr>
    </w:tbl>
    <w:p>
      <w:pPr>
        <w:spacing w:after="0" w:line="200" w:lineRule="exact"/>
        <w:rPr>
          <w:sz w:val="20"/>
          <w:szCs w:val="20"/>
          <w:color w:val="auto"/>
        </w:rPr>
      </w:pPr>
    </w:p>
    <w:p>
      <w:pPr>
        <w:spacing w:after="0" w:line="366" w:lineRule="exact"/>
        <w:rPr>
          <w:sz w:val="20"/>
          <w:szCs w:val="20"/>
          <w:color w:val="auto"/>
        </w:rPr>
      </w:pPr>
    </w:p>
    <w:p>
      <w:pPr>
        <w:ind w:left="820" w:right="100" w:hanging="326"/>
        <w:spacing w:after="0" w:line="293"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Subcontractor costs comprise investigator payments and certain other costs reimbursed by clients under terms specific to each of ICON's contracts. See Note 2 (d) to the Audited Consolidated Financial Statements.</w:t>
      </w:r>
    </w:p>
    <w:p>
      <w:pPr>
        <w:spacing w:after="0" w:line="250" w:lineRule="exact"/>
        <w:rPr>
          <w:rFonts w:ascii="Arial" w:cs="Arial" w:eastAsia="Arial" w:hAnsi="Arial"/>
          <w:sz w:val="18"/>
          <w:szCs w:val="18"/>
          <w:color w:val="auto"/>
        </w:rPr>
      </w:pPr>
    </w:p>
    <w:p>
      <w:pPr>
        <w:ind w:left="820" w:right="80" w:hanging="326"/>
        <w:spacing w:after="0" w:line="293"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$6.2 million stock compensation expensed during the period ended December 31, 2005 including an expense of $6.0 million recorded in relation to the transfer of 144,000 shares from the founders of the company to the Chief Executive Officer.</w:t>
      </w:r>
    </w:p>
    <w:p>
      <w:pPr>
        <w:spacing w:after="0" w:line="251" w:lineRule="exact"/>
        <w:rPr>
          <w:sz w:val="20"/>
          <w:szCs w:val="20"/>
          <w:color w:val="auto"/>
        </w:rPr>
      </w:pPr>
    </w:p>
    <w:p>
      <w:pPr>
        <w:ind w:left="820" w:right="400" w:hanging="323"/>
        <w:spacing w:after="0" w:line="293" w:lineRule="auto"/>
        <w:rPr>
          <w:sz w:val="20"/>
          <w:szCs w:val="20"/>
          <w:color w:val="auto"/>
        </w:rPr>
      </w:pPr>
      <w:r>
        <w:rPr>
          <w:rFonts w:ascii="Arial" w:cs="Arial" w:eastAsia="Arial" w:hAnsi="Arial"/>
          <w:sz w:val="18"/>
          <w:szCs w:val="18"/>
          <w:color w:val="auto"/>
        </w:rPr>
        <w:t>(3 ) Net income per ordinary share is based on the weighted average number of outstanding ordinary shares. Diluted net income per share includes potential ordinary shares from the exercise of options.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3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clients. During the 7 month transition period ended December 31, 2005, 39% of our net revenue was derived from our top five clients. In the 7 month transition period no client contributed more then 10% of net revenues. During the fiscal year ended May 31, 2005, 43% of our net revenue was derived from our top five clients. In the fiscal year ended May 31, 2005, 12% of our net revenue was from Astra Zeneca plc. No other client contributed more then 10% of net revenues. During the fiscal year ended May 31, 2004, 40% of our net revenue was derived from our top five clients. In the fiscal year ended May 31, 2004, 17% of our net revenue was from Astra Zeneca plc, no other client contributed more then 10% of net revenues. During the fiscal year ended May 31, 2003, 51% of our net revenue was derived from our top five clients. In fiscal 2003, 21% of our net revenue was from Astra Zeneca plc, 11% from Sanofi-Synthelabo Inc. and 10% from Pfizer,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2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276" w:lineRule="exact"/>
        <w:rPr>
          <w:sz w:val="20"/>
          <w:szCs w:val="20"/>
          <w:color w:val="auto"/>
        </w:rPr>
      </w:pPr>
    </w:p>
    <w:p>
      <w:pPr>
        <w:ind w:left="880" w:hanging="3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project performance, insufficient patient enrollment or investigator recruitment; or</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2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and may continue to experience losses in the future.</w:t>
      </w:r>
    </w:p>
    <w:p>
      <w:pPr>
        <w:spacing w:after="0" w:line="2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central laboratory has experienced a period of underperformance over the past number of years. To return this business segment to profitability, we require continued strong levels of new business awards and economies of scale in the usage of both resources and lab inputs. If we do not achieve continued momentum in winning new business and if these economies are not attained, then our central laboratory may continue to make losses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Approximately 85% of our net revenue is earned from long-term fixed-fee contracts. We would lose money in performing these contracts if the costs of performance exceed the fixed fees for these projects.</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Approximately 85% of our net revenue is earned from long-term fixed-fee contracts. We have in the past and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7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2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241" w:lineRule="exact"/>
        <w:rPr>
          <w:sz w:val="20"/>
          <w:szCs w:val="20"/>
          <w:color w:val="auto"/>
        </w:rPr>
      </w:pPr>
    </w:p>
    <w:p>
      <w:pPr>
        <w:ind w:left="880" w:hanging="38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333" w:lineRule="exact"/>
        <w:rPr>
          <w:rFonts w:ascii="Arial" w:cs="Arial" w:eastAsia="Arial" w:hAnsi="Arial"/>
          <w:sz w:val="18"/>
          <w:szCs w:val="18"/>
          <w:color w:val="auto"/>
        </w:rPr>
      </w:pPr>
    </w:p>
    <w:p>
      <w:pPr>
        <w:ind w:left="880" w:hanging="38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derived approximately 41.4% of our consolidated net revenue in the transition period ending December 31,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instance, in the past the U.S. Congress has entertained several comprehensive healthcare reform proposals. The proposals were generally intended to expand healthcare coverage for the uninsured and reduce the growth of total healthcare expenditures. While the U.S. Congress has not yet adopted any comprehensive reform proposals, members of Congress may raise similar proposals in the future. We are unable to predict the likelihood that healthcare reform proposals will be enacted into law.</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235" w:lineRule="exact"/>
        <w:rPr>
          <w:sz w:val="20"/>
          <w:szCs w:val="20"/>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2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Rest of World. For the seven month transition period ended December 31, 2005, we derived approximately 58.6%, 33.7% and 7.7% of our net revenue in the United States, Europe and Rest of World,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Dublin, Ireland, we began operations in 1990 and have expanded our business through internal growth and strategic acquisitions.</w:t>
      </w: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1, 2004 we acquired 70% of the outstanding share capital of Beacon Bioscience, Inc., a leading specialist CRO, which provides a range of medical imaging services to the pharmaceutical, biotechnology and medical device industries.</w:t>
      </w:r>
    </w:p>
    <w:p>
      <w:pPr>
        <w:spacing w:after="0" w:line="2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December 1, 2004, we acquired the workforce of Biomines Research Solutions Private Limited, based in Chennai, India. The workforce is engaged in the business of clinical trial data management and statistical analysis services and has been transferred to our existing Indian operation.</w:t>
      </w: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transition period ended December 31, 2005, we commenced operations in Milan, Italy; Bangkok, Thailand; Santiago, Chile; and Seoul, South Korea.</w:t>
      </w:r>
    </w:p>
    <w:p>
      <w:pPr>
        <w:spacing w:after="0" w:line="2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are making this change in order to align our fiscal year end with the majority of other contract research organizations. Going forward, our fiscal quarters will end on the last day of March, June, September and December of each year.</w:t>
      </w:r>
    </w:p>
    <w:p>
      <w:pPr>
        <w:spacing w:after="0" w:line="2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ICON plc’s principal executive office is located at: South County Business Park, Leopardstown, Dublin 18, Republic of Ireland. The contact telephone number of this office is 353 (1) 291 2000.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0" w:name="page11"/>
    <w:bookmarkEnd w:id="10"/>
    <w:p>
      <w:pPr>
        <w:ind w:right="20"/>
        <w:spacing w:after="0" w:line="312" w:lineRule="auto"/>
        <w:rPr>
          <w:sz w:val="20"/>
          <w:szCs w:val="20"/>
          <w:color w:val="auto"/>
        </w:rPr>
      </w:pPr>
      <w:r>
        <w:rPr>
          <w:rFonts w:ascii="Arial" w:cs="Arial" w:eastAsia="Arial" w:hAnsi="Arial"/>
          <w:sz w:val="16"/>
          <w:szCs w:val="16"/>
          <w:color w:val="auto"/>
        </w:rPr>
        <w:t>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the CRO Industry</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2004 was approximately $12 billion. We believe that the following trends create further growth opportunities for global CROs, although there is no assurance that growth will materialize.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Drug Development Activity.</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Post-Marketing Studies.</w:t>
      </w:r>
    </w:p>
    <w:p>
      <w:pPr>
        <w:spacing w:after="0" w:line="2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 w:name="page12"/>
    <w:bookmarkEnd w:id="11"/>
    <w:p>
      <w:pPr>
        <w:ind w:right="440"/>
        <w:spacing w:after="0" w:line="264"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Operating Procedures</w:t>
      </w:r>
    </w:p>
    <w:p>
      <w:pPr>
        <w:spacing w:after="0" w:line="2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developed a unique operating model for clinical trial projects based on a "dedicated team approach" in which a team of full time professionals, operating out of centralized offices, is assigned exclusively to each project. This contrasts with the approach of many competitors whose staff typically work on multiple projects at once, sometimes operating from non-office bases in remote locations and some of whom may be part-time. We believe that our operating model offers the following advantages:</w:t>
      </w:r>
    </w:p>
    <w:p>
      <w:pPr>
        <w:sectPr>
          <w:pgSz w:w="11900" w:h="16838" w:orient="portrait"/>
          <w:cols w:equalWidth="0" w:num="1">
            <w:col w:w="11420"/>
          </w:cols>
          <w:pgMar w:left="240" w:top="665" w:right="239" w:bottom="1440" w:gutter="0" w:footer="0" w:header="0"/>
        </w:sect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each client's project receives undivided attention and is executed efficiently as team members do not have conflicting demands;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absence of conflicting demands on the project team also ensures a high quality service;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dedicated team approach allows us to develop strong relationships with our clients and to be more responsive to our clients'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focused project teams facilitate efficient supervision of the project, enhance productivity and improve cost control;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less administration is required to co-ordinate assignments, leading to a more streamlined corporate management structure.</w:t>
      </w:r>
    </w:p>
    <w:p>
      <w:pPr>
        <w:spacing w:after="0" w:line="200" w:lineRule="exact"/>
        <w:rPr>
          <w:sz w:val="20"/>
          <w:szCs w:val="20"/>
          <w:color w:val="auto"/>
        </w:rPr>
      </w:pPr>
    </w:p>
    <w:p>
      <w:pPr>
        <w:sectPr>
          <w:pgSz w:w="11900" w:h="16838" w:orient="portrait"/>
          <w:cols w:equalWidth="0" w:num="2">
            <w:col w:w="1240" w:space="720"/>
            <w:col w:w="9460"/>
          </w:cols>
          <w:pgMar w:left="240" w:top="665" w:right="2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dedicated team approach has led to repeat business and an expanding client base.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Continue to Deliver High Quality Services and Customer Satisfaction. </w:t>
      </w:r>
      <w:r>
        <w:rPr>
          <w:rFonts w:ascii="Arial" w:cs="Arial" w:eastAsia="Arial" w:hAnsi="Arial"/>
          <w:sz w:val="17"/>
          <w:szCs w:val="17"/>
          <w:color w:val="auto"/>
        </w:rPr>
        <w:t>We believe that our dedicated team approach allows us to provide high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transition period ended December 31, 2005, approximately 98% of our net revenue was derived from second or subsequent projects with clients.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Expand Geographic Presence. </w:t>
      </w:r>
      <w:r>
        <w:rPr>
          <w:rFonts w:ascii="Arial" w:cs="Arial" w:eastAsia="Arial" w:hAnsi="Arial"/>
          <w:sz w:val="18"/>
          <w:szCs w:val="18"/>
          <w:color w:val="auto"/>
        </w:rPr>
        <w:t>We believe that the capability to provide our services on a global basis in most major and developing pharmaceutical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enhances our ability to compete for new business from large multinational pharmaceutical, biotechnology and medical device companies. We have expanded geographically through the establishment of 41 offices in 27 countries and intend to continue expanding into regions that have the potential to increase our client base or increase our investigator and patient populations.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Increase Scale and Range of Services. </w:t>
      </w:r>
      <w:r>
        <w:rPr>
          <w:rFonts w:ascii="Arial" w:cs="Arial" w:eastAsia="Arial" w:hAnsi="Arial"/>
          <w:sz w:val="18"/>
          <w:szCs w:val="18"/>
          <w:color w:val="auto"/>
        </w:rPr>
        <w:t>We seek to enhance our competitive position by increasing the scale and range of our services. We intend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clinical trials, central laboratory, digital imaging, IVRS (interactive voice recognition system), data management, statistical and consulting operations in order to capitalize further on the outsourcing opportunities currently available from our clients.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Services</w:t>
      </w: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Consistent high quality performance is what we have come to stand for with our clients, and a large part of our continued success is due to the high quality standards we have set and delivered on projects to date. The achievement of these quality goals is made possible by the implementation and maintenance of an effective quality management system, which not only ensures that our business and quality objectives are achieved, but which is sufficiently dynamic to rapidly respond to changes in the clinical research and regulatory environments.</w:t>
      </w:r>
    </w:p>
    <w:p>
      <w:pPr>
        <w:spacing w:after="0" w:line="200" w:lineRule="exact"/>
        <w:rPr>
          <w:sz w:val="20"/>
          <w:szCs w:val="20"/>
          <w:color w:val="auto"/>
        </w:rPr>
      </w:pP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an integrated quality management system, which is designed to serve the business needs while complying with Good Clinical Practice (“GCP”) guidelines, and which is structured according to the requirements of ISO 9001 international standards. The quality management documentation includes over 700 standard operating procedures (“SOPs”), working procedures and policies that are implemented on a global basis. In addition, our independent quality assurance division has the responsibility for assuring that processes conform to pre-determined quality, ethical and regulatory standards.</w:t>
      </w:r>
    </w:p>
    <w:p>
      <w:pPr>
        <w:spacing w:after="0" w:line="200" w:lineRule="exact"/>
        <w:rPr>
          <w:sz w:val="20"/>
          <w:szCs w:val="20"/>
          <w:color w:val="auto"/>
        </w:rPr>
      </w:pPr>
    </w:p>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One of the driving forces behind our quality performance is management commitment to the ISO 9000 quality standards. Since 1994 when we were first registered to ISO 9002, we have continued to undergo several quality systems surveillance audits each year, in order to maintain global registration. In 2003, we attained registration to the new ISO 9001:2000 standard, which includes all of our offices and departments.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This global registration is unique in the industry and demonstrates our commitment to providing exceptional clinical research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661" w:right="559" w:bottom="144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The range of clinical research services we provide facilitates the collection, analysis and reporting of clinical trials data, which will ultimately become part of a client's drug registration submission. The range of services is outlined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Clinical Pharmacology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critical step in the clinical development process is the confirmation of safety and efficiency in new drug candidates. This is achieved through the execution of Clinical Pharmacology or Phase I studies. These studies are undertaken to determine the metabolic and pharmacological effects of drug candidates in healthy volunteers.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Bioanalysis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Supporting the clinical development process, bioanalysis is carried to source the data required for pharmacokinetic and pharmacodynamic analysis.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Bioanalysis quantifies the drug and its major metabolites in samples collected from cell culture media, plasma, serum, and urine.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Pharmacokinetic and Pharmacodynamic analysis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Pharmacokinetic analysis is carried out to measure the effects of absorption, distribution and elimination of a drug and its metabolites. Pharmacodynamic analysis assesses the effects of new drug candidates on the physiology of the body.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Study Protocol Preparation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study protocol is the critical document provided to the investigator which defines the study and details the procedures which must be followed for the proper conduct of the trial. We have extensive experience in preparing study protocols in a broad range of therapeutic areas.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Case Report Form ("CRF") Preparation</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CRF is a study specific document in which the investigator records all relevant information on a trial patient in accordance with the requirements of the protocol. We have the capability of producing CRFs for a wide variety of therapeutic indications and in all required languages.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Approvals</w:t>
      </w:r>
    </w:p>
    <w:p>
      <w:pPr>
        <w:spacing w:after="0" w:line="2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Prior to start-up, all clinical trials must be approved by the relevant government agencies, by institutional review boards and ethics committees and by certain other bodies in accordance with local requirements. We have extensive experience in obtaining such approvals on a multinational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Investigator Recruitment</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success of a clinical trial is dependent upon finding experienced investigators who are capable of performing clinical trials in accordance with the highest ethical and scientific standards. We have a database of several thousand such investigators who are experienced in numerous therapeutic areas and who have successfully completed many clinical trials for us.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Study Monitoring and Data Collection</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patients in a clinical trial are examined and tests are conducted in accordance with the study protocol, patient data is recorded on CRFs and laboratory reports. In order to ensure accurate results, we provide:</w:t>
      </w:r>
    </w:p>
    <w:p>
      <w:pPr>
        <w:spacing w:after="0" w:line="224" w:lineRule="exact"/>
        <w:rPr>
          <w:sz w:val="20"/>
          <w:szCs w:val="20"/>
          <w:color w:val="auto"/>
        </w:rPr>
      </w:pPr>
    </w:p>
    <w:p>
      <w:pPr>
        <w:ind w:left="660" w:hanging="652"/>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Specially trained monitors who visit sites regularly to ensure that the CRFs are completed correctly and that all data specified in the protocol are collected;</w:t>
      </w:r>
    </w:p>
    <w:p>
      <w:pPr>
        <w:spacing w:after="0" w:line="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who review CRFs for consistency and accuracy before the data is entered into an electronic database; and</w:t>
      </w:r>
    </w:p>
    <w:p>
      <w:pPr>
        <w:spacing w:after="0" w:line="9" w:lineRule="exact"/>
        <w:rPr>
          <w:sz w:val="20"/>
          <w:szCs w:val="20"/>
          <w:color w:val="auto"/>
        </w:rPr>
      </w:pPr>
    </w:p>
    <w:p>
      <w:pPr>
        <w:ind w:left="660" w:hanging="652"/>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monitoring and data collection services which comply with the FDA's good clinical practice guide lines and other relevant regulatory requirements.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Patient Safety Monitoring</w:t>
      </w:r>
    </w:p>
    <w:p>
      <w:pPr>
        <w:spacing w:after="0" w:line="2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 clinical trial, patient safety is paramount. We have teams of trained physicians and paramedical staff who review any serious adverse events which may occur during a trial and prepare detailed reports of these events on a timely basis for the pharmaceutical company and regulatory bodies as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Clinical Data Management</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the study progresses, the data from the CRFs is entered into databases that are designed in accordance with the specifications of the project and the particular needs of the client. We provide:</w:t>
      </w:r>
    </w:p>
    <w:p>
      <w:pPr>
        <w:spacing w:after="0" w:line="22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 who screen the data to detect errors, omissions or other deficiencies prior to data entry;</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Study specific computer programs which are written in order to validate the data;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creation of a final database that is electronically transferred to a biostatistical group for subsequent analysis.</w:t>
      </w:r>
    </w:p>
    <w:p>
      <w:pPr>
        <w:sectPr>
          <w:pgSz w:w="11900" w:h="16838" w:orient="portrait"/>
          <w:cols w:equalWidth="0" w:num="1">
            <w:col w:w="11420"/>
          </w:cols>
          <w:pgMar w:left="240" w:top="395" w:right="239" w:bottom="443"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443"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Biostatistical Services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biostatistical group primarily provides detailed analyses of data generated from clinical trials. In addition to providing this in-house statistical support, our biostatisticians assist clients with all phases of drug development through biostatistical consulting, database design, data analysis and statistical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Medical Reporting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the statistical analysis of the data collected during the trial, together with other clinical data are included in a final clinical trial report, which may then become part of the drug registration submission. Our medical reporting team prepare this report and may assist in the presentation of the data in different formats, including for journal publication or for presentation to international symposia.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Central Laboratory Services</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Our central laboratory operation provides:</w:t>
      </w:r>
    </w:p>
    <w:p>
      <w:pPr>
        <w:spacing w:after="0" w:line="235"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broad range of sample analyses;</w:t>
      </w:r>
    </w:p>
    <w:p>
      <w:pPr>
        <w:spacing w:after="0" w:line="23"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efficient logistics system to ensure rapid receipt of samples from the investigator;</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of the art analytical technology; and</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Electronic transmission of test results to the investigator.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IVR (Interactive Voice Response)</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IVR systems use the global telecommunication networks to transfer data to a single, centrally located database. IVR systems are used in clinical studies primarily for study site administration, enrolling and randomizing patients, management of clinical supplies and collection of patient 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Animal Health</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Animal Health division of ICON has broad capabilities in clinical research for the development of drugs, vaccines, and devices for the global animal health industry. The combination of expertise and geographical reach puts us in the top tier of animal CROs globally. This group has been dedicated to animal health clinical research for over 10 years and has experience in all target species and all major pharmacological classes. Capabilities include: complete clinical project management; contract monitoring; data management; statistical analysis; quality assurance services; final study reports; development consulting; and post-marketing survey management.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Regulatory Consultancy</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Medicinal products are subject to strict regulatory requirements throughout their development, testing and marketing. Authorization by drug regulatory authorities is necessary prior to any product being marketed. The regulatory processes and requirements are lengthy and complex. Our regulatory consultancy division provides consultancy on global regulatory requirements during development, advises on suitability of client’s documentation for regulatory approvals, prepares and submits applications for regulatory approvals and provides post licensing regulatory support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Strategic Drug Development Services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Strategic Development division of ICON has broad expertise and can offer a full range of global services including regulatory affairs, CMC strategy and management, product development strategy, project management though all phases of clinical development, product life cycle management, quality, compliance, pharmacokinetics, biopharmaceutics, biostatistics, clinical research, preclinical research, data management, programming and biostatistics.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Digital Imaging</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Beacon Biosciences, Inc., the digital imaging operation of ICON, has a strong technology platform, focused on the centralized management, processing and reading of digitized medical images generated in clinical trials, including X-ray, MRI, CT, PET, Nuclear Medicine and Ultrasound.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7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86"/>
        </w:trPr>
        <w:tc>
          <w:tcPr>
            <w:tcW w:w="51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Name</w:t>
            </w:r>
          </w:p>
        </w:tc>
        <w:tc>
          <w:tcPr>
            <w:tcW w:w="3780" w:type="dxa"/>
            <w:vAlign w:val="bottom"/>
          </w:tcPr>
          <w:p>
            <w:pPr>
              <w:ind w:left="1420"/>
              <w:spacing w:after="0"/>
              <w:rPr>
                <w:sz w:val="20"/>
                <w:szCs w:val="20"/>
                <w:color w:val="auto"/>
              </w:rPr>
            </w:pPr>
            <w:r>
              <w:rPr>
                <w:rFonts w:ascii="Arial" w:cs="Arial" w:eastAsia="Arial" w:hAnsi="Arial"/>
                <w:sz w:val="18"/>
                <w:szCs w:val="18"/>
                <w:b w:val="1"/>
                <w:bCs w:val="1"/>
                <w:i w:val="1"/>
                <w:iCs w:val="1"/>
                <w:color w:val="auto"/>
              </w:rPr>
              <w:t>Country of incorporation</w:t>
            </w:r>
          </w:p>
        </w:tc>
        <w:tc>
          <w:tcPr>
            <w:tcW w:w="1780" w:type="dxa"/>
            <w:vAlign w:val="bottom"/>
          </w:tcPr>
          <w:p>
            <w:pPr>
              <w:ind w:left="480"/>
              <w:spacing w:after="0"/>
              <w:rPr>
                <w:sz w:val="20"/>
                <w:szCs w:val="20"/>
                <w:color w:val="auto"/>
              </w:rPr>
            </w:pPr>
            <w:r>
              <w:rPr>
                <w:rFonts w:ascii="Arial" w:cs="Arial" w:eastAsia="Arial" w:hAnsi="Arial"/>
                <w:sz w:val="18"/>
                <w:szCs w:val="18"/>
                <w:b w:val="1"/>
                <w:bCs w:val="1"/>
                <w:i w:val="1"/>
                <w:iCs w:val="1"/>
                <w:color w:val="auto"/>
                <w:w w:val="85"/>
              </w:rPr>
              <w:t>Group ownership</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(UK)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United Kingdom</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Inc.</w:t>
            </w:r>
          </w:p>
        </w:tc>
        <w:tc>
          <w:tcPr>
            <w:tcW w:w="3780" w:type="dxa"/>
            <w:vAlign w:val="bottom"/>
          </w:tcPr>
          <w:p>
            <w:pPr>
              <w:ind w:left="1420"/>
              <w:spacing w:after="0"/>
              <w:rPr>
                <w:sz w:val="20"/>
                <w:szCs w:val="20"/>
                <w:color w:val="auto"/>
              </w:rPr>
            </w:pPr>
            <w:r>
              <w:rPr>
                <w:rFonts w:ascii="Arial" w:cs="Arial" w:eastAsia="Arial" w:hAnsi="Arial"/>
                <w:sz w:val="18"/>
                <w:szCs w:val="18"/>
                <w:color w:val="auto"/>
              </w:rPr>
              <w:t>USA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Republic of Ireland</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Japan K.K.</w:t>
            </w:r>
          </w:p>
        </w:tc>
        <w:tc>
          <w:tcPr>
            <w:tcW w:w="3780" w:type="dxa"/>
            <w:vAlign w:val="bottom"/>
          </w:tcPr>
          <w:p>
            <w:pPr>
              <w:ind w:left="1420"/>
              <w:spacing w:after="0"/>
              <w:rPr>
                <w:sz w:val="20"/>
                <w:szCs w:val="20"/>
                <w:color w:val="auto"/>
              </w:rPr>
            </w:pPr>
            <w:r>
              <w:rPr>
                <w:rFonts w:ascii="Arial" w:cs="Arial" w:eastAsia="Arial" w:hAnsi="Arial"/>
                <w:sz w:val="18"/>
                <w:szCs w:val="18"/>
                <w:color w:val="auto"/>
              </w:rPr>
              <w:t>Japan</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GmbH</w:t>
            </w:r>
          </w:p>
        </w:tc>
        <w:tc>
          <w:tcPr>
            <w:tcW w:w="3780" w:type="dxa"/>
            <w:vAlign w:val="bottom"/>
          </w:tcPr>
          <w:p>
            <w:pPr>
              <w:ind w:left="1420"/>
              <w:spacing w:after="0"/>
              <w:rPr>
                <w:sz w:val="20"/>
                <w:szCs w:val="20"/>
                <w:color w:val="auto"/>
              </w:rPr>
            </w:pPr>
            <w:r>
              <w:rPr>
                <w:rFonts w:ascii="Arial" w:cs="Arial" w:eastAsia="Arial" w:hAnsi="Arial"/>
                <w:sz w:val="18"/>
                <w:szCs w:val="18"/>
                <w:color w:val="auto"/>
              </w:rPr>
              <w:t>Germany</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Pty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Australia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S.A.</w:t>
            </w:r>
          </w:p>
        </w:tc>
        <w:tc>
          <w:tcPr>
            <w:tcW w:w="3780" w:type="dxa"/>
            <w:vAlign w:val="bottom"/>
          </w:tcPr>
          <w:p>
            <w:pPr>
              <w:ind w:left="1420"/>
              <w:spacing w:after="0"/>
              <w:rPr>
                <w:sz w:val="20"/>
                <w:szCs w:val="20"/>
                <w:color w:val="auto"/>
              </w:rPr>
            </w:pPr>
            <w:r>
              <w:rPr>
                <w:rFonts w:ascii="Arial" w:cs="Arial" w:eastAsia="Arial" w:hAnsi="Arial"/>
                <w:sz w:val="18"/>
                <w:szCs w:val="18"/>
                <w:color w:val="auto"/>
              </w:rPr>
              <w:t>Argentina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SARL</w:t>
            </w:r>
          </w:p>
        </w:tc>
        <w:tc>
          <w:tcPr>
            <w:tcW w:w="3780" w:type="dxa"/>
            <w:vAlign w:val="bottom"/>
          </w:tcPr>
          <w:p>
            <w:pPr>
              <w:ind w:left="1420"/>
              <w:spacing w:after="0"/>
              <w:rPr>
                <w:sz w:val="20"/>
                <w:szCs w:val="20"/>
                <w:color w:val="auto"/>
              </w:rPr>
            </w:pPr>
            <w:r>
              <w:rPr>
                <w:rFonts w:ascii="Arial" w:cs="Arial" w:eastAsia="Arial" w:hAnsi="Arial"/>
                <w:sz w:val="18"/>
                <w:szCs w:val="18"/>
                <w:color w:val="auto"/>
              </w:rPr>
              <w:t>France</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Pte.</w:t>
            </w:r>
          </w:p>
        </w:tc>
        <w:tc>
          <w:tcPr>
            <w:tcW w:w="3780" w:type="dxa"/>
            <w:vAlign w:val="bottom"/>
          </w:tcPr>
          <w:p>
            <w:pPr>
              <w:ind w:left="1420"/>
              <w:spacing w:after="0"/>
              <w:rPr>
                <w:sz w:val="20"/>
                <w:szCs w:val="20"/>
                <w:color w:val="auto"/>
              </w:rPr>
            </w:pPr>
            <w:r>
              <w:rPr>
                <w:rFonts w:ascii="Arial" w:cs="Arial" w:eastAsia="Arial" w:hAnsi="Arial"/>
                <w:sz w:val="18"/>
                <w:szCs w:val="18"/>
                <w:color w:val="auto"/>
              </w:rPr>
              <w:t>Singapore</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Israel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Israel</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Medeval Group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UK</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Laboratories, Inc.</w:t>
            </w:r>
          </w:p>
        </w:tc>
        <w:tc>
          <w:tcPr>
            <w:tcW w:w="3780" w:type="dxa"/>
            <w:vAlign w:val="bottom"/>
          </w:tcPr>
          <w:p>
            <w:pPr>
              <w:ind w:left="1420"/>
              <w:spacing w:after="0"/>
              <w:rPr>
                <w:sz w:val="20"/>
                <w:szCs w:val="20"/>
                <w:color w:val="auto"/>
              </w:rPr>
            </w:pPr>
            <w:r>
              <w:rPr>
                <w:rFonts w:ascii="Arial" w:cs="Arial" w:eastAsia="Arial" w:hAnsi="Arial"/>
                <w:sz w:val="18"/>
                <w:szCs w:val="18"/>
                <w:color w:val="auto"/>
              </w:rPr>
              <w:t>USA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Managed Clinical Solutions, Inc.</w:t>
            </w:r>
          </w:p>
        </w:tc>
        <w:tc>
          <w:tcPr>
            <w:tcW w:w="3780" w:type="dxa"/>
            <w:vAlign w:val="bottom"/>
          </w:tcPr>
          <w:p>
            <w:pPr>
              <w:ind w:left="1420"/>
              <w:spacing w:after="0"/>
              <w:rPr>
                <w:sz w:val="20"/>
                <w:szCs w:val="20"/>
                <w:color w:val="auto"/>
              </w:rPr>
            </w:pPr>
            <w:r>
              <w:rPr>
                <w:rFonts w:ascii="Arial" w:cs="Arial" w:eastAsia="Arial" w:hAnsi="Arial"/>
                <w:sz w:val="18"/>
                <w:szCs w:val="18"/>
                <w:color w:val="auto"/>
              </w:rPr>
              <w:t>USA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(Canada) Inc.</w:t>
            </w:r>
          </w:p>
        </w:tc>
        <w:tc>
          <w:tcPr>
            <w:tcW w:w="3780" w:type="dxa"/>
            <w:vAlign w:val="bottom"/>
          </w:tcPr>
          <w:p>
            <w:pPr>
              <w:ind w:left="1420"/>
              <w:spacing w:after="0"/>
              <w:rPr>
                <w:sz w:val="20"/>
                <w:szCs w:val="20"/>
                <w:color w:val="auto"/>
              </w:rPr>
            </w:pPr>
            <w:r>
              <w:rPr>
                <w:rFonts w:ascii="Arial" w:cs="Arial" w:eastAsia="Arial" w:hAnsi="Arial"/>
                <w:sz w:val="18"/>
                <w:szCs w:val="18"/>
                <w:color w:val="auto"/>
              </w:rPr>
              <w:t>Canada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Globomax LLC</w:t>
            </w:r>
          </w:p>
        </w:tc>
        <w:tc>
          <w:tcPr>
            <w:tcW w:w="3780" w:type="dxa"/>
            <w:vAlign w:val="bottom"/>
          </w:tcPr>
          <w:p>
            <w:pPr>
              <w:ind w:left="1420"/>
              <w:spacing w:after="0"/>
              <w:rPr>
                <w:sz w:val="20"/>
                <w:szCs w:val="20"/>
                <w:color w:val="auto"/>
              </w:rPr>
            </w:pPr>
            <w:r>
              <w:rPr>
                <w:rFonts w:ascii="Arial" w:cs="Arial" w:eastAsia="Arial" w:hAnsi="Arial"/>
                <w:sz w:val="18"/>
                <w:szCs w:val="18"/>
                <w:color w:val="auto"/>
              </w:rPr>
              <w:t>USA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Espana S.L.</w:t>
            </w:r>
          </w:p>
        </w:tc>
        <w:tc>
          <w:tcPr>
            <w:tcW w:w="3780" w:type="dxa"/>
            <w:vAlign w:val="bottom"/>
          </w:tcPr>
          <w:p>
            <w:pPr>
              <w:ind w:left="1420"/>
              <w:spacing w:after="0"/>
              <w:rPr>
                <w:sz w:val="20"/>
                <w:szCs w:val="20"/>
                <w:color w:val="auto"/>
              </w:rPr>
            </w:pPr>
            <w:r>
              <w:rPr>
                <w:rFonts w:ascii="Arial" w:cs="Arial" w:eastAsia="Arial" w:hAnsi="Arial"/>
                <w:sz w:val="18"/>
                <w:szCs w:val="18"/>
                <w:color w:val="auto"/>
              </w:rPr>
              <w:t>Spain</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Kft</w:t>
            </w:r>
          </w:p>
        </w:tc>
        <w:tc>
          <w:tcPr>
            <w:tcW w:w="3780" w:type="dxa"/>
            <w:vAlign w:val="bottom"/>
          </w:tcPr>
          <w:p>
            <w:pPr>
              <w:ind w:left="1420"/>
              <w:spacing w:after="0"/>
              <w:rPr>
                <w:sz w:val="20"/>
                <w:szCs w:val="20"/>
                <w:color w:val="auto"/>
              </w:rPr>
            </w:pPr>
            <w:r>
              <w:rPr>
                <w:rFonts w:ascii="Arial" w:cs="Arial" w:eastAsia="Arial" w:hAnsi="Arial"/>
                <w:sz w:val="18"/>
                <w:szCs w:val="18"/>
                <w:color w:val="auto"/>
              </w:rPr>
              <w:t>Hungary</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Beacon Bioscience, Inc.</w:t>
            </w:r>
          </w:p>
        </w:tc>
        <w:tc>
          <w:tcPr>
            <w:tcW w:w="3780" w:type="dxa"/>
            <w:vAlign w:val="bottom"/>
          </w:tcPr>
          <w:p>
            <w:pPr>
              <w:ind w:left="1420"/>
              <w:spacing w:after="0"/>
              <w:rPr>
                <w:sz w:val="20"/>
                <w:szCs w:val="20"/>
                <w:color w:val="auto"/>
              </w:rPr>
            </w:pPr>
            <w:r>
              <w:rPr>
                <w:rFonts w:ascii="Arial" w:cs="Arial" w:eastAsia="Arial" w:hAnsi="Arial"/>
                <w:sz w:val="18"/>
                <w:szCs w:val="18"/>
                <w:color w:val="auto"/>
              </w:rPr>
              <w:t>USA</w:t>
            </w:r>
          </w:p>
        </w:tc>
        <w:tc>
          <w:tcPr>
            <w:tcW w:w="1780" w:type="dxa"/>
            <w:vAlign w:val="bottom"/>
          </w:tcPr>
          <w:p>
            <w:pPr>
              <w:ind w:left="480"/>
              <w:spacing w:after="0"/>
              <w:rPr>
                <w:sz w:val="20"/>
                <w:szCs w:val="20"/>
                <w:color w:val="auto"/>
              </w:rPr>
            </w:pPr>
            <w:r>
              <w:rPr>
                <w:rFonts w:ascii="Arial" w:cs="Arial" w:eastAsia="Arial" w:hAnsi="Arial"/>
                <w:sz w:val="18"/>
                <w:szCs w:val="18"/>
                <w:color w:val="auto"/>
              </w:rPr>
              <w:t>70%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India Private Limited</w:t>
            </w:r>
          </w:p>
        </w:tc>
        <w:tc>
          <w:tcPr>
            <w:tcW w:w="3780" w:type="dxa"/>
            <w:vAlign w:val="bottom"/>
          </w:tcPr>
          <w:p>
            <w:pPr>
              <w:ind w:left="1420"/>
              <w:spacing w:after="0"/>
              <w:rPr>
                <w:sz w:val="20"/>
                <w:szCs w:val="20"/>
                <w:color w:val="auto"/>
              </w:rPr>
            </w:pPr>
            <w:r>
              <w:rPr>
                <w:rFonts w:ascii="Arial" w:cs="Arial" w:eastAsia="Arial" w:hAnsi="Arial"/>
                <w:sz w:val="18"/>
                <w:szCs w:val="18"/>
                <w:color w:val="auto"/>
              </w:rPr>
              <w:t>India</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Clinical Research México, S.A. de C.V.</w:t>
            </w:r>
          </w:p>
        </w:tc>
        <w:tc>
          <w:tcPr>
            <w:tcW w:w="3780" w:type="dxa"/>
            <w:vAlign w:val="bottom"/>
          </w:tcPr>
          <w:p>
            <w:pPr>
              <w:ind w:left="1420"/>
              <w:spacing w:after="0"/>
              <w:rPr>
                <w:sz w:val="20"/>
                <w:szCs w:val="20"/>
                <w:color w:val="auto"/>
              </w:rPr>
            </w:pPr>
            <w:r>
              <w:rPr>
                <w:rFonts w:ascii="Arial" w:cs="Arial" w:eastAsia="Arial" w:hAnsi="Arial"/>
                <w:sz w:val="18"/>
                <w:szCs w:val="18"/>
                <w:color w:val="auto"/>
              </w:rPr>
              <w:t>Mexico</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59"/>
        </w:trPr>
        <w:tc>
          <w:tcPr>
            <w:tcW w:w="5100" w:type="dxa"/>
            <w:vAlign w:val="bottom"/>
          </w:tcPr>
          <w:p>
            <w:pPr>
              <w:ind w:left="340"/>
              <w:spacing w:after="0"/>
              <w:rPr>
                <w:sz w:val="20"/>
                <w:szCs w:val="20"/>
                <w:color w:val="auto"/>
              </w:rPr>
            </w:pPr>
            <w:r>
              <w:rPr>
                <w:rFonts w:ascii="Arial" w:cs="Arial" w:eastAsia="Arial" w:hAnsi="Arial"/>
                <w:sz w:val="18"/>
                <w:szCs w:val="18"/>
                <w:color w:val="auto"/>
              </w:rPr>
              <w:t>ICON Pesquisas Clinicas LTDA</w:t>
            </w:r>
          </w:p>
        </w:tc>
        <w:tc>
          <w:tcPr>
            <w:tcW w:w="3780" w:type="dxa"/>
            <w:vAlign w:val="bottom"/>
          </w:tcPr>
          <w:p>
            <w:pPr>
              <w:ind w:left="1420"/>
              <w:spacing w:after="0"/>
              <w:rPr>
                <w:sz w:val="20"/>
                <w:szCs w:val="20"/>
                <w:color w:val="auto"/>
              </w:rPr>
            </w:pPr>
            <w:r>
              <w:rPr>
                <w:rFonts w:ascii="Arial" w:cs="Arial" w:eastAsia="Arial" w:hAnsi="Arial"/>
                <w:sz w:val="18"/>
                <w:szCs w:val="18"/>
                <w:color w:val="auto"/>
              </w:rPr>
              <w:t>Brazil</w:t>
            </w:r>
          </w:p>
        </w:tc>
        <w:tc>
          <w:tcPr>
            <w:tcW w:w="1780" w:type="dxa"/>
            <w:vAlign w:val="bottom"/>
          </w:tcPr>
          <w:p>
            <w:pPr>
              <w:ind w:left="480"/>
              <w:spacing w:after="0"/>
              <w:rPr>
                <w:sz w:val="20"/>
                <w:szCs w:val="20"/>
                <w:color w:val="auto"/>
              </w:rPr>
            </w:pPr>
            <w:r>
              <w:rPr>
                <w:rFonts w:ascii="Arial" w:cs="Arial" w:eastAsia="Arial" w:hAnsi="Arial"/>
                <w:sz w:val="18"/>
                <w:szCs w:val="18"/>
                <w:color w:val="auto"/>
              </w:rPr>
              <w:t>100%</w:t>
            </w:r>
          </w:p>
        </w:tc>
      </w:tr>
      <w:tr>
        <w:trPr>
          <w:trHeight w:val="486"/>
        </w:trPr>
        <w:tc>
          <w:tcPr>
            <w:tcW w:w="5100" w:type="dxa"/>
            <w:vAlign w:val="bottom"/>
          </w:tcPr>
          <w:p>
            <w:pPr>
              <w:spacing w:after="0"/>
              <w:rPr>
                <w:sz w:val="20"/>
                <w:szCs w:val="20"/>
                <w:color w:val="auto"/>
              </w:rPr>
            </w:pPr>
            <w:r>
              <w:rPr>
                <w:rFonts w:ascii="Arial" w:cs="Arial" w:eastAsia="Arial" w:hAnsi="Arial"/>
                <w:sz w:val="18"/>
                <w:szCs w:val="18"/>
                <w:color w:val="auto"/>
              </w:rPr>
              <w:t>All shareholdings comprise ordinary shares.</w:t>
            </w:r>
          </w:p>
        </w:tc>
        <w:tc>
          <w:tcPr>
            <w:tcW w:w="37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All subsidiary undertakings are involved in the provision of contract research services to the pharmaceutical, biotechnology and medical device industries.</w:t>
      </w:r>
    </w:p>
    <w:p>
      <w:pPr>
        <w:spacing w:after="0" w:line="31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391"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Information Systems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information technology strategy is built around deploying IT systems to enable the delivery of our global business strategy. The focus is to provide ease of access to information for our staff and clients globally. Our current information systems are built on open standards and leading commercial business applications from vendors like Microsoft, Oracle, EMC Documentum and Medidata. All critical business systems are formally delivered following a structured project management approach. Critical clinical information systems, which manage clinical data, are validated in accordance with the latest FDA regulations and those of other equivalent regulatory bodies throughout the world.</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Clinical Operations, we have deployed a suite of software applications that assist in the management of our clinical trials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In our Data Management function we have deployed leading clinical data management solutions plus Electronic Data Capture (EDC) solutions from leading industry vendors. Our state of the art workflow technology allows us to process clinical trials data seamlessly throughout the company.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Recognising that each client has its own requirements and systems, we seek to ensure an entirely flexible approach to client needs. An example of this flexibility includes linking directly to client systems or for a client to have access to designated ICON systems. Frequently, we have established secure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IT systems are operated from two centralised hubs in Philadelphia and Dublin. Other offices are linked to these hubs through a resilient network that is both internally managed and outsourced to a leading telecommunications provider. Travelling staff can also access all systems via secure remote dial up facilities. A global corporate Intranet portal provides access to all authorized data and applications for our internal staff.</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can leverage a full service portfolio and achieve lateral penetration into other therapeutic divisions where applicable. Simultaneously, we are actively establishing new client relationships.</w:t>
      </w:r>
    </w:p>
    <w:p>
      <w:pPr>
        <w:spacing w:after="0" w:line="24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transition period ended December 31, 2005, revenue was earned from over 300 clients, including 19 of the top 20 pharmaceutical companies as ranked by 2004 revenues.</w:t>
      </w:r>
    </w:p>
    <w:p>
      <w:pPr>
        <w:spacing w:after="0" w:line="2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have expanded geographically in order to pursue larger multi-national clinical trials in markets worldwide and have expanded through acquisition to offer a broader range of services. In the transition period ended December 31, 2005, 58.6% of our net revenue was generated in the United States, 33.7% in Europe and 7.7% in Rest of World.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7" w:name="page18"/>
    <w:bookmarkEnd w:id="17"/>
    <w:p>
      <w:pPr>
        <w:ind w:right="100"/>
        <w:spacing w:after="0" w:line="293"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major projects or clients. During the fiscal year ended May 31, 2003, we received 21% of our net revenue from Astra Zeneca, 11% from Sanofi-Synthelabo Inc. and 10% from Pfizer. During the fiscal year ended May 31, 2004, we received 17% of our net revenue from Astra Zeneca. In the fiscal year ended May 31, 2005, we received 12% of our net revenue from Astra Zeneca. No other client contributed more than 10% of net revenues in the fiscal year ended May 31, 2005. In the transition period ended December 31, 2005, no client contributed more than 10% of net revenues. We believe that the importance of certain clients reflects our success in penetrating our client base. The loss of, or a significant decrease in business from one or more of these key clients could result in a material adverse effect.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pharmaceutical, biotechnology and medical device industries.</w:t>
      </w:r>
    </w:p>
    <w:p>
      <w:pPr>
        <w:spacing w:after="0" w:line="2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Most of our revenues are earned from contracts which are fixed price, based on certain activity and performance specifications. Consequently, although we typically bear the cost of overruns, with certain exceptions, we benefit if our costs are lower than anticipated.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approximately 15% of revenues.</w:t>
      </w:r>
    </w:p>
    <w:p>
      <w:pPr>
        <w:spacing w:after="0" w:line="2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Contract terms may range from one year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21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Most of our contracts are terminable immediately by the client with cause in certain circumstances and on 30-60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backlog consists of potential net revenue yet to be earned from projects awarded by clients.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2005, we had a backlog of approximately $633 million, compared with approximately $528 million at May 31, 2005.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Group Incorporated), Omnicare, Inc., PRA International Inc., MDS Inc, SFBC International Inc., Charles River Laboratories, Inc. and Pharmaceutical Product Development, Inc. The trend toward CRO industry consolidation has resulted in heightened competition among the larger CROs for clients and acquisition candidates.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24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2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24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New Drug Development - An Overview</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23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b w:val="1"/>
          <w:bCs w:val="1"/>
          <w:i w:val="1"/>
          <w:iCs w:val="1"/>
          <w:color w:val="auto"/>
        </w:rPr>
        <w:t>Preclinical Research (1 to 3.5 years).</w:t>
      </w:r>
      <w:r>
        <w:rPr>
          <w:rFonts w:ascii="Arial" w:cs="Arial" w:eastAsia="Arial" w:hAnsi="Arial"/>
          <w:sz w:val="17"/>
          <w:szCs w:val="17"/>
          <w:color w:val="auto"/>
        </w:rPr>
        <w:t>“In vitro” (test tube) and animal studies are conducted to establish the relative toxicity of the drug over a wide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range of 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Clinical Trials (3.5 to 6 years)</w:t>
      </w:r>
    </w:p>
    <w:p>
      <w:pPr>
        <w:spacing w:after="0" w:line="279"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u w:val="single" w:color="auto"/>
          <w:color w:val="auto"/>
        </w:rPr>
        <w:t>Phase I (6 months to 1 year).</w:t>
      </w:r>
      <w:r>
        <w:rPr>
          <w:rFonts w:ascii="Arial" w:cs="Arial" w:eastAsia="Arial" w:hAnsi="Arial"/>
          <w:sz w:val="18"/>
          <w:szCs w:val="18"/>
          <w:color w:val="auto"/>
        </w:rPr>
        <w:t xml:space="preserve">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23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u w:val="single" w:color="auto"/>
          <w:color w:val="auto"/>
        </w:rPr>
        <w:t>Phase II (1 to 2 years).</w:t>
      </w:r>
      <w:r>
        <w:rPr>
          <w:rFonts w:ascii="Arial" w:cs="Arial" w:eastAsia="Arial" w:hAnsi="Arial"/>
          <w:sz w:val="18"/>
          <w:szCs w:val="18"/>
          <w:color w:val="auto"/>
        </w:rPr>
        <w:t xml:space="preserve"> Basic efficacy (effectiveness) and dose-range testing in 100 to 200 patients to help determine the best effective dose, confirm that the drug works as expected, and provide additional safety data.</w:t>
      </w:r>
    </w:p>
    <w:p>
      <w:pPr>
        <w:spacing w:after="0" w:line="224"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u w:val="single" w:color="auto"/>
          <w:color w:val="auto"/>
        </w:rPr>
        <w:t>Phase III (2 to 3 years).</w:t>
      </w:r>
      <w:r>
        <w:rPr>
          <w:rFonts w:ascii="Arial" w:cs="Arial" w:eastAsia="Arial" w:hAnsi="Arial"/>
          <w:sz w:val="18"/>
          <w:szCs w:val="18"/>
          <w:color w:val="auto"/>
        </w:rPr>
        <w:t xml:space="preserve">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235"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225"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b w:val="1"/>
          <w:bCs w:val="1"/>
          <w:i w:val="1"/>
          <w:iCs w:val="1"/>
          <w:color w:val="auto"/>
        </w:rPr>
        <w:t xml:space="preserve">NDA Preparation and Submission. </w:t>
      </w:r>
      <w:r>
        <w:rPr>
          <w:rFonts w:ascii="Arial" w:cs="Arial" w:eastAsia="Arial" w:hAnsi="Arial"/>
          <w:sz w:val="16"/>
          <w:szCs w:val="16"/>
          <w:color w:val="auto"/>
        </w:rPr>
        <w:t>Upon completion of Phase III trials, the manufacturer assembles the statistically analyzed data from all phases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into a single large submission, the New Drug Application, or NDA, which today comprises, on average, approximately 100,000 pages.</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FDA Review &amp; Approval (1 to 1.5 years). </w:t>
      </w:r>
      <w:r>
        <w:rPr>
          <w:rFonts w:ascii="Arial" w:cs="Arial" w:eastAsia="Arial" w:hAnsi="Arial"/>
          <w:sz w:val="18"/>
          <w:szCs w:val="18"/>
          <w:color w:val="auto"/>
        </w:rPr>
        <w:t>Data from all phases of development (including a TIND) is scrutinized to confirm that the manufacturer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with regulations and that the drug is safe and effective for the specific use (or “indication”) under study.</w:t>
      </w:r>
    </w:p>
    <w:p>
      <w:pPr>
        <w:spacing w:after="0" w:line="22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b w:val="1"/>
          <w:bCs w:val="1"/>
          <w:i w:val="1"/>
          <w:iCs w:val="1"/>
          <w:color w:val="auto"/>
        </w:rPr>
        <w:t xml:space="preserve">Post-Marketing Surveillance and Phase IV Studies. </w:t>
      </w:r>
      <w:r>
        <w:rPr>
          <w:rFonts w:ascii="Arial" w:cs="Arial" w:eastAsia="Arial" w:hAnsi="Arial"/>
          <w:sz w:val="18"/>
          <w:szCs w:val="18"/>
          <w:color w:val="auto"/>
        </w:rPr>
        <w:t>Federal regulation requires the manufacturer to collect and periodically report to the FDA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jc w:val="both"/>
        <w:ind w:firstLine="486"/>
        <w:spacing w:after="0" w:line="257" w:lineRule="auto"/>
        <w:rPr>
          <w:sz w:val="20"/>
          <w:szCs w:val="20"/>
          <w:color w:val="auto"/>
        </w:rPr>
      </w:pPr>
      <w:r>
        <w:rPr>
          <w:rFonts w:ascii="Arial" w:cs="Arial" w:eastAsia="Arial" w:hAnsi="Arial"/>
          <w:sz w:val="18"/>
          <w:szCs w:val="18"/>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4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lease all but one of our facilities under operating leases.</w:t>
      </w:r>
    </w:p>
    <w:p>
      <w:pPr>
        <w:spacing w:after="0" w:line="2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principal executive offices are located in South County Business Park, Leopardstown, Dublin, Republic of Ireland, where we own an office facility of approximately 42,000 square feet on approximately two acres. We purchased an adjoining site during the year bringing the full site size up to four and a half acres. We have also leased an additional office facility of approximately 25,000 square feet in the same business park.</w:t>
      </w:r>
    </w:p>
    <w:p>
      <w:pPr>
        <w:spacing w:after="0" w:line="22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also maintain U.S. offices in Chicago, two offices in Philadelphia, Nashville, Irvine, San Francisco, Houston, Wilmington, Raleigh, Baltimore, Tampa and two offices in New York. Our European subsidiaries maintain offices in Southampton, Frankfurt, Paris, Moscow, Amsterdam, Marlow, Manchester, Tel Aviv, Stockholm, Riga, Budapest, Milan and Barcelona. Our Rest of World offices are located in Tokyo, Singapore, Sydney, Chennai, Buenos Aires, Johannesburg, Montrèal, Hong Kong, Mexico City, Taipei, São Paulo, Bangkok, Seoul, and Santiago.</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Rest of World. In the transition period ended December 31, 2005, 58.6%, 33.7% and 7.7% of our net revenue was derived in the United States, Europe and Rest of World, respectively. See Note 18 to the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100"/>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 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3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2005, we had a backlog of approximately $650 million, compared with approximately $528 million at May 31, 2005.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4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Although we are domiciled in Ireland, we reports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13 operations operating in U.S. dollars, 6 trading in Euros, 3 in pounds Sterling, and 1 each in Australian dollars, Singapore dollars, Yen, Israeli New Shekels, Latvian Lats, Swedish Krona, Argentine Peso, South African Rand, Indian Rupee, Russian Rouble, Canadian dollar, Hungarian Forint, Hong Kong dollar, Taiwan dollar, Mexican Peso, Brazilian Real, Chiliean Peso, South Korean Won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received capital and revenue grants from Forbairt,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t>employee numbers. We have not recognized any loss contingency having assessed as remote the likelihood of these events arising. Up to December 31, 2005, we have received $2,429,981 and $1,806,126 under capital grants and operating grants, respectively. Pursuant to the terms of the grant agreements we are restricted from distributing some of these amounts by way of dividend or otherwise.</w:t>
      </w:r>
    </w:p>
    <w:p>
      <w:pPr>
        <w:spacing w:after="0" w:line="23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83"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7" w:lineRule="exact"/>
        <w:rPr>
          <w:sz w:val="20"/>
          <w:szCs w:val="20"/>
          <w:color w:val="auto"/>
        </w:rPr>
      </w:pPr>
    </w:p>
    <w:tbl>
      <w:tblPr>
        <w:tblLayout w:type="fixed"/>
        <w:tblInd w:w="496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June 1, 2004</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w w:val="87"/>
              </w:rPr>
              <w:t>June 1, 2005</w:t>
            </w: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May 31,</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rPr>
              <w:t>May 31,</w:t>
            </w:r>
          </w:p>
        </w:tc>
        <w:tc>
          <w:tcPr>
            <w:tcW w:w="1440" w:type="dxa"/>
            <w:vAlign w:val="bottom"/>
          </w:tcPr>
          <w:p>
            <w:pPr>
              <w:ind w:left="320"/>
              <w:spacing w:after="0"/>
              <w:rPr>
                <w:sz w:val="20"/>
                <w:szCs w:val="20"/>
                <w:color w:val="auto"/>
              </w:rPr>
            </w:pPr>
            <w:r>
              <w:rPr>
                <w:rFonts w:ascii="Arial" w:cs="Arial" w:eastAsia="Arial" w:hAnsi="Arial"/>
                <w:sz w:val="18"/>
                <w:szCs w:val="18"/>
                <w:b w:val="1"/>
                <w:bCs w:val="1"/>
                <w:color w:val="auto"/>
              </w:rPr>
              <w:t>Transition</w:t>
            </w: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to May 31,</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to Dec 31,</w:t>
            </w: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rPr>
              <w:t>2005</w:t>
            </w:r>
          </w:p>
        </w:tc>
        <w:tc>
          <w:tcPr>
            <w:tcW w:w="1440" w:type="dxa"/>
            <w:vAlign w:val="bottom"/>
          </w:tcPr>
          <w:p>
            <w:pPr>
              <w:ind w:left="320"/>
              <w:spacing w:after="0"/>
              <w:rPr>
                <w:sz w:val="20"/>
                <w:szCs w:val="20"/>
                <w:color w:val="auto"/>
              </w:rPr>
            </w:pPr>
            <w:r>
              <w:rPr>
                <w:rFonts w:ascii="Arial" w:cs="Arial" w:eastAsia="Arial" w:hAnsi="Arial"/>
                <w:sz w:val="18"/>
                <w:szCs w:val="18"/>
                <w:b w:val="1"/>
                <w:bCs w:val="1"/>
                <w:color w:val="auto"/>
              </w:rPr>
              <w:t>Period 2005</w:t>
            </w: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2005</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2005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Percentage of Net Revenue</w:t>
            </w:r>
          </w:p>
        </w:tc>
        <w:tc>
          <w:tcPr>
            <w:tcW w:w="880" w:type="dxa"/>
            <w:vAlign w:val="bottom"/>
          </w:tcPr>
          <w:p>
            <w:pPr>
              <w:spacing w:after="0"/>
              <w:rPr>
                <w:sz w:val="20"/>
                <w:szCs w:val="20"/>
                <w:color w:val="auto"/>
              </w:rPr>
            </w:pPr>
          </w:p>
        </w:tc>
        <w:tc>
          <w:tcPr>
            <w:tcW w:w="26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8"/>
              </w:rPr>
              <w:t>Percentage Increase/ (Decrease)</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Costs and expenses:</w:t>
            </w:r>
          </w:p>
        </w:tc>
        <w:tc>
          <w:tcPr>
            <w:tcW w:w="2740" w:type="dxa"/>
            <w:vAlign w:val="bottom"/>
            <w:shd w:val="clear" w:color="auto" w:fill="E2EEF6"/>
          </w:tcPr>
          <w:p>
            <w:pPr>
              <w:spacing w:after="0"/>
              <w:rPr>
                <w:sz w:val="17"/>
                <w:szCs w:val="17"/>
                <w:color w:val="auto"/>
              </w:rPr>
            </w:pPr>
          </w:p>
        </w:tc>
        <w:tc>
          <w:tcPr>
            <w:tcW w:w="130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720" w:type="dxa"/>
            <w:vAlign w:val="bottom"/>
            <w:shd w:val="clear" w:color="auto" w:fill="E2EEF6"/>
          </w:tcPr>
          <w:p>
            <w:pPr>
              <w:spacing w:after="0"/>
              <w:rPr>
                <w:sz w:val="17"/>
                <w:szCs w:val="17"/>
                <w:color w:val="auto"/>
              </w:rPr>
            </w:pPr>
          </w:p>
        </w:tc>
        <w:tc>
          <w:tcPr>
            <w:tcW w:w="96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Direct costs</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54.7%</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55.0%</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56.5%</w:t>
            </w:r>
          </w:p>
        </w:tc>
        <w:tc>
          <w:tcPr>
            <w:tcW w:w="17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10.5%</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Selling, general and administrative</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29.9%</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31.8%</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30.7%</w:t>
            </w:r>
          </w:p>
        </w:tc>
        <w:tc>
          <w:tcPr>
            <w:tcW w:w="17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16.9%</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3.8%</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4.1%</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w:t>
            </w:r>
          </w:p>
        </w:tc>
        <w:tc>
          <w:tcPr>
            <w:tcW w:w="17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19.3%</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Share based compensation</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3.1%</w:t>
            </w:r>
          </w:p>
        </w:tc>
        <w:tc>
          <w:tcPr>
            <w:tcW w:w="1720" w:type="dxa"/>
            <w:vAlign w:val="bottom"/>
            <w:shd w:val="clear" w:color="auto" w:fill="E2EEF6"/>
          </w:tcPr>
          <w:p>
            <w:pPr>
              <w:jc w:val="right"/>
              <w:ind w:right="5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Other charges</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3.4%</w:t>
            </w:r>
          </w:p>
        </w:tc>
        <w:tc>
          <w:tcPr>
            <w:tcW w:w="8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Income from operations</w:t>
            </w:r>
          </w:p>
        </w:tc>
        <w:tc>
          <w:tcPr>
            <w:tcW w:w="274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11.6%</w:t>
            </w:r>
          </w:p>
        </w:tc>
        <w:tc>
          <w:tcPr>
            <w:tcW w:w="130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5.7%</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w:t>
            </w:r>
          </w:p>
        </w:tc>
        <w:tc>
          <w:tcPr>
            <w:tcW w:w="1720" w:type="dxa"/>
            <w:vAlign w:val="bottom"/>
            <w:shd w:val="clear" w:color="auto" w:fill="E2EEF6"/>
          </w:tcPr>
          <w:p>
            <w:pPr>
              <w:jc w:val="right"/>
              <w:ind w:right="290"/>
              <w:spacing w:after="0"/>
              <w:rPr>
                <w:sz w:val="20"/>
                <w:szCs w:val="20"/>
                <w:color w:val="auto"/>
              </w:rPr>
            </w:pPr>
            <w:r>
              <w:rPr>
                <w:rFonts w:ascii="Arial" w:cs="Arial" w:eastAsia="Arial" w:hAnsi="Arial"/>
                <w:sz w:val="18"/>
                <w:szCs w:val="18"/>
                <w:color w:val="auto"/>
              </w:rPr>
              <w:t>(45.9%)</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Seven Month Transition Period Ended December 31, 2005 Compared to Fiscal Year Ended May 31, 2005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below compare a 7 month accounting period ended Dec 31, 2005 to a 12 month accounting period ended May 31, 2005.</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revenue decreased by $124.8 million, or 38.2%, from $326.7 million to $201.9 million. Revenues in the United States, Europe and the Rest of World fell by 36.6%, 44.1% and 14.9% respectively. In the transition period to December 31, 2005, net revenue from our central laboratory business decreased by 28.6% from $25.5 million to $18.2 million, while our clinical research segment declined by 39.0% from $301.2 million to $183.8 million over the prior period. If the figures above were analyzed with a comparative period, they would show a general improvement through a combination of increased business from existing clients, business won from new clients, increased use of outsourcing by the pharmaceutical, biotechnology and medical device industries, an underlying increase in research and development spending and consolidation in the CRO industry.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Direct costs decreased by $65.7 million, or 36.5%, from $179.7 million to $114.0 million. Direct costs as a percentage of net revenue increased from 55.0% in the twelve months to May 31, 2005 to 56.5% in the 2005 transition period ending December 31, 2005. A comparative period analysis shows an increase in direct costs primarily due to increased staff numbers needed to support increased project related activity.</w:t>
      </w:r>
    </w:p>
    <w:p>
      <w:pPr>
        <w:spacing w:after="0" w:line="23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Selling, general and administrative expenses decreased by $41.7 million, or 40.2%, from $103.8 million to $62.1 million. As a percentage of net revenue, selling, general and administrative expenses, decreased from 31.8% in the twelve months to May 31, 2005 to 30.7% for the transition period ended December 31, 2005. A comparative period analysis shows an increase in SG&amp;A costs due to the continued expansion of our operations.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and amortization expense decreased by $5.2 million, or 39.1%, from $13.3 million to $8.1million. As a percentage of net revenue, depreciation and amortization decreased from 4.1% of net revenues in the twelve months to May 31, 2005, to 4.0% for the transition period ended December 31, 2005. A comparative period analysis shows an increase in depreciation as a result of continued investment in facilities and information technology to support the growth in activity and in providing for future capacity.</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transition period an amount of $6.2 million was expensed in relation to share based compensation (See Item 7: Major Shareholders and Related Party Transactions).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principal items classified as other charges in the year ended May 31, 2005 were asset impairments, computer software write-off and lease termination and exit costs.</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from operations decreased by $7.0 million, or 37.6%, from $18.6 million to $11.6 million. As a percentage of net revenue, income from operations remained static at 5.7% of net revenues for the transition period ended December 31, 2005 when compared to the twelve months to May 31, 2005. For the transition period ended December 31, 2005, losses from operations, as a percentage of net revenue for the central laboratory decreased to 16.7%, from 59.9%, in the twelve month period ending May 31, 2005. The loss for the year to May 31, 2005 included the effects of other charges. The central laboratory constitutes approximately 9.0% of our business revenues. Operating margins for our clinical research segment remained the same at 11.3% in the transition period ended December 31, 2005 as the twelve month period ending May 31, 2005.</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interest income for the transition period ended December 31, 2005, was $1.3 million, an increase of $0.3 million on the year ended May 31, 2005. Higher interest rates in the 2005 transition period over fiscal 2005 contributed to the increased interest income.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ICON plc’s effective tax rate for the transition period ended December 31, 2005, was 42.0% compared with 29.9% for the year ended May, 31, 2005.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May 31, 2005 Compared to Fiscal Year Ended May 31, 2004</w:t>
      </w:r>
    </w:p>
    <w:p>
      <w:pPr>
        <w:spacing w:after="0" w:line="2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revenue increased by $29.7 million, or 10.0%, from $296.9 million to $326.7 million. This improvement arose through a combination of increased business from existing clients, business won from new clients and revenues from acquisitions not included in the comparative period. The additional revenues from acquisitions amounted to $9.1 million for the fiscal year ended May 31, 2005. Including the impact of acquisition, revenues in the United States, Europe and the Rest of World grew by 0.9%, 20.1% and 73.5%, respectively. In the twelve months to May 31, 2005, net revenue from our central laboratory business decreased by 5.2% from $26.9 million to $25.5 million while our clinical research segment grew by 11.5% from $270.0 million to $301.2 million over the comparable period. The decrease in net revenue in our central laboratory segment is primarily due to lower testing volumes in fiscal 2005.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both"/>
        <w:ind w:right="660"/>
        <w:spacing w:after="0" w:line="264" w:lineRule="auto"/>
        <w:rPr>
          <w:sz w:val="20"/>
          <w:szCs w:val="20"/>
          <w:color w:val="auto"/>
        </w:rPr>
      </w:pPr>
      <w:r>
        <w:rPr>
          <w:rFonts w:ascii="Arial" w:cs="Arial" w:eastAsia="Arial" w:hAnsi="Arial"/>
          <w:sz w:val="18"/>
          <w:szCs w:val="18"/>
          <w:color w:val="auto"/>
        </w:rPr>
        <w:t>Direct costs increased by $17.1 million, or 10.5%, from $162.6 million to $179.7 million, primarily due to increased staff numbers needed to support increased project related activity and increased costs arising from acquisitions amounting to $4.3 million. Direct costs as a percentage of net revenue increased from 54.7% in the twelve months to May 31, 2004 to 55.0% in fiscal 2005.</w:t>
      </w:r>
    </w:p>
    <w:p>
      <w:pPr>
        <w:spacing w:after="0" w:line="23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Selling, general and administrative expenses increased by $15.0 million, or 16.9%, from $88.8 million to $103.8 million. The increase in costs is due to the continued expansion of our operations and additional selling, general and administrative costs from acquisition of $3.3 million not included in the comparative period. As a percentage of net revenue, selling, general and administrative expenses, increased from 29.9% in the twelve months to May 31, 2004 to 31.8% for the fiscal year ended May 31, 2005.</w:t>
      </w: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and amortization expense increased by $2.1 million, or 19.3%, from $11.2 million to $13.3 million. This increase is due to the continued investment in facilities and information technology to support the growth in activity and in providing for future capacity and increased costs arising from acquisition of $0.4 million. As a percentage of net revenue, depreciation and amortization increased from 3.8% of net revenues in the twelve months to May 31, 2004, to 4.1% for the fiscal year ended May 31, 2005.</w:t>
      </w: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charges of $11.3 million were incurred during the year ended May 31, 2005. The principal items classified as other charges include asset impairments, computer software write-off and lease termination and exit costs, as outlined in Note 15 to the Consolidated Financial Statements.</w:t>
      </w:r>
    </w:p>
    <w:p>
      <w:pPr>
        <w:spacing w:after="0" w:line="224"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Income from operations decreased by $15.8 million, or 45.9%, from $34.4 million to $18.6 million, including acquisitions. As a percentage of net revenue, income from operations decreased from 11.6% for the twelve months to May 31, 2004 to 5.7% of net revenues for the fiscal year ended May 31, 2005. For the fiscal year 2005, losses from operations, as a percentage of net revenue for the central laboratory increased to 59.9%, or 25.6% excluding other charges, from 12.2%, in fiscal 2004 due to an expanded cost base. The central laboratory constitutes approximately 7% of our business revenues. Operating margins for our clinical research segment decreased from 13.9% in the twelve months to May 31, 2004, to 11.3% for the fiscal year ended May 31, 2005.</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interest income for the year ended May 31, 2005, was $1.0 million, an increase of $0.7 million on the year ended May 31, 2004. Higher average level of funds invested and higher interest rates in fiscal 2005 over fiscal 2004 contributed to the increased interest income.</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ICON plc’s effective tax rate for the year ended May 31, 2005, was 29.9% compared with 25.8% for the comparable period last year. The increase in the effective rate was primarily due to a change in the geographic distribution of pre-tax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May 31, 2004 Compared to Fiscal Year Ended May 31, 2003</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revenue increased by $71.2 million, or 31.5%, from $225.7 million to $296.9 million. This improvement arose through a combination of increased business from existing clients, business won from new clients and revenues from acquisitions not included in the comparative period. The additional revenues from these acquisitions (BPA, MCS, Medeval and GloboMax) amounted to $24.5 million for the fiscal year ended May 31, 2004. Including the impact of acquisitions, revenues in the United States, Europe and the Rest of World grew by 16.8%, 65.6% and 76.4% respectively. In the twelve months to May 31, 2004, net revenue from our central laboratory business grew by 2.8% from $26.2 million to $26.9 million while our clinical research segment grew by 35.3% from $199.6 million to $270.0 million over the comparable period. The growth in net revenue in our clinical research segment and central laboratory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3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Direct costs increased by $40.2 million, or 32.8%, from $122.4 million to $162.6 million, primarily due to increased staff numbers needed to support increased project related activity and increased costs arising from the acquisitions amounting to $13.2 million. Direct costs as a percentage of net revenue increased from 54.2% in the twelve months to May 31, 2003 to 54.7% in fiscal 2004.</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320"/>
        <w:spacing w:after="0" w:line="259" w:lineRule="auto"/>
        <w:rPr>
          <w:sz w:val="20"/>
          <w:szCs w:val="20"/>
          <w:color w:val="auto"/>
        </w:rPr>
      </w:pPr>
      <w:r>
        <w:rPr>
          <w:rFonts w:ascii="Arial" w:cs="Arial" w:eastAsia="Arial" w:hAnsi="Arial"/>
          <w:sz w:val="18"/>
          <w:szCs w:val="18"/>
          <w:color w:val="auto"/>
        </w:rPr>
        <w:t>Selling, general and administrative expenses increased by $17.7 million, or 24.9%, from $71.1 million to $88.8 million. The increase in costs is due to the continued expansion of our operations and additional selling, general and administrative costs from acquisitions of $9.5 million not included in the comparative period. As a percentage of net revenue, selling, general and administrative expenses, decreased from 31.5% in the twelve months to May 31, 2003 to 29.9% for the fiscal year ended May 31, 2004.</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expense increased by $3.9 million, or 52.9%, from $7.3 million to $11.2 million. This increase is due to the continued investment in facilities and information technology to support the growth in activity and in providing for future capacity and increased cost arising from acquisitions of $0.6 million. As a percentage of net revenue, depreciation increased from 3.3% of net revenues in the twelve months to May 31, 2003 to 3.8% for the fiscal year ended May 31, 2004.</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Income from operations increased by $9.5 million, or 37.9%, from $24.9 million to $34.4 million, including acquisitions. This improvement is due to increased levels of activity carried out across the Company together with the acquisitions of BPA, MCS, Medeval and GloboMax. As a percentage of net revenue, income from operations increased from 11.0% for the twelve months to May 31, 2003 to 11.6% of net revenues for the fiscal year ended May 31, 2004. For the fiscal year 2004, income from operations, as a percentage of net revenue for the central laboratory fell to 12.2% from 0.4% in fiscal 2003 due to an expanded cost base. The central laboratory constitutes approximately 9% of our business. Operating margins for our clinical research segment increased from 12.4% in the twelve months to May 31, 2003, to 13.9% for the fiscal year ended May 31, 2004 due principally to improved staff utilization and enhanced leverage of our overhead costs.</w:t>
      </w:r>
    </w:p>
    <w:p>
      <w:pPr>
        <w:spacing w:after="0" w:line="2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interest income for the year ended May 31, 2004, was $0.3 million, a decrease of $0.1 million on the equivalent period last year due primarily to lower then average interest rates during the current fiscal year.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ICON's effective tax rate for the year ended May 31, 2004, was 25.8% compared with 27.7% for the comparable period last year. The decrease in the effective rate was primarily due to a change in the geographic distribution of pre-tax earnings.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investigators. The aggregate amount of employee compensation, excluding stock compensation expense, paid by us and our subsidiaries for three years ended May 31, 2003, 2004 and 2005 and the seven month transition period ending December 31, 2005, amounted to $135.2 million, $174.5 million, $194.1 million and $121.4 million, respectively. Investing activities primarily reflect capital expenditures for facilities, information systems enhancements, the purchase of short-term investments and acquisitions.</w:t>
      </w: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2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As of December 31, 2005, our working capital was $132.3 million, compared to $125.3 million at May 31, 2005 and $113.8 million at May 31, 2004.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65 days at December 31, 2005, 63 days at May 31, 2005 and 60 days at May 31, 2004.</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360"/>
        <w:spacing w:after="0" w:line="308" w:lineRule="auto"/>
        <w:rPr>
          <w:sz w:val="20"/>
          <w:szCs w:val="20"/>
          <w:color w:val="auto"/>
        </w:rPr>
      </w:pPr>
      <w:r>
        <w:rPr>
          <w:rFonts w:ascii="Arial" w:cs="Arial" w:eastAsia="Arial" w:hAnsi="Arial"/>
          <w:sz w:val="17"/>
          <w:szCs w:val="17"/>
          <w:color w:val="auto"/>
        </w:rPr>
        <w:t>Net cash provided by operating activities was $13.8 million in the transition period ended December 31, 2005, compared with $25.2 million in fiscal year ended May 31, 2005, $43.6 million in the fiscal year ended May 31, 2004 and $21.5 million in the fiscal year ended May 31, 2003.</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$16.3 million in the transition period ended December 31, 2005, compared with $25.7 million in the year ended May 31, 2005, $47.3 million in the year ended May 31, 2004 and $35.3 million in the year ended 31, 2003. The decrease in net cash used in the 2005 transition period ended December 31, 2005 over the year ending May 31, 2005, is due principally to the purchase of subsidiary undertakings in the year ended May 31, 2005.</w:t>
      </w: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was $6.6 million in the transition period ended December 31, 2005, compared with $0.9 million in year ended May 31, 2005, $42.5 million in the fiscal year ended May 31, 2004 and net cash used in investing activities of $4.6 million in the fiscal year ended May 31, 2003. The increase in cash provided by financing activities in the transition period over the year ended May 31, 2005, is the draw down of bank overdraft in the transition period.</w:t>
      </w:r>
    </w:p>
    <w:p>
      <w:pPr>
        <w:spacing w:after="0" w:line="24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a result of these cash flows, cash and cash equivalents increased by $3.2 million in the transition period ended December 31, 2005, compared to $0.6 million in the year ended May 31, 2005, $37.4 million in the year ended May 31, 2004 and a decrease of $18 million in the year ended May 31, 2003.</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3, 2003, we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and its subsidiaries are entitled to make borrowings under a term loan facility of $40 million and a multi currency overdraft facility of $5 million. As at December 31, 2005, the full amount of the term loan facility was available to be drawn down and $0.1 million of the multi currency overdraft was available to be drawn down. ICON Clinical Research, Inc. (a subsidiary of ICON plc) is entitled to make borrowings under a revolving credit facility of $15 million. As at December 31, 2005, the full amount of this facility was available to be drawn down.</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entered into an overdraft agreement with Allied Irish Banks, plc (“AIB”) whereby we guarantee any overdraft of our subsidiary ICON Clinical Research GmbH up to an amount €120,000 (U.S.$142,128). As of December 31, 2005, the full facility was available to be drawn down.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 July 1, 2004, we completed the acquisition of 70% of Beacon Biosciences, Inc. for an initial cash consideration of U.S.$9.9 million.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2004, we acquired the workforce of Biomines Research Solutions Private Limited for a total cash consideration of U.S. $0.25 million. The workforce is engaged in the business of clinical trial data management and statistical analysis services and has been transferred to our existing Indian operation.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2005:</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Payments due by period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22"/>
                <w:szCs w:val="22"/>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to 3</w:t>
            </w:r>
          </w:p>
        </w:tc>
        <w:tc>
          <w:tcPr>
            <w:tcW w:w="260" w:type="dxa"/>
            <w:vAlign w:val="bottom"/>
          </w:tcPr>
          <w:p>
            <w:pPr>
              <w:spacing w:after="0"/>
              <w:rPr>
                <w:sz w:val="22"/>
                <w:szCs w:val="2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 to 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More than</w:t>
            </w: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5 years</w:t>
            </w:r>
          </w:p>
        </w:tc>
      </w:tr>
      <w:tr>
        <w:trPr>
          <w:trHeight w:val="213"/>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6"/>
                <w:szCs w:val="16"/>
                <w:b w:val="1"/>
                <w:bCs w:val="1"/>
                <w:color w:val="auto"/>
              </w:rPr>
              <w:t>&amp;# 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E2EEF6"/>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c>
          <w:tcPr>
            <w:tcW w:w="2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Bank credit lines and loans facilities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E2EEF6"/>
          </w:tcPr>
          <w:p>
            <w:pPr>
              <w:spacing w:after="0"/>
              <w:rPr>
                <w:sz w:val="21"/>
                <w:szCs w:val="21"/>
                <w:color w:val="auto"/>
              </w:rPr>
            </w:pP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E2EEF6"/>
          </w:tcPr>
          <w:p>
            <w:pPr>
              <w:spacing w:after="0"/>
              <w:rPr>
                <w:sz w:val="21"/>
                <w:szCs w:val="21"/>
                <w:color w:val="auto"/>
              </w:rPr>
            </w:pPr>
          </w:p>
        </w:tc>
        <w:tc>
          <w:tcPr>
            <w:tcW w:w="9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57.7</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Purchase Obligations (1)</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94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100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88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60" w:type="dxa"/>
            <w:vAlign w:val="bottom"/>
            <w:tcBorders>
              <w:top w:val="single" w:sz="8" w:color="auto"/>
            </w:tcBorders>
            <w:shd w:val="clear" w:color="auto" w:fill="E2EEF6"/>
          </w:tcPr>
          <w:p>
            <w:pPr>
              <w:spacing w:after="0"/>
              <w:rPr>
                <w:sz w:val="20"/>
                <w:szCs w:val="20"/>
                <w:color w:val="auto"/>
              </w:rPr>
            </w:pPr>
          </w:p>
        </w:tc>
        <w:tc>
          <w:tcPr>
            <w:tcW w:w="860" w:type="dxa"/>
            <w:vAlign w:val="bottom"/>
            <w:tcBorders>
              <w:top w:val="single" w:sz="8" w:color="auto"/>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60" w:type="dxa"/>
            <w:vAlign w:val="bottom"/>
            <w:tcBorders>
              <w:top w:val="single" w:sz="8" w:color="auto"/>
            </w:tcBorders>
            <w:shd w:val="clear" w:color="auto" w:fill="E2EEF6"/>
          </w:tcPr>
          <w:p>
            <w:pPr>
              <w:spacing w:after="0"/>
              <w:rPr>
                <w:sz w:val="20"/>
                <w:szCs w:val="20"/>
                <w:color w:val="auto"/>
              </w:rPr>
            </w:pPr>
          </w:p>
        </w:tc>
        <w:tc>
          <w:tcPr>
            <w:tcW w:w="98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Total (U.S.$ in millions)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This figure may be payable under earn out clauses included in an acquisition undertaken in a prior period.</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spend approximately $35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2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base our estimates and judgements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management judgements and estimates must be made and used in connection with the recognition of revenue in any accounting period. Material differences in the amount of revenue in any given period may result if these judgements or estimates prove to be incorrect or if management’s estimates change on the basis of development of the business or market conditions. To date there has been no material differences arising from these judgements and estimates.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judgements and uncertainties affecting our accounting for goodwill relate to carrying values. The carrying values of purchased goodwill are assessed annually, using discounted cash flows and net realizable values. The estimates and judgements used to assess carrying values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implied fair value of reporting unit goodwill is lower then its carrying amount, goodwill is impaired and written down to its implied fair value. If we were to use different estimates or judgements, particularly with respect to expected revenue and cost projections or the impact of any reorganisation or change of business focus, a material impairment charge to the statement of operations could arise. We believe that we have used reasonable estimates and judgements in assessing the carrying value of our goodwill. For further information, refer to Note 15 to the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2005, the Financial Accounting Standards Board (FASB) issued FASB Interpretation No. 47. In accordance with FASB Interpretation 47 companies must recognise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We do not expect the impacts of adopting FASB Interpretation No 47 to be material.</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2004, the FASB issued Statement No. 123R, "Share-Based Payment” - An Amendment of FASB Statements No. 123 and 95 (“SFAS No.123R”), which is effective for public companies in periods beginning after June 15, 2005. We will implement the proposed standard on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December 31, 2005.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260" w:type="dxa"/>
            <w:vAlign w:val="bottom"/>
          </w:tcPr>
          <w:p>
            <w:pPr>
              <w:ind w:left="1340"/>
              <w:spacing w:after="0"/>
              <w:rPr>
                <w:sz w:val="20"/>
                <w:szCs w:val="20"/>
                <w:color w:val="auto"/>
              </w:rPr>
            </w:pPr>
            <w:r>
              <w:rPr>
                <w:rFonts w:ascii="Arial" w:cs="Arial" w:eastAsia="Arial" w:hAnsi="Arial"/>
                <w:sz w:val="18"/>
                <w:szCs w:val="18"/>
                <w:b w:val="1"/>
                <w:bCs w:val="1"/>
                <w:color w:val="auto"/>
              </w:rPr>
              <w:t>Age</w:t>
            </w:r>
          </w:p>
        </w:tc>
        <w:tc>
          <w:tcPr>
            <w:tcW w:w="5960" w:type="dxa"/>
            <w:vAlign w:val="bottom"/>
          </w:tcPr>
          <w:p>
            <w:pPr>
              <w:ind w:left="6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E2EEF6"/>
          </w:tcPr>
          <w:p>
            <w:pPr>
              <w:spacing w:after="0"/>
              <w:rPr>
                <w:sz w:val="20"/>
                <w:szCs w:val="20"/>
                <w:color w:val="auto"/>
              </w:rPr>
            </w:pPr>
            <w:r>
              <w:rPr>
                <w:rFonts w:ascii="Arial" w:cs="Arial" w:eastAsia="Arial" w:hAnsi="Arial"/>
                <w:sz w:val="18"/>
                <w:szCs w:val="18"/>
                <w:color w:val="auto"/>
              </w:rPr>
              <w:t>Dr. John Climax (1)</w:t>
            </w:r>
          </w:p>
        </w:tc>
        <w:tc>
          <w:tcPr>
            <w:tcW w:w="2260" w:type="dxa"/>
            <w:vAlign w:val="bottom"/>
            <w:tcBorders>
              <w:top w:val="single" w:sz="8" w:color="auto"/>
            </w:tcBorders>
            <w:shd w:val="clear" w:color="auto" w:fill="E2EEF6"/>
          </w:tcPr>
          <w:p>
            <w:pPr>
              <w:ind w:left="1340"/>
              <w:spacing w:after="0"/>
              <w:rPr>
                <w:sz w:val="20"/>
                <w:szCs w:val="20"/>
                <w:color w:val="auto"/>
              </w:rPr>
            </w:pPr>
            <w:r>
              <w:rPr>
                <w:rFonts w:ascii="Arial" w:cs="Arial" w:eastAsia="Arial" w:hAnsi="Arial"/>
                <w:sz w:val="18"/>
                <w:szCs w:val="18"/>
                <w:color w:val="auto"/>
              </w:rPr>
              <w:t>53</w:t>
            </w:r>
          </w:p>
        </w:tc>
        <w:tc>
          <w:tcPr>
            <w:tcW w:w="5960" w:type="dxa"/>
            <w:vAlign w:val="bottom"/>
            <w:tcBorders>
              <w:top w:val="single" w:sz="8" w:color="auto"/>
            </w:tcBorders>
            <w:shd w:val="clear" w:color="auto" w:fill="E2EEF6"/>
          </w:tcPr>
          <w:p>
            <w:pPr>
              <w:ind w:left="620"/>
              <w:spacing w:after="0"/>
              <w:rPr>
                <w:sz w:val="20"/>
                <w:szCs w:val="20"/>
                <w:color w:val="auto"/>
              </w:rPr>
            </w:pPr>
            <w:r>
              <w:rPr>
                <w:rFonts w:ascii="Arial" w:cs="Arial" w:eastAsia="Arial" w:hAnsi="Arial"/>
                <w:sz w:val="18"/>
                <w:szCs w:val="18"/>
                <w:color w:val="auto"/>
              </w:rPr>
              <w:t>Chairman of the Board</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Peter Gray (1)</w:t>
            </w:r>
          </w:p>
        </w:tc>
        <w:tc>
          <w:tcPr>
            <w:tcW w:w="2260" w:type="dxa"/>
            <w:vAlign w:val="bottom"/>
          </w:tcPr>
          <w:p>
            <w:pPr>
              <w:ind w:left="1340"/>
              <w:spacing w:after="0"/>
              <w:rPr>
                <w:sz w:val="20"/>
                <w:szCs w:val="20"/>
                <w:color w:val="auto"/>
              </w:rPr>
            </w:pPr>
            <w:r>
              <w:rPr>
                <w:rFonts w:ascii="Arial" w:cs="Arial" w:eastAsia="Arial" w:hAnsi="Arial"/>
                <w:sz w:val="18"/>
                <w:szCs w:val="18"/>
                <w:color w:val="auto"/>
              </w:rPr>
              <w:t>51</w:t>
            </w:r>
          </w:p>
        </w:tc>
        <w:tc>
          <w:tcPr>
            <w:tcW w:w="5960" w:type="dxa"/>
            <w:vAlign w:val="bottom"/>
          </w:tcPr>
          <w:p>
            <w:pPr>
              <w:ind w:left="6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Ciaran Murray</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43</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Sean Leech (1)</w:t>
            </w:r>
          </w:p>
        </w:tc>
        <w:tc>
          <w:tcPr>
            <w:tcW w:w="2260" w:type="dxa"/>
            <w:vAlign w:val="bottom"/>
          </w:tcPr>
          <w:p>
            <w:pPr>
              <w:ind w:left="1340"/>
              <w:spacing w:after="0"/>
              <w:rPr>
                <w:sz w:val="20"/>
                <w:szCs w:val="20"/>
                <w:color w:val="auto"/>
              </w:rPr>
            </w:pPr>
            <w:r>
              <w:rPr>
                <w:rFonts w:ascii="Arial" w:cs="Arial" w:eastAsia="Arial" w:hAnsi="Arial"/>
                <w:sz w:val="18"/>
                <w:szCs w:val="18"/>
                <w:color w:val="auto"/>
              </w:rPr>
              <w:t>35</w:t>
            </w:r>
          </w:p>
        </w:tc>
        <w:tc>
          <w:tcPr>
            <w:tcW w:w="5960" w:type="dxa"/>
            <w:vAlign w:val="bottom"/>
          </w:tcPr>
          <w:p>
            <w:pPr>
              <w:ind w:left="620"/>
              <w:spacing w:after="0"/>
              <w:rPr>
                <w:sz w:val="20"/>
                <w:szCs w:val="20"/>
                <w:color w:val="auto"/>
              </w:rPr>
            </w:pPr>
            <w:r>
              <w:rPr>
                <w:rFonts w:ascii="Arial" w:cs="Arial" w:eastAsia="Arial" w:hAnsi="Arial"/>
                <w:sz w:val="18"/>
                <w:szCs w:val="18"/>
                <w:color w:val="auto"/>
                <w:w w:val="99"/>
              </w:rPr>
              <w:t>Executive Vice President Corporate and Organization Development</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Dr. Ronan Lambe (1)</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66</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Thomas Lynch (2)(3)(4)</w:t>
            </w:r>
          </w:p>
        </w:tc>
        <w:tc>
          <w:tcPr>
            <w:tcW w:w="2260" w:type="dxa"/>
            <w:vAlign w:val="bottom"/>
          </w:tcPr>
          <w:p>
            <w:pPr>
              <w:ind w:left="1340"/>
              <w:spacing w:after="0"/>
              <w:rPr>
                <w:sz w:val="20"/>
                <w:szCs w:val="20"/>
                <w:color w:val="auto"/>
              </w:rPr>
            </w:pPr>
            <w:r>
              <w:rPr>
                <w:rFonts w:ascii="Arial" w:cs="Arial" w:eastAsia="Arial" w:hAnsi="Arial"/>
                <w:sz w:val="18"/>
                <w:szCs w:val="18"/>
                <w:color w:val="auto"/>
              </w:rPr>
              <w:t>49</w:t>
            </w:r>
          </w:p>
        </w:tc>
        <w:tc>
          <w:tcPr>
            <w:tcW w:w="59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Edward Roberts (2)(3)(4)</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71</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Shuji Higuchi</w:t>
            </w:r>
          </w:p>
        </w:tc>
        <w:tc>
          <w:tcPr>
            <w:tcW w:w="2260" w:type="dxa"/>
            <w:vAlign w:val="bottom"/>
          </w:tcPr>
          <w:p>
            <w:pPr>
              <w:ind w:left="1340"/>
              <w:spacing w:after="0"/>
              <w:rPr>
                <w:sz w:val="20"/>
                <w:szCs w:val="20"/>
                <w:color w:val="auto"/>
              </w:rPr>
            </w:pPr>
            <w:r>
              <w:rPr>
                <w:rFonts w:ascii="Arial" w:cs="Arial" w:eastAsia="Arial" w:hAnsi="Arial"/>
                <w:sz w:val="18"/>
                <w:szCs w:val="18"/>
                <w:color w:val="auto"/>
              </w:rPr>
              <w:t>65</w:t>
            </w:r>
          </w:p>
        </w:tc>
        <w:tc>
          <w:tcPr>
            <w:tcW w:w="59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Dr. Bruce Given (2)(3)(4)</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51</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William Taaffe</w:t>
            </w:r>
          </w:p>
        </w:tc>
        <w:tc>
          <w:tcPr>
            <w:tcW w:w="2260" w:type="dxa"/>
            <w:vAlign w:val="bottom"/>
          </w:tcPr>
          <w:p>
            <w:pPr>
              <w:ind w:left="1340"/>
              <w:spacing w:after="0"/>
              <w:rPr>
                <w:sz w:val="20"/>
                <w:szCs w:val="20"/>
                <w:color w:val="auto"/>
              </w:rPr>
            </w:pPr>
            <w:r>
              <w:rPr>
                <w:rFonts w:ascii="Arial" w:cs="Arial" w:eastAsia="Arial" w:hAnsi="Arial"/>
                <w:sz w:val="18"/>
                <w:szCs w:val="18"/>
                <w:color w:val="auto"/>
              </w:rPr>
              <w:t>57</w:t>
            </w:r>
          </w:p>
        </w:tc>
        <w:tc>
          <w:tcPr>
            <w:tcW w:w="5960" w:type="dxa"/>
            <w:vAlign w:val="bottom"/>
          </w:tcPr>
          <w:p>
            <w:pPr>
              <w:ind w:left="620"/>
              <w:spacing w:after="0"/>
              <w:rPr>
                <w:sz w:val="20"/>
                <w:szCs w:val="20"/>
                <w:color w:val="auto"/>
              </w:rPr>
            </w:pPr>
            <w:r>
              <w:rPr>
                <w:rFonts w:ascii="Arial" w:cs="Arial" w:eastAsia="Arial" w:hAnsi="Arial"/>
                <w:sz w:val="18"/>
                <w:szCs w:val="18"/>
                <w:color w:val="auto"/>
              </w:rPr>
              <w:t>President Corporate Development</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Dr. John Hubbard</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49</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w w:val="96"/>
              </w:rPr>
              <w:t>President and Chief Operating Officer, ICON Clinical Research - U.S.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Dr. Peter Sowood</w:t>
            </w:r>
          </w:p>
        </w:tc>
        <w:tc>
          <w:tcPr>
            <w:tcW w:w="2260" w:type="dxa"/>
            <w:vAlign w:val="bottom"/>
          </w:tcPr>
          <w:p>
            <w:pPr>
              <w:ind w:left="1340"/>
              <w:spacing w:after="0"/>
              <w:rPr>
                <w:sz w:val="20"/>
                <w:szCs w:val="20"/>
                <w:color w:val="auto"/>
              </w:rPr>
            </w:pPr>
            <w:r>
              <w:rPr>
                <w:rFonts w:ascii="Arial" w:cs="Arial" w:eastAsia="Arial" w:hAnsi="Arial"/>
                <w:sz w:val="18"/>
                <w:szCs w:val="18"/>
                <w:color w:val="auto"/>
              </w:rPr>
              <w:t>52</w:t>
            </w:r>
          </w:p>
        </w:tc>
        <w:tc>
          <w:tcPr>
            <w:tcW w:w="5960" w:type="dxa"/>
            <w:vAlign w:val="bottom"/>
          </w:tcPr>
          <w:p>
            <w:pPr>
              <w:ind w:left="620"/>
              <w:spacing w:after="0"/>
              <w:rPr>
                <w:sz w:val="20"/>
                <w:szCs w:val="20"/>
                <w:color w:val="auto"/>
              </w:rPr>
            </w:pPr>
            <w:r>
              <w:rPr>
                <w:rFonts w:ascii="Arial" w:cs="Arial" w:eastAsia="Arial" w:hAnsi="Arial"/>
                <w:sz w:val="18"/>
                <w:szCs w:val="18"/>
                <w:color w:val="auto"/>
              </w:rPr>
              <w:t>President of ICON Clinical Research - Europe</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Robert Scott-Edwards</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52</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President of ICON Laboratories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Dr. Dan Weng</w:t>
            </w:r>
          </w:p>
        </w:tc>
        <w:tc>
          <w:tcPr>
            <w:tcW w:w="2260" w:type="dxa"/>
            <w:vAlign w:val="bottom"/>
          </w:tcPr>
          <w:p>
            <w:pPr>
              <w:ind w:left="1340"/>
              <w:spacing w:after="0"/>
              <w:rPr>
                <w:sz w:val="20"/>
                <w:szCs w:val="20"/>
                <w:color w:val="auto"/>
              </w:rPr>
            </w:pPr>
            <w:r>
              <w:rPr>
                <w:rFonts w:ascii="Arial" w:cs="Arial" w:eastAsia="Arial" w:hAnsi="Arial"/>
                <w:sz w:val="18"/>
                <w:szCs w:val="18"/>
                <w:color w:val="auto"/>
              </w:rPr>
              <w:t>43</w:t>
            </w:r>
          </w:p>
        </w:tc>
        <w:tc>
          <w:tcPr>
            <w:tcW w:w="5960" w:type="dxa"/>
            <w:vAlign w:val="bottom"/>
          </w:tcPr>
          <w:p>
            <w:pPr>
              <w:ind w:left="620"/>
              <w:spacing w:after="0"/>
              <w:rPr>
                <w:sz w:val="20"/>
                <w:szCs w:val="20"/>
                <w:color w:val="auto"/>
              </w:rPr>
            </w:pPr>
            <w:r>
              <w:rPr>
                <w:rFonts w:ascii="Arial" w:cs="Arial" w:eastAsia="Arial" w:hAnsi="Arial"/>
                <w:sz w:val="18"/>
                <w:szCs w:val="18"/>
                <w:color w:val="auto"/>
              </w:rPr>
              <w:t>President of ICON Clinical Research - Rest of World</w:t>
            </w:r>
          </w:p>
        </w:tc>
      </w:tr>
      <w:tr>
        <w:trPr>
          <w:trHeight w:val="216"/>
        </w:trPr>
        <w:tc>
          <w:tcPr>
            <w:tcW w:w="20" w:type="dxa"/>
            <w:vAlign w:val="bottom"/>
          </w:tcPr>
          <w:p>
            <w:pPr>
              <w:spacing w:after="0"/>
              <w:rPr>
                <w:sz w:val="18"/>
                <w:szCs w:val="18"/>
                <w:color w:val="auto"/>
              </w:rPr>
            </w:pPr>
          </w:p>
        </w:tc>
        <w:tc>
          <w:tcPr>
            <w:tcW w:w="3180" w:type="dxa"/>
            <w:vAlign w:val="bottom"/>
            <w:shd w:val="clear" w:color="auto" w:fill="E2EEF6"/>
          </w:tcPr>
          <w:p>
            <w:pPr>
              <w:spacing w:after="0"/>
              <w:rPr>
                <w:sz w:val="20"/>
                <w:szCs w:val="20"/>
                <w:color w:val="auto"/>
              </w:rPr>
            </w:pPr>
            <w:r>
              <w:rPr>
                <w:rFonts w:ascii="Arial" w:cs="Arial" w:eastAsia="Arial" w:hAnsi="Arial"/>
                <w:sz w:val="18"/>
                <w:szCs w:val="18"/>
                <w:color w:val="auto"/>
              </w:rPr>
              <w:t>Dr. Thomas Frey</w:t>
            </w:r>
          </w:p>
        </w:tc>
        <w:tc>
          <w:tcPr>
            <w:tcW w:w="2260" w:type="dxa"/>
            <w:vAlign w:val="bottom"/>
            <w:shd w:val="clear" w:color="auto" w:fill="E2EEF6"/>
          </w:tcPr>
          <w:p>
            <w:pPr>
              <w:ind w:left="1340"/>
              <w:spacing w:after="0"/>
              <w:rPr>
                <w:sz w:val="20"/>
                <w:szCs w:val="20"/>
                <w:color w:val="auto"/>
              </w:rPr>
            </w:pPr>
            <w:r>
              <w:rPr>
                <w:rFonts w:ascii="Arial" w:cs="Arial" w:eastAsia="Arial" w:hAnsi="Arial"/>
                <w:sz w:val="18"/>
                <w:szCs w:val="18"/>
                <w:color w:val="auto"/>
              </w:rPr>
              <w:t>53</w:t>
            </w:r>
          </w:p>
        </w:tc>
        <w:tc>
          <w:tcPr>
            <w:tcW w:w="5960" w:type="dxa"/>
            <w:vAlign w:val="bottom"/>
            <w:shd w:val="clear" w:color="auto" w:fill="E2EEF6"/>
          </w:tcPr>
          <w:p>
            <w:pPr>
              <w:ind w:left="620"/>
              <w:spacing w:after="0"/>
              <w:rPr>
                <w:sz w:val="20"/>
                <w:szCs w:val="20"/>
                <w:color w:val="auto"/>
              </w:rPr>
            </w:pPr>
            <w:r>
              <w:rPr>
                <w:rFonts w:ascii="Arial" w:cs="Arial" w:eastAsia="Arial" w:hAnsi="Arial"/>
                <w:sz w:val="18"/>
                <w:szCs w:val="18"/>
                <w:color w:val="auto"/>
              </w:rPr>
              <w:t>President Strategic Drug Development</w:t>
            </w:r>
          </w:p>
        </w:tc>
      </w:tr>
      <w:tr>
        <w:trPr>
          <w:trHeight w:val="216"/>
        </w:trPr>
        <w:tc>
          <w:tcPr>
            <w:tcW w:w="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Josephine Coyle</w:t>
            </w:r>
          </w:p>
        </w:tc>
        <w:tc>
          <w:tcPr>
            <w:tcW w:w="22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48</w:t>
            </w:r>
          </w:p>
        </w:tc>
        <w:tc>
          <w:tcPr>
            <w:tcW w:w="59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Vice President for Corporate Quality Assurance</w:t>
            </w:r>
          </w:p>
        </w:tc>
      </w:tr>
    </w:tbl>
    <w:p>
      <w:pPr>
        <w:spacing w:after="0" w:line="296"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63"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63" w:lineRule="exact"/>
        <w:rPr>
          <w:rFonts w:ascii="Arial" w:cs="Arial" w:eastAsia="Arial" w:hAnsi="Arial"/>
          <w:sz w:val="18"/>
          <w:szCs w:val="18"/>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660" w:hanging="304"/>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Member of Nomination Committee.</w:t>
      </w:r>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has served as a director of the Company and its subsidiaries since June 1990. Dr. Climax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and was appointed Chairman of the Board in November 2002. Dr. Climax has over 20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24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Peter Gray </w:t>
      </w:r>
      <w:r>
        <w:rPr>
          <w:rFonts w:ascii="Arial" w:cs="Arial" w:eastAsia="Arial" w:hAnsi="Arial"/>
          <w:sz w:val="17"/>
          <w:szCs w:val="17"/>
          <w:color w:val="auto"/>
        </w:rPr>
        <w:t>has served as the Chief Executive Officer of ICON and its subsidiaries since November 2002. He served as the Group Chief Operating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and its subsidiaries from June 2001, and was Chief Financial Officer from June 1997 to June 2001. He has been a director of the Company since June 1997. Mr. Gray has over 14 years experience in the pharmaceutical services industry and has also worked in the engineering and food sectors. Mr. Gray received a degree in Law from Trinity College Dublin in 1977 and became a chartered accountant in 1980.</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was appointed as Chief Financial Officer of ICON and its subsidiaries in October 2005. Mr. Murray developed his experience in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positions in the technology and food sectors in such companies as Kraft food and Novell. Prior to joining ICON, Mr. Murray served as the CFO of Codec Systems a Technology company headquartered in Ireland from 1999 to 2005. Mr. Murray is a business graduate of University College Dublin. He trained as a Chartered Accountant with PricewaterhouseCoopers and is a fellow of the Institute of Chartered Accountants in Ireland.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Sean Leech </w:t>
      </w:r>
      <w:r>
        <w:rPr>
          <w:rFonts w:ascii="Arial" w:cs="Arial" w:eastAsia="Arial" w:hAnsi="Arial"/>
          <w:sz w:val="18"/>
          <w:szCs w:val="18"/>
          <w:color w:val="auto"/>
        </w:rPr>
        <w:t>has served as Executive Vice President Corporate and Organization Development since October 2005. In this role Mr. Leech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development as well as acquisition integration for the group. Prior to this Mr. Leech</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served as the Chief Financial Officer of ICON and its subsidiaries since June 2001 and previously as Group Vice President of Finance from June 1999.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Leech was Group Financial Controller of Jones Group plc, a shipping, manufacturing and fuel distribution company based in Ireland, from 1997 to 1999.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Leech is an Associate member of the Chartered Institute of Management Accountants.</w:t>
      </w:r>
    </w:p>
    <w:p>
      <w:pPr>
        <w:spacing w:after="0" w:line="2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Dr. Lambe has</w:t>
      </w:r>
      <w:r>
        <w:rPr>
          <w:rFonts w:ascii="Arial" w:cs="Arial" w:eastAsia="Arial" w:hAnsi="Arial"/>
          <w:sz w:val="18"/>
          <w:szCs w:val="18"/>
          <w:i w:val="1"/>
          <w:iCs w:val="1"/>
          <w:color w:val="auto"/>
        </w:rPr>
        <w:t xml:space="preserve"> </w:t>
      </w:r>
      <w:r>
        <w:rPr>
          <w:rFonts w:ascii="Arial" w:cs="Arial" w:eastAsia="Arial" w:hAnsi="Arial"/>
          <w:sz w:val="18"/>
          <w:szCs w:val="18"/>
          <w:color w:val="auto"/>
        </w:rPr>
        <w:t>over 23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a director of Nanogen Inc., from 1996 to 2000. Mr.</w:t>
      </w:r>
      <w:r>
        <w:rPr>
          <w:rFonts w:ascii="Arial" w:cs="Arial" w:eastAsia="Arial" w:hAnsi="Arial"/>
          <w:sz w:val="18"/>
          <w:szCs w:val="18"/>
          <w:i w:val="1"/>
          <w:iCs w:val="1"/>
          <w:color w:val="auto"/>
        </w:rPr>
        <w:t xml:space="preserve"> </w:t>
      </w:r>
      <w:r>
        <w:rPr>
          <w:rFonts w:ascii="Arial" w:cs="Arial" w:eastAsia="Arial" w:hAnsi="Arial"/>
          <w:sz w:val="18"/>
          <w:szCs w:val="18"/>
          <w:color w:val="auto"/>
        </w:rPr>
        <w:t>Lynch is currently the Chairman of Amarin Corporation plc, a director of Royal Opera House (Covent Garden) and a non-executive director of the Irish Development Authority. In the period from May 1993 to July 2004, 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24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Edward Roberts </w:t>
      </w:r>
      <w:r>
        <w:rPr>
          <w:rFonts w:ascii="Arial" w:cs="Arial" w:eastAsia="Arial" w:hAnsi="Arial"/>
          <w:sz w:val="17"/>
          <w:szCs w:val="17"/>
          <w:color w:val="auto"/>
        </w:rPr>
        <w:t>has served as an outside director of the Company since February 1998. Mr. Roberts was Managing Director of the Pharmaceutical Division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Merck KGaA from 1990 to 1998. Prior to that, he held a number of senior management positions with Eli Lilly International in Europe and the United States. Mr. Roberts has over 40 years of experience in the pharmaceutical industry. He has been a partner in Global Health Care Partners since June 1998, and also serves as Chairman of Biopartners and Chairman of the Advisory Board of Merz &amp; Co. GmbH.</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Mr. Shuji Higuchi </w:t>
      </w:r>
      <w:r>
        <w:rPr>
          <w:rFonts w:ascii="Arial" w:cs="Arial" w:eastAsia="Arial" w:hAnsi="Arial"/>
          <w:sz w:val="18"/>
          <w:szCs w:val="18"/>
          <w:color w:val="auto"/>
        </w:rPr>
        <w:t>has served as an outside Director of the Company since September 2004. Dr. Higuchi has over 40 years of experience in the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Dr. Higuchi is currently Director of R&amp;D and Corporate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Dr. Bruce Given </w:t>
      </w:r>
      <w:r>
        <w:rPr>
          <w:rFonts w:ascii="Arial" w:cs="Arial" w:eastAsia="Arial" w:hAnsi="Arial"/>
          <w:sz w:val="18"/>
          <w:szCs w:val="18"/>
          <w:color w:val="auto"/>
        </w:rPr>
        <w:t>has served as an outside director of the Company since September 2004. Since March 2002, he has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Encysive Pharmaceuticals Inc. Previously, Dr. Given has held various positions in Johnson &amp; Johnson group companies. Dr. Given obtained his doctorate from the University of Chicago in 1980.</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William Taaffe </w:t>
      </w:r>
      <w:r>
        <w:rPr>
          <w:rFonts w:ascii="Arial" w:cs="Arial" w:eastAsia="Arial" w:hAnsi="Arial"/>
          <w:sz w:val="17"/>
          <w:szCs w:val="17"/>
          <w:color w:val="auto"/>
        </w:rPr>
        <w:t>has served as President Corporate Development since April 2005. Prior to this Mr. Taaffe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Clinical Research - U.S. since 1993. Mr. Taaffe has over 29 years of experience in the contract research and the pharmaceutical industries in Ireland, Canada and the United States. Mr. Taaffe received his bachelor of science degree in 1970 from the University College Dublin.</w:t>
      </w:r>
    </w:p>
    <w:p>
      <w:pPr>
        <w:spacing w:after="0" w:line="22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Dr. John W. Hubbard </w:t>
      </w:r>
      <w:r>
        <w:rPr>
          <w:rFonts w:ascii="Arial" w:cs="Arial" w:eastAsia="Arial" w:hAnsi="Arial"/>
          <w:sz w:val="17"/>
          <w:szCs w:val="17"/>
          <w:color w:val="auto"/>
        </w:rPr>
        <w:t>has served as President of ICON Clinical Research - U.S. since April 2005 and currently also serves as Chief Operating Officer, U.S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position he has held since October 1999.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2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Dr. Peter Sowood</w:t>
      </w:r>
      <w:r>
        <w:rPr>
          <w:rFonts w:ascii="Arial" w:cs="Arial" w:eastAsia="Arial" w:hAnsi="Arial"/>
          <w:sz w:val="18"/>
          <w:szCs w:val="18"/>
          <w:color w:val="auto"/>
        </w:rPr>
        <w:t>, has served the company as President of ICON Clinical Research Europe since November 2003. Prior to joining the Company, Dr. Sowood</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positions at Covance Clinical and Periapproval Services, Ltd., including the position of Vice-president Clinical Research. Dr. Sowood was educated at the University of Cambridge in Medical Sciences and followed on to Oxford University where he took Medical Degrees before joining the RAF as a Medical Officer. Dr. Sowood obtained his PhD in 1988 and MBA in 1993.</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Robert Scott-Edwards, </w:t>
      </w:r>
      <w:r>
        <w:rPr>
          <w:rFonts w:ascii="Arial" w:cs="Arial" w:eastAsia="Arial" w:hAnsi="Arial"/>
          <w:sz w:val="17"/>
          <w:szCs w:val="17"/>
          <w:color w:val="auto"/>
        </w:rPr>
        <w:t>has served the company as President of ICON Laboratories since August 2004, having previously held the position of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Sales &amp; Marketing for ICON Laboratories since June 2000. Prior to joining ICON, Mr. Scott-Edwards held various senior positions at Bristol-Myers Squibb from 1979 through 1997. Mr. Scott-Edwards began his career in the pharmaceutical industry in 1971 at Wyeth.</w:t>
      </w:r>
    </w:p>
    <w:p>
      <w:pPr>
        <w:spacing w:after="0" w:line="2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Dr. Dan Weng</w:t>
      </w:r>
      <w:r>
        <w:rPr>
          <w:rFonts w:ascii="Arial" w:cs="Arial" w:eastAsia="Arial" w:hAnsi="Arial"/>
          <w:sz w:val="18"/>
          <w:szCs w:val="18"/>
          <w:color w:val="auto"/>
        </w:rPr>
        <w:t>, has served as President of ICON Clinical Research Rest of World since April 2004, having previously held the position of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Rest of World since joining the Company in January 2003. Dr. Weng previously worked in the Asia Pacific region for both Pharmanet and Quintiles. Prior to joining the CRO industry in 1997, Dr. Weng worked in the US at the Harvard Medical School and at UCSF. Educated as a physician in China, Dr. Weng subsequently obtained an MBA and a PhD in the UK.</w:t>
      </w: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Dr. Thomas Frey </w:t>
      </w:r>
      <w:r>
        <w:rPr>
          <w:rFonts w:ascii="Arial" w:cs="Arial" w:eastAsia="Arial" w:hAnsi="Arial"/>
          <w:sz w:val="18"/>
          <w:szCs w:val="18"/>
          <w:color w:val="auto"/>
        </w:rPr>
        <w:t>has served as Chief Operating Officer for ICON Clinical Research Europe since June 2001 and previously served as Vice President of ICON</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Operations Europe from January 2000 to May 2001. Dr. Frey has 17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Josephine Coyle </w:t>
      </w:r>
      <w:r>
        <w:rPr>
          <w:rFonts w:ascii="Arial" w:cs="Arial" w:eastAsia="Arial" w:hAnsi="Arial"/>
          <w:sz w:val="18"/>
          <w:szCs w:val="18"/>
          <w:color w:val="auto"/>
        </w:rPr>
        <w:t>has served as Vice President for Corporate Quality Assurance since April 2000. Ms. Coyle has held positions of increasing responsibility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ICON since August 1992 and previously held the position of director of Quality Assurance.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2006, it is anticipated that two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established a compensation committee and an audit committee in 1998 and a nominating committee in 2004, all of which are committees of the Board of Directors and are composed mainly of non-executive directors of ICON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comprises Thomas Lynch (Chairman), Edward Roberts and Dr. Bruce Given. It deals with all aspects of senior executive remuneration. The committee aims to ensure that remuneration packages are competitive so that individuals are appropriately rewarded relative to their responsibility, experience and value to ICON.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Annual bonuses for executive directors are determined by the committee based on the achievement of ICON’s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comprises Edward Roberts (Chairman), Thomas Lynch and Dr. Bruce Given. It reviews the annual report, the quarterly earnings releases, the effectiveness of the system of internal controls, reviews the compliance with our ethical code and legal requirements and approves the appointment and removal of the external auditors. It also addresses all issues raised and recommendations made by the external auditors and pre-approves all auditor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committee</w:t>
      </w:r>
    </w:p>
    <w:p>
      <w:pPr>
        <w:spacing w:after="0" w:line="2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Nomination committee comprises Thomas Lynch,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 The nominating committee held no formal meeting in the seven months to December 31, 2005.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Executive committee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Executive Committee comprises Dr. John Climax, Peter Gray, Dr. Ronan Lambe and Sean Leech who holds the position of Executive Vice President Corporate and Organizational Development of the Company. Established in March 2005, this Committee is responsible for the direction of the business and affairs of the Company in intervals between meetings of the Board and exercises business judgement to act in what the Committee members reasonably believe to be in the best interest of the Company and its shareholders. All powers exercised by the Executive Committee are ratified at board meetings. This Committee convenes as often as it determines to be necessary or appropriate.</w:t>
      </w: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aggregate compensation paid by ICON to all persons who served in the capacity of director or executive officer in the 2005 transition period (9 persons) was approximately $1.3 million, but does not include expenses reimbursed to directors and executive officers (including business travel, professional and business association dues and expenses). As of December 31, 2005, options granted to directors and executive officers of ICON to purchase an aggregate of 115,900 of our ordinary shares were outstanding. The options are exercisable at prices between $18.00 and $35.50 and expire between May 15, 2006 and February 24, 2013.</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officers are eligible to participate in ICON’s Incentive Share Option Scheme. See Note 10 to the Consolidated Financial Statements.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employed 3,036, 2,713, 2,432 and 2,280 people for the seven month period ending December 31, 2005, and the years ended May 31, 2005, May 31, 2004 and May 31, 2003 respectively. Our employees are not unionized and we believe that our relations with our employees are good.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8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following table sets forth certain information regarding beneficial ownership of our ordinary shares (including ADSs) as of February 27, 2006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3660" w:type="dxa"/>
            <w:vAlign w:val="bottom"/>
          </w:tcPr>
          <w:p>
            <w:pPr>
              <w:ind w:left="1240"/>
              <w:spacing w:after="0"/>
              <w:rPr>
                <w:sz w:val="20"/>
                <w:szCs w:val="20"/>
                <w:color w:val="auto"/>
              </w:rPr>
            </w:pPr>
            <w:r>
              <w:rPr>
                <w:rFonts w:ascii="Arial" w:cs="Arial" w:eastAsia="Arial" w:hAnsi="Arial"/>
                <w:sz w:val="18"/>
                <w:szCs w:val="18"/>
                <w:b w:val="1"/>
                <w:bCs w:val="1"/>
                <w:color w:val="auto"/>
              </w:rPr>
              <w:t>No. of Shares (1)</w:t>
            </w:r>
          </w:p>
        </w:tc>
        <w:tc>
          <w:tcPr>
            <w:tcW w:w="3680" w:type="dxa"/>
            <w:vAlign w:val="bottom"/>
          </w:tcPr>
          <w:p>
            <w:pPr>
              <w:ind w:left="1160"/>
              <w:spacing w:after="0"/>
              <w:rPr>
                <w:sz w:val="20"/>
                <w:szCs w:val="20"/>
                <w:color w:val="auto"/>
              </w:rPr>
            </w:pPr>
            <w:r>
              <w:rPr>
                <w:rFonts w:ascii="Arial" w:cs="Arial" w:eastAsia="Arial" w:hAnsi="Arial"/>
                <w:sz w:val="18"/>
                <w:szCs w:val="18"/>
                <w:b w:val="1"/>
                <w:bCs w:val="1"/>
                <w:color w:val="auto"/>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2EEF6"/>
          </w:tcPr>
          <w:p>
            <w:pPr>
              <w:spacing w:after="0"/>
              <w:rPr>
                <w:sz w:val="20"/>
                <w:szCs w:val="20"/>
                <w:color w:val="auto"/>
              </w:rPr>
            </w:pPr>
            <w:r>
              <w:rPr>
                <w:rFonts w:ascii="Arial" w:cs="Arial" w:eastAsia="Arial" w:hAnsi="Arial"/>
                <w:sz w:val="18"/>
                <w:szCs w:val="18"/>
                <w:color w:val="auto"/>
              </w:rPr>
              <w:t>Dr. John Climax</w:t>
            </w:r>
          </w:p>
        </w:tc>
        <w:tc>
          <w:tcPr>
            <w:tcW w:w="3660" w:type="dxa"/>
            <w:vAlign w:val="bottom"/>
            <w:tcBorders>
              <w:top w:val="single" w:sz="8" w:color="auto"/>
            </w:tcBorders>
            <w:shd w:val="clear" w:color="auto" w:fill="E2EEF6"/>
          </w:tcPr>
          <w:p>
            <w:pPr>
              <w:ind w:left="1240"/>
              <w:spacing w:after="0"/>
              <w:rPr>
                <w:sz w:val="20"/>
                <w:szCs w:val="20"/>
                <w:color w:val="auto"/>
              </w:rPr>
            </w:pPr>
            <w:r>
              <w:rPr>
                <w:rFonts w:ascii="Arial" w:cs="Arial" w:eastAsia="Arial" w:hAnsi="Arial"/>
                <w:sz w:val="18"/>
                <w:szCs w:val="18"/>
                <w:color w:val="auto"/>
              </w:rPr>
              <w:t>1,476,892</w:t>
            </w:r>
          </w:p>
        </w:tc>
        <w:tc>
          <w:tcPr>
            <w:tcW w:w="3680" w:type="dxa"/>
            <w:vAlign w:val="bottom"/>
            <w:tcBorders>
              <w:top w:val="single" w:sz="8" w:color="auto"/>
            </w:tcBorders>
            <w:shd w:val="clear" w:color="auto" w:fill="E2EEF6"/>
          </w:tcPr>
          <w:p>
            <w:pPr>
              <w:ind w:left="1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2EEF6"/>
          </w:tcPr>
          <w:p>
            <w:pPr>
              <w:spacing w:after="0"/>
              <w:rPr>
                <w:sz w:val="20"/>
                <w:szCs w:val="20"/>
                <w:color w:val="auto"/>
              </w:rPr>
            </w:pPr>
            <w:r>
              <w:rPr>
                <w:rFonts w:ascii="Arial" w:cs="Arial" w:eastAsia="Arial" w:hAnsi="Arial"/>
                <w:sz w:val="18"/>
                <w:szCs w:val="18"/>
                <w:color w:val="auto"/>
              </w:rPr>
              <w:t>Dr. Ronan Lambe</w:t>
            </w:r>
          </w:p>
        </w:tc>
        <w:tc>
          <w:tcPr>
            <w:tcW w:w="3660" w:type="dxa"/>
            <w:vAlign w:val="bottom"/>
            <w:shd w:val="clear" w:color="auto" w:fill="E2EEF6"/>
          </w:tcPr>
          <w:p>
            <w:pPr>
              <w:ind w:left="1240"/>
              <w:spacing w:after="0"/>
              <w:rPr>
                <w:sz w:val="20"/>
                <w:szCs w:val="20"/>
                <w:color w:val="auto"/>
              </w:rPr>
            </w:pPr>
            <w:r>
              <w:rPr>
                <w:rFonts w:ascii="Arial" w:cs="Arial" w:eastAsia="Arial" w:hAnsi="Arial"/>
                <w:sz w:val="18"/>
                <w:szCs w:val="18"/>
                <w:color w:val="auto"/>
              </w:rPr>
              <w:t>944,470</w:t>
            </w:r>
          </w:p>
        </w:tc>
        <w:tc>
          <w:tcPr>
            <w:tcW w:w="3680" w:type="dxa"/>
            <w:vAlign w:val="bottom"/>
            <w:shd w:val="clear" w:color="auto" w:fill="E2EEF6"/>
          </w:tcPr>
          <w:p>
            <w:pPr>
              <w:ind w:left="11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Mr. Peter Gray</w:t>
            </w:r>
          </w:p>
        </w:tc>
        <w:tc>
          <w:tcPr>
            <w:tcW w:w="3660" w:type="dxa"/>
            <w:vAlign w:val="bottom"/>
          </w:tcPr>
          <w:p>
            <w:pPr>
              <w:ind w:left="1240"/>
              <w:spacing w:after="0"/>
              <w:rPr>
                <w:sz w:val="20"/>
                <w:szCs w:val="20"/>
                <w:color w:val="auto"/>
              </w:rPr>
            </w:pPr>
            <w:r>
              <w:rPr>
                <w:rFonts w:ascii="Arial" w:cs="Arial" w:eastAsia="Arial" w:hAnsi="Arial"/>
                <w:sz w:val="18"/>
                <w:szCs w:val="18"/>
                <w:color w:val="auto"/>
              </w:rPr>
              <w:t>178,220</w:t>
            </w:r>
          </w:p>
        </w:tc>
        <w:tc>
          <w:tcPr>
            <w:tcW w:w="3680" w:type="dxa"/>
            <w:vAlign w:val="bottom"/>
          </w:tcPr>
          <w:p>
            <w:pPr>
              <w:ind w:left="1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2EEF6"/>
          </w:tcPr>
          <w:p>
            <w:pPr>
              <w:spacing w:after="0"/>
              <w:rPr>
                <w:sz w:val="20"/>
                <w:szCs w:val="20"/>
                <w:color w:val="auto"/>
              </w:rPr>
            </w:pPr>
            <w:r>
              <w:rPr>
                <w:rFonts w:ascii="Arial" w:cs="Arial" w:eastAsia="Arial" w:hAnsi="Arial"/>
                <w:sz w:val="18"/>
                <w:szCs w:val="18"/>
                <w:color w:val="auto"/>
              </w:rPr>
              <w:t>Mr. Sean Leech</w:t>
            </w:r>
          </w:p>
        </w:tc>
        <w:tc>
          <w:tcPr>
            <w:tcW w:w="3660" w:type="dxa"/>
            <w:vAlign w:val="bottom"/>
            <w:shd w:val="clear" w:color="auto" w:fill="E2EEF6"/>
          </w:tcPr>
          <w:p>
            <w:pPr>
              <w:ind w:left="1240"/>
              <w:spacing w:after="0"/>
              <w:rPr>
                <w:sz w:val="20"/>
                <w:szCs w:val="20"/>
                <w:color w:val="auto"/>
              </w:rPr>
            </w:pPr>
            <w:r>
              <w:rPr>
                <w:rFonts w:ascii="Arial" w:cs="Arial" w:eastAsia="Arial" w:hAnsi="Arial"/>
                <w:sz w:val="18"/>
                <w:szCs w:val="18"/>
                <w:color w:val="auto"/>
              </w:rPr>
              <w:t>-</w:t>
            </w:r>
          </w:p>
        </w:tc>
        <w:tc>
          <w:tcPr>
            <w:tcW w:w="3680" w:type="dxa"/>
            <w:vAlign w:val="bottom"/>
            <w:shd w:val="clear" w:color="auto" w:fill="E2EEF6"/>
          </w:tcPr>
          <w:p>
            <w:pPr>
              <w:ind w:left="1160"/>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Mr. Thomas Lynch</w:t>
            </w:r>
          </w:p>
        </w:tc>
        <w:tc>
          <w:tcPr>
            <w:tcW w:w="3660" w:type="dxa"/>
            <w:vAlign w:val="bottom"/>
          </w:tcPr>
          <w:p>
            <w:pPr>
              <w:ind w:left="1240"/>
              <w:spacing w:after="0"/>
              <w:rPr>
                <w:sz w:val="20"/>
                <w:szCs w:val="20"/>
                <w:color w:val="auto"/>
              </w:rPr>
            </w:pPr>
            <w:r>
              <w:rPr>
                <w:rFonts w:ascii="Arial" w:cs="Arial" w:eastAsia="Arial" w:hAnsi="Arial"/>
                <w:sz w:val="18"/>
                <w:szCs w:val="18"/>
                <w:color w:val="auto"/>
              </w:rPr>
              <w:t>1</w:t>
            </w:r>
          </w:p>
        </w:tc>
        <w:tc>
          <w:tcPr>
            <w:tcW w:w="3680" w:type="dxa"/>
            <w:vAlign w:val="bottom"/>
          </w:tcPr>
          <w:p>
            <w:pPr>
              <w:ind w:left="116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2EEF6"/>
          </w:tcPr>
          <w:p>
            <w:pPr>
              <w:spacing w:after="0"/>
              <w:rPr>
                <w:sz w:val="20"/>
                <w:szCs w:val="20"/>
                <w:color w:val="auto"/>
              </w:rPr>
            </w:pPr>
            <w:r>
              <w:rPr>
                <w:rFonts w:ascii="Arial" w:cs="Arial" w:eastAsia="Arial" w:hAnsi="Arial"/>
                <w:sz w:val="18"/>
                <w:szCs w:val="18"/>
                <w:color w:val="auto"/>
              </w:rPr>
              <w:t>Mr. Edward Roberts</w:t>
            </w:r>
          </w:p>
        </w:tc>
        <w:tc>
          <w:tcPr>
            <w:tcW w:w="3660" w:type="dxa"/>
            <w:vAlign w:val="bottom"/>
            <w:shd w:val="clear" w:color="auto" w:fill="E2EEF6"/>
          </w:tcPr>
          <w:p>
            <w:pPr>
              <w:ind w:left="1240"/>
              <w:spacing w:after="0"/>
              <w:rPr>
                <w:sz w:val="20"/>
                <w:szCs w:val="20"/>
                <w:color w:val="auto"/>
              </w:rPr>
            </w:pPr>
            <w:r>
              <w:rPr>
                <w:rFonts w:ascii="Arial" w:cs="Arial" w:eastAsia="Arial" w:hAnsi="Arial"/>
                <w:sz w:val="18"/>
                <w:szCs w:val="18"/>
                <w:color w:val="auto"/>
              </w:rPr>
              <w:t>1</w:t>
            </w:r>
          </w:p>
        </w:tc>
        <w:tc>
          <w:tcPr>
            <w:tcW w:w="3680" w:type="dxa"/>
            <w:vAlign w:val="bottom"/>
            <w:shd w:val="clear" w:color="auto" w:fill="E2EEF6"/>
          </w:tcPr>
          <w:p>
            <w:pPr>
              <w:ind w:left="11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Mr. Shugi Higuchi</w:t>
            </w:r>
          </w:p>
        </w:tc>
        <w:tc>
          <w:tcPr>
            <w:tcW w:w="3660" w:type="dxa"/>
            <w:vAlign w:val="bottom"/>
          </w:tcPr>
          <w:p>
            <w:pPr>
              <w:ind w:left="1240"/>
              <w:spacing w:after="0"/>
              <w:rPr>
                <w:sz w:val="20"/>
                <w:szCs w:val="20"/>
                <w:color w:val="auto"/>
              </w:rPr>
            </w:pPr>
            <w:r>
              <w:rPr>
                <w:rFonts w:ascii="Arial" w:cs="Arial" w:eastAsia="Arial" w:hAnsi="Arial"/>
                <w:sz w:val="18"/>
                <w:szCs w:val="18"/>
                <w:color w:val="auto"/>
              </w:rPr>
              <w:t>-</w:t>
            </w:r>
          </w:p>
        </w:tc>
        <w:tc>
          <w:tcPr>
            <w:tcW w:w="3680" w:type="dxa"/>
            <w:vAlign w:val="bottom"/>
          </w:tcPr>
          <w:p>
            <w:pPr>
              <w:ind w:left="11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2EEF6"/>
          </w:tcPr>
          <w:p>
            <w:pPr>
              <w:spacing w:after="0"/>
              <w:rPr>
                <w:sz w:val="20"/>
                <w:szCs w:val="20"/>
                <w:color w:val="auto"/>
              </w:rPr>
            </w:pPr>
            <w:r>
              <w:rPr>
                <w:rFonts w:ascii="Arial" w:cs="Arial" w:eastAsia="Arial" w:hAnsi="Arial"/>
                <w:sz w:val="18"/>
                <w:szCs w:val="18"/>
                <w:color w:val="auto"/>
              </w:rPr>
              <w:t>Dr. Bruce Given</w:t>
            </w:r>
          </w:p>
        </w:tc>
        <w:tc>
          <w:tcPr>
            <w:tcW w:w="3660" w:type="dxa"/>
            <w:vAlign w:val="bottom"/>
            <w:shd w:val="clear" w:color="auto" w:fill="E2EEF6"/>
          </w:tcPr>
          <w:p>
            <w:pPr>
              <w:ind w:left="1240"/>
              <w:spacing w:after="0"/>
              <w:rPr>
                <w:sz w:val="20"/>
                <w:szCs w:val="20"/>
                <w:color w:val="auto"/>
              </w:rPr>
            </w:pPr>
            <w:r>
              <w:rPr>
                <w:rFonts w:ascii="Arial" w:cs="Arial" w:eastAsia="Arial" w:hAnsi="Arial"/>
                <w:sz w:val="18"/>
                <w:szCs w:val="18"/>
                <w:color w:val="auto"/>
              </w:rPr>
              <w:t>-</w:t>
            </w:r>
          </w:p>
        </w:tc>
        <w:tc>
          <w:tcPr>
            <w:tcW w:w="3680" w:type="dxa"/>
            <w:vAlign w:val="bottom"/>
            <w:shd w:val="clear" w:color="auto" w:fill="E2EEF6"/>
          </w:tcPr>
          <w:p>
            <w:pPr>
              <w:ind w:left="1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980" w:hanging="34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options can be granted after January 17,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8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transition period ended December 31, 2005, the total remuneration paid to our directors and executive officers including salary, bonus, pension and benefits-in-kind but excluding stock based compensation (twelve month period ended May 31, 2005: $1,867,984),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460" w:type="dxa"/>
            <w:vAlign w:val="bottom"/>
            <w:gridSpan w:val="2"/>
          </w:tcPr>
          <w:p>
            <w:pPr>
              <w:ind w:left="4500"/>
              <w:spacing w:after="0"/>
              <w:rPr>
                <w:sz w:val="20"/>
                <w:szCs w:val="20"/>
                <w:color w:val="auto"/>
              </w:rPr>
            </w:pPr>
            <w:r>
              <w:rPr>
                <w:rFonts w:ascii="Arial" w:cs="Arial" w:eastAsia="Arial" w:hAnsi="Arial"/>
                <w:sz w:val="18"/>
                <w:szCs w:val="18"/>
                <w:b w:val="1"/>
                <w:bCs w:val="1"/>
                <w:color w:val="auto"/>
              </w:rPr>
              <w:t>U.S.$</w:t>
            </w:r>
          </w:p>
        </w:tc>
      </w:tr>
      <w:tr>
        <w:trPr>
          <w:trHeight w:val="27"/>
        </w:trPr>
        <w:tc>
          <w:tcPr>
            <w:tcW w:w="2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E2EEF6"/>
          </w:tcPr>
          <w:p>
            <w:pPr>
              <w:spacing w:after="0"/>
              <w:rPr>
                <w:sz w:val="20"/>
                <w:szCs w:val="20"/>
                <w:color w:val="auto"/>
              </w:rPr>
            </w:pPr>
            <w:r>
              <w:rPr>
                <w:rFonts w:ascii="Arial" w:cs="Arial" w:eastAsia="Arial" w:hAnsi="Arial"/>
                <w:sz w:val="18"/>
                <w:szCs w:val="18"/>
                <w:color w:val="auto"/>
              </w:rPr>
              <w:t>Dr. John Climax</w:t>
            </w:r>
          </w:p>
        </w:tc>
        <w:tc>
          <w:tcPr>
            <w:tcW w:w="5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426,557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Dr. Ronan Lambe</w:t>
            </w:r>
          </w:p>
        </w:tc>
        <w:tc>
          <w:tcPr>
            <w:tcW w:w="5440" w:type="dxa"/>
            <w:vAlign w:val="bottom"/>
          </w:tcPr>
          <w:p>
            <w:pPr>
              <w:jc w:val="right"/>
              <w:spacing w:after="0"/>
              <w:rPr>
                <w:sz w:val="20"/>
                <w:szCs w:val="20"/>
                <w:color w:val="auto"/>
              </w:rPr>
            </w:pPr>
            <w:r>
              <w:rPr>
                <w:rFonts w:ascii="Arial" w:cs="Arial" w:eastAsia="Arial" w:hAnsi="Arial"/>
                <w:sz w:val="18"/>
                <w:szCs w:val="18"/>
                <w:color w:val="auto"/>
              </w:rPr>
              <w:t>156,589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2EEF6"/>
          </w:tcPr>
          <w:p>
            <w:pPr>
              <w:spacing w:after="0"/>
              <w:rPr>
                <w:sz w:val="20"/>
                <w:szCs w:val="20"/>
                <w:color w:val="auto"/>
              </w:rPr>
            </w:pPr>
            <w:r>
              <w:rPr>
                <w:rFonts w:ascii="Arial" w:cs="Arial" w:eastAsia="Arial" w:hAnsi="Arial"/>
                <w:sz w:val="18"/>
                <w:szCs w:val="18"/>
                <w:color w:val="auto"/>
              </w:rPr>
              <w:t>Mr. Peter Gray</w:t>
            </w:r>
          </w:p>
        </w:tc>
        <w:tc>
          <w:tcPr>
            <w:tcW w:w="5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351,268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Mr. Sean Leech</w:t>
            </w:r>
          </w:p>
        </w:tc>
        <w:tc>
          <w:tcPr>
            <w:tcW w:w="5440" w:type="dxa"/>
            <w:vAlign w:val="bottom"/>
          </w:tcPr>
          <w:p>
            <w:pPr>
              <w:jc w:val="right"/>
              <w:spacing w:after="0"/>
              <w:rPr>
                <w:sz w:val="20"/>
                <w:szCs w:val="20"/>
                <w:color w:val="auto"/>
              </w:rPr>
            </w:pPr>
            <w:r>
              <w:rPr>
                <w:rFonts w:ascii="Arial" w:cs="Arial" w:eastAsia="Arial" w:hAnsi="Arial"/>
                <w:sz w:val="18"/>
                <w:szCs w:val="18"/>
                <w:color w:val="auto"/>
              </w:rPr>
              <w:t>212,082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2EEF6"/>
          </w:tcPr>
          <w:p>
            <w:pPr>
              <w:spacing w:after="0"/>
              <w:rPr>
                <w:sz w:val="20"/>
                <w:szCs w:val="20"/>
                <w:color w:val="auto"/>
              </w:rPr>
            </w:pPr>
            <w:r>
              <w:rPr>
                <w:rFonts w:ascii="Arial" w:cs="Arial" w:eastAsia="Arial" w:hAnsi="Arial"/>
                <w:sz w:val="18"/>
                <w:szCs w:val="18"/>
                <w:color w:val="auto"/>
              </w:rPr>
              <w:t>Mr Ciaran Murray</w:t>
            </w:r>
          </w:p>
        </w:tc>
        <w:tc>
          <w:tcPr>
            <w:tcW w:w="5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78,884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Mr. Edward Roberts</w:t>
            </w:r>
          </w:p>
        </w:tc>
        <w:tc>
          <w:tcPr>
            <w:tcW w:w="544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2EEF6"/>
          </w:tcPr>
          <w:p>
            <w:pPr>
              <w:spacing w:after="0"/>
              <w:rPr>
                <w:sz w:val="20"/>
                <w:szCs w:val="20"/>
                <w:color w:val="auto"/>
              </w:rPr>
            </w:pPr>
            <w:r>
              <w:rPr>
                <w:rFonts w:ascii="Arial" w:cs="Arial" w:eastAsia="Arial" w:hAnsi="Arial"/>
                <w:sz w:val="18"/>
                <w:szCs w:val="18"/>
                <w:color w:val="auto"/>
              </w:rPr>
              <w:t>Mr. Thomas Lynch</w:t>
            </w:r>
          </w:p>
        </w:tc>
        <w:tc>
          <w:tcPr>
            <w:tcW w:w="5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Mr. Shugi Higuchi</w:t>
            </w:r>
          </w:p>
        </w:tc>
        <w:tc>
          <w:tcPr>
            <w:tcW w:w="5440" w:type="dxa"/>
            <w:vAlign w:val="bottom"/>
          </w:tcPr>
          <w:p>
            <w:pPr>
              <w:jc w:val="right"/>
              <w:spacing w:after="0"/>
              <w:rPr>
                <w:sz w:val="20"/>
                <w:szCs w:val="20"/>
                <w:color w:val="auto"/>
              </w:rPr>
            </w:pPr>
            <w:r>
              <w:rPr>
                <w:rFonts w:ascii="Arial" w:cs="Arial" w:eastAsia="Arial" w:hAnsi="Arial"/>
                <w:sz w:val="18"/>
                <w:szCs w:val="18"/>
                <w:color w:val="auto"/>
              </w:rPr>
              <w:t>13,756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2EEF6"/>
          </w:tcPr>
          <w:p>
            <w:pPr>
              <w:spacing w:after="0"/>
              <w:rPr>
                <w:sz w:val="20"/>
                <w:szCs w:val="20"/>
                <w:color w:val="auto"/>
              </w:rPr>
            </w:pPr>
            <w:r>
              <w:rPr>
                <w:rFonts w:ascii="Arial" w:cs="Arial" w:eastAsia="Arial" w:hAnsi="Arial"/>
                <w:sz w:val="18"/>
                <w:szCs w:val="18"/>
                <w:color w:val="auto"/>
              </w:rPr>
              <w:t>Dr. Bruce Given</w:t>
            </w:r>
          </w:p>
        </w:tc>
        <w:tc>
          <w:tcPr>
            <w:tcW w:w="5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$1,299,136</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83" w:lineRule="exact"/>
        <w:rPr>
          <w:sz w:val="20"/>
          <w:szCs w:val="20"/>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79" w:lineRule="exact"/>
        <w:rPr>
          <w:rFonts w:ascii="Arial" w:cs="Arial" w:eastAsia="Arial" w:hAnsi="Arial"/>
          <w:sz w:val="18"/>
          <w:szCs w:val="18"/>
          <w:color w:val="auto"/>
        </w:rPr>
      </w:pPr>
    </w:p>
    <w:p>
      <w:pPr>
        <w:ind w:left="980" w:right="100" w:hanging="324"/>
        <w:spacing w:after="0" w:line="257" w:lineRule="auto"/>
        <w:tabs>
          <w:tab w:leader="none" w:pos="10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regarding beneficial ownership of ICON's ordinary shares (including ADSs) as of February 27, 2006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2400" w:type="dxa"/>
            <w:vAlign w:val="bottom"/>
          </w:tcPr>
          <w:p>
            <w:pPr>
              <w:jc w:val="right"/>
              <w:ind w:right="930"/>
              <w:spacing w:after="0"/>
              <w:rPr>
                <w:sz w:val="20"/>
                <w:szCs w:val="20"/>
                <w:color w:val="auto"/>
              </w:rPr>
            </w:pPr>
            <w:r>
              <w:rPr>
                <w:rFonts w:ascii="Arial" w:cs="Arial" w:eastAsia="Arial" w:hAnsi="Arial"/>
                <w:sz w:val="18"/>
                <w:szCs w:val="18"/>
                <w:b w:val="1"/>
                <w:bCs w:val="1"/>
                <w:color w:val="auto"/>
                <w:w w:val="95"/>
              </w:rPr>
              <w:t>No. of Shares (1)</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Percent of Class</w:t>
            </w: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E2EEF6"/>
          </w:tcPr>
          <w:p>
            <w:pPr>
              <w:spacing w:after="0"/>
              <w:rPr>
                <w:sz w:val="20"/>
                <w:szCs w:val="20"/>
                <w:color w:val="auto"/>
              </w:rPr>
            </w:pPr>
            <w:r>
              <w:rPr>
                <w:rFonts w:ascii="Arial" w:cs="Arial" w:eastAsia="Arial" w:hAnsi="Arial"/>
                <w:sz w:val="18"/>
                <w:szCs w:val="18"/>
                <w:color w:val="auto"/>
              </w:rPr>
              <w:t>Fidelity Group Companies (4)</w:t>
            </w:r>
          </w:p>
        </w:tc>
        <w:tc>
          <w:tcPr>
            <w:tcW w:w="240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2,098,681</w:t>
            </w:r>
          </w:p>
        </w:tc>
        <w:tc>
          <w:tcPr>
            <w:tcW w:w="248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Wasatch Group Companies (4)</w:t>
            </w:r>
          </w:p>
        </w:tc>
        <w:tc>
          <w:tcPr>
            <w:tcW w:w="2400" w:type="dxa"/>
            <w:vAlign w:val="bottom"/>
          </w:tcPr>
          <w:p>
            <w:pPr>
              <w:jc w:val="right"/>
              <w:spacing w:after="0"/>
              <w:rPr>
                <w:sz w:val="20"/>
                <w:szCs w:val="20"/>
                <w:color w:val="auto"/>
              </w:rPr>
            </w:pPr>
            <w:r>
              <w:rPr>
                <w:rFonts w:ascii="Arial" w:cs="Arial" w:eastAsia="Arial" w:hAnsi="Arial"/>
                <w:sz w:val="18"/>
                <w:szCs w:val="18"/>
                <w:color w:val="auto"/>
              </w:rPr>
              <w:t>1,635,083</w:t>
            </w:r>
          </w:p>
        </w:tc>
        <w:tc>
          <w:tcPr>
            <w:tcW w:w="24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Dr. John Climax (2)</w:t>
            </w:r>
          </w:p>
        </w:tc>
        <w:tc>
          <w:tcPr>
            <w:tcW w:w="2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1,491,892</w:t>
            </w:r>
          </w:p>
        </w:tc>
        <w:tc>
          <w:tcPr>
            <w:tcW w:w="2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Dr. Ronan Lambe (3)</w:t>
            </w:r>
          </w:p>
        </w:tc>
        <w:tc>
          <w:tcPr>
            <w:tcW w:w="2400" w:type="dxa"/>
            <w:vAlign w:val="bottom"/>
          </w:tcPr>
          <w:p>
            <w:pPr>
              <w:jc w:val="right"/>
              <w:spacing w:after="0"/>
              <w:rPr>
                <w:sz w:val="20"/>
                <w:szCs w:val="20"/>
                <w:color w:val="auto"/>
              </w:rPr>
            </w:pPr>
            <w:r>
              <w:rPr>
                <w:rFonts w:ascii="Arial" w:cs="Arial" w:eastAsia="Arial" w:hAnsi="Arial"/>
                <w:sz w:val="18"/>
                <w:szCs w:val="18"/>
                <w:color w:val="auto"/>
              </w:rPr>
              <w:t>951,470</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Wellington Management Co. LLP</w:t>
            </w:r>
          </w:p>
        </w:tc>
        <w:tc>
          <w:tcPr>
            <w:tcW w:w="2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887,812</w:t>
            </w:r>
          </w:p>
        </w:tc>
        <w:tc>
          <w:tcPr>
            <w:tcW w:w="2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Lord Abbott &amp; Co LLC</w:t>
            </w:r>
          </w:p>
        </w:tc>
        <w:tc>
          <w:tcPr>
            <w:tcW w:w="2400" w:type="dxa"/>
            <w:vAlign w:val="bottom"/>
          </w:tcPr>
          <w:p>
            <w:pPr>
              <w:jc w:val="right"/>
              <w:spacing w:after="0"/>
              <w:rPr>
                <w:sz w:val="20"/>
                <w:szCs w:val="20"/>
                <w:color w:val="auto"/>
              </w:rPr>
            </w:pPr>
            <w:r>
              <w:rPr>
                <w:rFonts w:ascii="Arial" w:cs="Arial" w:eastAsia="Arial" w:hAnsi="Arial"/>
                <w:sz w:val="18"/>
                <w:szCs w:val="18"/>
                <w:color w:val="auto"/>
              </w:rPr>
              <w:t>884,902</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Dalton, Greiner, Hartman, Maher &amp; Co. (4)</w:t>
            </w:r>
          </w:p>
        </w:tc>
        <w:tc>
          <w:tcPr>
            <w:tcW w:w="2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753,315</w:t>
            </w:r>
          </w:p>
        </w:tc>
        <w:tc>
          <w:tcPr>
            <w:tcW w:w="2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All directors and officers as a group (5)</w:t>
            </w:r>
          </w:p>
        </w:tc>
        <w:tc>
          <w:tcPr>
            <w:tcW w:w="2400" w:type="dxa"/>
            <w:vAlign w:val="bottom"/>
          </w:tcPr>
          <w:p>
            <w:pPr>
              <w:jc w:val="right"/>
              <w:spacing w:after="0"/>
              <w:rPr>
                <w:sz w:val="20"/>
                <w:szCs w:val="20"/>
                <w:color w:val="auto"/>
              </w:rPr>
            </w:pPr>
            <w:r>
              <w:rPr>
                <w:rFonts w:ascii="Arial" w:cs="Arial" w:eastAsia="Arial" w:hAnsi="Arial"/>
                <w:sz w:val="18"/>
                <w:szCs w:val="18"/>
                <w:color w:val="auto"/>
              </w:rPr>
              <w:t>2,901,604</w:t>
            </w:r>
          </w:p>
        </w:tc>
        <w:tc>
          <w:tcPr>
            <w:tcW w:w="248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8920" w:type="dxa"/>
            <w:vAlign w:val="bottom"/>
            <w:gridSpan w:val="2"/>
          </w:tcPr>
          <w:p>
            <w:pPr>
              <w:jc w:val="right"/>
              <w:ind w:right="1090"/>
              <w:spacing w:after="0"/>
              <w:rPr>
                <w:sz w:val="20"/>
                <w:szCs w:val="20"/>
                <w:color w:val="auto"/>
              </w:rPr>
            </w:pPr>
            <w:r>
              <w:rPr>
                <w:rFonts w:ascii="Arial" w:cs="Arial" w:eastAsia="Arial" w:hAnsi="Arial"/>
                <w:sz w:val="18"/>
                <w:szCs w:val="18"/>
                <w:color w:val="auto"/>
                <w:w w:val="98"/>
              </w:rPr>
              <w:t>(1) As used in this table, each person has the sole or shared power to vote or direct the voting of a</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8920" w:type="dxa"/>
            <w:vAlign w:val="bottom"/>
            <w:gridSpan w:val="2"/>
          </w:tcPr>
          <w:p>
            <w:pPr>
              <w:ind w:left="960"/>
              <w:spacing w:after="0"/>
              <w:rPr>
                <w:sz w:val="20"/>
                <w:szCs w:val="20"/>
                <w:color w:val="auto"/>
              </w:rPr>
            </w:pPr>
            <w:r>
              <w:rPr>
                <w:rFonts w:ascii="Arial" w:cs="Arial" w:eastAsia="Arial" w:hAnsi="Arial"/>
                <w:sz w:val="18"/>
                <w:szCs w:val="18"/>
                <w:color w:val="auto"/>
                <w:w w:val="98"/>
              </w:rPr>
              <w:t>security, or the sole or shared investment power with respect to a security (i.e., the power to dispose,</w:t>
            </w: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w w:val="95"/>
              </w:rPr>
              <w:t>or direct the disposition, of a</w:t>
            </w:r>
          </w:p>
        </w:tc>
      </w:tr>
      <w:tr>
        <w:trPr>
          <w:trHeight w:val="216"/>
        </w:trPr>
        <w:tc>
          <w:tcPr>
            <w:tcW w:w="20" w:type="dxa"/>
            <w:vAlign w:val="bottom"/>
          </w:tcPr>
          <w:p>
            <w:pPr>
              <w:spacing w:after="0"/>
              <w:rPr>
                <w:sz w:val="18"/>
                <w:szCs w:val="18"/>
                <w:color w:val="auto"/>
              </w:rPr>
            </w:pPr>
          </w:p>
        </w:tc>
        <w:tc>
          <w:tcPr>
            <w:tcW w:w="6520" w:type="dxa"/>
            <w:vAlign w:val="bottom"/>
          </w:tcPr>
          <w:p>
            <w:pPr>
              <w:ind w:left="960"/>
              <w:spacing w:after="0"/>
              <w:rPr>
                <w:sz w:val="20"/>
                <w:szCs w:val="20"/>
                <w:color w:val="auto"/>
              </w:rPr>
            </w:pPr>
            <w:r>
              <w:rPr>
                <w:rFonts w:ascii="Arial" w:cs="Arial" w:eastAsia="Arial" w:hAnsi="Arial"/>
                <w:sz w:val="18"/>
                <w:szCs w:val="18"/>
                <w:color w:val="auto"/>
                <w:w w:val="92"/>
              </w:rPr>
              <w:t>security). A person is deemed as of any date to have "beneficial ownership"</w:t>
            </w:r>
          </w:p>
        </w:tc>
        <w:tc>
          <w:tcPr>
            <w:tcW w:w="2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960"/>
              <w:spacing w:after="0"/>
              <w:rPr>
                <w:sz w:val="20"/>
                <w:szCs w:val="20"/>
                <w:color w:val="auto"/>
              </w:rPr>
            </w:pPr>
            <w:r>
              <w:rPr>
                <w:rFonts w:ascii="Arial" w:cs="Arial" w:eastAsia="Arial" w:hAnsi="Arial"/>
                <w:sz w:val="18"/>
                <w:szCs w:val="18"/>
                <w:color w:val="auto"/>
                <w:w w:val="97"/>
              </w:rPr>
              <w:t>of any security if that such person has the right to acquire such security within 60 days after such date.</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5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1,476,852 ADSs held by Poplar Limited, a Jersey company controlled by Dr. Climax, and options to purchase 15,000 ADSs.</w:t>
      </w:r>
    </w:p>
    <w:p>
      <w:pPr>
        <w:spacing w:after="0" w:line="344"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to purchase 7,000 ADSs.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 any voting power in this entity.</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302,020 ordinary shares issuable upon the exercise of stock options granted by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6, 2005, Dr. Ronan Lambe and Dr. John Climax gifted 64,000 and 80,000 ADSs, respectively, to Mr. Peter Gray, the Company’s Chief Executive Officer. ICON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AGI Therapeutics Limited (“AGI”) is a specialty pharmaceutical company focused on developing drug therapies for gastrointestinal diseases and disorders. ICON is engaged in conducting a series of clinical trials on behalf of AGI. In January 2006, Dr. Ronan Lambe was appointed a non-executive director of AGI and takes up the position of non-executive Chairman from February 2006.</w:t>
      </w:r>
    </w:p>
    <w:p>
      <w:pPr>
        <w:spacing w:after="0" w:line="23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$2.7 million. As at December 31, 2005, Amarin Investment Holding Company Limited (a company controlled by Mr. Thomas Lynch), Sunninghill Limited (a company controlled by Dr. John Climax) and Dr. Ronan Lambe held 9.7 million, 6.3 million and 1.6 million shares, respectively, in Amarin. These respective holdings equate to approximately 12.0%, 8.0% and 2.0%, respectively, of Amarin's issued share capital. Thomas Lynch also serves as chairman and non-executive director on the Board of Amarin. During the seven month period to December 31, 2005 the company recognized $0.86m revenue relating to the Amarin Contract. At December 31, 2005, $0.98m was outstanding to be received from Amarin on this trial.</w:t>
      </w:r>
    </w:p>
    <w:p>
      <w:pPr>
        <w:spacing w:after="0" w:line="2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6, 1998, ICON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April 21, 2004, Mr. Gray acquired Clear from Rosa and exercised the Put Option in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both"/>
        <w:ind w:right="20"/>
        <w:spacing w:after="0" w:line="264" w:lineRule="auto"/>
        <w:rPr>
          <w:sz w:val="20"/>
          <w:szCs w:val="20"/>
          <w:color w:val="auto"/>
        </w:rPr>
      </w:pPr>
      <w:r>
        <w:rPr>
          <w:rFonts w:ascii="Arial" w:cs="Arial" w:eastAsia="Arial" w:hAnsi="Arial"/>
          <w:sz w:val="18"/>
          <w:szCs w:val="18"/>
          <w:color w:val="auto"/>
        </w:rPr>
        <w:t>accordance with the terms of the Option Agreement. On April 22, 2004, pursuant to the Option Agreement, ICON purchased the outstanding share capital in Clear from Mr. Gray, the consideration for the acquisition being the issuance of 54,000 fully paid up ordinary shares in ICON, to Mr. Gray, such a sale being the economic equivalent of Mr. Gray exercising his 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the Listing.</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plc’s ADSs as reported by Nasdaq.</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700" w:type="dxa"/>
            <w:vAlign w:val="bottom"/>
          </w:tcPr>
          <w:p>
            <w:pPr>
              <w:ind w:left="2080"/>
              <w:spacing w:after="0"/>
              <w:rPr>
                <w:sz w:val="20"/>
                <w:szCs w:val="20"/>
                <w:color w:val="auto"/>
              </w:rPr>
            </w:pPr>
            <w:r>
              <w:rPr>
                <w:rFonts w:ascii="Arial" w:cs="Arial" w:eastAsia="Arial" w:hAnsi="Arial"/>
                <w:sz w:val="18"/>
                <w:szCs w:val="18"/>
                <w:b w:val="1"/>
                <w:bCs w:val="1"/>
                <w:color w:val="auto"/>
              </w:rPr>
              <w:t>High Sales Price</w:t>
            </w: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Low Sales Price</w:t>
            </w:r>
          </w:p>
        </w:tc>
      </w:tr>
      <w:tr>
        <w:trPr>
          <w:trHeight w:val="28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Year Ending</w:t>
            </w:r>
          </w:p>
        </w:tc>
        <w:tc>
          <w:tcPr>
            <w:tcW w:w="3700" w:type="dxa"/>
            <w:vAlign w:val="bottom"/>
          </w:tcPr>
          <w:p>
            <w:pPr>
              <w:ind w:left="2080"/>
              <w:spacing w:after="0"/>
              <w:rPr>
                <w:sz w:val="20"/>
                <w:szCs w:val="20"/>
                <w:color w:val="auto"/>
              </w:rPr>
            </w:pPr>
            <w:r>
              <w:rPr>
                <w:rFonts w:ascii="Arial" w:cs="Arial" w:eastAsia="Arial" w:hAnsi="Arial"/>
                <w:sz w:val="18"/>
                <w:szCs w:val="18"/>
                <w:b w:val="1"/>
                <w:bCs w:val="1"/>
                <w:color w:val="auto"/>
              </w:rPr>
              <w:t>During Period</w:t>
            </w: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During Period</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E2EEF6"/>
          </w:tcPr>
          <w:p>
            <w:pPr>
              <w:spacing w:after="0"/>
              <w:rPr>
                <w:sz w:val="20"/>
                <w:szCs w:val="20"/>
                <w:color w:val="auto"/>
              </w:rPr>
            </w:pPr>
            <w:r>
              <w:rPr>
                <w:rFonts w:ascii="Arial" w:cs="Arial" w:eastAsia="Arial" w:hAnsi="Arial"/>
                <w:sz w:val="18"/>
                <w:szCs w:val="18"/>
                <w:color w:val="auto"/>
              </w:rPr>
              <w:t>May 31, 2000</w:t>
            </w:r>
          </w:p>
        </w:tc>
        <w:tc>
          <w:tcPr>
            <w:tcW w:w="3700" w:type="dxa"/>
            <w:vAlign w:val="bottom"/>
            <w:tcBorders>
              <w:top w:val="single" w:sz="8" w:color="auto"/>
            </w:tcBorders>
            <w:shd w:val="clear" w:color="auto" w:fill="E2EEF6"/>
          </w:tcPr>
          <w:p>
            <w:pPr>
              <w:ind w:left="2080"/>
              <w:spacing w:after="0"/>
              <w:rPr>
                <w:sz w:val="20"/>
                <w:szCs w:val="20"/>
                <w:color w:val="auto"/>
              </w:rPr>
            </w:pPr>
            <w:r>
              <w:rPr>
                <w:rFonts w:ascii="Arial" w:cs="Arial" w:eastAsia="Arial" w:hAnsi="Arial"/>
                <w:sz w:val="18"/>
                <w:szCs w:val="18"/>
                <w:color w:val="auto"/>
              </w:rPr>
              <w:t>$29.00</w:t>
            </w:r>
          </w:p>
        </w:tc>
        <w:tc>
          <w:tcPr>
            <w:tcW w:w="2220" w:type="dxa"/>
            <w:vAlign w:val="bottom"/>
            <w:tcBorders>
              <w:top w:val="single" w:sz="8" w:color="auto"/>
            </w:tcBorders>
            <w:shd w:val="clear" w:color="auto" w:fill="E2EEF6"/>
          </w:tcPr>
          <w:p>
            <w:pPr>
              <w:ind w:left="360"/>
              <w:spacing w:after="0"/>
              <w:rPr>
                <w:sz w:val="20"/>
                <w:szCs w:val="20"/>
                <w:color w:val="auto"/>
              </w:rPr>
            </w:pPr>
            <w:r>
              <w:rPr>
                <w:rFonts w:ascii="Arial" w:cs="Arial" w:eastAsia="Arial" w:hAnsi="Arial"/>
                <w:sz w:val="18"/>
                <w:szCs w:val="18"/>
                <w:color w:val="auto"/>
              </w:rPr>
              <w:t>$11.87</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May 31, 2001</w:t>
            </w:r>
          </w:p>
        </w:tc>
        <w:tc>
          <w:tcPr>
            <w:tcW w:w="3700" w:type="dxa"/>
            <w:vAlign w:val="bottom"/>
          </w:tcPr>
          <w:p>
            <w:pPr>
              <w:ind w:left="2080"/>
              <w:spacing w:after="0"/>
              <w:rPr>
                <w:sz w:val="20"/>
                <w:szCs w:val="20"/>
                <w:color w:val="auto"/>
              </w:rPr>
            </w:pPr>
            <w:r>
              <w:rPr>
                <w:rFonts w:ascii="Arial" w:cs="Arial" w:eastAsia="Arial" w:hAnsi="Arial"/>
                <w:sz w:val="18"/>
                <w:szCs w:val="18"/>
                <w:color w:val="auto"/>
              </w:rPr>
              <w:t>$29.75</w:t>
            </w:r>
          </w:p>
        </w:tc>
        <w:tc>
          <w:tcPr>
            <w:tcW w:w="2220" w:type="dxa"/>
            <w:vAlign w:val="bottom"/>
          </w:tcPr>
          <w:p>
            <w:pPr>
              <w:ind w:left="36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5480" w:type="dxa"/>
            <w:vAlign w:val="bottom"/>
            <w:shd w:val="clear" w:color="auto" w:fill="E2EEF6"/>
          </w:tcPr>
          <w:p>
            <w:pPr>
              <w:spacing w:after="0"/>
              <w:rPr>
                <w:sz w:val="20"/>
                <w:szCs w:val="20"/>
                <w:color w:val="auto"/>
              </w:rPr>
            </w:pPr>
            <w:r>
              <w:rPr>
                <w:rFonts w:ascii="Arial" w:cs="Arial" w:eastAsia="Arial" w:hAnsi="Arial"/>
                <w:sz w:val="18"/>
                <w:szCs w:val="18"/>
                <w:color w:val="auto"/>
              </w:rPr>
              <w:t>May 31, 2002</w:t>
            </w:r>
          </w:p>
        </w:tc>
        <w:tc>
          <w:tcPr>
            <w:tcW w:w="3700" w:type="dxa"/>
            <w:vAlign w:val="bottom"/>
            <w:shd w:val="clear" w:color="auto" w:fill="E2EEF6"/>
          </w:tcPr>
          <w:p>
            <w:pPr>
              <w:ind w:left="2080"/>
              <w:spacing w:after="0"/>
              <w:rPr>
                <w:sz w:val="20"/>
                <w:szCs w:val="20"/>
                <w:color w:val="auto"/>
              </w:rPr>
            </w:pPr>
            <w:r>
              <w:rPr>
                <w:rFonts w:ascii="Arial" w:cs="Arial" w:eastAsia="Arial" w:hAnsi="Arial"/>
                <w:sz w:val="18"/>
                <w:szCs w:val="18"/>
                <w:color w:val="auto"/>
              </w:rPr>
              <w:t>$39.58</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$22.93</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May 31, 2003</w:t>
            </w:r>
          </w:p>
        </w:tc>
        <w:tc>
          <w:tcPr>
            <w:tcW w:w="3700" w:type="dxa"/>
            <w:vAlign w:val="bottom"/>
          </w:tcPr>
          <w:p>
            <w:pPr>
              <w:ind w:left="2080"/>
              <w:spacing w:after="0"/>
              <w:rPr>
                <w:sz w:val="20"/>
                <w:szCs w:val="20"/>
                <w:color w:val="auto"/>
              </w:rPr>
            </w:pPr>
            <w:r>
              <w:rPr>
                <w:rFonts w:ascii="Arial" w:cs="Arial" w:eastAsia="Arial" w:hAnsi="Arial"/>
                <w:sz w:val="18"/>
                <w:szCs w:val="18"/>
                <w:color w:val="auto"/>
              </w:rPr>
              <w:t>$32.87</w:t>
            </w:r>
          </w:p>
        </w:tc>
        <w:tc>
          <w:tcPr>
            <w:tcW w:w="2220" w:type="dxa"/>
            <w:vAlign w:val="bottom"/>
          </w:tcPr>
          <w:p>
            <w:pPr>
              <w:ind w:left="360"/>
              <w:spacing w:after="0"/>
              <w:rPr>
                <w:sz w:val="20"/>
                <w:szCs w:val="20"/>
                <w:color w:val="auto"/>
              </w:rPr>
            </w:pPr>
            <w:r>
              <w:rPr>
                <w:rFonts w:ascii="Arial" w:cs="Arial" w:eastAsia="Arial" w:hAnsi="Arial"/>
                <w:sz w:val="18"/>
                <w:szCs w:val="18"/>
                <w:color w:val="auto"/>
              </w:rPr>
              <w:t>$14.88</w:t>
            </w:r>
          </w:p>
        </w:tc>
      </w:tr>
      <w:tr>
        <w:trPr>
          <w:trHeight w:val="216"/>
        </w:trPr>
        <w:tc>
          <w:tcPr>
            <w:tcW w:w="20" w:type="dxa"/>
            <w:vAlign w:val="bottom"/>
          </w:tcPr>
          <w:p>
            <w:pPr>
              <w:spacing w:after="0"/>
              <w:rPr>
                <w:sz w:val="18"/>
                <w:szCs w:val="18"/>
                <w:color w:val="auto"/>
              </w:rPr>
            </w:pPr>
          </w:p>
        </w:tc>
        <w:tc>
          <w:tcPr>
            <w:tcW w:w="5480" w:type="dxa"/>
            <w:vAlign w:val="bottom"/>
            <w:shd w:val="clear" w:color="auto" w:fill="E2EEF6"/>
          </w:tcPr>
          <w:p>
            <w:pPr>
              <w:spacing w:after="0"/>
              <w:rPr>
                <w:sz w:val="20"/>
                <w:szCs w:val="20"/>
                <w:color w:val="auto"/>
              </w:rPr>
            </w:pPr>
            <w:r>
              <w:rPr>
                <w:rFonts w:ascii="Arial" w:cs="Arial" w:eastAsia="Arial" w:hAnsi="Arial"/>
                <w:sz w:val="18"/>
                <w:szCs w:val="18"/>
                <w:color w:val="auto"/>
              </w:rPr>
              <w:t>May 31, 2004</w:t>
            </w:r>
          </w:p>
        </w:tc>
        <w:tc>
          <w:tcPr>
            <w:tcW w:w="3700" w:type="dxa"/>
            <w:vAlign w:val="bottom"/>
            <w:shd w:val="clear" w:color="auto" w:fill="E2EEF6"/>
          </w:tcPr>
          <w:p>
            <w:pPr>
              <w:ind w:left="2080"/>
              <w:spacing w:after="0"/>
              <w:rPr>
                <w:sz w:val="20"/>
                <w:szCs w:val="20"/>
                <w:color w:val="auto"/>
              </w:rPr>
            </w:pPr>
            <w:r>
              <w:rPr>
                <w:rFonts w:ascii="Arial" w:cs="Arial" w:eastAsia="Arial" w:hAnsi="Arial"/>
                <w:sz w:val="18"/>
                <w:szCs w:val="18"/>
                <w:color w:val="auto"/>
              </w:rPr>
              <w:t>$46.05</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$25.87</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May 31, 2005</w:t>
            </w:r>
          </w:p>
        </w:tc>
        <w:tc>
          <w:tcPr>
            <w:tcW w:w="3700" w:type="dxa"/>
            <w:vAlign w:val="bottom"/>
          </w:tcPr>
          <w:p>
            <w:pPr>
              <w:ind w:left="2080"/>
              <w:spacing w:after="0"/>
              <w:rPr>
                <w:sz w:val="20"/>
                <w:szCs w:val="20"/>
                <w:color w:val="auto"/>
              </w:rPr>
            </w:pPr>
            <w:r>
              <w:rPr>
                <w:rFonts w:ascii="Arial" w:cs="Arial" w:eastAsia="Arial" w:hAnsi="Arial"/>
                <w:sz w:val="18"/>
                <w:szCs w:val="18"/>
                <w:color w:val="auto"/>
              </w:rPr>
              <w:t>$44.92</w:t>
            </w:r>
          </w:p>
        </w:tc>
        <w:tc>
          <w:tcPr>
            <w:tcW w:w="2220" w:type="dxa"/>
            <w:vAlign w:val="bottom"/>
          </w:tcPr>
          <w:p>
            <w:pPr>
              <w:ind w:left="360"/>
              <w:spacing w:after="0"/>
              <w:rPr>
                <w:sz w:val="20"/>
                <w:szCs w:val="20"/>
                <w:color w:val="auto"/>
              </w:rPr>
            </w:pPr>
            <w:r>
              <w:rPr>
                <w:rFonts w:ascii="Arial" w:cs="Arial" w:eastAsia="Arial" w:hAnsi="Arial"/>
                <w:sz w:val="18"/>
                <w:szCs w:val="18"/>
                <w:color w:val="auto"/>
              </w:rPr>
              <w:t>$30.26</w:t>
            </w:r>
          </w:p>
        </w:tc>
      </w:tr>
      <w:tr>
        <w:trPr>
          <w:trHeight w:val="216"/>
        </w:trPr>
        <w:tc>
          <w:tcPr>
            <w:tcW w:w="20" w:type="dxa"/>
            <w:vAlign w:val="bottom"/>
          </w:tcPr>
          <w:p>
            <w:pPr>
              <w:spacing w:after="0"/>
              <w:rPr>
                <w:sz w:val="18"/>
                <w:szCs w:val="18"/>
                <w:color w:val="auto"/>
              </w:rPr>
            </w:pPr>
          </w:p>
        </w:tc>
        <w:tc>
          <w:tcPr>
            <w:tcW w:w="5480" w:type="dxa"/>
            <w:vAlign w:val="bottom"/>
            <w:shd w:val="clear" w:color="auto" w:fill="E2EEF6"/>
          </w:tcPr>
          <w:p>
            <w:pPr>
              <w:spacing w:after="0"/>
              <w:rPr>
                <w:sz w:val="20"/>
                <w:szCs w:val="20"/>
                <w:color w:val="auto"/>
              </w:rPr>
            </w:pPr>
            <w:r>
              <w:rPr>
                <w:rFonts w:ascii="Arial" w:cs="Arial" w:eastAsia="Arial" w:hAnsi="Arial"/>
                <w:sz w:val="18"/>
                <w:szCs w:val="18"/>
                <w:color w:val="auto"/>
              </w:rPr>
              <w:t>December 31, 2005 (7 month transition period)</w:t>
            </w:r>
          </w:p>
        </w:tc>
        <w:tc>
          <w:tcPr>
            <w:tcW w:w="3700" w:type="dxa"/>
            <w:vAlign w:val="bottom"/>
            <w:shd w:val="clear" w:color="auto" w:fill="E2EEF6"/>
          </w:tcPr>
          <w:p>
            <w:pPr>
              <w:ind w:left="2080"/>
              <w:spacing w:after="0"/>
              <w:rPr>
                <w:sz w:val="20"/>
                <w:szCs w:val="20"/>
                <w:color w:val="auto"/>
              </w:rPr>
            </w:pPr>
            <w:r>
              <w:rPr>
                <w:rFonts w:ascii="Arial" w:cs="Arial" w:eastAsia="Arial" w:hAnsi="Arial"/>
                <w:sz w:val="18"/>
                <w:szCs w:val="18"/>
                <w:color w:val="auto"/>
              </w:rPr>
              <w:t>$50.49</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$30.10</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800" w:type="dxa"/>
            <w:vAlign w:val="bottom"/>
          </w:tcPr>
          <w:p>
            <w:pPr>
              <w:ind w:left="3180"/>
              <w:spacing w:after="0"/>
              <w:rPr>
                <w:sz w:val="20"/>
                <w:szCs w:val="20"/>
                <w:color w:val="auto"/>
              </w:rPr>
            </w:pPr>
            <w:r>
              <w:rPr>
                <w:rFonts w:ascii="Arial" w:cs="Arial" w:eastAsia="Arial" w:hAnsi="Arial"/>
                <w:sz w:val="18"/>
                <w:szCs w:val="18"/>
                <w:b w:val="1"/>
                <w:bCs w:val="1"/>
                <w:color w:val="auto"/>
              </w:rPr>
              <w:t>High Sales Price</w:t>
            </w: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Low Sales Price</w:t>
            </w:r>
          </w:p>
        </w:tc>
      </w:tr>
      <w:tr>
        <w:trPr>
          <w:trHeight w:val="28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Ending</w:t>
            </w:r>
          </w:p>
        </w:tc>
        <w:tc>
          <w:tcPr>
            <w:tcW w:w="4800" w:type="dxa"/>
            <w:vAlign w:val="bottom"/>
            <w:tcBorders>
              <w:bottom w:val="single" w:sz="8" w:color="auto"/>
            </w:tcBorders>
          </w:tcPr>
          <w:p>
            <w:pPr>
              <w:ind w:left="3180"/>
              <w:spacing w:after="0"/>
              <w:rPr>
                <w:sz w:val="20"/>
                <w:szCs w:val="20"/>
                <w:color w:val="auto"/>
              </w:rPr>
            </w:pPr>
            <w:r>
              <w:rPr>
                <w:rFonts w:ascii="Arial" w:cs="Arial" w:eastAsia="Arial" w:hAnsi="Arial"/>
                <w:sz w:val="18"/>
                <w:szCs w:val="18"/>
                <w:b w:val="1"/>
                <w:bCs w:val="1"/>
                <w:color w:val="auto"/>
              </w:rPr>
              <w:t>During Period</w:t>
            </w:r>
          </w:p>
        </w:tc>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During Period</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May 31, 2002</w:t>
            </w:r>
          </w:p>
        </w:tc>
        <w:tc>
          <w:tcPr>
            <w:tcW w:w="4800" w:type="dxa"/>
            <w:vAlign w:val="bottom"/>
          </w:tcPr>
          <w:p>
            <w:pPr>
              <w:ind w:left="3180"/>
              <w:spacing w:after="0"/>
              <w:rPr>
                <w:sz w:val="20"/>
                <w:szCs w:val="20"/>
                <w:color w:val="auto"/>
              </w:rPr>
            </w:pPr>
            <w:r>
              <w:rPr>
                <w:rFonts w:ascii="Arial" w:cs="Arial" w:eastAsia="Arial" w:hAnsi="Arial"/>
                <w:sz w:val="18"/>
                <w:szCs w:val="18"/>
                <w:color w:val="auto"/>
              </w:rPr>
              <w:t>$34.49</w:t>
            </w:r>
          </w:p>
        </w:tc>
        <w:tc>
          <w:tcPr>
            <w:tcW w:w="2220" w:type="dxa"/>
            <w:vAlign w:val="bottom"/>
          </w:tcPr>
          <w:p>
            <w:pPr>
              <w:ind w:left="360"/>
              <w:spacing w:after="0"/>
              <w:rPr>
                <w:sz w:val="20"/>
                <w:szCs w:val="20"/>
                <w:color w:val="auto"/>
              </w:rPr>
            </w:pPr>
            <w:r>
              <w:rPr>
                <w:rFonts w:ascii="Arial" w:cs="Arial" w:eastAsia="Arial" w:hAnsi="Arial"/>
                <w:sz w:val="18"/>
                <w:szCs w:val="18"/>
                <w:color w:val="auto"/>
              </w:rPr>
              <w:t>$23.87</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Aug 31, 2002</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$30.50</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$14.88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Nov 30, 2002</w:t>
            </w:r>
          </w:p>
        </w:tc>
        <w:tc>
          <w:tcPr>
            <w:tcW w:w="4800" w:type="dxa"/>
            <w:vAlign w:val="bottom"/>
          </w:tcPr>
          <w:p>
            <w:pPr>
              <w:ind w:left="3180"/>
              <w:spacing w:after="0"/>
              <w:rPr>
                <w:sz w:val="20"/>
                <w:szCs w:val="20"/>
                <w:color w:val="auto"/>
              </w:rPr>
            </w:pPr>
            <w:r>
              <w:rPr>
                <w:rFonts w:ascii="Arial" w:cs="Arial" w:eastAsia="Arial" w:hAnsi="Arial"/>
                <w:sz w:val="18"/>
                <w:szCs w:val="18"/>
                <w:color w:val="auto"/>
              </w:rPr>
              <w:t>$26.00</w:t>
            </w:r>
          </w:p>
        </w:tc>
        <w:tc>
          <w:tcPr>
            <w:tcW w:w="2220" w:type="dxa"/>
            <w:vAlign w:val="bottom"/>
          </w:tcPr>
          <w:p>
            <w:pPr>
              <w:ind w:left="360"/>
              <w:spacing w:after="0"/>
              <w:rPr>
                <w:sz w:val="20"/>
                <w:szCs w:val="20"/>
                <w:color w:val="auto"/>
              </w:rPr>
            </w:pPr>
            <w:r>
              <w:rPr>
                <w:rFonts w:ascii="Arial" w:cs="Arial" w:eastAsia="Arial" w:hAnsi="Arial"/>
                <w:sz w:val="18"/>
                <w:szCs w:val="18"/>
                <w:color w:val="auto"/>
              </w:rPr>
              <w:t>$18.99</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Feb 28, 2003</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$32.87</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$22.35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May 31, 2003</w:t>
            </w:r>
          </w:p>
        </w:tc>
        <w:tc>
          <w:tcPr>
            <w:tcW w:w="4800" w:type="dxa"/>
            <w:vAlign w:val="bottom"/>
          </w:tcPr>
          <w:p>
            <w:pPr>
              <w:ind w:left="3180"/>
              <w:spacing w:after="0"/>
              <w:rPr>
                <w:sz w:val="20"/>
                <w:szCs w:val="20"/>
                <w:color w:val="auto"/>
              </w:rPr>
            </w:pPr>
            <w:r>
              <w:rPr>
                <w:rFonts w:ascii="Arial" w:cs="Arial" w:eastAsia="Arial" w:hAnsi="Arial"/>
                <w:sz w:val="18"/>
                <w:szCs w:val="18"/>
                <w:color w:val="auto"/>
              </w:rPr>
              <w:t>$30.85</w:t>
            </w:r>
          </w:p>
        </w:tc>
        <w:tc>
          <w:tcPr>
            <w:tcW w:w="2220" w:type="dxa"/>
            <w:vAlign w:val="bottom"/>
          </w:tcPr>
          <w:p>
            <w:pPr>
              <w:ind w:left="360"/>
              <w:spacing w:after="0"/>
              <w:rPr>
                <w:sz w:val="20"/>
                <w:szCs w:val="20"/>
                <w:color w:val="auto"/>
              </w:rPr>
            </w:pPr>
            <w:r>
              <w:rPr>
                <w:rFonts w:ascii="Arial" w:cs="Arial" w:eastAsia="Arial" w:hAnsi="Arial"/>
                <w:sz w:val="18"/>
                <w:szCs w:val="18"/>
                <w:color w:val="auto"/>
              </w:rPr>
              <w:t>$21.36</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Aug 31, 2003</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$36.80</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$25.87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Nov 30, 2003</w:t>
            </w:r>
          </w:p>
        </w:tc>
        <w:tc>
          <w:tcPr>
            <w:tcW w:w="4800" w:type="dxa"/>
            <w:vAlign w:val="bottom"/>
          </w:tcPr>
          <w:p>
            <w:pPr>
              <w:ind w:left="3180"/>
              <w:spacing w:after="0"/>
              <w:rPr>
                <w:sz w:val="20"/>
                <w:szCs w:val="20"/>
                <w:color w:val="auto"/>
              </w:rPr>
            </w:pPr>
            <w:r>
              <w:rPr>
                <w:rFonts w:ascii="Arial" w:cs="Arial" w:eastAsia="Arial" w:hAnsi="Arial"/>
                <w:sz w:val="18"/>
                <w:szCs w:val="18"/>
                <w:color w:val="auto"/>
              </w:rPr>
              <w:t>$45.04</w:t>
            </w:r>
          </w:p>
        </w:tc>
        <w:tc>
          <w:tcPr>
            <w:tcW w:w="2220" w:type="dxa"/>
            <w:vAlign w:val="bottom"/>
          </w:tcPr>
          <w:p>
            <w:pPr>
              <w:ind w:left="360"/>
              <w:spacing w:after="0"/>
              <w:rPr>
                <w:sz w:val="20"/>
                <w:szCs w:val="20"/>
                <w:color w:val="auto"/>
              </w:rPr>
            </w:pPr>
            <w:r>
              <w:rPr>
                <w:rFonts w:ascii="Arial" w:cs="Arial" w:eastAsia="Arial" w:hAnsi="Arial"/>
                <w:sz w:val="18"/>
                <w:szCs w:val="18"/>
                <w:color w:val="auto"/>
              </w:rPr>
              <w:t>$31.20</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Feb 29, 2004</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$46.05</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$33.03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May 31, 2004</w:t>
            </w:r>
          </w:p>
        </w:tc>
        <w:tc>
          <w:tcPr>
            <w:tcW w:w="4800" w:type="dxa"/>
            <w:vAlign w:val="bottom"/>
          </w:tcPr>
          <w:p>
            <w:pPr>
              <w:ind w:left="3180"/>
              <w:spacing w:after="0"/>
              <w:rPr>
                <w:sz w:val="20"/>
                <w:szCs w:val="20"/>
                <w:color w:val="auto"/>
              </w:rPr>
            </w:pPr>
            <w:r>
              <w:rPr>
                <w:rFonts w:ascii="Arial" w:cs="Arial" w:eastAsia="Arial" w:hAnsi="Arial"/>
                <w:sz w:val="18"/>
                <w:szCs w:val="18"/>
                <w:color w:val="auto"/>
              </w:rPr>
              <w:t>$43.49</w:t>
            </w:r>
          </w:p>
        </w:tc>
        <w:tc>
          <w:tcPr>
            <w:tcW w:w="2220" w:type="dxa"/>
            <w:vAlign w:val="bottom"/>
          </w:tcPr>
          <w:p>
            <w:pPr>
              <w:ind w:left="360"/>
              <w:spacing w:after="0"/>
              <w:rPr>
                <w:sz w:val="20"/>
                <w:szCs w:val="20"/>
                <w:color w:val="auto"/>
              </w:rPr>
            </w:pPr>
            <w:r>
              <w:rPr>
                <w:rFonts w:ascii="Arial" w:cs="Arial" w:eastAsia="Arial" w:hAnsi="Arial"/>
                <w:sz w:val="18"/>
                <w:szCs w:val="18"/>
                <w:color w:val="auto"/>
              </w:rPr>
              <w:t>$29.74</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Aug 31, 2004</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$44.92</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$31.75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Nov 30, 2004</w:t>
            </w:r>
          </w:p>
        </w:tc>
        <w:tc>
          <w:tcPr>
            <w:tcW w:w="4800" w:type="dxa"/>
            <w:vAlign w:val="bottom"/>
          </w:tcPr>
          <w:p>
            <w:pPr>
              <w:ind w:left="3180"/>
              <w:spacing w:after="0"/>
              <w:rPr>
                <w:sz w:val="20"/>
                <w:szCs w:val="20"/>
                <w:color w:val="auto"/>
              </w:rPr>
            </w:pPr>
            <w:r>
              <w:rPr>
                <w:rFonts w:ascii="Arial" w:cs="Arial" w:eastAsia="Arial" w:hAnsi="Arial"/>
                <w:sz w:val="18"/>
                <w:szCs w:val="18"/>
                <w:color w:val="auto"/>
              </w:rPr>
              <w:t>$39.39</w:t>
            </w:r>
          </w:p>
        </w:tc>
        <w:tc>
          <w:tcPr>
            <w:tcW w:w="2220" w:type="dxa"/>
            <w:vAlign w:val="bottom"/>
          </w:tcPr>
          <w:p>
            <w:pPr>
              <w:ind w:left="360"/>
              <w:spacing w:after="0"/>
              <w:rPr>
                <w:sz w:val="20"/>
                <w:szCs w:val="20"/>
                <w:color w:val="auto"/>
              </w:rPr>
            </w:pPr>
            <w:r>
              <w:rPr>
                <w:rFonts w:ascii="Arial" w:cs="Arial" w:eastAsia="Arial" w:hAnsi="Arial"/>
                <w:sz w:val="18"/>
                <w:szCs w:val="18"/>
                <w:color w:val="auto"/>
              </w:rPr>
              <w:t>$31.04</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Feb 28, 2005</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$38.99</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$33.78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May 31, 2005</w:t>
            </w:r>
          </w:p>
        </w:tc>
        <w:tc>
          <w:tcPr>
            <w:tcW w:w="4800" w:type="dxa"/>
            <w:vAlign w:val="bottom"/>
          </w:tcPr>
          <w:p>
            <w:pPr>
              <w:ind w:left="3180"/>
              <w:spacing w:after="0"/>
              <w:rPr>
                <w:sz w:val="20"/>
                <w:szCs w:val="20"/>
                <w:color w:val="auto"/>
              </w:rPr>
            </w:pPr>
            <w:r>
              <w:rPr>
                <w:rFonts w:ascii="Arial" w:cs="Arial" w:eastAsia="Arial" w:hAnsi="Arial"/>
                <w:sz w:val="18"/>
                <w:szCs w:val="18"/>
                <w:color w:val="auto"/>
              </w:rPr>
              <w:t>$38.95</w:t>
            </w:r>
          </w:p>
        </w:tc>
        <w:tc>
          <w:tcPr>
            <w:tcW w:w="2220" w:type="dxa"/>
            <w:vAlign w:val="bottom"/>
          </w:tcPr>
          <w:p>
            <w:pPr>
              <w:ind w:left="360"/>
              <w:spacing w:after="0"/>
              <w:rPr>
                <w:sz w:val="20"/>
                <w:szCs w:val="20"/>
                <w:color w:val="auto"/>
              </w:rPr>
            </w:pPr>
            <w:r>
              <w:rPr>
                <w:rFonts w:ascii="Arial" w:cs="Arial" w:eastAsia="Arial" w:hAnsi="Arial"/>
                <w:sz w:val="18"/>
                <w:szCs w:val="18"/>
                <w:color w:val="auto"/>
              </w:rPr>
              <w:t>$30.26</w:t>
            </w:r>
          </w:p>
        </w:tc>
      </w:tr>
      <w:tr>
        <w:trPr>
          <w:trHeight w:val="216"/>
        </w:trPr>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Aug 31, 2005</w:t>
            </w:r>
          </w:p>
        </w:tc>
        <w:tc>
          <w:tcPr>
            <w:tcW w:w="4800" w:type="dxa"/>
            <w:vAlign w:val="bottom"/>
            <w:shd w:val="clear" w:color="auto" w:fill="E2EEF6"/>
          </w:tcPr>
          <w:p>
            <w:pPr>
              <w:ind w:left="3180"/>
              <w:spacing w:after="0"/>
              <w:rPr>
                <w:sz w:val="20"/>
                <w:szCs w:val="20"/>
                <w:color w:val="auto"/>
              </w:rPr>
            </w:pPr>
            <w:r>
              <w:rPr>
                <w:rFonts w:ascii="Arial" w:cs="Arial" w:eastAsia="Arial" w:hAnsi="Arial"/>
                <w:sz w:val="18"/>
                <w:szCs w:val="18"/>
                <w:color w:val="auto"/>
              </w:rPr>
              <w:t>$41.89</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$30.10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Nov 30, 2005</w:t>
            </w:r>
          </w:p>
        </w:tc>
        <w:tc>
          <w:tcPr>
            <w:tcW w:w="4800" w:type="dxa"/>
            <w:vAlign w:val="bottom"/>
          </w:tcPr>
          <w:p>
            <w:pPr>
              <w:ind w:left="3180"/>
              <w:spacing w:after="0"/>
              <w:rPr>
                <w:sz w:val="20"/>
                <w:szCs w:val="20"/>
                <w:color w:val="auto"/>
              </w:rPr>
            </w:pPr>
            <w:r>
              <w:rPr>
                <w:rFonts w:ascii="Arial" w:cs="Arial" w:eastAsia="Arial" w:hAnsi="Arial"/>
                <w:sz w:val="18"/>
                <w:szCs w:val="18"/>
                <w:color w:val="auto"/>
              </w:rPr>
              <w:t>$50.49</w:t>
            </w:r>
          </w:p>
        </w:tc>
        <w:tc>
          <w:tcPr>
            <w:tcW w:w="2220" w:type="dxa"/>
            <w:vAlign w:val="bottom"/>
          </w:tcPr>
          <w:p>
            <w:pPr>
              <w:ind w:left="360"/>
              <w:spacing w:after="0"/>
              <w:rPr>
                <w:sz w:val="20"/>
                <w:szCs w:val="20"/>
                <w:color w:val="auto"/>
              </w:rPr>
            </w:pPr>
            <w:r>
              <w:rPr>
                <w:rFonts w:ascii="Arial" w:cs="Arial" w:eastAsia="Arial" w:hAnsi="Arial"/>
                <w:sz w:val="18"/>
                <w:szCs w:val="18"/>
                <w:color w:val="auto"/>
              </w:rPr>
              <w:t>$36.36</w:t>
            </w: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660" w:type="dxa"/>
            <w:vAlign w:val="bottom"/>
          </w:tcPr>
          <w:p>
            <w:pPr>
              <w:ind w:left="4040"/>
              <w:spacing w:after="0"/>
              <w:rPr>
                <w:sz w:val="20"/>
                <w:szCs w:val="20"/>
                <w:color w:val="auto"/>
              </w:rPr>
            </w:pPr>
            <w:r>
              <w:rPr>
                <w:rFonts w:ascii="Arial" w:cs="Arial" w:eastAsia="Arial" w:hAnsi="Arial"/>
                <w:sz w:val="18"/>
                <w:szCs w:val="18"/>
                <w:b w:val="1"/>
                <w:bCs w:val="1"/>
                <w:color w:val="auto"/>
              </w:rPr>
              <w:t>High Sales Price</w:t>
            </w: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Low Sales Price</w:t>
            </w:r>
          </w:p>
        </w:tc>
      </w:tr>
      <w:tr>
        <w:trPr>
          <w:trHeight w:val="288"/>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Month Ending</w:t>
            </w:r>
          </w:p>
        </w:tc>
        <w:tc>
          <w:tcPr>
            <w:tcW w:w="5660" w:type="dxa"/>
            <w:vAlign w:val="bottom"/>
          </w:tcPr>
          <w:p>
            <w:pPr>
              <w:ind w:left="4040"/>
              <w:spacing w:after="0"/>
              <w:rPr>
                <w:sz w:val="20"/>
                <w:szCs w:val="20"/>
                <w:color w:val="auto"/>
              </w:rPr>
            </w:pPr>
            <w:r>
              <w:rPr>
                <w:rFonts w:ascii="Arial" w:cs="Arial" w:eastAsia="Arial" w:hAnsi="Arial"/>
                <w:sz w:val="18"/>
                <w:szCs w:val="18"/>
                <w:b w:val="1"/>
                <w:bCs w:val="1"/>
                <w:color w:val="auto"/>
              </w:rPr>
              <w:t>During Period</w:t>
            </w: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During Period</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E2EEF6"/>
          </w:tcPr>
          <w:p>
            <w:pPr>
              <w:spacing w:after="0"/>
              <w:rPr>
                <w:sz w:val="20"/>
                <w:szCs w:val="20"/>
                <w:color w:val="auto"/>
              </w:rPr>
            </w:pPr>
            <w:r>
              <w:rPr>
                <w:rFonts w:ascii="Arial" w:cs="Arial" w:eastAsia="Arial" w:hAnsi="Arial"/>
                <w:sz w:val="18"/>
                <w:szCs w:val="18"/>
                <w:color w:val="auto"/>
              </w:rPr>
              <w:t>July 31, 2005</w:t>
            </w:r>
          </w:p>
        </w:tc>
        <w:tc>
          <w:tcPr>
            <w:tcW w:w="5660" w:type="dxa"/>
            <w:vAlign w:val="bottom"/>
            <w:tcBorders>
              <w:top w:val="single" w:sz="8" w:color="auto"/>
            </w:tcBorders>
            <w:shd w:val="clear" w:color="auto" w:fill="E2EEF6"/>
          </w:tcPr>
          <w:p>
            <w:pPr>
              <w:ind w:left="4040"/>
              <w:spacing w:after="0"/>
              <w:rPr>
                <w:sz w:val="20"/>
                <w:szCs w:val="20"/>
                <w:color w:val="auto"/>
              </w:rPr>
            </w:pPr>
            <w:r>
              <w:rPr>
                <w:rFonts w:ascii="Arial" w:cs="Arial" w:eastAsia="Arial" w:hAnsi="Arial"/>
                <w:sz w:val="18"/>
                <w:szCs w:val="18"/>
                <w:color w:val="auto"/>
              </w:rPr>
              <w:t>$39.68</w:t>
            </w:r>
          </w:p>
        </w:tc>
        <w:tc>
          <w:tcPr>
            <w:tcW w:w="2220" w:type="dxa"/>
            <w:vAlign w:val="bottom"/>
            <w:tcBorders>
              <w:top w:val="single" w:sz="8" w:color="auto"/>
            </w:tcBorders>
            <w:shd w:val="clear" w:color="auto" w:fill="E2EEF6"/>
          </w:tcPr>
          <w:p>
            <w:pPr>
              <w:ind w:left="360"/>
              <w:spacing w:after="0"/>
              <w:rPr>
                <w:sz w:val="20"/>
                <w:szCs w:val="20"/>
                <w:color w:val="auto"/>
              </w:rPr>
            </w:pPr>
            <w:r>
              <w:rPr>
                <w:rFonts w:ascii="Arial" w:cs="Arial" w:eastAsia="Arial" w:hAnsi="Arial"/>
                <w:sz w:val="18"/>
                <w:szCs w:val="18"/>
                <w:color w:val="auto"/>
              </w:rPr>
              <w:t>$34.18</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August 31, 2005</w:t>
            </w:r>
          </w:p>
        </w:tc>
        <w:tc>
          <w:tcPr>
            <w:tcW w:w="5660" w:type="dxa"/>
            <w:vAlign w:val="bottom"/>
          </w:tcPr>
          <w:p>
            <w:pPr>
              <w:ind w:left="4040"/>
              <w:spacing w:after="0"/>
              <w:rPr>
                <w:sz w:val="20"/>
                <w:szCs w:val="20"/>
                <w:color w:val="auto"/>
              </w:rPr>
            </w:pPr>
            <w:r>
              <w:rPr>
                <w:rFonts w:ascii="Arial" w:cs="Arial" w:eastAsia="Arial" w:hAnsi="Arial"/>
                <w:sz w:val="18"/>
                <w:szCs w:val="18"/>
                <w:color w:val="auto"/>
              </w:rPr>
              <w:t>$41.89</w:t>
            </w:r>
          </w:p>
        </w:tc>
        <w:tc>
          <w:tcPr>
            <w:tcW w:w="2220" w:type="dxa"/>
            <w:vAlign w:val="bottom"/>
          </w:tcPr>
          <w:p>
            <w:pPr>
              <w:ind w:left="360"/>
              <w:spacing w:after="0"/>
              <w:rPr>
                <w:sz w:val="20"/>
                <w:szCs w:val="20"/>
                <w:color w:val="auto"/>
              </w:rPr>
            </w:pPr>
            <w:r>
              <w:rPr>
                <w:rFonts w:ascii="Arial" w:cs="Arial" w:eastAsia="Arial" w:hAnsi="Arial"/>
                <w:sz w:val="18"/>
                <w:szCs w:val="18"/>
                <w:color w:val="auto"/>
              </w:rPr>
              <w:t>$38.24</w:t>
            </w:r>
          </w:p>
        </w:tc>
      </w:tr>
      <w:tr>
        <w:trPr>
          <w:trHeight w:val="216"/>
        </w:trPr>
        <w:tc>
          <w:tcPr>
            <w:tcW w:w="20" w:type="dxa"/>
            <w:vAlign w:val="bottom"/>
          </w:tcPr>
          <w:p>
            <w:pPr>
              <w:spacing w:after="0"/>
              <w:rPr>
                <w:sz w:val="18"/>
                <w:szCs w:val="18"/>
                <w:color w:val="auto"/>
              </w:rPr>
            </w:pPr>
          </w:p>
        </w:tc>
        <w:tc>
          <w:tcPr>
            <w:tcW w:w="3520" w:type="dxa"/>
            <w:vAlign w:val="bottom"/>
            <w:shd w:val="clear" w:color="auto" w:fill="E2EEF6"/>
          </w:tcPr>
          <w:p>
            <w:pPr>
              <w:spacing w:after="0"/>
              <w:rPr>
                <w:sz w:val="20"/>
                <w:szCs w:val="20"/>
                <w:color w:val="auto"/>
              </w:rPr>
            </w:pPr>
            <w:r>
              <w:rPr>
                <w:rFonts w:ascii="Arial" w:cs="Arial" w:eastAsia="Arial" w:hAnsi="Arial"/>
                <w:sz w:val="18"/>
                <w:szCs w:val="18"/>
                <w:color w:val="auto"/>
              </w:rPr>
              <w:t>September 30, 2005</w:t>
            </w:r>
          </w:p>
        </w:tc>
        <w:tc>
          <w:tcPr>
            <w:tcW w:w="5660" w:type="dxa"/>
            <w:vAlign w:val="bottom"/>
            <w:shd w:val="clear" w:color="auto" w:fill="E2EEF6"/>
          </w:tcPr>
          <w:p>
            <w:pPr>
              <w:ind w:left="4040"/>
              <w:spacing w:after="0"/>
              <w:rPr>
                <w:sz w:val="20"/>
                <w:szCs w:val="20"/>
                <w:color w:val="auto"/>
              </w:rPr>
            </w:pPr>
            <w:r>
              <w:rPr>
                <w:rFonts w:ascii="Arial" w:cs="Arial" w:eastAsia="Arial" w:hAnsi="Arial"/>
                <w:sz w:val="18"/>
                <w:szCs w:val="18"/>
                <w:color w:val="auto"/>
              </w:rPr>
              <w:t>$50.49</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$40.41</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October 31, 2005</w:t>
            </w:r>
          </w:p>
        </w:tc>
        <w:tc>
          <w:tcPr>
            <w:tcW w:w="5660" w:type="dxa"/>
            <w:vAlign w:val="bottom"/>
          </w:tcPr>
          <w:p>
            <w:pPr>
              <w:ind w:left="4040"/>
              <w:spacing w:after="0"/>
              <w:rPr>
                <w:sz w:val="20"/>
                <w:szCs w:val="20"/>
                <w:color w:val="auto"/>
              </w:rPr>
            </w:pPr>
            <w:r>
              <w:rPr>
                <w:rFonts w:ascii="Arial" w:cs="Arial" w:eastAsia="Arial" w:hAnsi="Arial"/>
                <w:sz w:val="18"/>
                <w:szCs w:val="18"/>
                <w:color w:val="auto"/>
              </w:rPr>
              <w:t>$49.56</w:t>
            </w:r>
          </w:p>
        </w:tc>
        <w:tc>
          <w:tcPr>
            <w:tcW w:w="2220" w:type="dxa"/>
            <w:vAlign w:val="bottom"/>
          </w:tcPr>
          <w:p>
            <w:pPr>
              <w:ind w:left="360"/>
              <w:spacing w:after="0"/>
              <w:rPr>
                <w:sz w:val="20"/>
                <w:szCs w:val="20"/>
                <w:color w:val="auto"/>
              </w:rPr>
            </w:pPr>
            <w:r>
              <w:rPr>
                <w:rFonts w:ascii="Arial" w:cs="Arial" w:eastAsia="Arial" w:hAnsi="Arial"/>
                <w:sz w:val="18"/>
                <w:szCs w:val="18"/>
                <w:color w:val="auto"/>
              </w:rPr>
              <w:t>$39.91</w:t>
            </w:r>
          </w:p>
        </w:tc>
      </w:tr>
      <w:tr>
        <w:trPr>
          <w:trHeight w:val="216"/>
        </w:trPr>
        <w:tc>
          <w:tcPr>
            <w:tcW w:w="20" w:type="dxa"/>
            <w:vAlign w:val="bottom"/>
          </w:tcPr>
          <w:p>
            <w:pPr>
              <w:spacing w:after="0"/>
              <w:rPr>
                <w:sz w:val="18"/>
                <w:szCs w:val="18"/>
                <w:color w:val="auto"/>
              </w:rPr>
            </w:pPr>
          </w:p>
        </w:tc>
        <w:tc>
          <w:tcPr>
            <w:tcW w:w="3520" w:type="dxa"/>
            <w:vAlign w:val="bottom"/>
            <w:shd w:val="clear" w:color="auto" w:fill="E2EEF6"/>
          </w:tcPr>
          <w:p>
            <w:pPr>
              <w:spacing w:after="0"/>
              <w:rPr>
                <w:sz w:val="20"/>
                <w:szCs w:val="20"/>
                <w:color w:val="auto"/>
              </w:rPr>
            </w:pPr>
            <w:r>
              <w:rPr>
                <w:rFonts w:ascii="Arial" w:cs="Arial" w:eastAsia="Arial" w:hAnsi="Arial"/>
                <w:sz w:val="18"/>
                <w:szCs w:val="18"/>
                <w:color w:val="auto"/>
              </w:rPr>
              <w:t>November 30, 2005</w:t>
            </w:r>
          </w:p>
        </w:tc>
        <w:tc>
          <w:tcPr>
            <w:tcW w:w="5660" w:type="dxa"/>
            <w:vAlign w:val="bottom"/>
            <w:shd w:val="clear" w:color="auto" w:fill="E2EEF6"/>
          </w:tcPr>
          <w:p>
            <w:pPr>
              <w:ind w:left="4040"/>
              <w:spacing w:after="0"/>
              <w:rPr>
                <w:sz w:val="20"/>
                <w:szCs w:val="20"/>
                <w:color w:val="auto"/>
              </w:rPr>
            </w:pPr>
            <w:r>
              <w:rPr>
                <w:rFonts w:ascii="Arial" w:cs="Arial" w:eastAsia="Arial" w:hAnsi="Arial"/>
                <w:sz w:val="18"/>
                <w:szCs w:val="18"/>
                <w:color w:val="auto"/>
              </w:rPr>
              <w:t>$41.75</w:t>
            </w:r>
          </w:p>
        </w:tc>
        <w:tc>
          <w:tcPr>
            <w:tcW w:w="2220" w:type="dxa"/>
            <w:vAlign w:val="bottom"/>
            <w:shd w:val="clear" w:color="auto" w:fill="E2EEF6"/>
          </w:tcPr>
          <w:p>
            <w:pPr>
              <w:ind w:left="360"/>
              <w:spacing w:after="0"/>
              <w:rPr>
                <w:sz w:val="20"/>
                <w:szCs w:val="20"/>
                <w:color w:val="auto"/>
              </w:rPr>
            </w:pPr>
            <w:r>
              <w:rPr>
                <w:rFonts w:ascii="Arial" w:cs="Arial" w:eastAsia="Arial" w:hAnsi="Arial"/>
                <w:sz w:val="18"/>
                <w:szCs w:val="18"/>
                <w:color w:val="auto"/>
              </w:rPr>
              <w:t>$36.36</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December 31, 2005</w:t>
            </w:r>
          </w:p>
        </w:tc>
        <w:tc>
          <w:tcPr>
            <w:tcW w:w="5660" w:type="dxa"/>
            <w:vAlign w:val="bottom"/>
          </w:tcPr>
          <w:p>
            <w:pPr>
              <w:ind w:left="4040"/>
              <w:spacing w:after="0"/>
              <w:rPr>
                <w:sz w:val="20"/>
                <w:szCs w:val="20"/>
                <w:color w:val="auto"/>
              </w:rPr>
            </w:pPr>
            <w:r>
              <w:rPr>
                <w:rFonts w:ascii="Arial" w:cs="Arial" w:eastAsia="Arial" w:hAnsi="Arial"/>
                <w:sz w:val="18"/>
                <w:szCs w:val="18"/>
                <w:color w:val="auto"/>
              </w:rPr>
              <w:t>$44.00</w:t>
            </w:r>
          </w:p>
        </w:tc>
        <w:tc>
          <w:tcPr>
            <w:tcW w:w="2220" w:type="dxa"/>
            <w:vAlign w:val="bottom"/>
          </w:tcPr>
          <w:p>
            <w:pPr>
              <w:ind w:left="360"/>
              <w:spacing w:after="0"/>
              <w:rPr>
                <w:sz w:val="20"/>
                <w:szCs w:val="20"/>
                <w:color w:val="auto"/>
              </w:rPr>
            </w:pPr>
            <w:r>
              <w:rPr>
                <w:rFonts w:ascii="Arial" w:cs="Arial" w:eastAsia="Arial" w:hAnsi="Arial"/>
                <w:sz w:val="18"/>
                <w:szCs w:val="18"/>
                <w:color w:val="auto"/>
              </w:rPr>
              <w:t>$39.86</w:t>
            </w:r>
          </w:p>
        </w:tc>
      </w:tr>
      <w:tr>
        <w:trPr>
          <w:trHeight w:val="70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660" w:type="dxa"/>
            <w:vAlign w:val="bottom"/>
          </w:tcPr>
          <w:p>
            <w:pPr>
              <w:ind w:left="2100"/>
              <w:spacing w:after="0"/>
              <w:rPr>
                <w:sz w:val="20"/>
                <w:szCs w:val="20"/>
                <w:color w:val="auto"/>
              </w:rPr>
            </w:pPr>
            <w:r>
              <w:rPr>
                <w:rFonts w:ascii="Arial" w:cs="Arial" w:eastAsia="Arial" w:hAnsi="Arial"/>
                <w:sz w:val="14"/>
                <w:szCs w:val="14"/>
                <w:color w:val="auto"/>
              </w:rPr>
              <w:t>36</w:t>
            </w:r>
          </w:p>
        </w:tc>
        <w:tc>
          <w:tcPr>
            <w:tcW w:w="222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56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such as ICON. Except as indicated below, dividends and redemption proceeds also continue to be freely transferable to non-resident holders of such securities.</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Financial transfers are broadly defined, and include all transfers, which would be movements of capital or payments within the meaning of the treaties governing the European Communities. The acquisition or disposal of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certain financial transfers to (or in respect of funds held by the government of) the Federal Republic of Yugoslavia, Slobodan Milosevic and associated persons, persons indicted by the International Criminal Tribunal for the former Yugoslavia, Zimbabwe (including senior members of the Zimbabwean government), certain persons or entities relating to Iraq, Liberia, Burma/Myanmar, the Republic of Serbia, Democratic Republic of Congo, Ivory Coast, Al Qaeda, Osama Bin Laden and the Taliban of Afghanistan.</w:t>
      </w:r>
    </w:p>
    <w:p>
      <w:pPr>
        <w:spacing w:after="0" w:line="2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transfer of, or payment in respect of an ADS involving the government of any country which is currently the subject of United Nations sanctions, any person or body controlled by any of the foregoing, or by any person acting on behalf of the foregoing, may be subject to restrictions pursuant to such sanctions as implemented into Irish law. There are no restrictions under ICON's Articles of Association, or under Irish Law, that limit the right of non-residents or foreign owners to hold or vote the ordinary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2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Irish Taxation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There is no termination date for this relief specified in the legislation.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that the company is involved in the "manufacture" of goods in Ireland, income from this activity, in respect of its data processing operations carried out in Ireland (which is deemed to be manufacturing for Irish tax purposes) , can qualify for a 10% rate of tax. This relief is available until December 31, 2010 and thereafter the income will be taxed at the standard rate applicable to trading income which is currently 12.5%.</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rates discussed above.</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 gains arising to an Irish resident company are liable to tax at 20%. However, a capital gains tax exemption has been introduced in Ireland in respect of disposals of certain shareholdings. The exemption applies with retrospective effect to disposals occurring on after February 2, 2004.</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224" w:lineRule="exact"/>
        <w:rPr>
          <w:sz w:val="20"/>
          <w:szCs w:val="20"/>
          <w:color w:val="auto"/>
        </w:rPr>
      </w:pPr>
    </w:p>
    <w:p>
      <w:pPr>
        <w:ind w:left="340" w:hanging="143"/>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in which is being disposed of, for a period of at least one year, within the two year period prior to disposal.</w:t>
      </w:r>
    </w:p>
    <w:p>
      <w:pPr>
        <w:spacing w:after="0" w:line="224"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being disposed of must be in a company, which at the date of disposal, is resident in an EU Member State or in a state with which Ireland has a double tax agreement.</w:t>
      </w:r>
    </w:p>
    <w:p>
      <w:pPr>
        <w:spacing w:after="0" w:line="224"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else the company making the disposal together with its “5% plus subsidiaries” should be primarily a trading group.</w:t>
      </w:r>
    </w:p>
    <w:p>
      <w:pPr>
        <w:spacing w:after="0" w:line="224"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79" w:lineRule="exact"/>
        <w:rPr>
          <w:sz w:val="20"/>
          <w:szCs w:val="20"/>
          <w:color w:val="auto"/>
        </w:rPr>
      </w:pPr>
    </w:p>
    <w:p>
      <w:pPr>
        <w:ind w:left="980" w:hanging="13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279"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224"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78" w:lineRule="exact"/>
        <w:rPr>
          <w:sz w:val="20"/>
          <w:szCs w:val="20"/>
          <w:color w:val="auto"/>
        </w:rPr>
      </w:pPr>
    </w:p>
    <w:p>
      <w:pPr>
        <w:ind w:left="980" w:hanging="13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revoked; and either</w:t>
      </w:r>
    </w:p>
    <w:p>
      <w:pPr>
        <w:spacing w:after="0" w:line="224" w:lineRule="exact"/>
        <w:rPr>
          <w:rFonts w:ascii="Arial" w:cs="Arial" w:eastAsia="Arial" w:hAnsi="Arial"/>
          <w:sz w:val="18"/>
          <w:szCs w:val="18"/>
          <w:color w:val="auto"/>
        </w:rPr>
      </w:pPr>
    </w:p>
    <w:p>
      <w:pPr>
        <w:ind w:left="980" w:hanging="13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79"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24" w:lineRule="exact"/>
        <w:rPr>
          <w:sz w:val="20"/>
          <w:szCs w:val="20"/>
          <w:color w:val="auto"/>
        </w:rPr>
      </w:pPr>
    </w:p>
    <w:p>
      <w:pPr>
        <w:ind w:left="980" w:hanging="13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resident in the U.S. (or any other country with which Ireland has concluded a double taxation treaty);</w:t>
      </w:r>
    </w:p>
    <w:p>
      <w:pPr>
        <w:spacing w:after="0" w:line="279"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any other country with which Ireland has concluded a double taxation treaty);</w:t>
      </w:r>
    </w:p>
    <w:p>
      <w:pPr>
        <w:spacing w:after="0" w:line="224"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24"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ind w:left="980" w:hanging="13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20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Capital Gains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resident, to Irish capital gains tax. This treatment will apply to Irish domiciled individuals -:</w:t>
      </w:r>
    </w:p>
    <w:p>
      <w:pPr>
        <w:spacing w:after="0" w:line="245" w:lineRule="exact"/>
        <w:rPr>
          <w:sz w:val="20"/>
          <w:szCs w:val="20"/>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79"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224"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Irish capital acquisitions tax (referred to as CAT) applies to gifts and inheritances.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79" w:lineRule="exact"/>
        <w:rPr>
          <w:sz w:val="20"/>
          <w:szCs w:val="20"/>
          <w:color w:val="auto"/>
        </w:rPr>
      </w:pPr>
    </w:p>
    <w:p>
      <w:pPr>
        <w:ind w:left="660" w:hanging="139"/>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660" w:right="20" w:hanging="139"/>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ind w:left="660" w:hanging="139"/>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an inheritance is taken under a disposition made prior to December 1, 1999, CAT is chargeable in the following circumstances:</w:t>
      </w:r>
    </w:p>
    <w:p>
      <w:pPr>
        <w:spacing w:after="0" w:line="23" w:lineRule="exact"/>
        <w:rPr>
          <w:sz w:val="20"/>
          <w:szCs w:val="20"/>
          <w:color w:val="auto"/>
        </w:rPr>
      </w:pPr>
    </w:p>
    <w:p>
      <w:pPr>
        <w:ind w:left="660" w:hanging="139"/>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20" w:lineRule="exact"/>
        <w:rPr>
          <w:rFonts w:ascii="Arial" w:cs="Arial" w:eastAsia="Arial" w:hAnsi="Arial"/>
          <w:sz w:val="17"/>
          <w:szCs w:val="17"/>
          <w:color w:val="auto"/>
        </w:rPr>
      </w:pPr>
    </w:p>
    <w:p>
      <w:pPr>
        <w:ind w:left="660" w:right="20" w:hanging="139"/>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domiciled in Ireland at the date of the disposition under which the gift or inheritance is taken;</w:t>
      </w:r>
    </w:p>
    <w:p>
      <w:pPr>
        <w:ind w:left="660" w:hanging="139"/>
        <w:spacing w:after="0" w:line="290"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threshold is dependent on the relationship between the donor and the donees and the aggregation since December 5, 1991 of all previous gifts and inheritances, within the same tax threshold.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currently in force are:</w:t>
      </w:r>
    </w:p>
    <w:p>
      <w:pPr>
        <w:spacing w:after="0" w:line="23" w:lineRule="exact"/>
        <w:rPr>
          <w:sz w:val="20"/>
          <w:szCs w:val="20"/>
          <w:color w:val="auto"/>
        </w:rPr>
      </w:pPr>
    </w:p>
    <w:p>
      <w:pPr>
        <w:ind w:left="660" w:hanging="13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€23,908 in the case of persons who are not related to one another;</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€47,815 in the case of gifts or inheritances received from inter alia a brother or sister or from a brother or sister of a parent or from a grandparent; and</w:t>
      </w:r>
    </w:p>
    <w:p>
      <w:pPr>
        <w:ind w:left="660" w:hanging="139"/>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€478,155 in the case of gifts and inheritances received from a parent (or from a grandparent by a minor child of a deceased child) and specified inheritances received by a parent from a child.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Probate Tax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Irish probate tax was abolished under the Finance Act, 2001. No probate tax will arise on any assets passing in respect of a death occurring on or after December 6, 2000.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450 Fifth Street, N.W., Room 1024, Washington, D.C. 20549 and at the SEC’s regional office at Northwestern Atrium Center, 500 West Madison Street, Suite 1400, Chicago, IL 60661.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32"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333-8704.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proxy statements to shareholders.</w:t>
      </w:r>
    </w:p>
    <w:p>
      <w:pPr>
        <w:spacing w:after="0" w:line="30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Qualitative Disclosure of Market Risk</w:t>
      </w:r>
      <w:r>
        <w:rPr>
          <w:rFonts w:ascii="Arial" w:cs="Arial" w:eastAsia="Arial" w:hAnsi="Arial"/>
          <w:sz w:val="18"/>
          <w:szCs w:val="18"/>
          <w:color w:val="auto"/>
        </w:rPr>
        <w:t>. The principal market risks (i.e. risk of loss arising from adverse changes in market rates and prices) to which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exposed are:</w:t>
      </w:r>
    </w:p>
    <w:p>
      <w:pPr>
        <w:spacing w:after="0" w:line="224" w:lineRule="exact"/>
        <w:rPr>
          <w:sz w:val="20"/>
          <w:szCs w:val="20"/>
          <w:color w:val="auto"/>
        </w:rPr>
      </w:pPr>
    </w:p>
    <w:p>
      <w:pPr>
        <w:ind w:left="660" w:hanging="139"/>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rate changes on short term investments (available for sale) in the form of floating rate notes and medium term minimum “A” rated corporate securities, and</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risk on non-U.S. dollar denominated cash and non-U.S. dollar denominated debt.</w:t>
      </w:r>
    </w:p>
    <w:p>
      <w:pPr>
        <w:spacing w:after="0" w:line="2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use derivative financial instruments solely to hedge exposure to these market risks and we do not enter into these instruments for trading or speculative purposes.</w:t>
      </w:r>
    </w:p>
    <w:p>
      <w:pPr>
        <w:spacing w:after="0" w:line="22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primary foreign currency exchange risk relates to movements in rates between the U.S. dollar, Sterling and the Euro. At December 31, 2005, we had cash denominated in non-U.S. dollar denominated currencies. In order to reduce the foreign currency exchange risk, we enter into certain derivative instruments to reduce our exposure to adverse changes in exchange rates. These financial instruments comprise of a series of foreign exchange forward contracts all of which were settled during the 2005 transition period. At December 31, 2005, we held no foreign exchange forward contracts.</w:t>
      </w:r>
    </w:p>
    <w:p>
      <w:pPr>
        <w:spacing w:after="0" w:line="204"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i w:val="1"/>
          <w:iCs w:val="1"/>
          <w:color w:val="auto"/>
        </w:rPr>
        <w:t>Quantitative disclosure of Market 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analysis below presents the sensitivity of the market value, or fair value of our financial instruments to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market rates and prices. The changes chosen represent our view of changes that are reasonable over a one year period.</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fair value based on an immediate 10% movement in the exchange rates.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 Change +10%</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Fair value Change -10%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160" w:type="dxa"/>
            <w:vAlign w:val="bottom"/>
          </w:tcPr>
          <w:p>
            <w:pPr>
              <w:jc w:val="right"/>
              <w:ind w:right="110"/>
              <w:spacing w:after="0"/>
              <w:rPr>
                <w:sz w:val="20"/>
                <w:szCs w:val="20"/>
                <w:color w:val="auto"/>
              </w:rPr>
            </w:pPr>
            <w:r>
              <w:rPr>
                <w:rFonts w:ascii="Arial" w:cs="Arial" w:eastAsia="Arial" w:hAnsi="Arial"/>
                <w:sz w:val="18"/>
                <w:szCs w:val="18"/>
                <w:b w:val="1"/>
                <w:bCs w:val="1"/>
                <w:color w:val="auto"/>
              </w:rPr>
              <w:t>Fair value at</w:t>
            </w:r>
          </w:p>
        </w:tc>
        <w:tc>
          <w:tcPr>
            <w:tcW w:w="30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movement in foreign exchange rate</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movement in foreign exchange 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 2005</w:t>
            </w:r>
          </w:p>
        </w:tc>
        <w:tc>
          <w:tcPr>
            <w:tcW w:w="3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60" w:type="dxa"/>
            <w:vAlign w:val="bottom"/>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302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2EEF6"/>
          </w:tcPr>
          <w:p>
            <w:pPr>
              <w:spacing w:after="0"/>
              <w:rPr>
                <w:sz w:val="20"/>
                <w:szCs w:val="20"/>
                <w:color w:val="auto"/>
              </w:rPr>
            </w:pPr>
            <w:r>
              <w:rPr>
                <w:rFonts w:ascii="Arial" w:cs="Arial" w:eastAsia="Arial" w:hAnsi="Arial"/>
                <w:sz w:val="18"/>
                <w:szCs w:val="18"/>
                <w:color w:val="auto"/>
              </w:rPr>
              <w:t>Non-U.S. Dollar denominated cash</w:t>
            </w:r>
          </w:p>
        </w:tc>
        <w:tc>
          <w:tcPr>
            <w:tcW w:w="216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rPr>
              <w:t>$12,602</w:t>
            </w:r>
          </w:p>
        </w:tc>
        <w:tc>
          <w:tcPr>
            <w:tcW w:w="3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$1,260</w:t>
            </w:r>
          </w:p>
        </w:tc>
        <w:tc>
          <w:tcPr>
            <w:tcW w:w="27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Non-U.S. Dollar denominated short term</w:t>
            </w:r>
          </w:p>
        </w:tc>
        <w:tc>
          <w:tcPr>
            <w:tcW w:w="2160" w:type="dxa"/>
            <w:vAlign w:val="bottom"/>
            <w:shd w:val="clear" w:color="auto" w:fill="E2EEF6"/>
          </w:tcPr>
          <w:p>
            <w:pPr>
              <w:jc w:val="right"/>
              <w:ind w:right="110"/>
              <w:spacing w:after="0" w:line="201" w:lineRule="exact"/>
              <w:rPr>
                <w:sz w:val="20"/>
                <w:szCs w:val="20"/>
                <w:color w:val="auto"/>
              </w:rPr>
            </w:pPr>
            <w:r>
              <w:rPr>
                <w:rFonts w:ascii="Arial" w:cs="Arial" w:eastAsia="Arial" w:hAnsi="Arial"/>
                <w:sz w:val="18"/>
                <w:szCs w:val="18"/>
                <w:color w:val="auto"/>
              </w:rPr>
              <w:t>($4,856)</w:t>
            </w:r>
          </w:p>
        </w:tc>
        <w:tc>
          <w:tcPr>
            <w:tcW w:w="3020" w:type="dxa"/>
            <w:vAlign w:val="bottom"/>
            <w:shd w:val="clear" w:color="auto" w:fill="E2EEF6"/>
          </w:tcPr>
          <w:p>
            <w:pPr>
              <w:jc w:val="right"/>
              <w:ind w:right="10"/>
              <w:spacing w:after="0" w:line="201" w:lineRule="exact"/>
              <w:rPr>
                <w:sz w:val="20"/>
                <w:szCs w:val="20"/>
                <w:color w:val="auto"/>
              </w:rPr>
            </w:pPr>
            <w:r>
              <w:rPr>
                <w:rFonts w:ascii="Arial" w:cs="Arial" w:eastAsia="Arial" w:hAnsi="Arial"/>
                <w:sz w:val="18"/>
                <w:szCs w:val="18"/>
                <w:color w:val="auto"/>
              </w:rPr>
              <w:t>($486)</w:t>
            </w:r>
          </w:p>
        </w:tc>
        <w:tc>
          <w:tcPr>
            <w:tcW w:w="2780" w:type="dxa"/>
            <w:vAlign w:val="bottom"/>
            <w:shd w:val="clear" w:color="auto" w:fill="E2EEF6"/>
          </w:tcPr>
          <w:p>
            <w:pPr>
              <w:jc w:val="right"/>
              <w:spacing w:after="0" w:line="201" w:lineRule="exact"/>
              <w:rPr>
                <w:sz w:val="20"/>
                <w:szCs w:val="20"/>
                <w:color w:val="auto"/>
              </w:rPr>
            </w:pPr>
            <w:r>
              <w:rPr>
                <w:rFonts w:ascii="Arial" w:cs="Arial" w:eastAsia="Arial" w:hAnsi="Arial"/>
                <w:sz w:val="18"/>
                <w:szCs w:val="18"/>
                <w:color w:val="auto"/>
              </w:rPr>
              <w:t>$486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E2EEF6"/>
          </w:tcPr>
          <w:p>
            <w:pPr>
              <w:spacing w:after="0"/>
              <w:rPr>
                <w:sz w:val="20"/>
                <w:szCs w:val="20"/>
                <w:color w:val="auto"/>
              </w:rPr>
            </w:pPr>
            <w:r>
              <w:rPr>
                <w:rFonts w:ascii="Arial" w:cs="Arial" w:eastAsia="Arial" w:hAnsi="Arial"/>
                <w:sz w:val="18"/>
                <w:szCs w:val="18"/>
                <w:color w:val="auto"/>
              </w:rPr>
              <w:t>debt</w:t>
            </w:r>
          </w:p>
        </w:tc>
        <w:tc>
          <w:tcPr>
            <w:tcW w:w="2160" w:type="dxa"/>
            <w:vAlign w:val="bottom"/>
            <w:shd w:val="clear" w:color="auto" w:fill="E2EEF6"/>
          </w:tcPr>
          <w:p>
            <w:pPr>
              <w:spacing w:after="0"/>
              <w:rPr>
                <w:sz w:val="20"/>
                <w:szCs w:val="20"/>
                <w:color w:val="auto"/>
              </w:rPr>
            </w:pPr>
          </w:p>
        </w:tc>
        <w:tc>
          <w:tcPr>
            <w:tcW w:w="3020" w:type="dxa"/>
            <w:vAlign w:val="bottom"/>
            <w:shd w:val="clear" w:color="auto" w:fill="E2EEF6"/>
          </w:tcPr>
          <w:p>
            <w:pPr>
              <w:spacing w:after="0"/>
              <w:rPr>
                <w:sz w:val="20"/>
                <w:szCs w:val="20"/>
                <w:color w:val="auto"/>
              </w:rPr>
            </w:pPr>
          </w:p>
        </w:tc>
        <w:tc>
          <w:tcPr>
            <w:tcW w:w="27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end of the transition period December 31, 2005, an evaluation was carried out under the supervision and with the participation of the Company’s management, including the Chief Executive Officer (CEO) and the Chief Financial Officer (CFO), of the effectiveness of our disclosure controls and procedures.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Audit Committee Financial Expert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Thomas Lynch acts as an audit committee financial expert serving on our audit committee and board of directors. Mr. Lynch is independent and serves as one of our non-executive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Code of Ethics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adopted a code of ethics in 2003 that applies to the Chief Executive Officer, the Chief Financial Officer and any persons performing similar functions, if any,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http://www.iconclinical.com/index.asp?getpage=true&amp;sid=1&amp;ssid=171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Principal Accountant Fees and Services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May 31, 2005 and the seven month transition period ended December 31, 2005 were KPMG.</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summarizes the fees for professional services rendered by KPMG for the audit of our annual financial statements for fiscal year ending May 31, 2005 and the seven month 2005 transition period ended December 31, 2005 and fees billed for other services rendered by KPMG.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7 month transition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0"/>
              </w:rPr>
              <w:t>12 month period ending</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period ending</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4"/>
              </w:rPr>
              <w:t>May 31, 2005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December 31, 2005</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2300" w:type="dxa"/>
            <w:vAlign w:val="bottom"/>
            <w:gridSpan w:val="3"/>
          </w:tcPr>
          <w:p>
            <w:pPr>
              <w:ind w:left="40"/>
              <w:spacing w:after="0"/>
              <w:rPr>
                <w:sz w:val="20"/>
                <w:szCs w:val="20"/>
                <w:color w:val="auto"/>
              </w:rPr>
            </w:pPr>
            <w:r>
              <w:rPr>
                <w:rFonts w:ascii="Arial" w:cs="Arial" w:eastAsia="Arial" w:hAnsi="Arial"/>
                <w:sz w:val="18"/>
                <w:szCs w:val="18"/>
                <w:color w:val="auto"/>
              </w:rPr>
              <w:t>thousands)%</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Audit fees (1)</w:t>
            </w:r>
          </w:p>
        </w:tc>
        <w:tc>
          <w:tcPr>
            <w:tcW w:w="480" w:type="dxa"/>
            <w:vAlign w:val="bottom"/>
            <w:gridSpan w:val="2"/>
            <w:shd w:val="clear" w:color="auto" w:fill="E2EEF6"/>
          </w:tcPr>
          <w:p>
            <w:pPr>
              <w:ind w:lef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6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72%</w:t>
            </w:r>
          </w:p>
        </w:tc>
        <w:tc>
          <w:tcPr>
            <w:tcW w:w="40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673</w:t>
            </w:r>
          </w:p>
        </w:tc>
        <w:tc>
          <w:tcPr>
            <w:tcW w:w="860" w:type="dxa"/>
            <w:vAlign w:val="bottom"/>
            <w:shd w:val="clear" w:color="auto" w:fill="E2EEF6"/>
          </w:tcPr>
          <w:p>
            <w:pPr>
              <w:spacing w:after="0"/>
              <w:rPr>
                <w:sz w:val="21"/>
                <w:szCs w:val="21"/>
                <w:color w:val="auto"/>
              </w:rPr>
            </w:pPr>
          </w:p>
        </w:tc>
        <w:tc>
          <w:tcPr>
            <w:tcW w:w="6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80%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Audit related fees (2)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Tax fees (3)</w:t>
            </w:r>
          </w:p>
        </w:tc>
        <w:tc>
          <w:tcPr>
            <w:tcW w:w="2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6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144</w:t>
            </w:r>
          </w:p>
        </w:tc>
        <w:tc>
          <w:tcPr>
            <w:tcW w:w="860" w:type="dxa"/>
            <w:vAlign w:val="bottom"/>
            <w:shd w:val="clear" w:color="auto" w:fill="E2EEF6"/>
          </w:tcPr>
          <w:p>
            <w:pPr>
              <w:spacing w:after="0"/>
              <w:rPr>
                <w:sz w:val="21"/>
                <w:szCs w:val="21"/>
                <w:color w:val="auto"/>
              </w:rPr>
            </w:pPr>
          </w:p>
        </w:tc>
        <w:tc>
          <w:tcPr>
            <w:tcW w:w="6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All other fees (4)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Borders>
              <w:bottom w:val="single" w:sz="8" w:color="E2EEF6"/>
            </w:tcBorders>
            <w:shd w:val="clear" w:color="auto" w:fill="E2EEF6"/>
          </w:tcPr>
          <w:p>
            <w:pPr>
              <w:spacing w:after="0"/>
              <w:rPr>
                <w:sz w:val="23"/>
                <w:szCs w:val="23"/>
                <w:color w:val="auto"/>
              </w:rPr>
            </w:pPr>
          </w:p>
        </w:tc>
        <w:tc>
          <w:tcPr>
            <w:tcW w:w="240" w:type="dxa"/>
            <w:vAlign w:val="bottom"/>
            <w:tcBorders>
              <w:bottom w:val="single" w:sz="8" w:color="E2EEF6"/>
            </w:tcBorders>
            <w:shd w:val="clear" w:color="auto" w:fill="E2EEF6"/>
          </w:tcPr>
          <w:p>
            <w:pPr>
              <w:spacing w:after="0"/>
              <w:rPr>
                <w:sz w:val="23"/>
                <w:szCs w:val="23"/>
                <w:color w:val="auto"/>
              </w:rPr>
            </w:pPr>
          </w:p>
        </w:tc>
        <w:tc>
          <w:tcPr>
            <w:tcW w:w="240" w:type="dxa"/>
            <w:vAlign w:val="bottom"/>
            <w:tcBorders>
              <w:bottom w:val="single" w:sz="8" w:color="auto"/>
            </w:tcBorders>
            <w:shd w:val="clear" w:color="auto" w:fill="E2EEF6"/>
          </w:tcPr>
          <w:p>
            <w:pPr>
              <w:spacing w:after="0"/>
              <w:rPr>
                <w:sz w:val="23"/>
                <w:szCs w:val="23"/>
                <w:color w:val="auto"/>
              </w:rPr>
            </w:pPr>
          </w:p>
        </w:tc>
        <w:tc>
          <w:tcPr>
            <w:tcW w:w="1140" w:type="dxa"/>
            <w:vAlign w:val="bottom"/>
            <w:tcBorders>
              <w:bottom w:val="single" w:sz="8" w:color="auto"/>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940" w:type="dxa"/>
            <w:vAlign w:val="bottom"/>
            <w:tcBorders>
              <w:bottom w:val="single" w:sz="8" w:color="auto"/>
            </w:tcBorders>
            <w:shd w:val="clear" w:color="auto" w:fill="E2EEF6"/>
          </w:tcPr>
          <w:p>
            <w:pPr>
              <w:spacing w:after="0"/>
              <w:rPr>
                <w:sz w:val="23"/>
                <w:szCs w:val="23"/>
                <w:color w:val="auto"/>
              </w:rPr>
            </w:pPr>
          </w:p>
        </w:tc>
        <w:tc>
          <w:tcPr>
            <w:tcW w:w="420" w:type="dxa"/>
            <w:vAlign w:val="bottom"/>
            <w:tcBorders>
              <w:bottom w:val="single" w:sz="8" w:color="auto"/>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400" w:type="dxa"/>
            <w:vAlign w:val="bottom"/>
            <w:tcBorders>
              <w:bottom w:val="single" w:sz="8" w:color="auto"/>
            </w:tcBorders>
            <w:shd w:val="clear" w:color="auto" w:fill="E2EEF6"/>
          </w:tcPr>
          <w:p>
            <w:pPr>
              <w:spacing w:after="0"/>
              <w:rPr>
                <w:sz w:val="23"/>
                <w:szCs w:val="23"/>
                <w:color w:val="auto"/>
              </w:rPr>
            </w:pPr>
          </w:p>
        </w:tc>
        <w:tc>
          <w:tcPr>
            <w:tcW w:w="960" w:type="dxa"/>
            <w:vAlign w:val="bottom"/>
            <w:tcBorders>
              <w:bottom w:val="single" w:sz="8" w:color="auto"/>
            </w:tcBorders>
            <w:shd w:val="clear" w:color="auto" w:fill="E2EEF6"/>
          </w:tcPr>
          <w:p>
            <w:pPr>
              <w:spacing w:after="0"/>
              <w:rPr>
                <w:sz w:val="23"/>
                <w:szCs w:val="23"/>
                <w:color w:val="auto"/>
              </w:rPr>
            </w:pPr>
          </w:p>
        </w:tc>
        <w:tc>
          <w:tcPr>
            <w:tcW w:w="20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auto"/>
            </w:tcBorders>
            <w:shd w:val="clear" w:color="auto" w:fill="E2EEF6"/>
          </w:tcPr>
          <w:p>
            <w:pPr>
              <w:spacing w:after="0"/>
              <w:rPr>
                <w:sz w:val="23"/>
                <w:szCs w:val="23"/>
                <w:color w:val="auto"/>
              </w:rPr>
            </w:pPr>
          </w:p>
        </w:tc>
        <w:tc>
          <w:tcPr>
            <w:tcW w:w="500" w:type="dxa"/>
            <w:vAlign w:val="bottom"/>
            <w:tcBorders>
              <w:bottom w:val="single" w:sz="8" w:color="auto"/>
            </w:tcBorders>
            <w:shd w:val="clear" w:color="auto" w:fill="E2EEF6"/>
          </w:tcPr>
          <w:p>
            <w:pPr>
              <w:spacing w:after="0"/>
              <w:rPr>
                <w:sz w:val="23"/>
                <w:szCs w:val="23"/>
                <w:color w:val="auto"/>
              </w:rPr>
            </w:pPr>
          </w:p>
        </w:tc>
        <w:tc>
          <w:tcPr>
            <w:tcW w:w="160" w:type="dxa"/>
            <w:vAlign w:val="bottom"/>
            <w:tcBorders>
              <w:bottom w:val="single" w:sz="8" w:color="E2EEF6"/>
            </w:tcBorders>
            <w:shd w:val="clear" w:color="auto" w:fill="E2EEF6"/>
          </w:tcPr>
          <w:p>
            <w:pPr>
              <w:spacing w:after="0"/>
              <w:rPr>
                <w:sz w:val="23"/>
                <w:szCs w:val="23"/>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838</w:t>
            </w:r>
          </w:p>
        </w:tc>
        <w:tc>
          <w:tcPr>
            <w:tcW w:w="8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include annual audit fees for ICON plc and its subsidiaries.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financial statements of employee benefit plans.</w:t>
      </w:r>
    </w:p>
    <w:p>
      <w:pPr>
        <w:spacing w:after="0" w:line="302"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fees are fees for secretarial assistance rendered by our auditors.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ICON plc by its auditors.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Exemptions from the Listing Standards for Audit Committees.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Purchases of Equity Securities by the Issuer and Affiliated Purchasers.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47 to 86 of this Form 20-F.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ICON plc and subsidiaries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at May 31, 2004, May 31 2005, and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6"/>
          <w:szCs w:val="16"/>
          <w:color w:val="auto"/>
        </w:rPr>
        <w:t>Consolidated Statements of Operations for the years ended May 31, 2003, 2004, 2005 and the transition period ended December 31, 2005.</w:t>
      </w:r>
    </w:p>
    <w:p>
      <w:pPr>
        <w:spacing w:after="0" w:line="302" w:lineRule="exact"/>
        <w:rPr>
          <w:sz w:val="20"/>
          <w:szCs w:val="20"/>
          <w:color w:val="auto"/>
        </w:rPr>
      </w:pPr>
    </w:p>
    <w:p>
      <w:pPr>
        <w:ind w:left="660" w:right="3000"/>
        <w:spacing w:after="0" w:line="308" w:lineRule="auto"/>
        <w:rPr>
          <w:sz w:val="20"/>
          <w:szCs w:val="20"/>
          <w:color w:val="auto"/>
        </w:rPr>
      </w:pPr>
      <w:r>
        <w:rPr>
          <w:rFonts w:ascii="Arial" w:cs="Arial" w:eastAsia="Arial" w:hAnsi="Arial"/>
          <w:sz w:val="17"/>
          <w:szCs w:val="17"/>
          <w:color w:val="auto"/>
        </w:rPr>
        <w:t>Consolidated Statements of Shareholders’ Equity and Comprehensive Income for the years ended May 31, 2003, 2004, 2005 and the transition period ended December 31, 2005.</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Cash Flows for the years ended May 31, 2003, 2004, 2005 and the transition period ended December 31, 2005.</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Exhibits of ICON plc and subsidiaries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subsidiaries.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302 certifications.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906 certifications.</w:t>
      </w:r>
    </w:p>
    <w:p>
      <w:pPr>
        <w:spacing w:after="0" w:line="200" w:lineRule="exact"/>
        <w:rPr>
          <w:sz w:val="20"/>
          <w:szCs w:val="20"/>
          <w:color w:val="auto"/>
        </w:rPr>
      </w:pPr>
    </w:p>
    <w:p>
      <w:pPr>
        <w:spacing w:after="0" w:line="35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665" w:right="9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Shareholders of ICON plc</w:t>
      </w:r>
    </w:p>
    <w:p>
      <w:pPr>
        <w:spacing w:after="0" w:line="279"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We have audited the accompanying consolidated balance sheets of ICON plc and subsidiaries as of December 31, 2005, May 31, 2005 and May 31, 2004, and the related consolidated statements of operations, shareholders' equity and comprehensive income and cash flows for the seven month period ended December 31, 2005 and each of the years in the three-year period ended May 31, 2005. These consolidated financial statements are the responsibility of the Company's management. Our responsibility is to express an opinion on these consolidated financial statements based on our audits.</w:t>
      </w:r>
    </w:p>
    <w:p>
      <w:pPr>
        <w:spacing w:after="0" w:line="242"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We conducted our audits in accordance with auditing standards generally accepted in Ireland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2"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ICON plc and subsidiaries as of December 31, 2005, May 31, 2005 and May 31, 2004 and the consolidated results of their operations and their cash flows for the seven month period ended December 31, 2005 and each of the years in the three-year period ended May 31, 2005 in conformity with accounting principles generally accepted in the United States.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Public Accounting Firm</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February 27,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31,</w:t>
            </w: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r>
      <w:tr>
        <w:trPr>
          <w:trHeight w:val="243"/>
        </w:trPr>
        <w:tc>
          <w:tcPr>
            <w:tcW w:w="5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(in thousands)</w:t>
            </w:r>
          </w:p>
        </w:tc>
        <w:tc>
          <w:tcPr>
            <w:tcW w:w="1800" w:type="dxa"/>
            <w:vAlign w:val="bottom"/>
          </w:tcPr>
          <w:p>
            <w:pPr>
              <w:spacing w:after="0"/>
              <w:rPr>
                <w:sz w:val="21"/>
                <w:szCs w:val="2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55,678</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56,341</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$59,509</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Short term investments - available for sale (Note 3)</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23,085</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22,034</w:t>
            </w:r>
          </w:p>
        </w:tc>
        <w:tc>
          <w:tcPr>
            <w:tcW w:w="1800" w:type="dxa"/>
            <w:vAlign w:val="bottom"/>
          </w:tcPr>
          <w:p>
            <w:pPr>
              <w:jc w:val="right"/>
              <w:spacing w:after="0"/>
              <w:rPr>
                <w:sz w:val="20"/>
                <w:szCs w:val="20"/>
                <w:color w:val="auto"/>
              </w:rPr>
            </w:pPr>
            <w:r>
              <w:rPr>
                <w:rFonts w:ascii="Arial" w:cs="Arial" w:eastAsia="Arial" w:hAnsi="Arial"/>
                <w:sz w:val="18"/>
                <w:szCs w:val="18"/>
                <w:color w:val="auto"/>
              </w:rPr>
              <w:t>22,809</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74,079</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80,486</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71,450</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Unbilled revenue</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59,861</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56,762</w:t>
            </w:r>
          </w:p>
        </w:tc>
        <w:tc>
          <w:tcPr>
            <w:tcW w:w="1800" w:type="dxa"/>
            <w:vAlign w:val="bottom"/>
          </w:tcPr>
          <w:p>
            <w:pPr>
              <w:jc w:val="right"/>
              <w:spacing w:after="0"/>
              <w:rPr>
                <w:sz w:val="20"/>
                <w:szCs w:val="20"/>
                <w:color w:val="auto"/>
              </w:rPr>
            </w:pPr>
            <w:r>
              <w:rPr>
                <w:rFonts w:ascii="Arial" w:cs="Arial" w:eastAsia="Arial" w:hAnsi="Arial"/>
                <w:sz w:val="18"/>
                <w:szCs w:val="18"/>
                <w:color w:val="auto"/>
              </w:rPr>
              <w:t>62,270</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Other receivables</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4,306</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5,662</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6,435</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Deferred tax asset (Note 14)</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2,637</w:t>
            </w:r>
          </w:p>
        </w:tc>
        <w:tc>
          <w:tcPr>
            <w:tcW w:w="180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57"/>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Prepayments and other current assets</w:t>
            </w:r>
          </w:p>
        </w:tc>
        <w:tc>
          <w:tcPr>
            <w:tcW w:w="76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9,468</w:t>
            </w:r>
          </w:p>
        </w:tc>
        <w:tc>
          <w:tcPr>
            <w:tcW w:w="200" w:type="dxa"/>
            <w:vAlign w:val="bottom"/>
            <w:shd w:val="clear" w:color="auto" w:fill="E2EEF6"/>
          </w:tcPr>
          <w:p>
            <w:pPr>
              <w:spacing w:after="0"/>
              <w:rPr>
                <w:sz w:val="22"/>
                <w:szCs w:val="22"/>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10,717</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11,089</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228,161</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234,639</w:t>
            </w:r>
          </w:p>
        </w:tc>
        <w:tc>
          <w:tcPr>
            <w:tcW w:w="1800" w:type="dxa"/>
            <w:vAlign w:val="bottom"/>
          </w:tcPr>
          <w:p>
            <w:pPr>
              <w:jc w:val="right"/>
              <w:spacing w:after="0"/>
              <w:rPr>
                <w:sz w:val="20"/>
                <w:szCs w:val="20"/>
                <w:color w:val="auto"/>
              </w:rPr>
            </w:pPr>
            <w:r>
              <w:rPr>
                <w:rFonts w:ascii="Arial" w:cs="Arial" w:eastAsia="Arial" w:hAnsi="Arial"/>
                <w:sz w:val="18"/>
                <w:szCs w:val="18"/>
                <w:color w:val="auto"/>
              </w:rPr>
              <w:t>235,116</w:t>
            </w:r>
          </w:p>
        </w:tc>
      </w:tr>
      <w:tr>
        <w:trPr>
          <w:trHeight w:val="243"/>
        </w:trPr>
        <w:tc>
          <w:tcPr>
            <w:tcW w:w="5720" w:type="dxa"/>
            <w:vAlign w:val="bottom"/>
            <w:shd w:val="clear" w:color="auto" w:fill="E2EEF6"/>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spacing w:after="0"/>
              <w:rPr>
                <w:sz w:val="21"/>
                <w:szCs w:val="21"/>
                <w:color w:val="auto"/>
              </w:rPr>
            </w:pPr>
          </w:p>
        </w:tc>
        <w:tc>
          <w:tcPr>
            <w:tcW w:w="1800" w:type="dxa"/>
            <w:vAlign w:val="bottom"/>
            <w:shd w:val="clear" w:color="auto" w:fill="E2EEF6"/>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Property, plant and equipment, net (Note 6)</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42,936</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45,286</w:t>
            </w:r>
          </w:p>
        </w:tc>
        <w:tc>
          <w:tcPr>
            <w:tcW w:w="1800" w:type="dxa"/>
            <w:vAlign w:val="bottom"/>
          </w:tcPr>
          <w:p>
            <w:pPr>
              <w:jc w:val="right"/>
              <w:spacing w:after="0"/>
              <w:rPr>
                <w:sz w:val="20"/>
                <w:szCs w:val="20"/>
                <w:color w:val="auto"/>
              </w:rPr>
            </w:pPr>
            <w:r>
              <w:rPr>
                <w:rFonts w:ascii="Arial" w:cs="Arial" w:eastAsia="Arial" w:hAnsi="Arial"/>
                <w:sz w:val="18"/>
                <w:szCs w:val="18"/>
                <w:color w:val="auto"/>
              </w:rPr>
              <w:t>47,652</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Goodwill (Note 4)</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64,226</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67,440</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65,731</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Non-current deferred tax asset (Note 14)</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64"/>
        </w:trPr>
        <w:tc>
          <w:tcPr>
            <w:tcW w:w="572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Intangible assets (Note 5)</w:t>
            </w:r>
          </w:p>
        </w:tc>
        <w:tc>
          <w:tcPr>
            <w:tcW w:w="760" w:type="dxa"/>
            <w:vAlign w:val="bottom"/>
            <w:tcBorders>
              <w:bottom w:val="single" w:sz="8" w:color="E2EEF6"/>
            </w:tcBorders>
            <w:shd w:val="clear" w:color="auto" w:fill="E2EEF6"/>
          </w:tcPr>
          <w:p>
            <w:pPr>
              <w:spacing w:after="0"/>
              <w:rPr>
                <w:sz w:val="22"/>
                <w:szCs w:val="22"/>
                <w:color w:val="auto"/>
              </w:rPr>
            </w:pPr>
          </w:p>
        </w:tc>
        <w:tc>
          <w:tcPr>
            <w:tcW w:w="1300" w:type="dxa"/>
            <w:vAlign w:val="bottom"/>
            <w:tcBorders>
              <w:bottom w:val="single" w:sz="8" w:color="E2EEF6"/>
            </w:tcBorders>
            <w:shd w:val="clear" w:color="auto" w:fill="E2EEF6"/>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2EEF6"/>
            </w:tcBorders>
            <w:shd w:val="clear" w:color="auto" w:fill="E2EEF6"/>
          </w:tcPr>
          <w:p>
            <w:pPr>
              <w:spacing w:after="0"/>
              <w:rPr>
                <w:sz w:val="22"/>
                <w:szCs w:val="22"/>
                <w:color w:val="auto"/>
              </w:rPr>
            </w:pPr>
          </w:p>
        </w:tc>
        <w:tc>
          <w:tcPr>
            <w:tcW w:w="1640" w:type="dxa"/>
            <w:vAlign w:val="bottom"/>
            <w:tcBorders>
              <w:bottom w:val="single" w:sz="8" w:color="E2EEF6"/>
            </w:tcBorders>
            <w:shd w:val="clear" w:color="auto" w:fill="E2EEF6"/>
          </w:tcPr>
          <w:p>
            <w:pPr>
              <w:jc w:val="right"/>
              <w:ind w:right="170"/>
              <w:spacing w:after="0"/>
              <w:rPr>
                <w:sz w:val="20"/>
                <w:szCs w:val="20"/>
                <w:color w:val="auto"/>
              </w:rPr>
            </w:pPr>
            <w:r>
              <w:rPr>
                <w:rFonts w:ascii="Arial" w:cs="Arial" w:eastAsia="Arial" w:hAnsi="Arial"/>
                <w:sz w:val="18"/>
                <w:szCs w:val="18"/>
                <w:color w:val="auto"/>
              </w:rPr>
              <w:t>188</w:t>
            </w:r>
          </w:p>
        </w:tc>
        <w:tc>
          <w:tcPr>
            <w:tcW w:w="180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335,323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347,553</w:t>
            </w:r>
          </w:p>
        </w:tc>
        <w:tc>
          <w:tcPr>
            <w:tcW w:w="1800" w:type="dxa"/>
            <w:vAlign w:val="bottom"/>
          </w:tcPr>
          <w:p>
            <w:pPr>
              <w:jc w:val="right"/>
              <w:spacing w:after="0"/>
              <w:rPr>
                <w:sz w:val="20"/>
                <w:szCs w:val="20"/>
                <w:color w:val="auto"/>
              </w:rPr>
            </w:pPr>
            <w:r>
              <w:rPr>
                <w:rFonts w:ascii="Arial" w:cs="Arial" w:eastAsia="Arial" w:hAnsi="Arial"/>
                <w:sz w:val="18"/>
                <w:szCs w:val="18"/>
                <w:color w:val="auto"/>
              </w:rPr>
              <w:t>$349,067</w:t>
            </w:r>
          </w:p>
        </w:tc>
      </w:tr>
      <w:tr>
        <w:trPr>
          <w:trHeight w:val="41"/>
        </w:trPr>
        <w:tc>
          <w:tcPr>
            <w:tcW w:w="5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43"/>
        </w:trPr>
        <w:tc>
          <w:tcPr>
            <w:tcW w:w="5720" w:type="dxa"/>
            <w:vAlign w:val="bottom"/>
            <w:shd w:val="clear" w:color="auto" w:fill="E2EEF6"/>
          </w:tcPr>
          <w:p>
            <w:pPr>
              <w:spacing w:after="0"/>
              <w:rPr>
                <w:sz w:val="21"/>
                <w:szCs w:val="21"/>
                <w:color w:val="auto"/>
              </w:rPr>
            </w:pP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spacing w:after="0"/>
              <w:rPr>
                <w:sz w:val="21"/>
                <w:szCs w:val="21"/>
                <w:color w:val="auto"/>
              </w:rPr>
            </w:pPr>
          </w:p>
        </w:tc>
        <w:tc>
          <w:tcPr>
            <w:tcW w:w="1800" w:type="dxa"/>
            <w:vAlign w:val="bottom"/>
            <w:shd w:val="clear" w:color="auto" w:fill="E2EEF6"/>
          </w:tcPr>
          <w:p>
            <w:pPr>
              <w:spacing w:after="0"/>
              <w:rPr>
                <w:sz w:val="21"/>
                <w:szCs w:val="2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572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spacing w:after="0"/>
              <w:rPr>
                <w:sz w:val="21"/>
                <w:szCs w:val="21"/>
                <w:color w:val="auto"/>
              </w:rPr>
            </w:pPr>
          </w:p>
        </w:tc>
        <w:tc>
          <w:tcPr>
            <w:tcW w:w="1800" w:type="dxa"/>
            <w:vAlign w:val="bottom"/>
            <w:shd w:val="clear" w:color="auto" w:fill="E2EEF6"/>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12,801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10,379</w:t>
            </w:r>
          </w:p>
        </w:tc>
        <w:tc>
          <w:tcPr>
            <w:tcW w:w="1800" w:type="dxa"/>
            <w:vAlign w:val="bottom"/>
          </w:tcPr>
          <w:p>
            <w:pPr>
              <w:jc w:val="right"/>
              <w:spacing w:after="0"/>
              <w:rPr>
                <w:sz w:val="20"/>
                <w:szCs w:val="20"/>
                <w:color w:val="auto"/>
              </w:rPr>
            </w:pPr>
            <w:r>
              <w:rPr>
                <w:rFonts w:ascii="Arial" w:cs="Arial" w:eastAsia="Arial" w:hAnsi="Arial"/>
                <w:sz w:val="18"/>
                <w:szCs w:val="18"/>
                <w:color w:val="auto"/>
              </w:rPr>
              <w:t>$7,575</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Payments on account</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61,960</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52,583</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50,211</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Other liabilities (Note 7)</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35,091</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39,890</w:t>
            </w:r>
          </w:p>
        </w:tc>
        <w:tc>
          <w:tcPr>
            <w:tcW w:w="1800" w:type="dxa"/>
            <w:vAlign w:val="bottom"/>
          </w:tcPr>
          <w:p>
            <w:pPr>
              <w:jc w:val="right"/>
              <w:spacing w:after="0"/>
              <w:rPr>
                <w:sz w:val="20"/>
                <w:szCs w:val="20"/>
                <w:color w:val="auto"/>
              </w:rPr>
            </w:pPr>
            <w:r>
              <w:rPr>
                <w:rFonts w:ascii="Arial" w:cs="Arial" w:eastAsia="Arial" w:hAnsi="Arial"/>
                <w:sz w:val="18"/>
                <w:szCs w:val="18"/>
                <w:color w:val="auto"/>
              </w:rPr>
              <w:t>33,184</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tax liability (Note 14)</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310</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Bank credit lines and loan facilities</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4,856</w:t>
            </w:r>
          </w:p>
        </w:tc>
      </w:tr>
      <w:tr>
        <w:trPr>
          <w:trHeight w:val="257"/>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4,496</w:t>
            </w:r>
          </w:p>
        </w:tc>
        <w:tc>
          <w:tcPr>
            <w:tcW w:w="200" w:type="dxa"/>
            <w:vAlign w:val="bottom"/>
            <w:shd w:val="clear" w:color="auto" w:fill="E2EEF6"/>
          </w:tcPr>
          <w:p>
            <w:pPr>
              <w:spacing w:after="0"/>
              <w:rPr>
                <w:sz w:val="22"/>
                <w:szCs w:val="22"/>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6,189</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6,296</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114,348</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109,351</w:t>
            </w:r>
          </w:p>
        </w:tc>
        <w:tc>
          <w:tcPr>
            <w:tcW w:w="1800" w:type="dxa"/>
            <w:vAlign w:val="bottom"/>
          </w:tcPr>
          <w:p>
            <w:pPr>
              <w:jc w:val="right"/>
              <w:spacing w:after="0"/>
              <w:rPr>
                <w:sz w:val="20"/>
                <w:szCs w:val="20"/>
                <w:color w:val="auto"/>
              </w:rPr>
            </w:pPr>
            <w:r>
              <w:rPr>
                <w:rFonts w:ascii="Arial" w:cs="Arial" w:eastAsia="Arial" w:hAnsi="Arial"/>
                <w:sz w:val="18"/>
                <w:szCs w:val="18"/>
                <w:color w:val="auto"/>
              </w:rPr>
              <w:t>102,804</w:t>
            </w:r>
          </w:p>
        </w:tc>
      </w:tr>
      <w:tr>
        <w:trPr>
          <w:trHeight w:val="243"/>
        </w:trPr>
        <w:tc>
          <w:tcPr>
            <w:tcW w:w="5720" w:type="dxa"/>
            <w:vAlign w:val="bottom"/>
            <w:shd w:val="clear" w:color="auto" w:fill="E2EEF6"/>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spacing w:after="0"/>
              <w:rPr>
                <w:sz w:val="21"/>
                <w:szCs w:val="21"/>
                <w:color w:val="auto"/>
              </w:rPr>
            </w:pPr>
          </w:p>
        </w:tc>
        <w:tc>
          <w:tcPr>
            <w:tcW w:w="1800" w:type="dxa"/>
            <w:vAlign w:val="bottom"/>
            <w:shd w:val="clear" w:color="auto" w:fill="E2EEF6"/>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Long term government grants (Note 12)</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1,411</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1,257</w:t>
            </w:r>
          </w:p>
        </w:tc>
        <w:tc>
          <w:tcPr>
            <w:tcW w:w="18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Long term finance leases</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248</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Non-current deferred tax liability (Note 14)</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2,637</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2,747</w:t>
            </w:r>
          </w:p>
        </w:tc>
        <w:tc>
          <w:tcPr>
            <w:tcW w:w="180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Minority interest</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884</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894</w:t>
            </w:r>
          </w:p>
        </w:tc>
      </w:tr>
      <w:tr>
        <w:trPr>
          <w:trHeight w:val="243"/>
        </w:trPr>
        <w:tc>
          <w:tcPr>
            <w:tcW w:w="5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5720" w:type="dxa"/>
            <w:vAlign w:val="bottom"/>
            <w:shd w:val="clear" w:color="auto" w:fill="E2EEF6"/>
          </w:tcPr>
          <w:p>
            <w:pPr>
              <w:spacing w:after="0"/>
              <w:rPr>
                <w:sz w:val="20"/>
                <w:szCs w:val="20"/>
                <w:color w:val="auto"/>
              </w:rPr>
            </w:pPr>
            <w:r>
              <w:rPr>
                <w:rFonts w:ascii="Arial" w:cs="Arial" w:eastAsia="Arial" w:hAnsi="Arial"/>
                <w:sz w:val="18"/>
                <w:szCs w:val="18"/>
                <w:color w:val="auto"/>
              </w:rPr>
              <w:t>Shareholders' Equity:</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spacing w:after="0"/>
              <w:rPr>
                <w:sz w:val="21"/>
                <w:szCs w:val="21"/>
                <w:color w:val="auto"/>
              </w:rPr>
            </w:pPr>
          </w:p>
        </w:tc>
        <w:tc>
          <w:tcPr>
            <w:tcW w:w="1800" w:type="dxa"/>
            <w:vAlign w:val="bottom"/>
            <w:shd w:val="clear" w:color="auto" w:fill="E2EEF6"/>
          </w:tcPr>
          <w:p>
            <w:pPr>
              <w:spacing w:after="0"/>
              <w:rPr>
                <w:sz w:val="21"/>
                <w:szCs w:val="21"/>
                <w:color w:val="auto"/>
              </w:rPr>
            </w:pPr>
          </w:p>
        </w:tc>
      </w:tr>
      <w:tr>
        <w:trPr>
          <w:trHeight w:val="202"/>
        </w:trPr>
        <w:tc>
          <w:tcPr>
            <w:tcW w:w="5720" w:type="dxa"/>
            <w:vAlign w:val="bottom"/>
          </w:tcPr>
          <w:p>
            <w:pPr>
              <w:ind w:left="340"/>
              <w:spacing w:after="0" w:line="201" w:lineRule="exact"/>
              <w:rPr>
                <w:sz w:val="20"/>
                <w:szCs w:val="20"/>
                <w:color w:val="auto"/>
              </w:rPr>
            </w:pPr>
            <w:r>
              <w:rPr>
                <w:rFonts w:ascii="Arial" w:cs="Arial" w:eastAsia="Arial" w:hAnsi="Arial"/>
                <w:sz w:val="18"/>
                <w:szCs w:val="18"/>
                <w:color w:val="auto"/>
                <w:w w:val="96"/>
              </w:rPr>
              <w:t>Ordinary shares, par value 6 euro cents per share; 20,000,000 shares</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authorized,</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02"/>
        </w:trPr>
        <w:tc>
          <w:tcPr>
            <w:tcW w:w="5720" w:type="dxa"/>
            <w:vAlign w:val="bottom"/>
            <w:shd w:val="clear" w:color="auto" w:fill="E2EEF6"/>
          </w:tcPr>
          <w:p>
            <w:pPr>
              <w:ind w:left="340"/>
              <w:spacing w:after="0" w:line="201" w:lineRule="exact"/>
              <w:rPr>
                <w:sz w:val="20"/>
                <w:szCs w:val="20"/>
                <w:color w:val="auto"/>
              </w:rPr>
            </w:pPr>
            <w:r>
              <w:rPr>
                <w:rFonts w:ascii="Arial" w:cs="Arial" w:eastAsia="Arial" w:hAnsi="Arial"/>
                <w:sz w:val="18"/>
                <w:szCs w:val="18"/>
                <w:color w:val="auto"/>
                <w:w w:val="88"/>
              </w:rPr>
              <w:t>13,838,476 shares issued and outstanding at May 31, 2004 and 13,899,096</w:t>
            </w:r>
          </w:p>
        </w:tc>
        <w:tc>
          <w:tcPr>
            <w:tcW w:w="760" w:type="dxa"/>
            <w:vAlign w:val="bottom"/>
            <w:shd w:val="clear" w:color="auto" w:fill="E2EEF6"/>
          </w:tcPr>
          <w:p>
            <w:pPr>
              <w:spacing w:after="0"/>
              <w:rPr>
                <w:sz w:val="17"/>
                <w:szCs w:val="17"/>
                <w:color w:val="auto"/>
              </w:rPr>
            </w:pPr>
          </w:p>
        </w:tc>
        <w:tc>
          <w:tcPr>
            <w:tcW w:w="1300" w:type="dxa"/>
            <w:vAlign w:val="bottom"/>
            <w:shd w:val="clear" w:color="auto" w:fill="E2EEF6"/>
          </w:tcPr>
          <w:p>
            <w:pPr>
              <w:spacing w:after="0"/>
              <w:rPr>
                <w:sz w:val="17"/>
                <w:szCs w:val="17"/>
                <w:color w:val="auto"/>
              </w:rPr>
            </w:pPr>
          </w:p>
        </w:tc>
        <w:tc>
          <w:tcPr>
            <w:tcW w:w="200" w:type="dxa"/>
            <w:vAlign w:val="bottom"/>
            <w:shd w:val="clear" w:color="auto" w:fill="E2EEF6"/>
          </w:tcPr>
          <w:p>
            <w:pPr>
              <w:spacing w:after="0"/>
              <w:rPr>
                <w:sz w:val="17"/>
                <w:szCs w:val="17"/>
                <w:color w:val="auto"/>
              </w:rPr>
            </w:pPr>
          </w:p>
        </w:tc>
        <w:tc>
          <w:tcPr>
            <w:tcW w:w="1640" w:type="dxa"/>
            <w:vAlign w:val="bottom"/>
            <w:shd w:val="clear" w:color="auto" w:fill="E2EEF6"/>
          </w:tcPr>
          <w:p>
            <w:pPr>
              <w:spacing w:after="0"/>
              <w:rPr>
                <w:sz w:val="17"/>
                <w:szCs w:val="17"/>
                <w:color w:val="auto"/>
              </w:rPr>
            </w:pPr>
          </w:p>
        </w:tc>
        <w:tc>
          <w:tcPr>
            <w:tcW w:w="1800" w:type="dxa"/>
            <w:vAlign w:val="bottom"/>
            <w:shd w:val="clear" w:color="auto" w:fill="E2EEF6"/>
          </w:tcPr>
          <w:p>
            <w:pPr>
              <w:spacing w:after="0"/>
              <w:rPr>
                <w:sz w:val="17"/>
                <w:szCs w:val="17"/>
                <w:color w:val="auto"/>
              </w:rPr>
            </w:pPr>
          </w:p>
        </w:tc>
      </w:tr>
      <w:tr>
        <w:trPr>
          <w:trHeight w:val="216"/>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w w:val="94"/>
              </w:rPr>
              <w:t>shares issued and outstanding at May 31, 2005 and 14,018,092 shares</w:t>
            </w:r>
          </w:p>
        </w:tc>
        <w:tc>
          <w:tcPr>
            <w:tcW w:w="760" w:type="dxa"/>
            <w:vAlign w:val="bottom"/>
            <w:shd w:val="clear" w:color="auto" w:fill="E2EEF6"/>
          </w:tcPr>
          <w:p>
            <w:pPr>
              <w:spacing w:after="0"/>
              <w:rPr>
                <w:sz w:val="18"/>
                <w:szCs w:val="18"/>
                <w:color w:val="auto"/>
              </w:rPr>
            </w:pPr>
          </w:p>
        </w:tc>
        <w:tc>
          <w:tcPr>
            <w:tcW w:w="1300" w:type="dxa"/>
            <w:vAlign w:val="bottom"/>
            <w:shd w:val="clear" w:color="auto" w:fill="E2EEF6"/>
          </w:tcPr>
          <w:p>
            <w:pPr>
              <w:spacing w:after="0"/>
              <w:rPr>
                <w:sz w:val="18"/>
                <w:szCs w:val="18"/>
                <w:color w:val="auto"/>
              </w:rPr>
            </w:pPr>
          </w:p>
        </w:tc>
        <w:tc>
          <w:tcPr>
            <w:tcW w:w="200" w:type="dxa"/>
            <w:vAlign w:val="bottom"/>
            <w:shd w:val="clear" w:color="auto" w:fill="E2EEF6"/>
          </w:tcPr>
          <w:p>
            <w:pPr>
              <w:spacing w:after="0"/>
              <w:rPr>
                <w:sz w:val="18"/>
                <w:szCs w:val="18"/>
                <w:color w:val="auto"/>
              </w:rPr>
            </w:pPr>
          </w:p>
        </w:tc>
        <w:tc>
          <w:tcPr>
            <w:tcW w:w="1640" w:type="dxa"/>
            <w:vAlign w:val="bottom"/>
            <w:shd w:val="clear" w:color="auto" w:fill="E2EEF6"/>
          </w:tcPr>
          <w:p>
            <w:pPr>
              <w:spacing w:after="0"/>
              <w:rPr>
                <w:sz w:val="18"/>
                <w:szCs w:val="18"/>
                <w:color w:val="auto"/>
              </w:rPr>
            </w:pPr>
          </w:p>
        </w:tc>
        <w:tc>
          <w:tcPr>
            <w:tcW w:w="1800" w:type="dxa"/>
            <w:vAlign w:val="bottom"/>
            <w:shd w:val="clear" w:color="auto" w:fill="E2EEF6"/>
          </w:tcPr>
          <w:p>
            <w:pPr>
              <w:spacing w:after="0"/>
              <w:rPr>
                <w:sz w:val="18"/>
                <w:szCs w:val="18"/>
                <w:color w:val="auto"/>
              </w:rPr>
            </w:pPr>
          </w:p>
        </w:tc>
      </w:tr>
      <w:tr>
        <w:trPr>
          <w:trHeight w:val="230"/>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issued and outstanding at December 31, 2005 (Note 13)</w:t>
            </w:r>
          </w:p>
        </w:tc>
        <w:tc>
          <w:tcPr>
            <w:tcW w:w="760" w:type="dxa"/>
            <w:vAlign w:val="bottom"/>
            <w:shd w:val="clear" w:color="auto" w:fill="E2EEF6"/>
          </w:tcPr>
          <w:p>
            <w:pPr>
              <w:spacing w:after="0"/>
              <w:rPr>
                <w:sz w:val="20"/>
                <w:szCs w:val="20"/>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E2EEF6"/>
          </w:tcPr>
          <w:p>
            <w:pPr>
              <w:spacing w:after="0"/>
              <w:rPr>
                <w:sz w:val="20"/>
                <w:szCs w:val="20"/>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985</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112,936</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114,447</w:t>
            </w:r>
          </w:p>
        </w:tc>
        <w:tc>
          <w:tcPr>
            <w:tcW w:w="1800" w:type="dxa"/>
            <w:vAlign w:val="bottom"/>
          </w:tcPr>
          <w:p>
            <w:pPr>
              <w:jc w:val="right"/>
              <w:spacing w:after="0"/>
              <w:rPr>
                <w:sz w:val="20"/>
                <w:szCs w:val="20"/>
                <w:color w:val="auto"/>
              </w:rPr>
            </w:pPr>
            <w:r>
              <w:rPr>
                <w:rFonts w:ascii="Arial" w:cs="Arial" w:eastAsia="Arial" w:hAnsi="Arial"/>
                <w:sz w:val="18"/>
                <w:szCs w:val="18"/>
                <w:color w:val="auto"/>
              </w:rPr>
              <w:t>123,333</w:t>
            </w:r>
          </w:p>
        </w:tc>
      </w:tr>
      <w:tr>
        <w:trPr>
          <w:trHeight w:val="243"/>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9,984</w:t>
            </w:r>
          </w:p>
        </w:tc>
        <w:tc>
          <w:tcPr>
            <w:tcW w:w="200" w:type="dxa"/>
            <w:vAlign w:val="bottom"/>
            <w:shd w:val="clear" w:color="auto" w:fill="E2EEF6"/>
          </w:tcPr>
          <w:p>
            <w:pPr>
              <w:spacing w:after="0"/>
              <w:rPr>
                <w:sz w:val="21"/>
                <w:szCs w:val="21"/>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11,229</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3,409</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Merger reserve</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57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92,813</w:t>
            </w:r>
          </w:p>
        </w:tc>
        <w:tc>
          <w:tcPr>
            <w:tcW w:w="200" w:type="dxa"/>
            <w:vAlign w:val="bottom"/>
            <w:shd w:val="clear" w:color="auto" w:fill="E2EEF6"/>
          </w:tcPr>
          <w:p>
            <w:pPr>
              <w:spacing w:after="0"/>
              <w:rPr>
                <w:sz w:val="22"/>
                <w:szCs w:val="22"/>
                <w:color w:val="auto"/>
              </w:rPr>
            </w:pP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106,358</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113,776</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216,760</w:t>
            </w:r>
          </w:p>
        </w:tc>
        <w:tc>
          <w:tcPr>
            <w:tcW w:w="20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233,066</w:t>
            </w:r>
          </w:p>
        </w:tc>
        <w:tc>
          <w:tcPr>
            <w:tcW w:w="1800" w:type="dxa"/>
            <w:vAlign w:val="bottom"/>
          </w:tcPr>
          <w:p>
            <w:pPr>
              <w:jc w:val="right"/>
              <w:spacing w:after="0"/>
              <w:rPr>
                <w:sz w:val="20"/>
                <w:szCs w:val="20"/>
                <w:color w:val="auto"/>
              </w:rPr>
            </w:pPr>
            <w:r>
              <w:rPr>
                <w:rFonts w:ascii="Arial" w:cs="Arial" w:eastAsia="Arial" w:hAnsi="Arial"/>
                <w:sz w:val="18"/>
                <w:szCs w:val="18"/>
                <w:color w:val="auto"/>
              </w:rPr>
              <w:t>241,558</w:t>
            </w:r>
          </w:p>
        </w:tc>
      </w:tr>
      <w:tr>
        <w:trPr>
          <w:trHeight w:val="250"/>
        </w:trPr>
        <w:tc>
          <w:tcPr>
            <w:tcW w:w="5720" w:type="dxa"/>
            <w:vAlign w:val="bottom"/>
            <w:shd w:val="clear" w:color="auto" w:fill="E2EEF6"/>
          </w:tcPr>
          <w:p>
            <w:pPr>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335,323</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347,553</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$349,067</w:t>
            </w:r>
          </w:p>
        </w:tc>
      </w:tr>
      <w:tr>
        <w:trPr>
          <w:trHeight w:val="41"/>
        </w:trPr>
        <w:tc>
          <w:tcPr>
            <w:tcW w:w="5720" w:type="dxa"/>
            <w:vAlign w:val="bottom"/>
            <w:shd w:val="clear" w:color="auto" w:fill="E2EEF6"/>
          </w:tcPr>
          <w:p>
            <w:pPr>
              <w:spacing w:after="0"/>
              <w:rPr>
                <w:sz w:val="3"/>
                <w:szCs w:val="3"/>
                <w:color w:val="auto"/>
              </w:rPr>
            </w:pPr>
          </w:p>
        </w:tc>
        <w:tc>
          <w:tcPr>
            <w:tcW w:w="760" w:type="dxa"/>
            <w:vAlign w:val="bottom"/>
            <w:shd w:val="clear" w:color="auto" w:fill="E2EEF6"/>
          </w:tcPr>
          <w:p>
            <w:pPr>
              <w:spacing w:after="0"/>
              <w:rPr>
                <w:sz w:val="3"/>
                <w:szCs w:val="3"/>
                <w:color w:val="auto"/>
              </w:rPr>
            </w:pPr>
          </w:p>
        </w:tc>
        <w:tc>
          <w:tcPr>
            <w:tcW w:w="1300" w:type="dxa"/>
            <w:vAlign w:val="bottom"/>
            <w:shd w:val="clear" w:color="auto" w:fill="E2EEF6"/>
          </w:tcPr>
          <w:p>
            <w:pPr>
              <w:spacing w:after="0"/>
              <w:rPr>
                <w:sz w:val="3"/>
                <w:szCs w:val="3"/>
                <w:color w:val="auto"/>
              </w:rPr>
            </w:pPr>
          </w:p>
        </w:tc>
        <w:tc>
          <w:tcPr>
            <w:tcW w:w="200" w:type="dxa"/>
            <w:vAlign w:val="bottom"/>
            <w:shd w:val="clear" w:color="auto" w:fill="E2EEF6"/>
          </w:tcPr>
          <w:p>
            <w:pPr>
              <w:spacing w:after="0"/>
              <w:rPr>
                <w:sz w:val="3"/>
                <w:szCs w:val="3"/>
                <w:color w:val="auto"/>
              </w:rPr>
            </w:pPr>
          </w:p>
        </w:tc>
        <w:tc>
          <w:tcPr>
            <w:tcW w:w="1640" w:type="dxa"/>
            <w:vAlign w:val="bottom"/>
            <w:shd w:val="clear" w:color="auto" w:fill="E2EEF6"/>
          </w:tcPr>
          <w:p>
            <w:pPr>
              <w:spacing w:after="0"/>
              <w:rPr>
                <w:sz w:val="3"/>
                <w:szCs w:val="3"/>
                <w:color w:val="auto"/>
              </w:rPr>
            </w:pPr>
          </w:p>
        </w:tc>
        <w:tc>
          <w:tcPr>
            <w:tcW w:w="1800" w:type="dxa"/>
            <w:vAlign w:val="bottom"/>
            <w:shd w:val="clear" w:color="auto" w:fill="E2EEF6"/>
          </w:tcPr>
          <w:p>
            <w:pPr>
              <w:spacing w:after="0"/>
              <w:rPr>
                <w:sz w:val="3"/>
                <w:szCs w:val="3"/>
                <w:color w:val="auto"/>
              </w:rPr>
            </w:pPr>
          </w:p>
        </w:tc>
      </w:tr>
    </w:tbl>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16"/>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7"/>
              </w:rPr>
              <w:t>Ended December</w:t>
            </w:r>
          </w:p>
        </w:tc>
      </w:tr>
      <w:tr>
        <w:trPr>
          <w:trHeight w:val="234"/>
        </w:trPr>
        <w:tc>
          <w:tcPr>
            <w:tcW w:w="516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2"/>
              </w:rPr>
              <w:t>Year Ended May 31,</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tcPr>
          <w:p>
            <w:pPr>
              <w:spacing w:after="0"/>
              <w:rPr>
                <w:sz w:val="23"/>
                <w:szCs w:val="23"/>
                <w:color w:val="auto"/>
              </w:rPr>
            </w:pPr>
          </w:p>
        </w:tc>
        <w:tc>
          <w:tcPr>
            <w:tcW w:w="3680" w:type="dxa"/>
            <w:vAlign w:val="bottom"/>
            <w:gridSpan w:val="7"/>
          </w:tcPr>
          <w:p>
            <w:pPr>
              <w:spacing w:after="0"/>
              <w:rPr>
                <w:sz w:val="20"/>
                <w:szCs w:val="20"/>
                <w:color w:val="auto"/>
              </w:rPr>
            </w:pPr>
            <w:r>
              <w:rPr>
                <w:rFonts w:ascii="Arial" w:cs="Arial" w:eastAsia="Arial" w:hAnsi="Arial"/>
                <w:sz w:val="18"/>
                <w:szCs w:val="18"/>
                <w:b w:val="1"/>
                <w:bCs w:val="1"/>
                <w:color w:val="auto"/>
                <w:w w:val="98"/>
              </w:rPr>
              <w:t>(in thousands, except share per share data)</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1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Gross revenue</w:t>
            </w:r>
          </w:p>
        </w:tc>
        <w:tc>
          <w:tcPr>
            <w:tcW w:w="4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340,971</w:t>
            </w:r>
          </w:p>
        </w:tc>
        <w:tc>
          <w:tcPr>
            <w:tcW w:w="220" w:type="dxa"/>
            <w:vAlign w:val="bottom"/>
            <w:tcBorders>
              <w:right w:val="single" w:sz="8" w:color="E2EEF6"/>
            </w:tcBorders>
            <w:shd w:val="clear" w:color="auto" w:fill="E2EEF6"/>
          </w:tcPr>
          <w:p>
            <w:pPr>
              <w:spacing w:after="0"/>
              <w:rPr>
                <w:sz w:val="21"/>
                <w:szCs w:val="21"/>
                <w:color w:val="auto"/>
              </w:rPr>
            </w:pPr>
          </w:p>
        </w:tc>
        <w:tc>
          <w:tcPr>
            <w:tcW w:w="4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443,875</w:t>
            </w:r>
          </w:p>
        </w:tc>
        <w:tc>
          <w:tcPr>
            <w:tcW w:w="48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469,583</w:t>
            </w:r>
          </w:p>
        </w:tc>
        <w:tc>
          <w:tcPr>
            <w:tcW w:w="4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275,586</w:t>
            </w: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Subcontractor costs</w:t>
            </w: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(115,246)</w:t>
            </w: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(146,952)</w:t>
            </w:r>
          </w:p>
        </w:tc>
        <w:tc>
          <w:tcPr>
            <w:tcW w:w="4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(142,925)</w:t>
            </w:r>
          </w:p>
        </w:tc>
        <w:tc>
          <w:tcPr>
            <w:tcW w:w="46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(73,636)</w:t>
            </w:r>
          </w:p>
        </w:tc>
      </w:tr>
      <w:tr>
        <w:trPr>
          <w:trHeight w:val="20"/>
        </w:trPr>
        <w:tc>
          <w:tcPr>
            <w:tcW w:w="5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E2EEF6"/>
          </w:tcPr>
          <w:p>
            <w:pPr>
              <w:spacing w:after="0"/>
              <w:rPr>
                <w:sz w:val="20"/>
                <w:szCs w:val="20"/>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225,725</w:t>
            </w: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296,923</w:t>
            </w: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326,658</w:t>
            </w:r>
          </w:p>
        </w:tc>
        <w:tc>
          <w:tcPr>
            <w:tcW w:w="460" w:type="dxa"/>
            <w:vAlign w:val="bottom"/>
            <w:shd w:val="clear" w:color="auto" w:fill="E2EEF6"/>
          </w:tcPr>
          <w:p>
            <w:pPr>
              <w:spacing w:after="0"/>
              <w:rPr>
                <w:sz w:val="20"/>
                <w:szCs w:val="20"/>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201,950</w:t>
            </w:r>
          </w:p>
        </w:tc>
      </w:tr>
      <w:tr>
        <w:trPr>
          <w:trHeight w:val="486"/>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Direct costs</w:t>
            </w:r>
          </w:p>
        </w:tc>
        <w:tc>
          <w:tcPr>
            <w:tcW w:w="46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122,373</w:t>
            </w:r>
          </w:p>
        </w:tc>
        <w:tc>
          <w:tcPr>
            <w:tcW w:w="220" w:type="dxa"/>
            <w:vAlign w:val="bottom"/>
            <w:tcBorders>
              <w:right w:val="single" w:sz="8" w:color="E2EEF6"/>
            </w:tcBorders>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162,562</w:t>
            </w: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179,661</w:t>
            </w:r>
          </w:p>
        </w:tc>
        <w:tc>
          <w:tcPr>
            <w:tcW w:w="46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114,004</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71,118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88,807</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103,784</w:t>
            </w:r>
          </w:p>
        </w:tc>
        <w:tc>
          <w:tcPr>
            <w:tcW w:w="4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62,051</w:t>
            </w:r>
          </w:p>
        </w:tc>
      </w:tr>
      <w:tr>
        <w:trPr>
          <w:trHeight w:val="243"/>
        </w:trPr>
        <w:tc>
          <w:tcPr>
            <w:tcW w:w="51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7,305</w:t>
            </w:r>
          </w:p>
        </w:tc>
        <w:tc>
          <w:tcPr>
            <w:tcW w:w="220" w:type="dxa"/>
            <w:vAlign w:val="bottom"/>
            <w:tcBorders>
              <w:right w:val="single" w:sz="8" w:color="E2EEF6"/>
            </w:tcBorders>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11,171</w:t>
            </w: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13,331</w:t>
            </w:r>
          </w:p>
        </w:tc>
        <w:tc>
          <w:tcPr>
            <w:tcW w:w="46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8,094</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Stock compensation (Note 11)</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r>
      <w:tr>
        <w:trPr>
          <w:trHeight w:val="250"/>
        </w:trPr>
        <w:tc>
          <w:tcPr>
            <w:tcW w:w="51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Other charges (Note 15)</w:t>
            </w:r>
          </w:p>
        </w:tc>
        <w:tc>
          <w:tcPr>
            <w:tcW w:w="460" w:type="dxa"/>
            <w:vAlign w:val="bottom"/>
            <w:tcBorders>
              <w:bottom w:val="single" w:sz="8" w:color="E2EEF6"/>
            </w:tcBorders>
            <w:shd w:val="clear" w:color="auto" w:fill="E2EEF6"/>
          </w:tcPr>
          <w:p>
            <w:pPr>
              <w:spacing w:after="0"/>
              <w:rPr>
                <w:sz w:val="21"/>
                <w:szCs w:val="21"/>
                <w:color w:val="auto"/>
              </w:rPr>
            </w:pPr>
          </w:p>
        </w:tc>
        <w:tc>
          <w:tcPr>
            <w:tcW w:w="9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2EEF6"/>
              <w:right w:val="single" w:sz="8" w:color="E2EEF6"/>
            </w:tcBorders>
            <w:shd w:val="clear" w:color="auto" w:fill="E2EEF6"/>
          </w:tcPr>
          <w:p>
            <w:pPr>
              <w:spacing w:after="0"/>
              <w:rPr>
                <w:sz w:val="21"/>
                <w:szCs w:val="21"/>
                <w:color w:val="auto"/>
              </w:rPr>
            </w:pPr>
          </w:p>
        </w:tc>
        <w:tc>
          <w:tcPr>
            <w:tcW w:w="460" w:type="dxa"/>
            <w:vAlign w:val="bottom"/>
            <w:tcBorders>
              <w:bottom w:val="single" w:sz="8" w:color="E2EEF6"/>
            </w:tcBorders>
            <w:shd w:val="clear" w:color="auto" w:fill="E2EEF6"/>
          </w:tcPr>
          <w:p>
            <w:pPr>
              <w:spacing w:after="0"/>
              <w:rPr>
                <w:sz w:val="21"/>
                <w:szCs w:val="21"/>
                <w:color w:val="auto"/>
              </w:rPr>
            </w:pPr>
          </w:p>
        </w:tc>
        <w:tc>
          <w:tcPr>
            <w:tcW w:w="114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2EEF6"/>
            </w:tcBorders>
            <w:shd w:val="clear" w:color="auto" w:fill="E2EEF6"/>
          </w:tcPr>
          <w:p>
            <w:pPr>
              <w:spacing w:after="0"/>
              <w:rPr>
                <w:sz w:val="21"/>
                <w:szCs w:val="21"/>
                <w:color w:val="auto"/>
              </w:rPr>
            </w:pPr>
          </w:p>
        </w:tc>
        <w:tc>
          <w:tcPr>
            <w:tcW w:w="112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11,275</w:t>
            </w:r>
          </w:p>
        </w:tc>
        <w:tc>
          <w:tcPr>
            <w:tcW w:w="460" w:type="dxa"/>
            <w:vAlign w:val="bottom"/>
            <w:tcBorders>
              <w:bottom w:val="single" w:sz="8" w:color="E2EEF6"/>
            </w:tcBorders>
            <w:shd w:val="clear" w:color="auto" w:fill="E2EEF6"/>
          </w:tcPr>
          <w:p>
            <w:pPr>
              <w:spacing w:after="0"/>
              <w:rPr>
                <w:sz w:val="21"/>
                <w:szCs w:val="21"/>
                <w:color w:val="auto"/>
              </w:rPr>
            </w:pPr>
          </w:p>
        </w:tc>
        <w:tc>
          <w:tcPr>
            <w:tcW w:w="100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shd w:val="clear" w:color="auto" w:fill="E2EEF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E2EEF6"/>
            </w:tcBorders>
            <w:shd w:val="clear" w:color="auto" w:fill="E2EEF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200,796</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262,540</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308,051</w:t>
            </w:r>
          </w:p>
        </w:tc>
        <w:tc>
          <w:tcPr>
            <w:tcW w:w="4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190,398</w:t>
            </w:r>
          </w:p>
        </w:tc>
      </w:tr>
      <w:tr>
        <w:trPr>
          <w:trHeight w:val="237"/>
        </w:trPr>
        <w:tc>
          <w:tcPr>
            <w:tcW w:w="516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24,929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34,383</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18,607</w:t>
            </w:r>
          </w:p>
        </w:tc>
        <w:tc>
          <w:tcPr>
            <w:tcW w:w="4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11,552</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right w:val="single" w:sz="8" w:color="E2EEF6"/>
            </w:tcBorders>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1,208</w:t>
            </w:r>
          </w:p>
        </w:tc>
        <w:tc>
          <w:tcPr>
            <w:tcW w:w="46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1,294</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4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37"/>
        </w:trPr>
        <w:tc>
          <w:tcPr>
            <w:tcW w:w="516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25,283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34,671</w:t>
            </w: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19,586</w:t>
            </w:r>
          </w:p>
        </w:tc>
        <w:tc>
          <w:tcPr>
            <w:tcW w:w="4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12,824</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 (Note 14)</w:t>
            </w:r>
          </w:p>
        </w:tc>
        <w:tc>
          <w:tcPr>
            <w:tcW w:w="460" w:type="dxa"/>
            <w:vAlign w:val="bottom"/>
            <w:shd w:val="clear" w:color="auto" w:fill="E2EEF6"/>
          </w:tcPr>
          <w:p>
            <w:pPr>
              <w:spacing w:after="0"/>
              <w:rPr>
                <w:sz w:val="21"/>
                <w:szCs w:val="21"/>
                <w:color w:val="auto"/>
              </w:rPr>
            </w:pPr>
          </w:p>
        </w:tc>
        <w:tc>
          <w:tcPr>
            <w:tcW w:w="1140" w:type="dxa"/>
            <w:vAlign w:val="bottom"/>
            <w:tcBorders>
              <w:right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(7,000)</w:t>
            </w:r>
          </w:p>
        </w:tc>
        <w:tc>
          <w:tcPr>
            <w:tcW w:w="46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(8,929)</w:t>
            </w:r>
          </w:p>
        </w:tc>
        <w:tc>
          <w:tcPr>
            <w:tcW w:w="4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(5,852)</w:t>
            </w:r>
          </w:p>
        </w:tc>
        <w:tc>
          <w:tcPr>
            <w:tcW w:w="46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(5,396)</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46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7"/>
        </w:trPr>
        <w:tc>
          <w:tcPr>
            <w:tcW w:w="516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18,283</w:t>
            </w:r>
          </w:p>
        </w:tc>
        <w:tc>
          <w:tcPr>
            <w:tcW w:w="22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25,742</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13,545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r>
      <w:tr>
        <w:trPr>
          <w:trHeight w:val="237"/>
        </w:trPr>
        <w:tc>
          <w:tcPr>
            <w:tcW w:w="516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E2EEF6"/>
              <w:right w:val="single" w:sz="8" w:color="E2EEF6"/>
            </w:tcBorders>
            <w:shd w:val="clear" w:color="auto" w:fill="E2EEF6"/>
          </w:tcPr>
          <w:p>
            <w:pPr>
              <w:spacing w:after="0"/>
              <w:rPr>
                <w:sz w:val="23"/>
                <w:szCs w:val="23"/>
                <w:color w:val="auto"/>
              </w:rPr>
            </w:pP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1.94</w:t>
            </w:r>
          </w:p>
        </w:tc>
        <w:tc>
          <w:tcPr>
            <w:tcW w:w="4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0.98</w:t>
            </w: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0.53</w:t>
            </w:r>
          </w:p>
        </w:tc>
      </w:tr>
      <w:tr>
        <w:trPr>
          <w:trHeight w:val="237"/>
        </w:trPr>
        <w:tc>
          <w:tcPr>
            <w:tcW w:w="516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75"/>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E2EEF6"/>
              <w:right w:val="single" w:sz="8" w:color="E2EEF6"/>
            </w:tcBorders>
            <w:shd w:val="clear" w:color="auto" w:fill="E2EEF6"/>
          </w:tcPr>
          <w:p>
            <w:pPr>
              <w:spacing w:after="0"/>
              <w:rPr>
                <w:sz w:val="23"/>
                <w:szCs w:val="23"/>
                <w:color w:val="auto"/>
              </w:rPr>
            </w:pP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1.88</w:t>
            </w:r>
          </w:p>
        </w:tc>
        <w:tc>
          <w:tcPr>
            <w:tcW w:w="4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0.96</w:t>
            </w:r>
          </w:p>
        </w:tc>
        <w:tc>
          <w:tcPr>
            <w:tcW w:w="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0.52</w:t>
            </w:r>
          </w:p>
        </w:tc>
      </w:tr>
      <w:tr>
        <w:trPr>
          <w:trHeight w:val="237"/>
        </w:trPr>
        <w:tc>
          <w:tcPr>
            <w:tcW w:w="516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46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220" w:type="dxa"/>
            <w:vAlign w:val="bottom"/>
            <w:tcBorders>
              <w:right w:val="single" w:sz="8" w:color="E2EEF6"/>
            </w:tcBorders>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Basic (note 2)</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11,813,788</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13,267,531</w:t>
            </w:r>
          </w:p>
        </w:tc>
        <w:tc>
          <w:tcPr>
            <w:tcW w:w="4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13,860,203</w:t>
            </w:r>
          </w:p>
        </w:tc>
        <w:tc>
          <w:tcPr>
            <w:tcW w:w="4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13,970,106</w:t>
            </w:r>
          </w:p>
        </w:tc>
      </w:tr>
      <w:tr>
        <w:trPr>
          <w:trHeight w:val="237"/>
        </w:trPr>
        <w:tc>
          <w:tcPr>
            <w:tcW w:w="516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Diluted (note 2)</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12,181,094</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13,703,163</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14,153,445</w:t>
            </w:r>
          </w:p>
        </w:tc>
        <w:tc>
          <w:tcPr>
            <w:tcW w:w="4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14,247,542</w:t>
            </w:r>
          </w:p>
        </w:tc>
      </w:tr>
      <w:tr>
        <w:trPr>
          <w:trHeight w:val="20"/>
        </w:trPr>
        <w:tc>
          <w:tcPr>
            <w:tcW w:w="5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6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7"/>
              </w:rPr>
              <w:t>Comprehensive</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7"/>
              </w:rPr>
              <w:t>Retained</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rPr>
              <w:t>Merger</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42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Amount</w:t>
            </w: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Capital</w:t>
            </w:r>
          </w:p>
        </w:tc>
        <w:tc>
          <w:tcPr>
            <w:tcW w:w="6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6"/>
              </w:rPr>
              <w:t>Earnings</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rPr>
              <w:t>Reserve</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r>
      <w:tr>
        <w:trPr>
          <w:trHeight w:val="243"/>
        </w:trPr>
        <w:tc>
          <w:tcPr>
            <w:tcW w:w="4420" w:type="dxa"/>
            <w:vAlign w:val="bottom"/>
          </w:tcPr>
          <w:p>
            <w:pPr>
              <w:spacing w:after="0"/>
              <w:rPr>
                <w:sz w:val="21"/>
                <w:szCs w:val="21"/>
                <w:color w:val="auto"/>
              </w:rPr>
            </w:pPr>
          </w:p>
        </w:tc>
        <w:tc>
          <w:tcPr>
            <w:tcW w:w="4320" w:type="dxa"/>
            <w:vAlign w:val="bottom"/>
            <w:gridSpan w:val="12"/>
          </w:tcPr>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69"/>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Balance at May 31, 2002</w:t>
            </w:r>
          </w:p>
        </w:tc>
        <w:tc>
          <w:tcPr>
            <w:tcW w:w="108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11,798,501</w:t>
            </w:r>
          </w:p>
        </w:tc>
        <w:tc>
          <w:tcPr>
            <w:tcW w:w="200" w:type="dxa"/>
            <w:vAlign w:val="bottom"/>
            <w:tcBorders>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60,348</w:t>
            </w:r>
          </w:p>
        </w:tc>
        <w:tc>
          <w:tcPr>
            <w:tcW w:w="6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2EEF6"/>
            </w:tcBorders>
            <w:gridSpan w:val="3"/>
            <w:shd w:val="clear" w:color="auto" w:fill="E2EEF6"/>
          </w:tcPr>
          <w:p>
            <w:pPr>
              <w:jc w:val="right"/>
              <w:spacing w:after="0"/>
              <w:rPr>
                <w:sz w:val="20"/>
                <w:szCs w:val="20"/>
                <w:color w:val="auto"/>
              </w:rPr>
            </w:pPr>
            <w:r>
              <w:rPr>
                <w:rFonts w:ascii="Arial" w:cs="Arial" w:eastAsia="Arial" w:hAnsi="Arial"/>
                <w:sz w:val="18"/>
                <w:szCs w:val="18"/>
                <w:color w:val="auto"/>
              </w:rPr>
              <w:t>(2,461) $</w:t>
            </w:r>
          </w:p>
        </w:tc>
        <w:tc>
          <w:tcPr>
            <w:tcW w:w="6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48,788</w:t>
            </w:r>
          </w:p>
        </w:tc>
        <w:tc>
          <w:tcPr>
            <w:tcW w:w="240" w:type="dxa"/>
            <w:vAlign w:val="bottom"/>
            <w:tcBorders>
              <w:left w:val="single" w:sz="8" w:color="E2EEF6"/>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107,561</w:t>
            </w:r>
          </w:p>
        </w:tc>
        <w:tc>
          <w:tcPr>
            <w:tcW w:w="120" w:type="dxa"/>
            <w:vAlign w:val="bottom"/>
            <w:tcBorders>
              <w:bottom w:val="single" w:sz="8" w:color="E2EEF6"/>
            </w:tcBorders>
            <w:shd w:val="clear" w:color="auto" w:fill="E2EEF6"/>
          </w:tcPr>
          <w:p>
            <w:pPr>
              <w:spacing w:after="0"/>
              <w:rPr>
                <w:sz w:val="22"/>
                <w:szCs w:val="22"/>
                <w:color w:val="auto"/>
              </w:rPr>
            </w:pPr>
          </w:p>
        </w:tc>
      </w:tr>
      <w:tr>
        <w:trPr>
          <w:trHeight w:val="480"/>
        </w:trPr>
        <w:tc>
          <w:tcPr>
            <w:tcW w:w="442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E2EEF6"/>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18,283</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18,283</w:t>
            </w: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10,248</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10,248</w:t>
            </w:r>
          </w:p>
        </w:tc>
      </w:tr>
      <w:tr>
        <w:trPr>
          <w:trHeight w:val="250"/>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E2EEF6"/>
          </w:tcPr>
          <w:p>
            <w:pPr>
              <w:spacing w:after="0"/>
              <w:rPr>
                <w:sz w:val="21"/>
                <w:szCs w:val="21"/>
                <w:color w:val="auto"/>
              </w:rPr>
            </w:pPr>
          </w:p>
        </w:tc>
        <w:tc>
          <w:tcPr>
            <w:tcW w:w="9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7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spacing w:after="0"/>
              <w:rPr>
                <w:sz w:val="21"/>
                <w:szCs w:val="21"/>
                <w:color w:val="auto"/>
              </w:rPr>
            </w:pP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28,531</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39,360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Shares issued</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77</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E2EEF6"/>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Share issue costs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50"/>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Tax benefit on exercise of options</w:t>
            </w:r>
          </w:p>
        </w:tc>
        <w:tc>
          <w:tcPr>
            <w:tcW w:w="120" w:type="dxa"/>
            <w:vAlign w:val="bottom"/>
            <w:tcBorders>
              <w:bottom w:val="single" w:sz="8" w:color="E2EEF6"/>
            </w:tcBorders>
            <w:shd w:val="clear" w:color="auto" w:fill="E2EEF6"/>
          </w:tcPr>
          <w:p>
            <w:pPr>
              <w:spacing w:after="0"/>
              <w:rPr>
                <w:sz w:val="21"/>
                <w:szCs w:val="21"/>
                <w:color w:val="auto"/>
              </w:rPr>
            </w:pPr>
          </w:p>
        </w:tc>
        <w:tc>
          <w:tcPr>
            <w:tcW w:w="9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6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bottom w:val="single" w:sz="8" w:color="E2EEF6"/>
            </w:tcBorders>
            <w:shd w:val="clear" w:color="auto" w:fill="E2EEF6"/>
          </w:tcPr>
          <w:p>
            <w:pPr>
              <w:spacing w:after="0"/>
              <w:rPr>
                <w:sz w:val="21"/>
                <w:szCs w:val="21"/>
                <w:color w:val="auto"/>
              </w:rPr>
            </w:pPr>
          </w:p>
        </w:tc>
        <w:tc>
          <w:tcPr>
            <w:tcW w:w="14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48</w:t>
            </w:r>
          </w:p>
        </w:tc>
        <w:tc>
          <w:tcPr>
            <w:tcW w:w="660" w:type="dxa"/>
            <w:vAlign w:val="bottom"/>
            <w:tcBorders>
              <w:bottom w:val="single" w:sz="8" w:color="E2EEF6"/>
            </w:tcBorders>
            <w:shd w:val="clear" w:color="auto" w:fill="E2EEF6"/>
          </w:tcPr>
          <w:p>
            <w:pPr>
              <w:spacing w:after="0"/>
              <w:rPr>
                <w:sz w:val="21"/>
                <w:szCs w:val="21"/>
                <w:color w:val="auto"/>
              </w:rPr>
            </w:pPr>
          </w:p>
        </w:tc>
        <w:tc>
          <w:tcPr>
            <w:tcW w:w="5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6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2EEF6"/>
            </w:tcBorders>
            <w:shd w:val="clear" w:color="auto" w:fill="E2EEF6"/>
          </w:tcPr>
          <w:p>
            <w:pPr>
              <w:spacing w:after="0"/>
              <w:rPr>
                <w:sz w:val="21"/>
                <w:szCs w:val="21"/>
                <w:color w:val="auto"/>
              </w:rPr>
            </w:pP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0"/>
        </w:trPr>
        <w:tc>
          <w:tcPr>
            <w:tcW w:w="44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r>
        <w:trPr>
          <w:trHeight w:val="264"/>
        </w:trPr>
        <w:tc>
          <w:tcPr>
            <w:tcW w:w="4420" w:type="dxa"/>
            <w:vAlign w:val="bottom"/>
          </w:tcPr>
          <w:p>
            <w:pPr>
              <w:spacing w:after="0"/>
              <w:rPr>
                <w:sz w:val="20"/>
                <w:szCs w:val="20"/>
                <w:color w:val="auto"/>
              </w:rPr>
            </w:pPr>
            <w:r>
              <w:rPr>
                <w:rFonts w:ascii="Arial" w:cs="Arial" w:eastAsia="Arial" w:hAnsi="Arial"/>
                <w:sz w:val="18"/>
                <w:szCs w:val="18"/>
                <w:b w:val="1"/>
                <w:bCs w:val="1"/>
                <w:color w:val="auto"/>
              </w:rPr>
              <w:t>Balance at May 31, 2003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11,841,557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61,164</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67,071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136,910</w:t>
            </w:r>
          </w:p>
        </w:tc>
        <w:tc>
          <w:tcPr>
            <w:tcW w:w="120" w:type="dxa"/>
            <w:vAlign w:val="bottom"/>
          </w:tcPr>
          <w:p>
            <w:pPr>
              <w:spacing w:after="0"/>
              <w:rPr>
                <w:sz w:val="22"/>
                <w:szCs w:val="22"/>
                <w:color w:val="auto"/>
              </w:rPr>
            </w:pPr>
          </w:p>
        </w:tc>
      </w:tr>
      <w:tr>
        <w:trPr>
          <w:trHeight w:val="480"/>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10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100" w:type="dxa"/>
            <w:vAlign w:val="bottom"/>
            <w:tcBorders>
              <w:left w:val="single" w:sz="8" w:color="E2EEF6"/>
            </w:tcBorders>
            <w:shd w:val="clear" w:color="auto" w:fill="E2EEF6"/>
          </w:tcPr>
          <w:p>
            <w:pPr>
              <w:spacing w:after="0"/>
              <w:rPr>
                <w:sz w:val="24"/>
                <w:szCs w:val="24"/>
                <w:color w:val="auto"/>
              </w:rPr>
            </w:pPr>
          </w:p>
        </w:tc>
        <w:tc>
          <w:tcPr>
            <w:tcW w:w="1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660" w:type="dxa"/>
            <w:vAlign w:val="bottom"/>
            <w:tcBorders>
              <w:top w:val="single" w:sz="8" w:color="auto"/>
            </w:tcBorders>
            <w:shd w:val="clear" w:color="auto" w:fill="E2EEF6"/>
          </w:tcPr>
          <w:p>
            <w:pPr>
              <w:spacing w:after="0"/>
              <w:rPr>
                <w:sz w:val="24"/>
                <w:szCs w:val="24"/>
                <w:color w:val="auto"/>
              </w:rPr>
            </w:pPr>
          </w:p>
        </w:tc>
        <w:tc>
          <w:tcPr>
            <w:tcW w:w="580" w:type="dxa"/>
            <w:vAlign w:val="bottom"/>
            <w:tcBorders>
              <w:top w:val="single" w:sz="8" w:color="auto"/>
            </w:tcBorders>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120" w:type="dxa"/>
            <w:vAlign w:val="bottom"/>
            <w:tcBorders>
              <w:top w:val="single" w:sz="8" w:color="auto"/>
            </w:tcBorders>
            <w:shd w:val="clear" w:color="auto" w:fill="E2EEF6"/>
          </w:tcPr>
          <w:p>
            <w:pPr>
              <w:spacing w:after="0"/>
              <w:rPr>
                <w:sz w:val="24"/>
                <w:szCs w:val="24"/>
                <w:color w:val="auto"/>
              </w:rPr>
            </w:pPr>
          </w:p>
        </w:tc>
        <w:tc>
          <w:tcPr>
            <w:tcW w:w="660" w:type="dxa"/>
            <w:vAlign w:val="bottom"/>
            <w:tcBorders>
              <w:top w:val="single" w:sz="8" w:color="auto"/>
            </w:tcBorders>
            <w:shd w:val="clear" w:color="auto" w:fill="E2EEF6"/>
          </w:tcPr>
          <w:p>
            <w:pPr>
              <w:spacing w:after="0"/>
              <w:rPr>
                <w:sz w:val="24"/>
                <w:szCs w:val="24"/>
                <w:color w:val="auto"/>
              </w:rPr>
            </w:pPr>
          </w:p>
        </w:tc>
        <w:tc>
          <w:tcPr>
            <w:tcW w:w="120" w:type="dxa"/>
            <w:vAlign w:val="bottom"/>
            <w:tcBorders>
              <w:left w:val="single" w:sz="8" w:color="E2EEF6"/>
            </w:tcBorders>
            <w:shd w:val="clear" w:color="auto" w:fill="E2EEF6"/>
          </w:tcPr>
          <w:p>
            <w:pPr>
              <w:spacing w:after="0"/>
              <w:rPr>
                <w:sz w:val="24"/>
                <w:szCs w:val="24"/>
                <w:color w:val="auto"/>
              </w:rPr>
            </w:pPr>
          </w:p>
        </w:tc>
        <w:tc>
          <w:tcPr>
            <w:tcW w:w="120" w:type="dxa"/>
            <w:vAlign w:val="bottom"/>
            <w:tcBorders>
              <w:top w:val="single" w:sz="8" w:color="auto"/>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140" w:type="dxa"/>
            <w:vAlign w:val="bottom"/>
            <w:tcBorders>
              <w:top w:val="single" w:sz="8" w:color="auto"/>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25,742</w:t>
            </w:r>
          </w:p>
        </w:tc>
      </w:tr>
      <w:tr>
        <w:trPr>
          <w:trHeight w:val="275"/>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2EEF6"/>
            </w:tcBorders>
            <w:shd w:val="clear" w:color="auto" w:fill="E2EEF6"/>
          </w:tcPr>
          <w:p>
            <w:pPr>
              <w:spacing w:after="0"/>
              <w:rPr>
                <w:sz w:val="23"/>
                <w:szCs w:val="23"/>
                <w:color w:val="auto"/>
              </w:rPr>
            </w:pPr>
          </w:p>
        </w:tc>
        <w:tc>
          <w:tcPr>
            <w:tcW w:w="100" w:type="dxa"/>
            <w:vAlign w:val="bottom"/>
            <w:tcBorders>
              <w:bottom w:val="single" w:sz="8" w:color="E2EEF6"/>
            </w:tcBorders>
            <w:shd w:val="clear" w:color="auto" w:fill="E2EEF6"/>
          </w:tcPr>
          <w:p>
            <w:pPr>
              <w:spacing w:after="0"/>
              <w:rPr>
                <w:sz w:val="23"/>
                <w:szCs w:val="23"/>
                <w:color w:val="auto"/>
              </w:rPr>
            </w:pPr>
          </w:p>
        </w:tc>
        <w:tc>
          <w:tcPr>
            <w:tcW w:w="6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bottom w:val="single" w:sz="8" w:color="E2EEF6"/>
            </w:tcBorders>
            <w:shd w:val="clear" w:color="auto" w:fill="E2EEF6"/>
          </w:tcPr>
          <w:p>
            <w:pPr>
              <w:spacing w:after="0"/>
              <w:rPr>
                <w:sz w:val="23"/>
                <w:szCs w:val="23"/>
                <w:color w:val="auto"/>
              </w:rPr>
            </w:pPr>
          </w:p>
        </w:tc>
        <w:tc>
          <w:tcPr>
            <w:tcW w:w="140" w:type="dxa"/>
            <w:vAlign w:val="bottom"/>
            <w:tcBorders>
              <w:bottom w:val="single" w:sz="8" w:color="E2EEF6"/>
            </w:tcBorders>
            <w:shd w:val="clear" w:color="auto" w:fill="E2EEF6"/>
          </w:tcPr>
          <w:p>
            <w:pPr>
              <w:spacing w:after="0"/>
              <w:rPr>
                <w:sz w:val="23"/>
                <w:szCs w:val="23"/>
                <w:color w:val="auto"/>
              </w:rPr>
            </w:pPr>
          </w:p>
        </w:tc>
        <w:tc>
          <w:tcPr>
            <w:tcW w:w="8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E2EEF6"/>
            </w:tcBorders>
            <w:shd w:val="clear" w:color="auto" w:fill="E2EEF6"/>
          </w:tcPr>
          <w:p>
            <w:pPr>
              <w:spacing w:after="0"/>
              <w:rPr>
                <w:sz w:val="23"/>
                <w:szCs w:val="23"/>
                <w:color w:val="auto"/>
              </w:rPr>
            </w:pPr>
          </w:p>
        </w:tc>
        <w:tc>
          <w:tcPr>
            <w:tcW w:w="6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E2EEF6"/>
            </w:tcBorders>
            <w:shd w:val="clear" w:color="auto" w:fill="E2EEF6"/>
          </w:tcPr>
          <w:p>
            <w:pPr>
              <w:spacing w:after="0"/>
              <w:rPr>
                <w:sz w:val="23"/>
                <w:szCs w:val="23"/>
                <w:color w:val="auto"/>
              </w:rPr>
            </w:pPr>
          </w:p>
        </w:tc>
        <w:tc>
          <w:tcPr>
            <w:tcW w:w="6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bottom w:val="single" w:sz="8" w:color="E2EEF6"/>
            </w:tcBorders>
            <w:shd w:val="clear" w:color="auto" w:fill="E2EEF6"/>
          </w:tcPr>
          <w:p>
            <w:pPr>
              <w:spacing w:after="0"/>
              <w:rPr>
                <w:sz w:val="23"/>
                <w:szCs w:val="23"/>
                <w:color w:val="auto"/>
              </w:rPr>
            </w:pPr>
          </w:p>
        </w:tc>
        <w:tc>
          <w:tcPr>
            <w:tcW w:w="120" w:type="dxa"/>
            <w:vAlign w:val="bottom"/>
            <w:tcBorders>
              <w:bottom w:val="single" w:sz="8" w:color="E2EEF6"/>
            </w:tcBorders>
            <w:shd w:val="clear" w:color="auto" w:fill="E2EEF6"/>
          </w:tcPr>
          <w:p>
            <w:pPr>
              <w:spacing w:after="0"/>
              <w:rPr>
                <w:sz w:val="23"/>
                <w:szCs w:val="23"/>
                <w:color w:val="auto"/>
              </w:rPr>
            </w:pPr>
          </w:p>
        </w:tc>
        <w:tc>
          <w:tcPr>
            <w:tcW w:w="7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2EEF6"/>
            </w:tcBorders>
            <w:shd w:val="clear" w:color="auto" w:fill="E2EEF6"/>
          </w:tcPr>
          <w:p>
            <w:pPr>
              <w:spacing w:after="0"/>
              <w:rPr>
                <w:sz w:val="23"/>
                <w:szCs w:val="23"/>
                <w:color w:val="auto"/>
              </w:rPr>
            </w:pP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E2EEF6"/>
            </w:tcBorders>
            <w:shd w:val="clear" w:color="auto" w:fill="E2EEF6"/>
          </w:tcPr>
          <w:p>
            <w:pPr>
              <w:spacing w:after="0"/>
              <w:rPr>
                <w:sz w:val="23"/>
                <w:szCs w:val="23"/>
                <w:color w:val="auto"/>
              </w:rPr>
            </w:pPr>
          </w:p>
        </w:tc>
      </w:tr>
      <w:tr>
        <w:trPr>
          <w:trHeight w:val="237"/>
        </w:trPr>
        <w:tc>
          <w:tcPr>
            <w:tcW w:w="442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E2EEF6"/>
            </w:tcBorders>
          </w:tcPr>
          <w:p>
            <w:pPr>
              <w:spacing w:after="0"/>
              <w:rPr>
                <w:sz w:val="20"/>
                <w:szCs w:val="20"/>
                <w:color w:val="auto"/>
              </w:rPr>
            </w:pPr>
          </w:p>
        </w:tc>
        <w:tc>
          <w:tcPr>
            <w:tcW w:w="96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6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72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660" w:type="dxa"/>
            <w:vAlign w:val="bottom"/>
            <w:tcBorders>
              <w:top w:val="single" w:sz="8" w:color="E2EEF6"/>
            </w:tcBorders>
          </w:tcPr>
          <w:p>
            <w:pPr>
              <w:spacing w:after="0"/>
              <w:rPr>
                <w:sz w:val="20"/>
                <w:szCs w:val="20"/>
                <w:color w:val="auto"/>
              </w:rPr>
            </w:pPr>
          </w:p>
        </w:tc>
        <w:tc>
          <w:tcPr>
            <w:tcW w:w="58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66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64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w:t>
            </w:r>
          </w:p>
        </w:tc>
        <w:tc>
          <w:tcPr>
            <w:tcW w:w="120" w:type="dxa"/>
            <w:vAlign w:val="bottom"/>
            <w:tcBorders>
              <w:top w:val="single" w:sz="8" w:color="E2EEF6"/>
            </w:tcBorders>
          </w:tcPr>
          <w:p>
            <w:pPr>
              <w:spacing w:after="0"/>
              <w:rPr>
                <w:sz w:val="20"/>
                <w:szCs w:val="20"/>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Exercise of share options</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496,919</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5,323</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5,358</w:t>
            </w:r>
          </w:p>
        </w:tc>
        <w:tc>
          <w:tcPr>
            <w:tcW w:w="120" w:type="dxa"/>
            <w:vAlign w:val="bottom"/>
            <w:shd w:val="clear" w:color="auto" w:fill="E2EEF6"/>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Shares issued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45,601</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45,705</w:t>
            </w: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Share issue costs</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(1,428)</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(1,428)</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Tax benefit on exercise of options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2,276</w:t>
            </w:r>
          </w:p>
        </w:tc>
        <w:tc>
          <w:tcPr>
            <w:tcW w:w="6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3"/>
                <w:szCs w:val="23"/>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Balance at May 31, 2004</w:t>
            </w:r>
          </w:p>
        </w:tc>
        <w:tc>
          <w:tcPr>
            <w:tcW w:w="120" w:type="dxa"/>
            <w:vAlign w:val="bottom"/>
            <w:tcBorders>
              <w:bottom w:val="single" w:sz="8" w:color="E2EEF6"/>
            </w:tcBorders>
            <w:shd w:val="clear" w:color="auto" w:fill="E2EEF6"/>
          </w:tcPr>
          <w:p>
            <w:pPr>
              <w:spacing w:after="0"/>
              <w:rPr>
                <w:sz w:val="22"/>
                <w:szCs w:val="22"/>
                <w:color w:val="auto"/>
              </w:rPr>
            </w:pPr>
          </w:p>
        </w:tc>
        <w:tc>
          <w:tcPr>
            <w:tcW w:w="9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13,838,476</w:t>
            </w:r>
          </w:p>
        </w:tc>
        <w:tc>
          <w:tcPr>
            <w:tcW w:w="200" w:type="dxa"/>
            <w:vAlign w:val="bottom"/>
            <w:tcBorders>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112,936</w:t>
            </w:r>
          </w:p>
        </w:tc>
        <w:tc>
          <w:tcPr>
            <w:tcW w:w="6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9,984</w:t>
            </w:r>
          </w:p>
        </w:tc>
        <w:tc>
          <w:tcPr>
            <w:tcW w:w="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92,813</w:t>
            </w:r>
          </w:p>
        </w:tc>
        <w:tc>
          <w:tcPr>
            <w:tcW w:w="240" w:type="dxa"/>
            <w:vAlign w:val="bottom"/>
            <w:tcBorders>
              <w:left w:val="single" w:sz="8" w:color="E2EEF6"/>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216,760</w:t>
            </w:r>
          </w:p>
        </w:tc>
        <w:tc>
          <w:tcPr>
            <w:tcW w:w="120" w:type="dxa"/>
            <w:vAlign w:val="bottom"/>
            <w:tcBorders>
              <w:bottom w:val="single" w:sz="8" w:color="E2EEF6"/>
            </w:tcBorders>
            <w:shd w:val="clear" w:color="auto" w:fill="E2EEF6"/>
          </w:tcPr>
          <w:p>
            <w:pPr>
              <w:spacing w:after="0"/>
              <w:rPr>
                <w:sz w:val="22"/>
                <w:szCs w:val="22"/>
                <w:color w:val="auto"/>
              </w:rPr>
            </w:pPr>
          </w:p>
        </w:tc>
      </w:tr>
      <w:tr>
        <w:trPr>
          <w:trHeight w:val="480"/>
        </w:trPr>
        <w:tc>
          <w:tcPr>
            <w:tcW w:w="442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E2EEF6"/>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13,545</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3"/>
                <w:szCs w:val="23"/>
                <w:color w:val="auto"/>
              </w:rPr>
            </w:pPr>
          </w:p>
        </w:tc>
      </w:tr>
      <w:tr>
        <w:trPr>
          <w:trHeight w:val="237"/>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20" w:type="dxa"/>
            <w:vAlign w:val="bottom"/>
            <w:tcBorders>
              <w:left w:val="single" w:sz="8" w:color="E2EEF6"/>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14,790</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1,402</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Share issue costs</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(60)</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(60)</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Tax benefit on exercise of options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6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Balance at May 31, 2005</w:t>
            </w:r>
          </w:p>
        </w:tc>
        <w:tc>
          <w:tcPr>
            <w:tcW w:w="120" w:type="dxa"/>
            <w:vAlign w:val="bottom"/>
            <w:tcBorders>
              <w:bottom w:val="single" w:sz="8" w:color="E2EEF6"/>
            </w:tcBorders>
            <w:shd w:val="clear" w:color="auto" w:fill="E2EEF6"/>
          </w:tcPr>
          <w:p>
            <w:pPr>
              <w:spacing w:after="0"/>
              <w:rPr>
                <w:sz w:val="21"/>
                <w:szCs w:val="21"/>
                <w:color w:val="auto"/>
              </w:rPr>
            </w:pPr>
          </w:p>
        </w:tc>
        <w:tc>
          <w:tcPr>
            <w:tcW w:w="9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13,899,096</w:t>
            </w:r>
          </w:p>
        </w:tc>
        <w:tc>
          <w:tcPr>
            <w:tcW w:w="200" w:type="dxa"/>
            <w:vAlign w:val="bottom"/>
            <w:tcBorders>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114,447</w:t>
            </w:r>
          </w:p>
        </w:tc>
        <w:tc>
          <w:tcPr>
            <w:tcW w:w="6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11,229</w:t>
            </w:r>
          </w:p>
        </w:tc>
        <w:tc>
          <w:tcPr>
            <w:tcW w:w="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8"/>
              </w:rPr>
              <w:t>106,358</w:t>
            </w:r>
          </w:p>
        </w:tc>
        <w:tc>
          <w:tcPr>
            <w:tcW w:w="240" w:type="dxa"/>
            <w:vAlign w:val="bottom"/>
            <w:tcBorders>
              <w:left w:val="single" w:sz="8" w:color="E2EEF6"/>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233,066</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0"/>
        </w:trPr>
        <w:tc>
          <w:tcPr>
            <w:tcW w:w="44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6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7"/>
              </w:rPr>
              <w:t>Comprehensive</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7"/>
              </w:rPr>
              <w:t>Retained</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rPr>
              <w:t>Merger</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42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Amount</w:t>
            </w: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Capital</w:t>
            </w:r>
          </w:p>
        </w:tc>
        <w:tc>
          <w:tcPr>
            <w:tcW w:w="6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6"/>
              </w:rPr>
              <w:t>Earnings</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rPr>
              <w:t>Reserve</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r>
      <w:tr>
        <w:trPr>
          <w:trHeight w:val="243"/>
        </w:trPr>
        <w:tc>
          <w:tcPr>
            <w:tcW w:w="4420" w:type="dxa"/>
            <w:vAlign w:val="bottom"/>
          </w:tcPr>
          <w:p>
            <w:pPr>
              <w:spacing w:after="0"/>
              <w:rPr>
                <w:sz w:val="21"/>
                <w:szCs w:val="21"/>
                <w:color w:val="auto"/>
              </w:rPr>
            </w:pPr>
          </w:p>
        </w:tc>
        <w:tc>
          <w:tcPr>
            <w:tcW w:w="4320" w:type="dxa"/>
            <w:vAlign w:val="bottom"/>
            <w:gridSpan w:val="12"/>
          </w:tcPr>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69"/>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Balance at May 31, 2005</w:t>
            </w:r>
          </w:p>
        </w:tc>
        <w:tc>
          <w:tcPr>
            <w:tcW w:w="108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13,899,096</w:t>
            </w:r>
          </w:p>
        </w:tc>
        <w:tc>
          <w:tcPr>
            <w:tcW w:w="36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985</w:t>
            </w:r>
          </w:p>
        </w:tc>
        <w:tc>
          <w:tcPr>
            <w:tcW w:w="28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114,447</w:t>
            </w:r>
          </w:p>
        </w:tc>
        <w:tc>
          <w:tcPr>
            <w:tcW w:w="6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11,229</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106,358</w:t>
            </w:r>
          </w:p>
        </w:tc>
        <w:tc>
          <w:tcPr>
            <w:tcW w:w="460" w:type="dxa"/>
            <w:vAlign w:val="bottom"/>
            <w:tcBorders>
              <w:left w:val="single" w:sz="8" w:color="E2EEF6"/>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233,066</w:t>
            </w:r>
          </w:p>
        </w:tc>
        <w:tc>
          <w:tcPr>
            <w:tcW w:w="120" w:type="dxa"/>
            <w:vAlign w:val="bottom"/>
            <w:tcBorders>
              <w:bottom w:val="single" w:sz="8" w:color="E2EEF6"/>
            </w:tcBorders>
            <w:shd w:val="clear" w:color="auto" w:fill="E2EEF6"/>
          </w:tcPr>
          <w:p>
            <w:pPr>
              <w:spacing w:after="0"/>
              <w:rPr>
                <w:sz w:val="22"/>
                <w:szCs w:val="22"/>
                <w:color w:val="auto"/>
              </w:rPr>
            </w:pPr>
          </w:p>
        </w:tc>
      </w:tr>
      <w:tr>
        <w:trPr>
          <w:trHeight w:val="480"/>
        </w:trPr>
        <w:tc>
          <w:tcPr>
            <w:tcW w:w="442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E2EEF6"/>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Borders>
              <w:left w:val="single" w:sz="8" w:color="E2EEF6"/>
            </w:tcBorders>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5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7,418</w:t>
            </w:r>
          </w:p>
        </w:tc>
        <w:tc>
          <w:tcPr>
            <w:tcW w:w="120" w:type="dxa"/>
            <w:vAlign w:val="bottom"/>
            <w:shd w:val="clear" w:color="auto" w:fill="E2EEF6"/>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(6,049)</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(6,049)</w:t>
            </w:r>
          </w:p>
        </w:tc>
      </w:tr>
      <w:tr>
        <w:trPr>
          <w:trHeight w:val="250"/>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Minimum pension liability adjustment</w:t>
            </w:r>
          </w:p>
        </w:tc>
        <w:tc>
          <w:tcPr>
            <w:tcW w:w="108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bottom w:val="single" w:sz="8" w:color="E2EEF6"/>
            </w:tcBorders>
            <w:shd w:val="clear" w:color="auto" w:fill="E2EEF6"/>
          </w:tcPr>
          <w:p>
            <w:pPr>
              <w:spacing w:after="0"/>
              <w:rPr>
                <w:sz w:val="21"/>
                <w:szCs w:val="21"/>
                <w:color w:val="auto"/>
              </w:rPr>
            </w:pPr>
          </w:p>
        </w:tc>
        <w:tc>
          <w:tcPr>
            <w:tcW w:w="260" w:type="dxa"/>
            <w:vAlign w:val="bottom"/>
            <w:tcBorders>
              <w:bottom w:val="single" w:sz="8" w:color="E2EEF6"/>
            </w:tcBorders>
            <w:shd w:val="clear" w:color="auto" w:fill="E2EEF6"/>
          </w:tcPr>
          <w:p>
            <w:pPr>
              <w:spacing w:after="0"/>
              <w:rPr>
                <w:sz w:val="21"/>
                <w:szCs w:val="21"/>
                <w:color w:val="auto"/>
              </w:rPr>
            </w:pPr>
          </w:p>
        </w:tc>
        <w:tc>
          <w:tcPr>
            <w:tcW w:w="4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bottom w:val="single" w:sz="8" w:color="E2EEF6"/>
            </w:tcBorders>
            <w:shd w:val="clear" w:color="auto" w:fill="E2EEF6"/>
          </w:tcPr>
          <w:p>
            <w:pPr>
              <w:spacing w:after="0"/>
              <w:rPr>
                <w:sz w:val="21"/>
                <w:szCs w:val="21"/>
                <w:color w:val="auto"/>
              </w:rPr>
            </w:pPr>
          </w:p>
        </w:tc>
        <w:tc>
          <w:tcPr>
            <w:tcW w:w="180" w:type="dxa"/>
            <w:vAlign w:val="bottom"/>
            <w:tcBorders>
              <w:bottom w:val="single" w:sz="8" w:color="E2EEF6"/>
            </w:tcBorders>
            <w:shd w:val="clear" w:color="auto" w:fill="E2EEF6"/>
          </w:tcPr>
          <w:p>
            <w:pPr>
              <w:spacing w:after="0"/>
              <w:rPr>
                <w:sz w:val="21"/>
                <w:szCs w:val="21"/>
                <w:color w:val="auto"/>
              </w:rPr>
            </w:pPr>
          </w:p>
        </w:tc>
        <w:tc>
          <w:tcPr>
            <w:tcW w:w="80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E2EEF6"/>
            </w:tcBorders>
            <w:shd w:val="clear" w:color="auto" w:fill="E2EEF6"/>
          </w:tcPr>
          <w:p>
            <w:pPr>
              <w:spacing w:after="0"/>
              <w:rPr>
                <w:sz w:val="21"/>
                <w:szCs w:val="21"/>
                <w:color w:val="auto"/>
              </w:rPr>
            </w:pPr>
          </w:p>
        </w:tc>
        <w:tc>
          <w:tcPr>
            <w:tcW w:w="6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(1,771)</w:t>
            </w:r>
          </w:p>
        </w:tc>
        <w:tc>
          <w:tcPr>
            <w:tcW w:w="140" w:type="dxa"/>
            <w:vAlign w:val="bottom"/>
            <w:tcBorders>
              <w:bottom w:val="single" w:sz="8" w:color="E2EEF6"/>
            </w:tcBorders>
            <w:shd w:val="clear" w:color="auto" w:fill="E2EEF6"/>
          </w:tcPr>
          <w:p>
            <w:pPr>
              <w:spacing w:after="0"/>
              <w:rPr>
                <w:sz w:val="21"/>
                <w:szCs w:val="21"/>
                <w:color w:val="auto"/>
              </w:rPr>
            </w:pP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bottom w:val="single" w:sz="8" w:color="E2EEF6"/>
            </w:tcBorders>
            <w:shd w:val="clear" w:color="auto" w:fill="E2EEF6"/>
          </w:tcPr>
          <w:p>
            <w:pPr>
              <w:spacing w:after="0"/>
              <w:rPr>
                <w:sz w:val="21"/>
                <w:szCs w:val="21"/>
                <w:color w:val="auto"/>
              </w:rPr>
            </w:pPr>
          </w:p>
        </w:tc>
        <w:tc>
          <w:tcPr>
            <w:tcW w:w="34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(1,771)</w:t>
            </w:r>
          </w:p>
        </w:tc>
      </w:tr>
      <w:tr>
        <w:trPr>
          <w:trHeight w:val="20"/>
        </w:trPr>
        <w:tc>
          <w:tcPr>
            <w:tcW w:w="44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960" w:type="dxa"/>
            <w:vAlign w:val="bottom"/>
            <w:shd w:val="clear" w:color="auto" w:fill="E2EEF6"/>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260" w:type="dxa"/>
            <w:vAlign w:val="bottom"/>
            <w:shd w:val="clear" w:color="auto" w:fill="E2EEF6"/>
          </w:tcPr>
          <w:p>
            <w:pPr>
              <w:spacing w:after="0" w:line="20" w:lineRule="exact"/>
              <w:rPr>
                <w:sz w:val="1"/>
                <w:szCs w:val="1"/>
                <w:color w:val="auto"/>
              </w:rPr>
            </w:pPr>
          </w:p>
        </w:tc>
        <w:tc>
          <w:tcPr>
            <w:tcW w:w="460" w:type="dxa"/>
            <w:vAlign w:val="bottom"/>
            <w:shd w:val="clear" w:color="auto" w:fill="E2EEF6"/>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68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660" w:type="dxa"/>
            <w:vAlign w:val="bottom"/>
            <w:shd w:val="clear" w:color="auto" w:fill="E2EEF6"/>
          </w:tcPr>
          <w:p>
            <w:pPr>
              <w:spacing w:after="0" w:line="20" w:lineRule="exact"/>
              <w:rPr>
                <w:sz w:val="1"/>
                <w:szCs w:val="1"/>
                <w:color w:val="auto"/>
              </w:rPr>
            </w:pPr>
          </w:p>
        </w:tc>
        <w:tc>
          <w:tcPr>
            <w:tcW w:w="580" w:type="dxa"/>
            <w:vAlign w:val="bottom"/>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640" w:type="dxa"/>
            <w:vAlign w:val="bottom"/>
            <w:shd w:val="clear" w:color="auto" w:fill="E2EEF6"/>
          </w:tcPr>
          <w:p>
            <w:pPr>
              <w:spacing w:after="0" w:line="20" w:lineRule="exact"/>
              <w:rPr>
                <w:sz w:val="1"/>
                <w:szCs w:val="1"/>
                <w:color w:val="auto"/>
              </w:rPr>
            </w:pPr>
          </w:p>
        </w:tc>
        <w:tc>
          <w:tcPr>
            <w:tcW w:w="120" w:type="dxa"/>
            <w:vAlign w:val="bottom"/>
            <w:tcBorders>
              <w:left w:val="single" w:sz="8" w:color="E2EEF6"/>
            </w:tcBorders>
            <w:shd w:val="clear" w:color="auto" w:fill="E2EEF6"/>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4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Exercise of share options</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118,996</w:t>
            </w:r>
          </w:p>
        </w:tc>
        <w:tc>
          <w:tcPr>
            <w:tcW w:w="100" w:type="dxa"/>
            <w:vAlign w:val="bottom"/>
            <w:tcBorders>
              <w:left w:val="single" w:sz="8" w:color="E2EEF6"/>
            </w:tcBorders>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lef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1,903</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5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1,911</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6,249</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21"/>
                <w:szCs w:val="21"/>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Share issue costs</w:t>
            </w:r>
          </w:p>
        </w:tc>
        <w:tc>
          <w:tcPr>
            <w:tcW w:w="10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E2EEF6"/>
          </w:tcPr>
          <w:p>
            <w:pPr>
              <w:spacing w:after="0"/>
              <w:rPr>
                <w:sz w:val="21"/>
                <w:szCs w:val="21"/>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E2EEF6"/>
            </w:tcBorders>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5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(24)</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Tax benefit on exercise of options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6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Balance at December 31, 2005</w:t>
            </w:r>
          </w:p>
        </w:tc>
        <w:tc>
          <w:tcPr>
            <w:tcW w:w="120" w:type="dxa"/>
            <w:vAlign w:val="bottom"/>
            <w:tcBorders>
              <w:bottom w:val="single" w:sz="8" w:color="E2EEF6"/>
            </w:tcBorders>
            <w:shd w:val="clear" w:color="auto" w:fill="E2EEF6"/>
          </w:tcPr>
          <w:p>
            <w:pPr>
              <w:spacing w:after="0"/>
              <w:rPr>
                <w:sz w:val="21"/>
                <w:szCs w:val="21"/>
                <w:color w:val="auto"/>
              </w:rPr>
            </w:pPr>
          </w:p>
        </w:tc>
        <w:tc>
          <w:tcPr>
            <w:tcW w:w="9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14,018,092</w:t>
            </w:r>
          </w:p>
        </w:tc>
        <w:tc>
          <w:tcPr>
            <w:tcW w:w="36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993</w:t>
            </w:r>
          </w:p>
        </w:tc>
        <w:tc>
          <w:tcPr>
            <w:tcW w:w="280" w:type="dxa"/>
            <w:vAlign w:val="bottom"/>
            <w:tcBorders>
              <w:left w:val="single" w:sz="8" w:color="E2EEF6"/>
              <w:bottom w:val="single" w:sz="8" w:color="E2EEF6"/>
            </w:tcBorders>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123,333</w:t>
            </w:r>
          </w:p>
        </w:tc>
        <w:tc>
          <w:tcPr>
            <w:tcW w:w="6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3,409</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113,776</w:t>
            </w:r>
          </w:p>
        </w:tc>
        <w:tc>
          <w:tcPr>
            <w:tcW w:w="460" w:type="dxa"/>
            <w:vAlign w:val="bottom"/>
            <w:tcBorders>
              <w:left w:val="single" w:sz="8" w:color="E2EEF6"/>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5"/>
              </w:rPr>
              <w:t>241,558</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0"/>
        </w:trPr>
        <w:tc>
          <w:tcPr>
            <w:tcW w:w="44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E2EEF6"/>
            </w:tcBorders>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Seven Months</w:t>
            </w:r>
          </w:p>
        </w:tc>
      </w:tr>
      <w:tr>
        <w:trPr>
          <w:trHeight w:val="234"/>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Ended</w:t>
            </w:r>
          </w:p>
        </w:tc>
      </w:tr>
      <w:tr>
        <w:trPr>
          <w:trHeight w:val="243"/>
        </w:trPr>
        <w:tc>
          <w:tcPr>
            <w:tcW w:w="5520" w:type="dxa"/>
            <w:vAlign w:val="bottom"/>
          </w:tcPr>
          <w:p>
            <w:pPr>
              <w:spacing w:after="0"/>
              <w:rPr>
                <w:sz w:val="21"/>
                <w:szCs w:val="21"/>
                <w:color w:val="auto"/>
              </w:rPr>
            </w:pPr>
          </w:p>
        </w:tc>
        <w:tc>
          <w:tcPr>
            <w:tcW w:w="21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May 31,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520" w:type="dxa"/>
            <w:vAlign w:val="bottom"/>
          </w:tcPr>
          <w:p>
            <w:pPr>
              <w:spacing w:after="0"/>
              <w:rPr>
                <w:sz w:val="21"/>
                <w:szCs w:val="21"/>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b w:val="1"/>
                <w:bCs w:val="1"/>
                <w:color w:val="auto"/>
              </w:rPr>
              <w:t>2003</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2005</w:t>
            </w: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552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2EEF6"/>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18,283</w:t>
            </w:r>
          </w:p>
        </w:tc>
        <w:tc>
          <w:tcPr>
            <w:tcW w:w="52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25,742</w:t>
            </w:r>
          </w:p>
        </w:tc>
        <w:tc>
          <w:tcPr>
            <w:tcW w:w="5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13,545</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$7,418</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5520" w:type="dxa"/>
            <w:vAlign w:val="bottom"/>
            <w:shd w:val="clear" w:color="auto" w:fill="E2EEF6"/>
          </w:tcPr>
          <w:p>
            <w:pPr>
              <w:spacing w:after="0"/>
              <w:rPr>
                <w:sz w:val="20"/>
                <w:szCs w:val="20"/>
                <w:color w:val="auto"/>
              </w:rPr>
            </w:pPr>
            <w:r>
              <w:rPr>
                <w:rFonts w:ascii="Arial" w:cs="Arial" w:eastAsia="Arial" w:hAnsi="Arial"/>
                <w:sz w:val="18"/>
                <w:szCs w:val="18"/>
                <w:color w:val="auto"/>
              </w:rPr>
              <w:t>provided by operating activities: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tcBorders>
              <w:right w:val="single" w:sz="8" w:color="E2EEF6"/>
            </w:tcBorders>
            <w:shd w:val="clear" w:color="auto" w:fill="E2EEF6"/>
          </w:tcPr>
          <w:p>
            <w:pPr>
              <w:spacing w:after="0"/>
              <w:rPr>
                <w:sz w:val="21"/>
                <w:szCs w:val="21"/>
                <w:color w:val="auto"/>
              </w:rPr>
            </w:pPr>
          </w:p>
        </w:tc>
        <w:tc>
          <w:tcPr>
            <w:tcW w:w="1480" w:type="dxa"/>
            <w:vAlign w:val="bottom"/>
            <w:shd w:val="clear" w:color="auto" w:fill="E2EEF6"/>
          </w:tcPr>
          <w:p>
            <w:pPr>
              <w:spacing w:after="0"/>
              <w:rPr>
                <w:sz w:val="21"/>
                <w:szCs w:val="2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7,305</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11,171</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13,331</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8,094</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Amortization of grants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6,249</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148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189</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Other Charges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11,275</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shd w:val="clear" w:color="auto" w:fill="E2EEF6"/>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tcBorders>
              <w:right w:val="single" w:sz="8" w:color="E2EEF6"/>
            </w:tcBorders>
            <w:shd w:val="clear" w:color="auto" w:fill="E2EEF6"/>
          </w:tcPr>
          <w:p>
            <w:pPr>
              <w:spacing w:after="0"/>
              <w:rPr>
                <w:sz w:val="21"/>
                <w:szCs w:val="21"/>
                <w:color w:val="auto"/>
              </w:rPr>
            </w:pPr>
          </w:p>
        </w:tc>
        <w:tc>
          <w:tcPr>
            <w:tcW w:w="1480" w:type="dxa"/>
            <w:vAlign w:val="bottom"/>
            <w:shd w:val="clear" w:color="auto" w:fill="E2EEF6"/>
          </w:tcPr>
          <w:p>
            <w:pPr>
              <w:spacing w:after="0"/>
              <w:rPr>
                <w:sz w:val="21"/>
                <w:szCs w:val="2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(Increase)/decrease in accounts receivable</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(23,232)</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4,089</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(4,930)</w:t>
            </w:r>
          </w:p>
        </w:tc>
        <w:tc>
          <w:tcPr>
            <w:tcW w:w="148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(Increase)/decrease in unbilled revenue</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(14,480)</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(15,329)</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3,071</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(6,522)</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(Increase)/decrease in other receivables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7,515</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4,307</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1,383</w:t>
            </w:r>
          </w:p>
        </w:tc>
        <w:tc>
          <w:tcPr>
            <w:tcW w:w="148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(Increase) in prepayments and other current assets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(1,965)</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(778)</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(994)</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(703)</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Increase/(decrease) in payments on account</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25,485</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14,228</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(9,515)</w:t>
            </w:r>
          </w:p>
        </w:tc>
        <w:tc>
          <w:tcPr>
            <w:tcW w:w="148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(Decrease) in other liabilities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(1,787)</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(1,654)</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(446)</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(4,324)</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Increase in income taxes payable</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2,237</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1,420</w:t>
            </w:r>
          </w:p>
        </w:tc>
        <w:tc>
          <w:tcPr>
            <w:tcW w:w="148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50"/>
        </w:trPr>
        <w:tc>
          <w:tcPr>
            <w:tcW w:w="552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Increase/(decrease) in accounts payable</w:t>
            </w:r>
          </w:p>
        </w:tc>
        <w:tc>
          <w:tcPr>
            <w:tcW w:w="24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3,768</w:t>
            </w:r>
          </w:p>
        </w:tc>
        <w:tc>
          <w:tcPr>
            <w:tcW w:w="52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(1,009)</w:t>
            </w:r>
          </w:p>
        </w:tc>
        <w:tc>
          <w:tcPr>
            <w:tcW w:w="5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(2,455)</w:t>
            </w:r>
          </w:p>
        </w:tc>
        <w:tc>
          <w:tcPr>
            <w:tcW w:w="14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(2,599)</w:t>
            </w:r>
          </w:p>
        </w:tc>
      </w:tr>
      <w:tr>
        <w:trPr>
          <w:trHeight w:val="20"/>
        </w:trPr>
        <w:tc>
          <w:tcPr>
            <w:tcW w:w="5520" w:type="dxa"/>
            <w:vAlign w:val="bottom"/>
            <w:shd w:val="clear" w:color="auto" w:fill="E2EEF6"/>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21,485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43,642</w:t>
            </w:r>
          </w:p>
        </w:tc>
        <w:tc>
          <w:tcPr>
            <w:tcW w:w="5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25,209</w:t>
            </w:r>
          </w:p>
        </w:tc>
        <w:tc>
          <w:tcPr>
            <w:tcW w:w="1480" w:type="dxa"/>
            <w:vAlign w:val="bottom"/>
          </w:tcPr>
          <w:p>
            <w:pPr>
              <w:jc w:val="right"/>
              <w:spacing w:after="0"/>
              <w:rPr>
                <w:sz w:val="20"/>
                <w:szCs w:val="20"/>
                <w:color w:val="auto"/>
              </w:rPr>
            </w:pPr>
            <w:r>
              <w:rPr>
                <w:rFonts w:ascii="Arial" w:cs="Arial" w:eastAsia="Arial" w:hAnsi="Arial"/>
                <w:sz w:val="18"/>
                <w:szCs w:val="18"/>
                <w:color w:val="auto"/>
              </w:rPr>
              <w:t>13,781</w:t>
            </w:r>
          </w:p>
        </w:tc>
      </w:tr>
      <w:tr>
        <w:trPr>
          <w:trHeight w:val="243"/>
        </w:trPr>
        <w:tc>
          <w:tcPr>
            <w:tcW w:w="55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tcBorders>
              <w:right w:val="single" w:sz="8" w:color="E2EEF6"/>
            </w:tcBorders>
            <w:shd w:val="clear" w:color="auto" w:fill="E2EEF6"/>
          </w:tcPr>
          <w:p>
            <w:pPr>
              <w:spacing w:after="0"/>
              <w:rPr>
                <w:sz w:val="21"/>
                <w:szCs w:val="21"/>
                <w:color w:val="auto"/>
              </w:rPr>
            </w:pPr>
          </w:p>
        </w:tc>
        <w:tc>
          <w:tcPr>
            <w:tcW w:w="1480" w:type="dxa"/>
            <w:vAlign w:val="bottom"/>
            <w:shd w:val="clear" w:color="auto" w:fill="E2EEF6"/>
          </w:tcPr>
          <w:p>
            <w:pPr>
              <w:spacing w:after="0"/>
              <w:rPr>
                <w:sz w:val="21"/>
                <w:szCs w:val="2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(15,788)</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(13,097)</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(15,595)</w:t>
            </w:r>
          </w:p>
        </w:tc>
        <w:tc>
          <w:tcPr>
            <w:tcW w:w="1480" w:type="dxa"/>
            <w:vAlign w:val="bottom"/>
          </w:tcPr>
          <w:p>
            <w:pPr>
              <w:jc w:val="right"/>
              <w:spacing w:after="0"/>
              <w:rPr>
                <w:sz w:val="20"/>
                <w:szCs w:val="20"/>
                <w:color w:val="auto"/>
              </w:rPr>
            </w:pPr>
            <w:r>
              <w:rPr>
                <w:rFonts w:ascii="Arial" w:cs="Arial" w:eastAsia="Arial" w:hAnsi="Arial"/>
                <w:sz w:val="18"/>
                <w:szCs w:val="18"/>
                <w:color w:val="auto"/>
              </w:rPr>
              <w:t>(12,128)</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Purchase of intangible asset</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(250)</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Purchase of subsidiary undertakings and acquisition costs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(36,873)</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(11,258)</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(10,052)</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Cash acquired with subsidiary undertakings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1,910</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891</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1,658</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Deferred payments in respect of historical acquisitions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(3,078)</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(1,733)</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148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Sale of short term investments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18,551</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12,022</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14,016</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Purchase of short term investments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(23,085)</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(10,971)</w:t>
            </w:r>
          </w:p>
        </w:tc>
        <w:tc>
          <w:tcPr>
            <w:tcW w:w="1480" w:type="dxa"/>
            <w:vAlign w:val="bottom"/>
          </w:tcPr>
          <w:p>
            <w:pPr>
              <w:jc w:val="right"/>
              <w:spacing w:after="0"/>
              <w:rPr>
                <w:sz w:val="20"/>
                <w:szCs w:val="20"/>
                <w:color w:val="auto"/>
              </w:rPr>
            </w:pPr>
            <w:r>
              <w:rPr>
                <w:rFonts w:ascii="Arial" w:cs="Arial" w:eastAsia="Arial" w:hAnsi="Arial"/>
                <w:sz w:val="18"/>
                <w:szCs w:val="18"/>
                <w:color w:val="auto"/>
              </w:rPr>
              <w:t>(14,791)</w:t>
            </w:r>
          </w:p>
        </w:tc>
      </w:tr>
      <w:tr>
        <w:trPr>
          <w:trHeight w:val="250"/>
        </w:trPr>
        <w:tc>
          <w:tcPr>
            <w:tcW w:w="552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Receipt of government grant</w:t>
            </w:r>
          </w:p>
        </w:tc>
        <w:tc>
          <w:tcPr>
            <w:tcW w:w="24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945</w:t>
            </w:r>
          </w:p>
        </w:tc>
        <w:tc>
          <w:tcPr>
            <w:tcW w:w="5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E2EEF6"/>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(35,278)</w:t>
            </w:r>
          </w:p>
        </w:tc>
        <w:tc>
          <w:tcPr>
            <w:tcW w:w="5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(47,337)</w:t>
            </w:r>
          </w:p>
        </w:tc>
        <w:tc>
          <w:tcPr>
            <w:tcW w:w="5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(25,702)</w:t>
            </w:r>
          </w:p>
        </w:tc>
        <w:tc>
          <w:tcPr>
            <w:tcW w:w="1480" w:type="dxa"/>
            <w:vAlign w:val="bottom"/>
          </w:tcPr>
          <w:p>
            <w:pPr>
              <w:jc w:val="right"/>
              <w:spacing w:after="0"/>
              <w:rPr>
                <w:sz w:val="20"/>
                <w:szCs w:val="20"/>
                <w:color w:val="auto"/>
              </w:rPr>
            </w:pPr>
            <w:r>
              <w:rPr>
                <w:rFonts w:ascii="Arial" w:cs="Arial" w:eastAsia="Arial" w:hAnsi="Arial"/>
                <w:sz w:val="18"/>
                <w:szCs w:val="18"/>
                <w:color w:val="auto"/>
              </w:rPr>
              <w:t>(16,277)</w:t>
            </w:r>
          </w:p>
        </w:tc>
      </w:tr>
      <w:tr>
        <w:trPr>
          <w:trHeight w:val="243"/>
        </w:trPr>
        <w:tc>
          <w:tcPr>
            <w:tcW w:w="55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120" w:type="dxa"/>
            <w:vAlign w:val="bottom"/>
            <w:tcBorders>
              <w:right w:val="single" w:sz="8" w:color="E2EEF6"/>
            </w:tcBorders>
            <w:shd w:val="clear" w:color="auto" w:fill="E2EEF6"/>
          </w:tcPr>
          <w:p>
            <w:pPr>
              <w:spacing w:after="0"/>
              <w:rPr>
                <w:sz w:val="21"/>
                <w:szCs w:val="21"/>
                <w:color w:val="auto"/>
              </w:rPr>
            </w:pPr>
          </w:p>
        </w:tc>
        <w:tc>
          <w:tcPr>
            <w:tcW w:w="1480" w:type="dxa"/>
            <w:vAlign w:val="bottom"/>
            <w:shd w:val="clear" w:color="auto" w:fill="E2EEF6"/>
          </w:tcPr>
          <w:p>
            <w:pPr>
              <w:spacing w:after="0"/>
              <w:rPr>
                <w:sz w:val="21"/>
                <w:szCs w:val="2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(Repayment)/drawdown of bank overdraft</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(5,319)</w:t>
            </w:r>
          </w:p>
        </w:tc>
        <w:tc>
          <w:tcPr>
            <w:tcW w:w="5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(7,126)</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4,833</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693</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5,358</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1,407</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1,911</w:t>
            </w: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Proceeds from the issuance of share capital</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45,705</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Share issuance costs</w:t>
            </w:r>
          </w:p>
        </w:tc>
        <w:tc>
          <w:tcPr>
            <w:tcW w:w="24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(1,182)</w:t>
            </w:r>
          </w:p>
        </w:tc>
        <w:tc>
          <w:tcPr>
            <w:tcW w:w="540" w:type="dxa"/>
            <w:vAlign w:val="bottom"/>
            <w:shd w:val="clear" w:color="auto" w:fill="E2EEF6"/>
          </w:tcPr>
          <w:p>
            <w:pPr>
              <w:spacing w:after="0"/>
              <w:rPr>
                <w:sz w:val="21"/>
                <w:szCs w:val="21"/>
                <w:color w:val="auto"/>
              </w:rPr>
            </w:pPr>
          </w:p>
        </w:tc>
        <w:tc>
          <w:tcPr>
            <w:tcW w:w="860" w:type="dxa"/>
            <w:vAlign w:val="bottom"/>
            <w:tcBorders>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(197)</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520" w:type="dxa"/>
            <w:vAlign w:val="bottom"/>
          </w:tcPr>
          <w:p>
            <w:pPr>
              <w:ind w:left="340"/>
              <w:spacing w:after="0"/>
              <w:rPr>
                <w:sz w:val="20"/>
                <w:szCs w:val="20"/>
                <w:color w:val="auto"/>
              </w:rPr>
            </w:pPr>
            <w:r>
              <w:rPr>
                <w:rFonts w:ascii="Arial" w:cs="Arial" w:eastAsia="Arial" w:hAnsi="Arial"/>
                <w:sz w:val="18"/>
                <w:szCs w:val="18"/>
                <w:color w:val="auto"/>
              </w:rPr>
              <w:t>Repayment of other liabilities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5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37"/>
        </w:trPr>
        <w:tc>
          <w:tcPr>
            <w:tcW w:w="5520" w:type="dxa"/>
            <w:vAlign w:val="bottom"/>
            <w:shd w:val="clear" w:color="auto" w:fill="E2EEF6"/>
          </w:tcPr>
          <w:p>
            <w:pPr>
              <w:spacing w:after="0"/>
              <w:rPr>
                <w:sz w:val="20"/>
                <w:szCs w:val="20"/>
                <w:color w:val="auto"/>
              </w:rPr>
            </w:pPr>
            <w:r>
              <w:rPr>
                <w:rFonts w:ascii="Arial" w:cs="Arial" w:eastAsia="Arial" w:hAnsi="Arial"/>
                <w:sz w:val="18"/>
                <w:szCs w:val="18"/>
                <w:color w:val="auto"/>
              </w:rPr>
              <w:t>Net cash (used in)/provided by financing activities</w:t>
            </w:r>
          </w:p>
        </w:tc>
        <w:tc>
          <w:tcPr>
            <w:tcW w:w="240" w:type="dxa"/>
            <w:vAlign w:val="bottom"/>
            <w:shd w:val="clear" w:color="auto" w:fill="E2EEF6"/>
          </w:tcPr>
          <w:p>
            <w:pPr>
              <w:spacing w:after="0"/>
              <w:rPr>
                <w:sz w:val="20"/>
                <w:szCs w:val="20"/>
                <w:color w:val="auto"/>
              </w:rPr>
            </w:pPr>
          </w:p>
        </w:tc>
        <w:tc>
          <w:tcPr>
            <w:tcW w:w="540" w:type="dxa"/>
            <w:vAlign w:val="bottom"/>
            <w:shd w:val="clear" w:color="auto" w:fill="E2EEF6"/>
          </w:tcPr>
          <w:p>
            <w:pPr>
              <w:spacing w:after="0"/>
              <w:rPr>
                <w:sz w:val="20"/>
                <w:szCs w:val="20"/>
                <w:color w:val="auto"/>
              </w:rPr>
            </w:pPr>
          </w:p>
        </w:tc>
        <w:tc>
          <w:tcPr>
            <w:tcW w:w="8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(4,626)</w:t>
            </w:r>
          </w:p>
        </w:tc>
        <w:tc>
          <w:tcPr>
            <w:tcW w:w="520" w:type="dxa"/>
            <w:vAlign w:val="bottom"/>
            <w:shd w:val="clear" w:color="auto" w:fill="E2EEF6"/>
          </w:tcPr>
          <w:p>
            <w:pPr>
              <w:spacing w:after="0"/>
              <w:rPr>
                <w:sz w:val="20"/>
                <w:szCs w:val="20"/>
                <w:color w:val="auto"/>
              </w:rPr>
            </w:pPr>
          </w:p>
        </w:tc>
        <w:tc>
          <w:tcPr>
            <w:tcW w:w="8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42,525</w:t>
            </w:r>
          </w:p>
        </w:tc>
        <w:tc>
          <w:tcPr>
            <w:tcW w:w="540" w:type="dxa"/>
            <w:vAlign w:val="bottom"/>
            <w:shd w:val="clear" w:color="auto" w:fill="E2EEF6"/>
          </w:tcPr>
          <w:p>
            <w:pPr>
              <w:spacing w:after="0"/>
              <w:rPr>
                <w:sz w:val="20"/>
                <w:szCs w:val="20"/>
                <w:color w:val="auto"/>
              </w:rPr>
            </w:pPr>
          </w:p>
        </w:tc>
        <w:tc>
          <w:tcPr>
            <w:tcW w:w="8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938</w:t>
            </w:r>
          </w:p>
        </w:tc>
        <w:tc>
          <w:tcPr>
            <w:tcW w:w="14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6,624</w:t>
            </w: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Effect of exchange rate movements on cash</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5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c>
          <w:tcPr>
            <w:tcW w:w="5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48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37"/>
        </w:trPr>
        <w:tc>
          <w:tcPr>
            <w:tcW w:w="55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540" w:type="dxa"/>
            <w:vAlign w:val="bottom"/>
            <w:tcBorders>
              <w:top w:val="single" w:sz="8" w:color="auto"/>
            </w:tcBorders>
            <w:shd w:val="clear" w:color="auto" w:fill="E2EEF6"/>
          </w:tcPr>
          <w:p>
            <w:pPr>
              <w:spacing w:after="0"/>
              <w:rPr>
                <w:sz w:val="20"/>
                <w:szCs w:val="20"/>
                <w:color w:val="auto"/>
              </w:rPr>
            </w:pPr>
          </w:p>
        </w:tc>
        <w:tc>
          <w:tcPr>
            <w:tcW w:w="74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20" w:type="dxa"/>
            <w:vAlign w:val="bottom"/>
            <w:tcBorders>
              <w:top w:val="single" w:sz="8" w:color="auto"/>
            </w:tcBorders>
            <w:shd w:val="clear" w:color="auto" w:fill="E2EEF6"/>
          </w:tcPr>
          <w:p>
            <w:pPr>
              <w:spacing w:after="0"/>
              <w:rPr>
                <w:sz w:val="20"/>
                <w:szCs w:val="20"/>
                <w:color w:val="auto"/>
              </w:rPr>
            </w:pPr>
          </w:p>
        </w:tc>
        <w:tc>
          <w:tcPr>
            <w:tcW w:w="74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40" w:type="dxa"/>
            <w:vAlign w:val="bottom"/>
            <w:tcBorders>
              <w:top w:val="single" w:sz="8" w:color="auto"/>
            </w:tcBorders>
            <w:shd w:val="clear" w:color="auto" w:fill="E2EEF6"/>
          </w:tcPr>
          <w:p>
            <w:pPr>
              <w:spacing w:after="0"/>
              <w:rPr>
                <w:sz w:val="20"/>
                <w:szCs w:val="20"/>
                <w:color w:val="auto"/>
              </w:rPr>
            </w:pPr>
          </w:p>
        </w:tc>
        <w:tc>
          <w:tcPr>
            <w:tcW w:w="740" w:type="dxa"/>
            <w:vAlign w:val="bottom"/>
            <w:tcBorders>
              <w:top w:val="single" w:sz="8" w:color="auto"/>
            </w:tcBorders>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1480" w:type="dxa"/>
            <w:vAlign w:val="bottom"/>
            <w:tcBorders>
              <w:top w:val="single" w:sz="8" w:color="auto"/>
            </w:tcBorders>
            <w:shd w:val="clear" w:color="auto" w:fill="E2EEF6"/>
          </w:tcPr>
          <w:p>
            <w:pPr>
              <w:spacing w:after="0"/>
              <w:rPr>
                <w:sz w:val="20"/>
                <w:szCs w:val="20"/>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(17,980)</w:t>
            </w:r>
          </w:p>
        </w:tc>
        <w:tc>
          <w:tcPr>
            <w:tcW w:w="5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37,367</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480" w:type="dxa"/>
            <w:vAlign w:val="bottom"/>
          </w:tcPr>
          <w:p>
            <w:pPr>
              <w:jc w:val="right"/>
              <w:spacing w:after="0"/>
              <w:rPr>
                <w:sz w:val="20"/>
                <w:szCs w:val="20"/>
                <w:color w:val="auto"/>
              </w:rPr>
            </w:pPr>
            <w:r>
              <w:rPr>
                <w:rFonts w:ascii="Arial" w:cs="Arial" w:eastAsia="Arial" w:hAnsi="Arial"/>
                <w:sz w:val="18"/>
                <w:szCs w:val="18"/>
                <w:color w:val="auto"/>
              </w:rPr>
              <w:t>3,168</w:t>
            </w:r>
          </w:p>
        </w:tc>
      </w:tr>
      <w:tr>
        <w:trPr>
          <w:trHeight w:val="275"/>
        </w:trPr>
        <w:tc>
          <w:tcPr>
            <w:tcW w:w="5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E2EEF6"/>
            </w:tcBorders>
            <w:shd w:val="clear" w:color="auto" w:fill="E2EEF6"/>
          </w:tcPr>
          <w:p>
            <w:pPr>
              <w:spacing w:after="0"/>
              <w:rPr>
                <w:sz w:val="23"/>
                <w:szCs w:val="23"/>
                <w:color w:val="auto"/>
              </w:rPr>
            </w:pPr>
          </w:p>
        </w:tc>
        <w:tc>
          <w:tcPr>
            <w:tcW w:w="54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36,291</w:t>
            </w:r>
          </w:p>
        </w:tc>
        <w:tc>
          <w:tcPr>
            <w:tcW w:w="52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18,311</w:t>
            </w:r>
          </w:p>
        </w:tc>
        <w:tc>
          <w:tcPr>
            <w:tcW w:w="54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55,678</w:t>
            </w:r>
          </w:p>
        </w:tc>
        <w:tc>
          <w:tcPr>
            <w:tcW w:w="14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56,341</w:t>
            </w:r>
          </w:p>
        </w:tc>
      </w:tr>
      <w:tr>
        <w:trPr>
          <w:trHeight w:val="250"/>
        </w:trPr>
        <w:tc>
          <w:tcPr>
            <w:tcW w:w="5520" w:type="dxa"/>
            <w:vAlign w:val="bottom"/>
            <w:tcBorders>
              <w:top w:val="single" w:sz="8" w:color="E2EEF6"/>
            </w:tcBorders>
          </w:tcPr>
          <w:p>
            <w:pPr>
              <w:spacing w:after="0"/>
              <w:rPr>
                <w:sz w:val="21"/>
                <w:szCs w:val="21"/>
                <w:color w:val="auto"/>
              </w:rPr>
            </w:pPr>
          </w:p>
        </w:tc>
        <w:tc>
          <w:tcPr>
            <w:tcW w:w="240" w:type="dxa"/>
            <w:vAlign w:val="bottom"/>
            <w:tcBorders>
              <w:top w:val="single" w:sz="8" w:color="E2EEF6"/>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E2EEF6"/>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E2EEF6"/>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E2EEF6"/>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0"/>
        </w:trPr>
        <w:tc>
          <w:tcPr>
            <w:tcW w:w="5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18,311</w:t>
            </w:r>
          </w:p>
        </w:tc>
        <w:tc>
          <w:tcPr>
            <w:tcW w:w="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55,678</w:t>
            </w:r>
          </w:p>
        </w:tc>
        <w:tc>
          <w:tcPr>
            <w:tcW w:w="5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2EEF6"/>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56,341</w:t>
            </w:r>
          </w:p>
        </w:tc>
        <w:tc>
          <w:tcPr>
            <w:tcW w:w="14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$59,509</w:t>
            </w:r>
          </w:p>
        </w:tc>
      </w:tr>
      <w:tr>
        <w:trPr>
          <w:trHeight w:val="20"/>
        </w:trPr>
        <w:tc>
          <w:tcPr>
            <w:tcW w:w="5520" w:type="dxa"/>
            <w:vAlign w:val="bottom"/>
            <w:shd w:val="clear" w:color="auto" w:fill="E2EEF6"/>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66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ICON plc and subsidiaries (“The Company”) is a Contract Research Organization (“CRO”) providing clinical research and development services on a global basis to the pharmaceutical, biotechnology and medical device industries. The Company specializes in the management, execution and analysis of complex, multinational clinical trials in most major therapeutic areas. The Company believes that it is one of a select group of CROs with the capability and expertise to conduct clinical trials on a global basis. As of December 31, 2005, the Company had approximately 3,050 employees and operations in 41 locations in 27 countries, including the United States and major markets in Europe and Rest of World. For the transition period ended December 31, 2005, the Company derived approximately 58.6%, 33.7% and 7.7% of our net revenue in the United States, Europe and Rest of World,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ICON plc (the "Company") has historically prepared its consolidated financial statements on the basis of a fiscal year beginning on June 1 and ending on May</w:t>
      </w:r>
    </w:p>
    <w:p>
      <w:pPr>
        <w:spacing w:after="0" w:line="46"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July 27, 2005 the Board of Directors of the Company approved a change of the Company’s fiscal year end from a twelve-month period ending on May</w:t>
      </w:r>
    </w:p>
    <w:p>
      <w:pPr>
        <w:spacing w:after="0" w:line="32" w:lineRule="exact"/>
        <w:rPr>
          <w:rFonts w:ascii="Arial" w:cs="Arial" w:eastAsia="Arial" w:hAnsi="Arial"/>
          <w:sz w:val="16"/>
          <w:szCs w:val="16"/>
          <w:color w:val="auto"/>
        </w:rPr>
      </w:pPr>
    </w:p>
    <w:p>
      <w:pPr>
        <w:ind w:right="160" w:firstLine="8"/>
        <w:spacing w:after="0" w:line="295"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a twelve-month period ending on December 31. The Company is making this change in order to align its fiscal year end with the majority of other contract research organizations. As a requirement of this change, the Company is reporting results for the seven-month period from June 1, 2005 to December 31, 2005 as a separate transition period in a Transition Report filed on Form 20-F. As of January 1, 2006, the Company’s fiscal year will begin on January 1 and end on December 31 and its fiscal quarters will end on the last day of March, June, September and December of each year.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265" w:lineRule="exact"/>
        <w:rPr>
          <w:sz w:val="20"/>
          <w:szCs w:val="20"/>
          <w:color w:val="auto"/>
        </w:rPr>
      </w:pPr>
    </w:p>
    <w:p>
      <w:pPr>
        <w:ind w:left="800" w:hanging="792"/>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93"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76"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260"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both"/>
        <w:spacing w:after="0" w:line="302" w:lineRule="auto"/>
        <w:rPr>
          <w:sz w:val="20"/>
          <w:szCs w:val="20"/>
          <w:color w:val="auto"/>
        </w:rPr>
      </w:pPr>
      <w:r>
        <w:rPr>
          <w:rFonts w:ascii="Arial" w:cs="Arial" w:eastAsia="Arial" w:hAnsi="Arial"/>
          <w:sz w:val="16"/>
          <w:szCs w:val="16"/>
          <w:color w:val="auto"/>
        </w:rPr>
        <w:t>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recognized on the basis of the number of deliverable units completed in the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265"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Subcontractor costs</w:t>
      </w:r>
    </w:p>
    <w:p>
      <w:pPr>
        <w:spacing w:after="0" w:line="29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283" w:lineRule="exact"/>
        <w:rPr>
          <w:sz w:val="20"/>
          <w:szCs w:val="20"/>
          <w:color w:val="auto"/>
        </w:rPr>
      </w:pPr>
    </w:p>
    <w:p>
      <w:pPr>
        <w:ind w:left="800" w:hanging="792"/>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Direct costs consist of compensation and associated employee benefits for project-related employees and other direct project-related costs.</w:t>
      </w:r>
    </w:p>
    <w:p>
      <w:pPr>
        <w:spacing w:after="0" w:line="320" w:lineRule="exact"/>
        <w:rPr>
          <w:sz w:val="20"/>
          <w:szCs w:val="20"/>
          <w:color w:val="auto"/>
        </w:rPr>
      </w:pPr>
    </w:p>
    <w:p>
      <w:pPr>
        <w:ind w:left="780" w:hanging="7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U.S.$1,336,000 U.S.$1,596,000 and U.S.$2,401,000 for the years ended May 31, 2003, 2004 and 2005 respectively and U.S.$1,453,000 for the seven month period ended December 31, 2005.</w:t>
      </w:r>
    </w:p>
    <w:p>
      <w:pPr>
        <w:spacing w:after="0" w:line="276" w:lineRule="exact"/>
        <w:rPr>
          <w:sz w:val="20"/>
          <w:szCs w:val="20"/>
          <w:color w:val="auto"/>
        </w:rPr>
      </w:pPr>
    </w:p>
    <w:p>
      <w:pPr>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9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For the years ended May 31, 2003, 2004 and 2005 amounts charged/(credited) to income amounted to U.S.$1,968,000, (U.S.$2,445,000) and U.S.$433,000 respectively. For the seven month period ended December 31, 2005 amounts charged to income amounted to U.S.$408,000.</w:t>
      </w:r>
    </w:p>
    <w:p>
      <w:pPr>
        <w:spacing w:after="0" w:line="21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income statement. Translation gains and losses arising are reported as a movement on accumulated other comprehensive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6" w:name="page57"/>
    <w:bookmarkEnd w:id="56"/>
    <w:p>
      <w:pPr>
        <w:ind w:left="800" w:hanging="79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other liabilities carrying amounts approximate fair value based on net present value of estimated future cash flows.</w:t>
      </w:r>
    </w:p>
    <w:p>
      <w:pPr>
        <w:spacing w:after="0" w:line="320"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76"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Goodwill</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Goodwill represents the excess of the cost of acquired entities over the net of amounts assigned to assets acquired and liabilities assumed. Goodwill is stated net of any provision for impairment. The Company tests goodwill annually for any impairments.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The Company’s annual test for impairment performed for the year ended May 31, 2005 identified an impairment charge to be taken against the central laboratory segment. For further information, refer to Note 15 to the Consolidated Financial Statements.</w:t>
      </w:r>
    </w:p>
    <w:p>
      <w:pPr>
        <w:spacing w:after="0" w:line="259"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intangible assets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are amortized on a straight line basis over their estimated useful life.</w:t>
      </w:r>
    </w:p>
    <w:p>
      <w:pPr>
        <w:spacing w:after="0" w:line="320"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is stated at cost, which approximates market value.</w:t>
      </w:r>
    </w:p>
    <w:p>
      <w:pPr>
        <w:spacing w:after="0" w:line="265"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w:t>
      </w:r>
    </w:p>
    <w:p>
      <w:pPr>
        <w:spacing w:after="0" w:line="281"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Inventory</w:t>
      </w:r>
    </w:p>
    <w:p>
      <w:pPr>
        <w:spacing w:after="0" w:line="2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in the case of raw materials comprises the purchase price and attributable costs, less trade discounts. Cost in the case of work in progress and finished goods, comprises fixed labor, raw materials costs and attributable overheads.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7" w:name="page58"/>
    <w:bookmarkEnd w:id="57"/>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4560" w:type="dxa"/>
            <w:vAlign w:val="bottom"/>
            <w:gridSpan w:val="3"/>
          </w:tcPr>
          <w:p>
            <w:pPr>
              <w:ind w:left="3440"/>
              <w:spacing w:after="0"/>
              <w:rPr>
                <w:sz w:val="20"/>
                <w:szCs w:val="20"/>
                <w:color w:val="auto"/>
              </w:rPr>
            </w:pPr>
            <w:r>
              <w:rPr>
                <w:rFonts w:ascii="Arial" w:cs="Arial" w:eastAsia="Arial" w:hAnsi="Arial"/>
                <w:sz w:val="18"/>
                <w:szCs w:val="18"/>
                <w:color w:val="auto"/>
              </w:rPr>
              <w:t>Years</w:t>
            </w:r>
          </w:p>
        </w:tc>
      </w:tr>
      <w:tr>
        <w:trPr>
          <w:trHeight w:val="291"/>
        </w:trPr>
        <w:tc>
          <w:tcPr>
            <w:tcW w:w="6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6860" w:type="dxa"/>
            <w:vAlign w:val="bottom"/>
            <w:shd w:val="clear" w:color="auto" w:fill="E2EEF6"/>
          </w:tcPr>
          <w:p>
            <w:pPr>
              <w:ind w:left="940"/>
              <w:spacing w:after="0"/>
              <w:rPr>
                <w:sz w:val="20"/>
                <w:szCs w:val="20"/>
                <w:color w:val="auto"/>
              </w:rPr>
            </w:pPr>
            <w:r>
              <w:rPr>
                <w:rFonts w:ascii="Arial" w:cs="Arial" w:eastAsia="Arial" w:hAnsi="Arial"/>
                <w:sz w:val="18"/>
                <w:szCs w:val="18"/>
                <w:color w:val="auto"/>
              </w:rPr>
              <w:t>Building</w:t>
            </w:r>
          </w:p>
        </w:tc>
        <w:tc>
          <w:tcPr>
            <w:tcW w:w="3840" w:type="dxa"/>
            <w:vAlign w:val="bottom"/>
            <w:gridSpan w:val="2"/>
            <w:shd w:val="clear" w:color="auto" w:fill="E2EEF6"/>
          </w:tcPr>
          <w:p>
            <w:pPr>
              <w:ind w:left="344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E2EEF6"/>
          </w:tcPr>
          <w:p>
            <w:pPr>
              <w:spacing w:after="0"/>
              <w:rPr>
                <w:sz w:val="21"/>
                <w:szCs w:val="21"/>
                <w:color w:val="auto"/>
              </w:rPr>
            </w:pPr>
          </w:p>
        </w:tc>
      </w:tr>
      <w:tr>
        <w:trPr>
          <w:trHeight w:val="237"/>
        </w:trPr>
        <w:tc>
          <w:tcPr>
            <w:tcW w:w="6860" w:type="dxa"/>
            <w:vAlign w:val="bottom"/>
          </w:tcPr>
          <w:p>
            <w:pPr>
              <w:ind w:left="940"/>
              <w:spacing w:after="0"/>
              <w:rPr>
                <w:sz w:val="20"/>
                <w:szCs w:val="20"/>
                <w:color w:val="auto"/>
              </w:rPr>
            </w:pPr>
            <w:r>
              <w:rPr>
                <w:rFonts w:ascii="Arial" w:cs="Arial" w:eastAsia="Arial" w:hAnsi="Arial"/>
                <w:sz w:val="18"/>
                <w:szCs w:val="18"/>
                <w:color w:val="auto"/>
              </w:rPr>
              <w:t>Computer equipment and software</w:t>
            </w:r>
          </w:p>
        </w:tc>
        <w:tc>
          <w:tcPr>
            <w:tcW w:w="3840" w:type="dxa"/>
            <w:vAlign w:val="bottom"/>
            <w:gridSpan w:val="2"/>
          </w:tcPr>
          <w:p>
            <w:pPr>
              <w:ind w:left="344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0"/>
                <w:szCs w:val="20"/>
                <w:color w:val="auto"/>
              </w:rPr>
            </w:pPr>
          </w:p>
        </w:tc>
      </w:tr>
      <w:tr>
        <w:trPr>
          <w:trHeight w:val="249"/>
        </w:trPr>
        <w:tc>
          <w:tcPr>
            <w:tcW w:w="6860" w:type="dxa"/>
            <w:vAlign w:val="bottom"/>
            <w:shd w:val="clear" w:color="auto" w:fill="E2EEF6"/>
          </w:tcPr>
          <w:p>
            <w:pPr>
              <w:ind w:left="940"/>
              <w:spacing w:after="0"/>
              <w:rPr>
                <w:sz w:val="20"/>
                <w:szCs w:val="20"/>
                <w:color w:val="auto"/>
              </w:rPr>
            </w:pPr>
            <w:r>
              <w:rPr>
                <w:rFonts w:ascii="Arial" w:cs="Arial" w:eastAsia="Arial" w:hAnsi="Arial"/>
                <w:sz w:val="18"/>
                <w:szCs w:val="18"/>
                <w:color w:val="auto"/>
              </w:rPr>
              <w:t>Office furniture and fixtures</w:t>
            </w:r>
          </w:p>
        </w:tc>
        <w:tc>
          <w:tcPr>
            <w:tcW w:w="3840" w:type="dxa"/>
            <w:vAlign w:val="bottom"/>
            <w:gridSpan w:val="2"/>
            <w:shd w:val="clear" w:color="auto" w:fill="E2EEF6"/>
          </w:tcPr>
          <w:p>
            <w:pPr>
              <w:ind w:left="3440"/>
              <w:spacing w:after="0"/>
              <w:rPr>
                <w:sz w:val="20"/>
                <w:szCs w:val="20"/>
                <w:color w:val="auto"/>
              </w:rPr>
            </w:pPr>
            <w:r>
              <w:rPr>
                <w:rFonts w:ascii="Arial" w:cs="Arial" w:eastAsia="Arial" w:hAnsi="Arial"/>
                <w:sz w:val="18"/>
                <w:szCs w:val="18"/>
                <w:color w:val="auto"/>
              </w:rPr>
              <w:t>8</w:t>
            </w:r>
          </w:p>
        </w:tc>
        <w:tc>
          <w:tcPr>
            <w:tcW w:w="720" w:type="dxa"/>
            <w:vAlign w:val="bottom"/>
            <w:shd w:val="clear" w:color="auto" w:fill="E2EEF6"/>
          </w:tcPr>
          <w:p>
            <w:pPr>
              <w:spacing w:after="0"/>
              <w:rPr>
                <w:sz w:val="21"/>
                <w:szCs w:val="21"/>
                <w:color w:val="auto"/>
              </w:rPr>
            </w:pPr>
          </w:p>
        </w:tc>
      </w:tr>
      <w:tr>
        <w:trPr>
          <w:trHeight w:val="237"/>
        </w:trPr>
        <w:tc>
          <w:tcPr>
            <w:tcW w:w="6860" w:type="dxa"/>
            <w:vAlign w:val="bottom"/>
          </w:tcPr>
          <w:p>
            <w:pPr>
              <w:ind w:left="940"/>
              <w:spacing w:after="0"/>
              <w:rPr>
                <w:sz w:val="20"/>
                <w:szCs w:val="20"/>
                <w:color w:val="auto"/>
              </w:rPr>
            </w:pPr>
            <w:r>
              <w:rPr>
                <w:rFonts w:ascii="Arial" w:cs="Arial" w:eastAsia="Arial" w:hAnsi="Arial"/>
                <w:sz w:val="18"/>
                <w:szCs w:val="18"/>
                <w:color w:val="auto"/>
              </w:rPr>
              <w:t>Laboratory equipment</w:t>
            </w:r>
          </w:p>
        </w:tc>
        <w:tc>
          <w:tcPr>
            <w:tcW w:w="3840" w:type="dxa"/>
            <w:vAlign w:val="bottom"/>
            <w:gridSpan w:val="2"/>
          </w:tcPr>
          <w:p>
            <w:pPr>
              <w:ind w:left="344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0"/>
                <w:szCs w:val="20"/>
                <w:color w:val="auto"/>
              </w:rPr>
            </w:pPr>
          </w:p>
        </w:tc>
      </w:tr>
      <w:tr>
        <w:trPr>
          <w:trHeight w:val="249"/>
        </w:trPr>
        <w:tc>
          <w:tcPr>
            <w:tcW w:w="6860" w:type="dxa"/>
            <w:vAlign w:val="bottom"/>
            <w:shd w:val="clear" w:color="auto" w:fill="E2EEF6"/>
          </w:tcPr>
          <w:p>
            <w:pPr>
              <w:ind w:left="940"/>
              <w:spacing w:after="0"/>
              <w:rPr>
                <w:sz w:val="20"/>
                <w:szCs w:val="20"/>
                <w:color w:val="auto"/>
              </w:rPr>
            </w:pPr>
            <w:r>
              <w:rPr>
                <w:rFonts w:ascii="Arial" w:cs="Arial" w:eastAsia="Arial" w:hAnsi="Arial"/>
                <w:sz w:val="18"/>
                <w:szCs w:val="18"/>
                <w:color w:val="auto"/>
              </w:rPr>
              <w:t>Motor vehicles</w:t>
            </w:r>
          </w:p>
        </w:tc>
        <w:tc>
          <w:tcPr>
            <w:tcW w:w="3840" w:type="dxa"/>
            <w:vAlign w:val="bottom"/>
            <w:gridSpan w:val="2"/>
            <w:shd w:val="clear" w:color="auto" w:fill="E2EEF6"/>
          </w:tcPr>
          <w:p>
            <w:pPr>
              <w:ind w:left="3440"/>
              <w:spacing w:after="0"/>
              <w:rPr>
                <w:sz w:val="20"/>
                <w:szCs w:val="20"/>
                <w:color w:val="auto"/>
              </w:rPr>
            </w:pPr>
            <w:r>
              <w:rPr>
                <w:rFonts w:ascii="Arial" w:cs="Arial" w:eastAsia="Arial" w:hAnsi="Arial"/>
                <w:sz w:val="18"/>
                <w:szCs w:val="18"/>
                <w:color w:val="auto"/>
              </w:rPr>
              <w:t>5</w:t>
            </w:r>
          </w:p>
        </w:tc>
        <w:tc>
          <w:tcPr>
            <w:tcW w:w="720" w:type="dxa"/>
            <w:vAlign w:val="bottom"/>
            <w:shd w:val="clear" w:color="auto" w:fill="E2EEF6"/>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331" w:lineRule="exact"/>
        <w:rPr>
          <w:sz w:val="20"/>
          <w:szCs w:val="20"/>
          <w:color w:val="auto"/>
        </w:rPr>
      </w:pPr>
    </w:p>
    <w:p>
      <w:pPr>
        <w:ind w:left="800" w:hanging="792"/>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recognised in income in the period that includes the enactment date.</w:t>
      </w:r>
    </w:p>
    <w:p>
      <w:pPr>
        <w:spacing w:after="0" w:line="273" w:lineRule="exact"/>
        <w:rPr>
          <w:sz w:val="20"/>
          <w:szCs w:val="20"/>
          <w:color w:val="auto"/>
        </w:rPr>
      </w:pPr>
    </w:p>
    <w:p>
      <w:pPr>
        <w:ind w:left="800" w:hanging="79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Grants relating to categories of operating expenditures are credited to income in the period in which the expenditure to which they relate is charged.</w:t>
      </w:r>
    </w:p>
    <w:p>
      <w:pPr>
        <w:spacing w:after="0" w:line="29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recognized any loss contingency having assessed as remote the likelihood of these events arising.</w:t>
      </w:r>
    </w:p>
    <w:p>
      <w:pPr>
        <w:spacing w:after="0" w:line="320" w:lineRule="exact"/>
        <w:rPr>
          <w:sz w:val="20"/>
          <w:szCs w:val="20"/>
          <w:color w:val="auto"/>
        </w:rPr>
      </w:pPr>
    </w:p>
    <w:p>
      <w:pPr>
        <w:ind w:left="780" w:hanging="772"/>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No.132(R), “Employers’ Disclosures about Pensions and Other Post-retirement Benefits”.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58" w:name="page59"/>
    <w:bookmarkEnd w:id="58"/>
    <w:p>
      <w:pPr>
        <w:ind w:left="780" w:hanging="772"/>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9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4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w w:val="98"/>
              </w:rPr>
              <w:t>Seven Months Ended</w:t>
            </w:r>
          </w:p>
        </w:tc>
      </w:tr>
      <w:tr>
        <w:trPr>
          <w:trHeight w:val="216"/>
        </w:trPr>
        <w:tc>
          <w:tcPr>
            <w:tcW w:w="4480" w:type="dxa"/>
            <w:vAlign w:val="bottom"/>
          </w:tcPr>
          <w:p>
            <w:pPr>
              <w:spacing w:after="0"/>
              <w:rPr>
                <w:sz w:val="18"/>
                <w:szCs w:val="18"/>
                <w:color w:val="auto"/>
              </w:rPr>
            </w:pPr>
          </w:p>
        </w:tc>
        <w:tc>
          <w:tcPr>
            <w:tcW w:w="268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 May 31,</w:t>
            </w: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80" w:type="dxa"/>
            <w:vAlign w:val="bottom"/>
          </w:tcPr>
          <w:p>
            <w:pPr>
              <w:spacing w:after="0"/>
              <w:rPr>
                <w:sz w:val="20"/>
                <w:szCs w:val="20"/>
                <w:color w:val="auto"/>
              </w:rPr>
            </w:pPr>
          </w:p>
        </w:tc>
        <w:tc>
          <w:tcPr>
            <w:tcW w:w="2680" w:type="dxa"/>
            <w:vAlign w:val="bottom"/>
          </w:tcPr>
          <w:p>
            <w:pPr>
              <w:jc w:val="right"/>
              <w:ind w:right="890"/>
              <w:spacing w:after="0"/>
              <w:rPr>
                <w:sz w:val="20"/>
                <w:szCs w:val="20"/>
                <w:color w:val="auto"/>
              </w:rPr>
            </w:pPr>
            <w:r>
              <w:rPr>
                <w:rFonts w:ascii="Arial" w:cs="Arial" w:eastAsia="Arial" w:hAnsi="Arial"/>
                <w:sz w:val="18"/>
                <w:szCs w:val="18"/>
                <w:b w:val="1"/>
                <w:bCs w:val="1"/>
                <w:color w:val="auto"/>
              </w:rPr>
              <w:t>2003</w:t>
            </w:r>
          </w:p>
        </w:tc>
        <w:tc>
          <w:tcPr>
            <w:tcW w:w="1440" w:type="dxa"/>
            <w:vAlign w:val="bottom"/>
          </w:tcPr>
          <w:p>
            <w:pPr>
              <w:jc w:val="right"/>
              <w:ind w:right="690"/>
              <w:spacing w:after="0"/>
              <w:rPr>
                <w:sz w:val="20"/>
                <w:szCs w:val="20"/>
                <w:color w:val="auto"/>
              </w:rPr>
            </w:pPr>
            <w:r>
              <w:rPr>
                <w:rFonts w:ascii="Arial" w:cs="Arial" w:eastAsia="Arial" w:hAnsi="Arial"/>
                <w:sz w:val="18"/>
                <w:szCs w:val="18"/>
                <w:b w:val="1"/>
                <w:bCs w:val="1"/>
                <w:color w:val="auto"/>
              </w:rPr>
              <w:t>2004</w:t>
            </w: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4480" w:type="dxa"/>
            <w:vAlign w:val="bottom"/>
            <w:shd w:val="clear" w:color="auto" w:fill="E2EEF6"/>
          </w:tcPr>
          <w:p>
            <w:pPr>
              <w:ind w:left="180"/>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2680" w:type="dxa"/>
            <w:vAlign w:val="bottom"/>
            <w:shd w:val="clear" w:color="auto" w:fill="E2EEF6"/>
          </w:tcPr>
          <w:p>
            <w:pPr>
              <w:spacing w:after="0"/>
              <w:rPr>
                <w:sz w:val="17"/>
                <w:szCs w:val="17"/>
                <w:color w:val="auto"/>
              </w:rPr>
            </w:pPr>
          </w:p>
        </w:tc>
        <w:tc>
          <w:tcPr>
            <w:tcW w:w="1440" w:type="dxa"/>
            <w:vAlign w:val="bottom"/>
            <w:shd w:val="clear" w:color="auto" w:fill="E2EEF6"/>
          </w:tcPr>
          <w:p>
            <w:pPr>
              <w:spacing w:after="0"/>
              <w:rPr>
                <w:sz w:val="17"/>
                <w:szCs w:val="17"/>
                <w:color w:val="auto"/>
              </w:rPr>
            </w:pPr>
          </w:p>
        </w:tc>
        <w:tc>
          <w:tcPr>
            <w:tcW w:w="1020" w:type="dxa"/>
            <w:vAlign w:val="bottom"/>
            <w:shd w:val="clear" w:color="auto" w:fill="E2EEF6"/>
          </w:tcPr>
          <w:p>
            <w:pPr>
              <w:spacing w:after="0"/>
              <w:rPr>
                <w:sz w:val="17"/>
                <w:szCs w:val="17"/>
                <w:color w:val="auto"/>
              </w:rPr>
            </w:pPr>
          </w:p>
        </w:tc>
        <w:tc>
          <w:tcPr>
            <w:tcW w:w="1800" w:type="dxa"/>
            <w:vAlign w:val="bottom"/>
            <w:shd w:val="clear" w:color="auto" w:fill="E2EEF6"/>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480" w:type="dxa"/>
            <w:vAlign w:val="bottom"/>
            <w:tcBorders>
              <w:bottom w:val="single" w:sz="8" w:color="auto"/>
            </w:tcBorders>
            <w:shd w:val="clear" w:color="auto" w:fill="E2EEF6"/>
          </w:tcPr>
          <w:p>
            <w:pPr>
              <w:ind w:left="180"/>
              <w:spacing w:after="0"/>
              <w:rPr>
                <w:sz w:val="20"/>
                <w:szCs w:val="20"/>
                <w:color w:val="auto"/>
              </w:rPr>
            </w:pPr>
            <w:r>
              <w:rPr>
                <w:rFonts w:ascii="Arial" w:cs="Arial" w:eastAsia="Arial" w:hAnsi="Arial"/>
                <w:sz w:val="18"/>
                <w:szCs w:val="18"/>
                <w:color w:val="auto"/>
              </w:rPr>
              <w:t>outstanding for basic net income per ordinary share</w:t>
            </w:r>
          </w:p>
        </w:tc>
        <w:tc>
          <w:tcPr>
            <w:tcW w:w="2680" w:type="dxa"/>
            <w:vAlign w:val="bottom"/>
            <w:tcBorders>
              <w:bottom w:val="single" w:sz="8" w:color="auto"/>
            </w:tcBorders>
            <w:shd w:val="clear" w:color="auto" w:fill="E2EEF6"/>
          </w:tcPr>
          <w:p>
            <w:pPr>
              <w:jc w:val="right"/>
              <w:ind w:right="190"/>
              <w:spacing w:after="0"/>
              <w:rPr>
                <w:sz w:val="20"/>
                <w:szCs w:val="20"/>
                <w:color w:val="auto"/>
              </w:rPr>
            </w:pPr>
            <w:r>
              <w:rPr>
                <w:rFonts w:ascii="Arial" w:cs="Arial" w:eastAsia="Arial" w:hAnsi="Arial"/>
                <w:sz w:val="18"/>
                <w:szCs w:val="18"/>
                <w:color w:val="auto"/>
              </w:rPr>
              <w:t>11,813,788</w:t>
            </w:r>
          </w:p>
        </w:tc>
        <w:tc>
          <w:tcPr>
            <w:tcW w:w="1440" w:type="dxa"/>
            <w:vAlign w:val="bottom"/>
            <w:tcBorders>
              <w:bottom w:val="single" w:sz="8" w:color="auto"/>
            </w:tcBorders>
            <w:shd w:val="clear" w:color="auto" w:fill="E2EEF6"/>
          </w:tcPr>
          <w:p>
            <w:pPr>
              <w:jc w:val="right"/>
              <w:ind w:right="130"/>
              <w:spacing w:after="0"/>
              <w:rPr>
                <w:sz w:val="20"/>
                <w:szCs w:val="20"/>
                <w:color w:val="auto"/>
              </w:rPr>
            </w:pPr>
            <w:r>
              <w:rPr>
                <w:rFonts w:ascii="Arial" w:cs="Arial" w:eastAsia="Arial" w:hAnsi="Arial"/>
                <w:sz w:val="18"/>
                <w:szCs w:val="18"/>
                <w:color w:val="auto"/>
              </w:rPr>
              <w:t>13,267,531</w:t>
            </w: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13,860,203</w:t>
            </w:r>
          </w:p>
        </w:tc>
        <w:tc>
          <w:tcPr>
            <w:tcW w:w="1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13,970,106</w:t>
            </w:r>
          </w:p>
        </w:tc>
        <w:tc>
          <w:tcPr>
            <w:tcW w:w="20" w:type="dxa"/>
            <w:vAlign w:val="bottom"/>
          </w:tcPr>
          <w:p>
            <w:pPr>
              <w:spacing w:after="0"/>
              <w:rPr>
                <w:sz w:val="20"/>
                <w:szCs w:val="20"/>
                <w:color w:val="auto"/>
              </w:rPr>
            </w:pPr>
          </w:p>
        </w:tc>
      </w:tr>
      <w:tr>
        <w:trPr>
          <w:trHeight w:val="223"/>
        </w:trPr>
        <w:tc>
          <w:tcPr>
            <w:tcW w:w="4480" w:type="dxa"/>
            <w:vAlign w:val="bottom"/>
          </w:tcPr>
          <w:p>
            <w:pPr>
              <w:ind w:left="340"/>
              <w:spacing w:after="0"/>
              <w:rPr>
                <w:sz w:val="20"/>
                <w:szCs w:val="20"/>
                <w:color w:val="auto"/>
              </w:rPr>
            </w:pPr>
            <w:r>
              <w:rPr>
                <w:rFonts w:ascii="Arial" w:cs="Arial" w:eastAsia="Arial" w:hAnsi="Arial"/>
                <w:sz w:val="18"/>
                <w:szCs w:val="18"/>
                <w:color w:val="auto"/>
              </w:rPr>
              <w:t>Effect of dilutive share options outstanding</w:t>
            </w:r>
          </w:p>
        </w:tc>
        <w:tc>
          <w:tcPr>
            <w:tcW w:w="2680" w:type="dxa"/>
            <w:vAlign w:val="bottom"/>
          </w:tcPr>
          <w:p>
            <w:pPr>
              <w:jc w:val="right"/>
              <w:ind w:right="190"/>
              <w:spacing w:after="0"/>
              <w:rPr>
                <w:sz w:val="20"/>
                <w:szCs w:val="20"/>
                <w:color w:val="auto"/>
              </w:rPr>
            </w:pPr>
            <w:r>
              <w:rPr>
                <w:rFonts w:ascii="Arial" w:cs="Arial" w:eastAsia="Arial" w:hAnsi="Arial"/>
                <w:sz w:val="18"/>
                <w:szCs w:val="18"/>
                <w:color w:val="auto"/>
              </w:rPr>
              <w:t>367,306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435,632</w:t>
            </w:r>
          </w:p>
        </w:tc>
        <w:tc>
          <w:tcPr>
            <w:tcW w:w="1020" w:type="dxa"/>
            <w:vAlign w:val="bottom"/>
          </w:tcPr>
          <w:p>
            <w:pPr>
              <w:jc w:val="right"/>
              <w:spacing w:after="0"/>
              <w:rPr>
                <w:sz w:val="20"/>
                <w:szCs w:val="20"/>
                <w:color w:val="auto"/>
              </w:rPr>
            </w:pPr>
            <w:r>
              <w:rPr>
                <w:rFonts w:ascii="Arial" w:cs="Arial" w:eastAsia="Arial" w:hAnsi="Arial"/>
                <w:sz w:val="18"/>
                <w:szCs w:val="18"/>
                <w:color w:val="auto"/>
              </w:rPr>
              <w:t>293,242</w:t>
            </w:r>
          </w:p>
        </w:tc>
        <w:tc>
          <w:tcPr>
            <w:tcW w:w="1800" w:type="dxa"/>
            <w:vAlign w:val="bottom"/>
          </w:tcPr>
          <w:p>
            <w:pPr>
              <w:jc w:val="right"/>
              <w:spacing w:after="0"/>
              <w:rPr>
                <w:sz w:val="20"/>
                <w:szCs w:val="20"/>
                <w:color w:val="auto"/>
              </w:rPr>
            </w:pPr>
            <w:r>
              <w:rPr>
                <w:rFonts w:ascii="Arial" w:cs="Arial" w:eastAsia="Arial" w:hAnsi="Arial"/>
                <w:sz w:val="18"/>
                <w:szCs w:val="18"/>
                <w:color w:val="auto"/>
              </w:rPr>
              <w:t>277,436</w:t>
            </w:r>
          </w:p>
        </w:tc>
        <w:tc>
          <w:tcPr>
            <w:tcW w:w="20" w:type="dxa"/>
            <w:vAlign w:val="bottom"/>
          </w:tcPr>
          <w:p>
            <w:pPr>
              <w:spacing w:after="0"/>
              <w:rPr>
                <w:sz w:val="19"/>
                <w:szCs w:val="19"/>
                <w:color w:val="auto"/>
              </w:rPr>
            </w:pPr>
          </w:p>
        </w:tc>
      </w:tr>
      <w:tr>
        <w:trPr>
          <w:trHeight w:val="202"/>
        </w:trPr>
        <w:tc>
          <w:tcPr>
            <w:tcW w:w="4480" w:type="dxa"/>
            <w:vAlign w:val="bottom"/>
            <w:shd w:val="clear" w:color="auto" w:fill="E2EEF6"/>
          </w:tcPr>
          <w:p>
            <w:pPr>
              <w:ind w:left="340"/>
              <w:spacing w:after="0" w:line="201" w:lineRule="exact"/>
              <w:rPr>
                <w:sz w:val="20"/>
                <w:szCs w:val="20"/>
                <w:color w:val="auto"/>
              </w:rPr>
            </w:pPr>
            <w:r>
              <w:rPr>
                <w:rFonts w:ascii="Arial" w:cs="Arial" w:eastAsia="Arial" w:hAnsi="Arial"/>
                <w:sz w:val="18"/>
                <w:szCs w:val="18"/>
                <w:color w:val="auto"/>
              </w:rPr>
              <w:t>Weighted average number of ordinary shares for</w:t>
            </w:r>
          </w:p>
        </w:tc>
        <w:tc>
          <w:tcPr>
            <w:tcW w:w="2680" w:type="dxa"/>
            <w:vAlign w:val="bottom"/>
            <w:shd w:val="clear" w:color="auto" w:fill="E2EEF6"/>
          </w:tcPr>
          <w:p>
            <w:pPr>
              <w:spacing w:after="0"/>
              <w:rPr>
                <w:sz w:val="17"/>
                <w:szCs w:val="17"/>
                <w:color w:val="auto"/>
              </w:rPr>
            </w:pPr>
          </w:p>
        </w:tc>
        <w:tc>
          <w:tcPr>
            <w:tcW w:w="1440" w:type="dxa"/>
            <w:vAlign w:val="bottom"/>
            <w:shd w:val="clear" w:color="auto" w:fill="E2EEF6"/>
          </w:tcPr>
          <w:p>
            <w:pPr>
              <w:spacing w:after="0"/>
              <w:rPr>
                <w:sz w:val="17"/>
                <w:szCs w:val="17"/>
                <w:color w:val="auto"/>
              </w:rPr>
            </w:pPr>
          </w:p>
        </w:tc>
        <w:tc>
          <w:tcPr>
            <w:tcW w:w="1020" w:type="dxa"/>
            <w:vAlign w:val="bottom"/>
            <w:shd w:val="clear" w:color="auto" w:fill="E2EEF6"/>
          </w:tcPr>
          <w:p>
            <w:pPr>
              <w:spacing w:after="0"/>
              <w:rPr>
                <w:sz w:val="17"/>
                <w:szCs w:val="17"/>
                <w:color w:val="auto"/>
              </w:rPr>
            </w:pPr>
          </w:p>
        </w:tc>
        <w:tc>
          <w:tcPr>
            <w:tcW w:w="1800" w:type="dxa"/>
            <w:vAlign w:val="bottom"/>
            <w:shd w:val="clear" w:color="auto" w:fill="E2EEF6"/>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480" w:type="dxa"/>
            <w:vAlign w:val="bottom"/>
            <w:tcBorders>
              <w:bottom w:val="single" w:sz="8" w:color="auto"/>
            </w:tcBorders>
            <w:shd w:val="clear" w:color="auto" w:fill="E2EEF6"/>
          </w:tcPr>
          <w:p>
            <w:pPr>
              <w:ind w:left="340"/>
              <w:spacing w:after="0"/>
              <w:rPr>
                <w:sz w:val="20"/>
                <w:szCs w:val="20"/>
                <w:color w:val="auto"/>
              </w:rPr>
            </w:pPr>
            <w:r>
              <w:rPr>
                <w:rFonts w:ascii="Arial" w:cs="Arial" w:eastAsia="Arial" w:hAnsi="Arial"/>
                <w:sz w:val="18"/>
                <w:szCs w:val="18"/>
                <w:color w:val="auto"/>
              </w:rPr>
              <w:t>diluted net income per ordinary share</w:t>
            </w:r>
          </w:p>
        </w:tc>
        <w:tc>
          <w:tcPr>
            <w:tcW w:w="2680" w:type="dxa"/>
            <w:vAlign w:val="bottom"/>
            <w:tcBorders>
              <w:bottom w:val="single" w:sz="8" w:color="auto"/>
            </w:tcBorders>
            <w:shd w:val="clear" w:color="auto" w:fill="E2EEF6"/>
          </w:tcPr>
          <w:p>
            <w:pPr>
              <w:jc w:val="right"/>
              <w:ind w:right="190"/>
              <w:spacing w:after="0"/>
              <w:rPr>
                <w:sz w:val="20"/>
                <w:szCs w:val="20"/>
                <w:color w:val="auto"/>
              </w:rPr>
            </w:pPr>
            <w:r>
              <w:rPr>
                <w:rFonts w:ascii="Arial" w:cs="Arial" w:eastAsia="Arial" w:hAnsi="Arial"/>
                <w:sz w:val="18"/>
                <w:szCs w:val="18"/>
                <w:color w:val="auto"/>
              </w:rPr>
              <w:t>12,181,094</w:t>
            </w:r>
          </w:p>
        </w:tc>
        <w:tc>
          <w:tcPr>
            <w:tcW w:w="1440" w:type="dxa"/>
            <w:vAlign w:val="bottom"/>
            <w:tcBorders>
              <w:bottom w:val="single" w:sz="8" w:color="auto"/>
            </w:tcBorders>
            <w:shd w:val="clear" w:color="auto" w:fill="E2EEF6"/>
          </w:tcPr>
          <w:p>
            <w:pPr>
              <w:jc w:val="right"/>
              <w:ind w:right="130"/>
              <w:spacing w:after="0"/>
              <w:rPr>
                <w:sz w:val="20"/>
                <w:szCs w:val="20"/>
                <w:color w:val="auto"/>
              </w:rPr>
            </w:pPr>
            <w:r>
              <w:rPr>
                <w:rFonts w:ascii="Arial" w:cs="Arial" w:eastAsia="Arial" w:hAnsi="Arial"/>
                <w:sz w:val="18"/>
                <w:szCs w:val="18"/>
                <w:color w:val="auto"/>
              </w:rPr>
              <w:t>13,703,163</w:t>
            </w: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14,153,445</w:t>
            </w:r>
          </w:p>
        </w:tc>
        <w:tc>
          <w:tcPr>
            <w:tcW w:w="1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14,247,542</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9" w:name="page60"/>
    <w:bookmarkEnd w:id="59"/>
    <w:p>
      <w:pPr>
        <w:ind w:left="760" w:hanging="75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9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 25 permits entities to recognize as expense, over the vesting period, the intrinsic value of all stock- based awards determined on the measurement date. The Company has elected to apply the provisions of APB Opinion No. 25 and provide the pro forma disclosure provisions of SFAS No. 123.</w:t>
      </w:r>
    </w:p>
    <w:p>
      <w:pPr>
        <w:spacing w:after="0" w:line="2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illustrates the effect on net income and earnings per share as if the fair value method of SFAS No. 123 had been applied to all outstanding and unvested stock options in each period.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rPr>
              <w:t>Seven</w:t>
            </w:r>
          </w:p>
        </w:tc>
      </w:tr>
      <w:tr>
        <w:trPr>
          <w:trHeight w:val="216"/>
        </w:trPr>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rPr>
              <w:t>Months</w:t>
            </w:r>
          </w:p>
        </w:tc>
      </w:tr>
      <w:tr>
        <w:trPr>
          <w:trHeight w:val="216"/>
        </w:trPr>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rPr>
              <w:t>Ended</w:t>
            </w:r>
          </w:p>
        </w:tc>
      </w:tr>
      <w:tr>
        <w:trPr>
          <w:trHeight w:val="234"/>
        </w:trPr>
        <w:tc>
          <w:tcPr>
            <w:tcW w:w="5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Year Ended May 31,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r>
      <w:tr>
        <w:trPr>
          <w:trHeight w:val="243"/>
        </w:trPr>
        <w:tc>
          <w:tcPr>
            <w:tcW w:w="5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43"/>
        </w:trPr>
        <w:tc>
          <w:tcPr>
            <w:tcW w:w="5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(except per share data)</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43"/>
        </w:trPr>
        <w:tc>
          <w:tcPr>
            <w:tcW w:w="5460" w:type="dxa"/>
            <w:vAlign w:val="bottom"/>
            <w:shd w:val="clear" w:color="auto" w:fill="E2EEF6"/>
          </w:tcPr>
          <w:p>
            <w:pPr>
              <w:spacing w:after="0"/>
              <w:rPr>
                <w:sz w:val="20"/>
                <w:szCs w:val="20"/>
                <w:color w:val="auto"/>
              </w:rPr>
            </w:pPr>
            <w:r>
              <w:rPr>
                <w:rFonts w:ascii="Arial" w:cs="Arial" w:eastAsia="Arial" w:hAnsi="Arial"/>
                <w:sz w:val="18"/>
                <w:szCs w:val="18"/>
                <w:color w:val="auto"/>
              </w:rPr>
              <w:t>Net income, as reported</w:t>
            </w:r>
          </w:p>
        </w:tc>
        <w:tc>
          <w:tcPr>
            <w:tcW w:w="40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18,283</w:t>
            </w: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25,742</w:t>
            </w:r>
          </w:p>
        </w:tc>
        <w:tc>
          <w:tcPr>
            <w:tcW w:w="700" w:type="dxa"/>
            <w:vAlign w:val="bottom"/>
            <w:shd w:val="clear" w:color="auto" w:fill="E2EEF6"/>
          </w:tcPr>
          <w:p>
            <w:pPr>
              <w:jc w:val="right"/>
              <w:ind w:right="5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w w:val="90"/>
              </w:rPr>
              <w:t>13,545</w:t>
            </w:r>
          </w:p>
        </w:tc>
        <w:tc>
          <w:tcPr>
            <w:tcW w:w="2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$7,418</w:t>
            </w: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Add: Stock compensation expense</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5460" w:type="dxa"/>
            <w:vAlign w:val="bottom"/>
            <w:shd w:val="clear" w:color="auto" w:fill="E2EEF6"/>
          </w:tcPr>
          <w:p>
            <w:pPr>
              <w:spacing w:after="0"/>
              <w:rPr>
                <w:sz w:val="20"/>
                <w:szCs w:val="20"/>
                <w:color w:val="auto"/>
              </w:rPr>
            </w:pPr>
          </w:p>
        </w:tc>
        <w:tc>
          <w:tcPr>
            <w:tcW w:w="400" w:type="dxa"/>
            <w:vAlign w:val="bottom"/>
            <w:tcBorders>
              <w:top w:val="single" w:sz="8" w:color="auto"/>
            </w:tcBorders>
            <w:shd w:val="clear" w:color="auto" w:fill="E2EEF6"/>
          </w:tcPr>
          <w:p>
            <w:pPr>
              <w:spacing w:after="0"/>
              <w:rPr>
                <w:sz w:val="20"/>
                <w:szCs w:val="20"/>
                <w:color w:val="auto"/>
              </w:rPr>
            </w:pPr>
          </w:p>
        </w:tc>
        <w:tc>
          <w:tcPr>
            <w:tcW w:w="80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106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00" w:type="dxa"/>
            <w:vAlign w:val="bottom"/>
            <w:tcBorders>
              <w:top w:val="single" w:sz="8" w:color="auto"/>
            </w:tcBorders>
            <w:shd w:val="clear" w:color="auto" w:fill="E2EEF6"/>
          </w:tcPr>
          <w:p>
            <w:pPr>
              <w:spacing w:after="0"/>
              <w:rPr>
                <w:sz w:val="20"/>
                <w:szCs w:val="20"/>
                <w:color w:val="auto"/>
              </w:rPr>
            </w:pPr>
          </w:p>
        </w:tc>
        <w:tc>
          <w:tcPr>
            <w:tcW w:w="5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02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7,643</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4"/>
              </w:rPr>
              <w:t>Deduct: Total stock-based employee compensation expense determined</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w w:val="97"/>
              </w:rPr>
              <w:t>under fair value based method for all awards, net of related tax effects</w:t>
            </w: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(2,096)</w:t>
            </w:r>
          </w:p>
        </w:tc>
        <w:tc>
          <w:tcPr>
            <w:tcW w:w="14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(2,358)</w:t>
            </w:r>
          </w:p>
        </w:tc>
        <w:tc>
          <w:tcPr>
            <w:tcW w:w="7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(2,729)</w:t>
            </w:r>
          </w:p>
        </w:tc>
        <w:tc>
          <w:tcPr>
            <w:tcW w:w="202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69"/>
        </w:trPr>
        <w:tc>
          <w:tcPr>
            <w:tcW w:w="5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Borders>
              <w:top w:val="single" w:sz="8" w:color="auto"/>
              <w:bottom w:val="single" w:sz="8" w:color="E2EEF6"/>
            </w:tcBorders>
            <w:shd w:val="clear" w:color="auto" w:fill="E2EEF6"/>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tcBorders>
              <w:bottom w:val="single" w:sz="8" w:color="E2EEF6"/>
            </w:tcBorders>
            <w:shd w:val="clear" w:color="auto" w:fill="E2EEF6"/>
          </w:tcPr>
          <w:p>
            <w:pPr>
              <w:spacing w:after="0"/>
              <w:rPr>
                <w:sz w:val="22"/>
                <w:szCs w:val="22"/>
                <w:color w:val="auto"/>
              </w:rPr>
            </w:pPr>
          </w:p>
        </w:tc>
        <w:tc>
          <w:tcPr>
            <w:tcW w:w="14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23,384</w:t>
            </w:r>
          </w:p>
        </w:tc>
        <w:tc>
          <w:tcPr>
            <w:tcW w:w="100" w:type="dxa"/>
            <w:vAlign w:val="bottom"/>
            <w:tcBorders>
              <w:bottom w:val="single" w:sz="8" w:color="E2EEF6"/>
            </w:tcBorders>
            <w:shd w:val="clear" w:color="auto" w:fill="E2EEF6"/>
          </w:tcPr>
          <w:p>
            <w:pPr>
              <w:spacing w:after="0"/>
              <w:rPr>
                <w:sz w:val="22"/>
                <w:szCs w:val="22"/>
                <w:color w:val="auto"/>
              </w:rPr>
            </w:pPr>
          </w:p>
        </w:tc>
        <w:tc>
          <w:tcPr>
            <w:tcW w:w="700" w:type="dxa"/>
            <w:vAlign w:val="bottom"/>
            <w:tcBorders>
              <w:top w:val="single" w:sz="8" w:color="auto"/>
              <w:bottom w:val="single" w:sz="8" w:color="E2EEF6"/>
            </w:tcBorders>
            <w:shd w:val="clear" w:color="auto" w:fill="E2EEF6"/>
          </w:tcPr>
          <w:p>
            <w:pPr>
              <w:jc w:val="right"/>
              <w:ind w:right="5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90"/>
              </w:rPr>
              <w:t>10,816</w:t>
            </w:r>
          </w:p>
        </w:tc>
        <w:tc>
          <w:tcPr>
            <w:tcW w:w="100" w:type="dxa"/>
            <w:vAlign w:val="bottom"/>
            <w:tcBorders>
              <w:bottom w:val="single" w:sz="8" w:color="E2EEF6"/>
            </w:tcBorders>
            <w:shd w:val="clear" w:color="auto" w:fill="E2EEF6"/>
          </w:tcPr>
          <w:p>
            <w:pPr>
              <w:spacing w:after="0"/>
              <w:rPr>
                <w:sz w:val="22"/>
                <w:szCs w:val="22"/>
                <w:color w:val="auto"/>
              </w:rPr>
            </w:pPr>
          </w:p>
        </w:tc>
        <w:tc>
          <w:tcPr>
            <w:tcW w:w="2020" w:type="dxa"/>
            <w:vAlign w:val="bottom"/>
            <w:tcBorders>
              <w:top w:val="single" w:sz="8" w:color="auto"/>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$6,395</w:t>
            </w:r>
          </w:p>
        </w:tc>
      </w:tr>
      <w:tr>
        <w:trPr>
          <w:trHeight w:val="237"/>
        </w:trPr>
        <w:tc>
          <w:tcPr>
            <w:tcW w:w="546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Earnings per share (in $):</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r>
      <w:tr>
        <w:trPr>
          <w:trHeight w:val="243"/>
        </w:trPr>
        <w:tc>
          <w:tcPr>
            <w:tcW w:w="5460" w:type="dxa"/>
            <w:vAlign w:val="bottom"/>
            <w:shd w:val="clear" w:color="auto" w:fill="E2EEF6"/>
          </w:tcPr>
          <w:p>
            <w:pPr>
              <w:spacing w:after="0"/>
              <w:rPr>
                <w:sz w:val="20"/>
                <w:szCs w:val="20"/>
                <w:color w:val="auto"/>
              </w:rPr>
            </w:pPr>
            <w:r>
              <w:rPr>
                <w:rFonts w:ascii="Arial" w:cs="Arial" w:eastAsia="Arial" w:hAnsi="Arial"/>
                <w:sz w:val="18"/>
                <w:szCs w:val="18"/>
                <w:color w:val="auto"/>
              </w:rPr>
              <w:t>Basic - as reported</w:t>
            </w:r>
          </w:p>
        </w:tc>
        <w:tc>
          <w:tcPr>
            <w:tcW w:w="40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1.94</w:t>
            </w:r>
          </w:p>
        </w:tc>
        <w:tc>
          <w:tcPr>
            <w:tcW w:w="700" w:type="dxa"/>
            <w:vAlign w:val="bottom"/>
            <w:shd w:val="clear" w:color="auto" w:fill="E2EEF6"/>
          </w:tcPr>
          <w:p>
            <w:pPr>
              <w:jc w:val="right"/>
              <w:ind w:right="5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0.98</w:t>
            </w:r>
          </w:p>
        </w:tc>
        <w:tc>
          <w:tcPr>
            <w:tcW w:w="2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$0.53</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Basic - pro forma</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7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202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43"/>
        </w:trPr>
        <w:tc>
          <w:tcPr>
            <w:tcW w:w="5460" w:type="dxa"/>
            <w:vAlign w:val="bottom"/>
            <w:shd w:val="clear" w:color="auto" w:fill="E2EEF6"/>
          </w:tcPr>
          <w:p>
            <w:pPr>
              <w:spacing w:after="0"/>
              <w:rPr>
                <w:sz w:val="20"/>
                <w:szCs w:val="20"/>
                <w:color w:val="auto"/>
              </w:rPr>
            </w:pPr>
            <w:r>
              <w:rPr>
                <w:rFonts w:ascii="Arial" w:cs="Arial" w:eastAsia="Arial" w:hAnsi="Arial"/>
                <w:sz w:val="18"/>
                <w:szCs w:val="18"/>
                <w:color w:val="auto"/>
              </w:rPr>
              <w:t>Diluted - as reported</w:t>
            </w:r>
          </w:p>
        </w:tc>
        <w:tc>
          <w:tcPr>
            <w:tcW w:w="40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E2EEF6"/>
          </w:tcPr>
          <w:p>
            <w:pPr>
              <w:jc w:val="right"/>
              <w:ind w:right="5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0.96</w:t>
            </w:r>
          </w:p>
        </w:tc>
        <w:tc>
          <w:tcPr>
            <w:tcW w:w="2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$0.52</w:t>
            </w: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Diluted - pro forma</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r>
    </w:tbl>
    <w:p>
      <w:pPr>
        <w:spacing w:after="0" w:line="200" w:lineRule="exact"/>
        <w:rPr>
          <w:sz w:val="20"/>
          <w:szCs w:val="20"/>
          <w:color w:val="auto"/>
        </w:rPr>
      </w:pPr>
    </w:p>
    <w:p>
      <w:pPr>
        <w:spacing w:after="0" w:line="3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6, 2005, Dr. Ronan Lambe and Dr. John Climax gifted 64,000 and 80,000 ADSs, respectively, to Mr. Peter Gray, the Company’s Chief Executive Officer. The Company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no cash flow impact on the Company and created no dilution of ordinary shares outstanding. The fair value of the ADSs on the date of gift was determined by reference to market price.</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 A stock compensation expense of U.S.$225,000 has been recorded during the period in relation to these options.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0" w:name="page61"/>
    <w:bookmarkEnd w:id="60"/>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 available for sale</w:t>
      </w:r>
    </w:p>
    <w:p>
      <w:pPr>
        <w:spacing w:after="0" w:line="2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shareholders’ equity. In the years to May 31, 2003, 2004 and 2005 and the seven month period ended December 31, 2005 no unrealized gains or losses arose. Any differences between the cost and fair value of the investments are represented by accrued interest.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May 31,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31,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520" w:type="dxa"/>
            <w:vAlign w:val="bottom"/>
          </w:tcPr>
          <w:p>
            <w:pPr>
              <w:spacing w:after="0"/>
              <w:rPr>
                <w:sz w:val="21"/>
                <w:szCs w:val="21"/>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b w:val="1"/>
                <w:bCs w:val="1"/>
                <w:color w:val="auto"/>
              </w:rPr>
              <w:t>2004</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(in thousands)</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Opening Goodwill</w:t>
            </w:r>
          </w:p>
        </w:tc>
        <w:tc>
          <w:tcPr>
            <w:tcW w:w="980" w:type="dxa"/>
            <w:vAlign w:val="bottom"/>
            <w:gridSpan w:val="2"/>
            <w:shd w:val="clear" w:color="auto" w:fill="E2EEF6"/>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45,029</w:t>
            </w:r>
          </w:p>
        </w:tc>
        <w:tc>
          <w:tcPr>
            <w:tcW w:w="860" w:type="dxa"/>
            <w:vAlign w:val="bottom"/>
            <w:gridSpan w:val="2"/>
            <w:shd w:val="clear" w:color="auto" w:fill="E2EEF6"/>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64,226</w:t>
            </w:r>
          </w:p>
        </w:tc>
        <w:tc>
          <w:tcPr>
            <w:tcW w:w="60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67,440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8,463</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Arising on earn-out (prior year acquisitions)</w:t>
            </w:r>
          </w:p>
        </w:tc>
        <w:tc>
          <w:tcPr>
            <w:tcW w:w="220" w:type="dxa"/>
            <w:vAlign w:val="bottom"/>
            <w:shd w:val="clear" w:color="auto" w:fill="E2EEF6"/>
          </w:tcPr>
          <w:p>
            <w:pPr>
              <w:spacing w:after="0"/>
              <w:rPr>
                <w:sz w:val="21"/>
                <w:szCs w:val="21"/>
                <w:color w:val="auto"/>
              </w:rPr>
            </w:pPr>
          </w:p>
        </w:tc>
        <w:tc>
          <w:tcPr>
            <w:tcW w:w="760" w:type="dxa"/>
            <w:vAlign w:val="bottom"/>
            <w:shd w:val="clear" w:color="auto" w:fill="E2EEF6"/>
          </w:tcPr>
          <w:p>
            <w:pPr>
              <w:spacing w:after="0"/>
              <w:rPr>
                <w:sz w:val="21"/>
                <w:szCs w:val="21"/>
                <w:color w:val="auto"/>
              </w:rPr>
            </w:pPr>
          </w:p>
        </w:tc>
        <w:tc>
          <w:tcPr>
            <w:tcW w:w="7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1,856</w:t>
            </w:r>
          </w:p>
        </w:tc>
        <w:tc>
          <w:tcPr>
            <w:tcW w:w="220" w:type="dxa"/>
            <w:vAlign w:val="bottom"/>
            <w:shd w:val="clear" w:color="auto" w:fill="E2EEF6"/>
          </w:tcPr>
          <w:p>
            <w:pPr>
              <w:spacing w:after="0"/>
              <w:rPr>
                <w:sz w:val="21"/>
                <w:szCs w:val="21"/>
                <w:color w:val="auto"/>
              </w:rPr>
            </w:pPr>
          </w:p>
        </w:tc>
        <w:tc>
          <w:tcPr>
            <w:tcW w:w="60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Goodwill impairment (note 15)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(7,017)</w:t>
            </w:r>
          </w:p>
        </w:tc>
        <w:tc>
          <w:tcPr>
            <w:tcW w:w="6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Foreign exchange movement</w:t>
            </w:r>
          </w:p>
        </w:tc>
        <w:tc>
          <w:tcPr>
            <w:tcW w:w="220" w:type="dxa"/>
            <w:vAlign w:val="bottom"/>
            <w:tcBorders>
              <w:bottom w:val="single" w:sz="8" w:color="E2EEF6"/>
            </w:tcBorders>
            <w:shd w:val="clear" w:color="auto" w:fill="E2EEF6"/>
          </w:tcPr>
          <w:p>
            <w:pPr>
              <w:spacing w:after="0"/>
              <w:rPr>
                <w:sz w:val="23"/>
                <w:szCs w:val="23"/>
                <w:color w:val="auto"/>
              </w:rPr>
            </w:pPr>
          </w:p>
        </w:tc>
        <w:tc>
          <w:tcPr>
            <w:tcW w:w="760" w:type="dxa"/>
            <w:vAlign w:val="bottom"/>
            <w:tcBorders>
              <w:bottom w:val="single" w:sz="8" w:color="E2EEF6"/>
            </w:tcBorders>
            <w:shd w:val="clear" w:color="auto" w:fill="E2EEF6"/>
          </w:tcPr>
          <w:p>
            <w:pPr>
              <w:spacing w:after="0"/>
              <w:rPr>
                <w:sz w:val="23"/>
                <w:szCs w:val="23"/>
                <w:color w:val="auto"/>
              </w:rPr>
            </w:pPr>
          </w:p>
        </w:tc>
        <w:tc>
          <w:tcPr>
            <w:tcW w:w="7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2,848</w:t>
            </w:r>
          </w:p>
        </w:tc>
        <w:tc>
          <w:tcPr>
            <w:tcW w:w="120" w:type="dxa"/>
            <w:vAlign w:val="bottom"/>
            <w:tcBorders>
              <w:bottom w:val="single" w:sz="8" w:color="E2EEF6"/>
            </w:tcBorders>
            <w:shd w:val="clear" w:color="auto" w:fill="E2EEF6"/>
          </w:tcPr>
          <w:p>
            <w:pPr>
              <w:spacing w:after="0"/>
              <w:rPr>
                <w:sz w:val="23"/>
                <w:szCs w:val="23"/>
                <w:color w:val="auto"/>
              </w:rPr>
            </w:pPr>
          </w:p>
        </w:tc>
        <w:tc>
          <w:tcPr>
            <w:tcW w:w="74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(88)</w:t>
            </w:r>
          </w:p>
        </w:tc>
        <w:tc>
          <w:tcPr>
            <w:tcW w:w="60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(1,709)</w:t>
            </w:r>
          </w:p>
        </w:tc>
      </w:tr>
      <w:tr>
        <w:trPr>
          <w:trHeight w:val="277"/>
        </w:trPr>
        <w:tc>
          <w:tcPr>
            <w:tcW w:w="6520" w:type="dxa"/>
            <w:vAlign w:val="bottom"/>
            <w:tcBorders>
              <w:top w:val="single" w:sz="8" w:color="E2EEF6"/>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250"/>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Closing Goodwill</w:t>
            </w:r>
          </w:p>
        </w:tc>
        <w:tc>
          <w:tcPr>
            <w:tcW w:w="22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64,226</w:t>
            </w:r>
          </w:p>
        </w:tc>
        <w:tc>
          <w:tcPr>
            <w:tcW w:w="860" w:type="dxa"/>
            <w:vAlign w:val="bottom"/>
            <w:tcBorders>
              <w:bottom w:val="single" w:sz="8" w:color="E2EEF6"/>
            </w:tcBorders>
            <w:gridSpan w:val="2"/>
            <w:shd w:val="clear" w:color="auto" w:fill="E2EEF6"/>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67,440</w:t>
            </w:r>
          </w:p>
        </w:tc>
        <w:tc>
          <w:tcPr>
            <w:tcW w:w="6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65,731</w:t>
            </w:r>
          </w:p>
        </w:tc>
      </w:tr>
      <w:tr>
        <w:trPr>
          <w:trHeight w:val="20"/>
        </w:trPr>
        <w:tc>
          <w:tcPr>
            <w:tcW w:w="652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The distribution of goodwill by business segment was as follows:</w:t>
            </w:r>
          </w:p>
        </w:tc>
        <w:tc>
          <w:tcPr>
            <w:tcW w:w="1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780" w:type="dxa"/>
            <w:vAlign w:val="bottom"/>
          </w:tcPr>
          <w:p>
            <w:pPr>
              <w:spacing w:after="0"/>
              <w:rPr>
                <w:sz w:val="20"/>
                <w:szCs w:val="20"/>
                <w:color w:val="auto"/>
              </w:rPr>
            </w:pPr>
            <w:r>
              <w:rPr>
                <w:rFonts w:ascii="Arial" w:cs="Arial" w:eastAsia="Arial" w:hAnsi="Arial"/>
                <w:sz w:val="18"/>
                <w:szCs w:val="18"/>
                <w:b w:val="1"/>
                <w:bCs w:val="1"/>
                <w:color w:val="auto"/>
              </w:rPr>
              <w:t>May 31,</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1780" w:type="dxa"/>
            <w:vAlign w:val="bottom"/>
          </w:tcPr>
          <w:p>
            <w:pPr>
              <w:jc w:val="right"/>
              <w:ind w:right="1070"/>
              <w:spacing w:after="0"/>
              <w:rPr>
                <w:sz w:val="20"/>
                <w:szCs w:val="20"/>
                <w:color w:val="auto"/>
              </w:rPr>
            </w:pPr>
            <w:r>
              <w:rPr>
                <w:rFonts w:ascii="Arial" w:cs="Arial" w:eastAsia="Arial" w:hAnsi="Arial"/>
                <w:sz w:val="18"/>
                <w:szCs w:val="18"/>
                <w:b w:val="1"/>
                <w:bCs w:val="1"/>
                <w:color w:val="auto"/>
              </w:rPr>
              <w:t>2005</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 (note 15)</w:t>
            </w:r>
          </w:p>
        </w:tc>
        <w:tc>
          <w:tcPr>
            <w:tcW w:w="1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$ 7,017</w:t>
            </w:r>
          </w:p>
        </w:tc>
        <w:tc>
          <w:tcPr>
            <w:tcW w:w="17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57,209</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67,440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6340" w:type="dxa"/>
            <w:vAlign w:val="bottom"/>
            <w:shd w:val="clear" w:color="auto" w:fill="E2EEF6"/>
          </w:tcPr>
          <w:p>
            <w:pPr>
              <w:spacing w:after="0"/>
              <w:rPr>
                <w:sz w:val="24"/>
                <w:szCs w:val="24"/>
                <w:color w:val="auto"/>
              </w:rPr>
            </w:pPr>
          </w:p>
        </w:tc>
        <w:tc>
          <w:tcPr>
            <w:tcW w:w="1860" w:type="dxa"/>
            <w:vAlign w:val="bottom"/>
            <w:shd w:val="clear" w:color="auto" w:fill="E2EEF6"/>
          </w:tcPr>
          <w:p>
            <w:pPr>
              <w:spacing w:after="0"/>
              <w:rPr>
                <w:sz w:val="24"/>
                <w:szCs w:val="24"/>
                <w:color w:val="auto"/>
              </w:rPr>
            </w:pPr>
          </w:p>
        </w:tc>
        <w:tc>
          <w:tcPr>
            <w:tcW w:w="1780" w:type="dxa"/>
            <w:vAlign w:val="bottom"/>
            <w:shd w:val="clear" w:color="auto" w:fill="E2EEF6"/>
          </w:tcPr>
          <w:p>
            <w:pPr>
              <w:spacing w:after="0"/>
              <w:rPr>
                <w:sz w:val="24"/>
                <w:szCs w:val="24"/>
                <w:color w:val="auto"/>
              </w:rPr>
            </w:pPr>
          </w:p>
        </w:tc>
        <w:tc>
          <w:tcPr>
            <w:tcW w:w="1420" w:type="dxa"/>
            <w:vAlign w:val="bottom"/>
            <w:shd w:val="clear" w:color="auto" w:fill="E2EEF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$64,226</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$67,440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Medeval Group Ltd</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24, 2003, the Company acquired 100% of the outstanding shares of Medeval Group Limited (“Medeval”), a company based in Manchester, England, for an initial cash consideration of Stg£9.5 million (U.S.$15.5 million), excluding costs of acquisition which amounted to U.S.$1.0 million. Earn-out provisions have been built into the acquisition contract requiring the potential payment of additional deferred consideration up to a maximum of Stg£4.3 million (U.S.$6.9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depending on the performance of Medeval over the period to May 31, 2004. Such additional consideration has been accounted for as goodwill.</w:t>
      </w:r>
    </w:p>
    <w:p>
      <w:pPr>
        <w:spacing w:after="0" w:line="2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31, 2003, an amount of Stg£1.4 million (U.S.$2.0 million) was accrued in relation to the Medeval acquisition, as the first earn-out target identified in the acquisition contract was reached on this date. It was provided in the applicable acquisition agreement that the form of the earn-out would consist of cash payable to one specific named selling shareholder, with the balance due to the other selling shareholders being in the form of guaranteed loan notes. These guaranteed loan notes have a repayment date of three years from the date of issue but are exercisable six months from that date. On September 30, 2003, Stg£0.472 million (U.S.$0.8 million) was paid in cash to a specific named selling shareholder. On the same date, Stg£0.753 million (U.S.$1.403 million) of guaranteed loan notes were issued to the remaining selling shareholders and were included in other liabilities. The guaranteed loan note holders issued redemption notices to the Company, which required the Company to redeem all the guaranteed loan notes on June 30, 2004, in consideration for a cash payment of Stg£0.753 million (U.S.$1.380 million), the total amount of which was accrued at May 31, 2004.</w:t>
      </w:r>
    </w:p>
    <w:p>
      <w:pPr>
        <w:spacing w:after="0" w:line="2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September 30, 2004, cash consideration of Stg£0.54 million (U.S.$0.97 million) was paid to a number of the former shareholders of Medeval and guaranteed loan notes with a value of Stg£1.08 million (U.S.$1.93 million) were issued to the remaining selling shareholders. At May 31, 2004, Stg£1.37 million (U.S.$2.5 million) of this amount had been provided, therefore an additional Stg£0.253 million (U.S.$0.452 million) was provided and accounted for under goodwill as at May 31, 2005. These guaranteed loan notes have a repayment date of three years from the date of issue but are exercisable nine months from the date of issue. The guaranteed loan note holders issued redemption notices to the Company, which required the Company to redeem all the guaranteed loan notes on June 30, 2005, in consideration of a cash payment of Stg£1.08 million (U.S.$1.93 million), the total amount of which was accrued for at May 31, 2005.</w:t>
      </w:r>
    </w:p>
    <w:p>
      <w:pPr>
        <w:spacing w:after="0" w:line="24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5180" w:type="dxa"/>
            <w:vAlign w:val="bottom"/>
            <w:gridSpan w:val="2"/>
          </w:tcPr>
          <w:p>
            <w:pPr>
              <w:ind w:left="406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2EEF6"/>
          </w:tcPr>
          <w:p>
            <w:pPr>
              <w:spacing w:after="0"/>
              <w:rPr>
                <w:sz w:val="20"/>
                <w:szCs w:val="20"/>
                <w:color w:val="auto"/>
              </w:rPr>
            </w:pPr>
            <w:r>
              <w:rPr>
                <w:rFonts w:ascii="Arial" w:cs="Arial" w:eastAsia="Arial" w:hAnsi="Arial"/>
                <w:sz w:val="18"/>
                <w:szCs w:val="18"/>
                <w:color w:val="auto"/>
              </w:rPr>
              <w:t>Property, plant and equipment</w:t>
            </w:r>
          </w:p>
        </w:tc>
        <w:tc>
          <w:tcPr>
            <w:tcW w:w="5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5160" w:type="dxa"/>
            <w:vAlign w:val="bottom"/>
          </w:tcPr>
          <w:p>
            <w:pPr>
              <w:jc w:val="right"/>
              <w:spacing w:after="0"/>
              <w:rPr>
                <w:sz w:val="20"/>
                <w:szCs w:val="20"/>
                <w:color w:val="auto"/>
              </w:rPr>
            </w:pPr>
            <w:r>
              <w:rPr>
                <w:rFonts w:ascii="Arial" w:cs="Arial" w:eastAsia="Arial" w:hAnsi="Arial"/>
                <w:sz w:val="18"/>
                <w:szCs w:val="18"/>
                <w:color w:val="auto"/>
              </w:rPr>
              <w:t>22,824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2EEF6"/>
          </w:tcPr>
          <w:p>
            <w:pPr>
              <w:spacing w:after="0"/>
              <w:rPr>
                <w:sz w:val="20"/>
                <w:szCs w:val="20"/>
                <w:color w:val="auto"/>
              </w:rPr>
            </w:pPr>
            <w:r>
              <w:rPr>
                <w:rFonts w:ascii="Arial" w:cs="Arial" w:eastAsia="Arial" w:hAnsi="Arial"/>
                <w:sz w:val="18"/>
                <w:szCs w:val="18"/>
                <w:color w:val="auto"/>
              </w:rPr>
              <w:t>Current assets</w:t>
            </w:r>
          </w:p>
        </w:tc>
        <w:tc>
          <w:tcPr>
            <w:tcW w:w="5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Pension liabilities</w:t>
            </w:r>
          </w:p>
        </w:tc>
        <w:tc>
          <w:tcPr>
            <w:tcW w:w="5160" w:type="dxa"/>
            <w:vAlign w:val="bottom"/>
          </w:tcPr>
          <w:p>
            <w:pPr>
              <w:jc w:val="right"/>
              <w:spacing w:after="0"/>
              <w:rPr>
                <w:sz w:val="20"/>
                <w:szCs w:val="20"/>
                <w:color w:val="auto"/>
              </w:rPr>
            </w:pPr>
            <w:r>
              <w:rPr>
                <w:rFonts w:ascii="Arial" w:cs="Arial" w:eastAsia="Arial" w:hAnsi="Arial"/>
                <w:sz w:val="18"/>
                <w:szCs w:val="18"/>
                <w:color w:val="auto"/>
              </w:rPr>
              <w:t>(2,588)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Other current liabilities</w:t>
            </w:r>
          </w:p>
        </w:tc>
        <w:tc>
          <w:tcPr>
            <w:tcW w:w="5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Medeval have been included in the consolidated financial statements from January 24,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GloboMax LLC</w:t>
      </w:r>
    </w:p>
    <w:p>
      <w:pPr>
        <w:spacing w:after="0" w:line="2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September 9, 2003, the Company acquired 100% of the outstanding shares of Globomax LLC, based in Maryland, USA, for an initial cash consideration of U.S.$10.9 million, excluding costs of acquisition. Earn-out provisions have been built into the acquisition contract requiring the potential payment of additional deferred consideration up to a maximum of U.S.$4.0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26, 2005, cash consideration of U.S.$1.4 million was paid to the former shareholders of Globomax in respect of the first earn-out target which was reached on May 31, 2005, The total amount of this earn-out was accrued at May 31, 2005.</w:t>
      </w:r>
    </w:p>
    <w:p>
      <w:pPr>
        <w:spacing w:after="0" w:line="2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acquisition of Globomax has been accounted for as a purchase in accordance with SFAS No. 141, “Business Combinations”. The following table summarises the fair values of the assets acquired and the liabilities assumed at the date of acquisition.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5160" w:type="dxa"/>
            <w:vAlign w:val="bottom"/>
            <w:gridSpan w:val="2"/>
          </w:tcPr>
          <w:p>
            <w:pPr>
              <w:ind w:left="40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60" w:type="dxa"/>
            <w:vAlign w:val="bottom"/>
            <w:shd w:val="clear" w:color="auto" w:fill="E2EEF6"/>
          </w:tcPr>
          <w:p>
            <w:pPr>
              <w:spacing w:after="0"/>
              <w:rPr>
                <w:sz w:val="20"/>
                <w:szCs w:val="20"/>
                <w:color w:val="auto"/>
              </w:rPr>
            </w:pPr>
            <w:r>
              <w:rPr>
                <w:rFonts w:ascii="Arial" w:cs="Arial" w:eastAsia="Arial" w:hAnsi="Arial"/>
                <w:sz w:val="18"/>
                <w:szCs w:val="18"/>
                <w:color w:val="auto"/>
              </w:rPr>
              <w:t>Property, Plant and Equipment</w:t>
            </w:r>
          </w:p>
        </w:tc>
        <w:tc>
          <w:tcPr>
            <w:tcW w:w="5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5140" w:type="dxa"/>
            <w:vAlign w:val="bottom"/>
          </w:tcPr>
          <w:p>
            <w:pPr>
              <w:jc w:val="right"/>
              <w:spacing w:after="0"/>
              <w:rPr>
                <w:sz w:val="20"/>
                <w:szCs w:val="20"/>
                <w:color w:val="auto"/>
              </w:rPr>
            </w:pPr>
            <w:r>
              <w:rPr>
                <w:rFonts w:ascii="Arial" w:cs="Arial" w:eastAsia="Arial" w:hAnsi="Arial"/>
                <w:sz w:val="18"/>
                <w:szCs w:val="18"/>
                <w:color w:val="auto"/>
              </w:rPr>
              <w:t>14,538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E2EEF6"/>
          </w:tcPr>
          <w:p>
            <w:pPr>
              <w:spacing w:after="0"/>
              <w:rPr>
                <w:sz w:val="20"/>
                <w:szCs w:val="20"/>
                <w:color w:val="auto"/>
              </w:rPr>
            </w:pPr>
            <w:r>
              <w:rPr>
                <w:rFonts w:ascii="Arial" w:cs="Arial" w:eastAsia="Arial" w:hAnsi="Arial"/>
                <w:sz w:val="18"/>
                <w:szCs w:val="18"/>
                <w:color w:val="auto"/>
              </w:rPr>
              <w:t>Cash</w:t>
            </w:r>
          </w:p>
        </w:tc>
        <w:tc>
          <w:tcPr>
            <w:tcW w:w="5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Current Assets</w:t>
            </w:r>
          </w:p>
        </w:tc>
        <w:tc>
          <w:tcPr>
            <w:tcW w:w="5140" w:type="dxa"/>
            <w:vAlign w:val="bottom"/>
          </w:tcPr>
          <w:p>
            <w:pPr>
              <w:jc w:val="right"/>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5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(5,539)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5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Globomax have been included in the consolidated financial statements from September 9, 2003.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Acquisition of Beacon Biosciences, Inc</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July 1, 2004, the Company acquired 70% of the outstanding shares of Beacon Biosciences, inc. (“Beacon”), based in Pennsylvania, USA, for an initial cash consideration of U.S.$9.9 million, excluding costs of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 at the date of acquisition.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2220" w:type="dxa"/>
            <w:vAlign w:val="bottom"/>
            <w:gridSpan w:val="2"/>
          </w:tcPr>
          <w:p>
            <w:pPr>
              <w:ind w:left="11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9200" w:type="dxa"/>
            <w:vAlign w:val="bottom"/>
            <w:shd w:val="clear" w:color="auto" w:fill="E2EEF6"/>
          </w:tcPr>
          <w:p>
            <w:pPr>
              <w:spacing w:after="0"/>
              <w:rPr>
                <w:sz w:val="20"/>
                <w:szCs w:val="20"/>
                <w:color w:val="auto"/>
              </w:rPr>
            </w:pPr>
            <w:r>
              <w:rPr>
                <w:rFonts w:ascii="Arial" w:cs="Arial" w:eastAsia="Arial" w:hAnsi="Arial"/>
                <w:sz w:val="18"/>
                <w:szCs w:val="18"/>
                <w:color w:val="auto"/>
              </w:rPr>
              <w:t>Property, Plant and Equipment</w:t>
            </w:r>
          </w:p>
        </w:tc>
        <w:tc>
          <w:tcPr>
            <w:tcW w:w="2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$792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w:t>
            </w:r>
          </w:p>
        </w:tc>
        <w:tc>
          <w:tcPr>
            <w:tcW w:w="2200" w:type="dxa"/>
            <w:vAlign w:val="bottom"/>
          </w:tcPr>
          <w:p>
            <w:pPr>
              <w:jc w:val="right"/>
              <w:spacing w:after="0"/>
              <w:rPr>
                <w:sz w:val="20"/>
                <w:szCs w:val="20"/>
                <w:color w:val="auto"/>
              </w:rPr>
            </w:pPr>
            <w:r>
              <w:rPr>
                <w:rFonts w:ascii="Arial" w:cs="Arial" w:eastAsia="Arial" w:hAnsi="Arial"/>
                <w:sz w:val="18"/>
                <w:szCs w:val="18"/>
                <w:color w:val="auto"/>
              </w:rPr>
              <w:t>8,463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200" w:type="dxa"/>
            <w:vAlign w:val="bottom"/>
            <w:shd w:val="clear" w:color="auto" w:fill="E2EEF6"/>
          </w:tcPr>
          <w:p>
            <w:pPr>
              <w:spacing w:after="0"/>
              <w:rPr>
                <w:sz w:val="20"/>
                <w:szCs w:val="20"/>
                <w:color w:val="auto"/>
              </w:rPr>
            </w:pPr>
            <w:r>
              <w:rPr>
                <w:rFonts w:ascii="Arial" w:cs="Arial" w:eastAsia="Arial" w:hAnsi="Arial"/>
                <w:sz w:val="18"/>
                <w:szCs w:val="18"/>
                <w:color w:val="auto"/>
              </w:rPr>
              <w:t>Cash</w:t>
            </w:r>
          </w:p>
        </w:tc>
        <w:tc>
          <w:tcPr>
            <w:tcW w:w="2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0" w:type="dxa"/>
            <w:vAlign w:val="bottom"/>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20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Long term liabilities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20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shd w:val="clear" w:color="auto" w:fill="E2EEF6"/>
          </w:tcPr>
          <w:p>
            <w:pPr>
              <w:spacing w:after="0"/>
              <w:rPr>
                <w:sz w:val="20"/>
                <w:szCs w:val="20"/>
                <w:color w:val="auto"/>
              </w:rPr>
            </w:pPr>
          </w:p>
        </w:tc>
        <w:tc>
          <w:tcPr>
            <w:tcW w:w="2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Purchase Price</w:t>
            </w:r>
          </w:p>
        </w:tc>
        <w:tc>
          <w:tcPr>
            <w:tcW w:w="2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$10,083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Beacon have been included in the consolidated financial statements from July 1, 2004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1, 2004, the Company acquired the workforce of Biomines Research Solutions Private Limited, (“Biomines”), based in Chennai, India, for a cash consideration of U.S.$250,000.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5280" w:type="dxa"/>
            <w:vAlign w:val="bottom"/>
          </w:tcPr>
          <w:p>
            <w:pPr>
              <w:ind w:left="340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5280" w:type="dxa"/>
            <w:vAlign w:val="bottom"/>
          </w:tcPr>
          <w:p>
            <w:pPr>
              <w:ind w:left="340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5280" w:type="dxa"/>
            <w:vAlign w:val="bottom"/>
          </w:tcPr>
          <w:p>
            <w:pPr>
              <w:ind w:left="34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1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Acquired workforce - intangible asset</w:t>
            </w:r>
          </w:p>
        </w:tc>
        <w:tc>
          <w:tcPr>
            <w:tcW w:w="5280" w:type="dxa"/>
            <w:vAlign w:val="bottom"/>
            <w:tcBorders>
              <w:bottom w:val="single" w:sz="8" w:color="auto"/>
            </w:tcBorders>
            <w:shd w:val="clear" w:color="auto" w:fill="E2EEF6"/>
          </w:tcPr>
          <w:p>
            <w:pPr>
              <w:ind w:left="34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528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cost of the acquired workforce is being amortized over 24 months in line with the life of the non-compete service contracts of the acquired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U.S.$134,000 has been amortized in the period since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ind w:left="92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750"/>
              <w:spacing w:after="0"/>
              <w:rPr>
                <w:sz w:val="20"/>
                <w:szCs w:val="20"/>
                <w:color w:val="auto"/>
              </w:rPr>
            </w:pPr>
            <w:r>
              <w:rPr>
                <w:rFonts w:ascii="Arial" w:cs="Arial" w:eastAsia="Arial" w:hAnsi="Arial"/>
                <w:sz w:val="18"/>
                <w:szCs w:val="18"/>
                <w:b w:val="1"/>
                <w:bCs w:val="1"/>
                <w:color w:val="auto"/>
              </w:rPr>
              <w:t>May 31,</w:t>
            </w:r>
          </w:p>
        </w:tc>
        <w:tc>
          <w:tcPr>
            <w:tcW w:w="2740" w:type="dxa"/>
            <w:vAlign w:val="bottom"/>
          </w:tcPr>
          <w:p>
            <w:pPr>
              <w:ind w:lef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920" w:type="dxa"/>
            <w:vAlign w:val="bottom"/>
          </w:tcPr>
          <w:p>
            <w:pPr>
              <w:ind w:left="92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ind w:left="860"/>
              <w:spacing w:after="0"/>
              <w:rPr>
                <w:sz w:val="20"/>
                <w:szCs w:val="20"/>
                <w:color w:val="auto"/>
              </w:rPr>
            </w:pPr>
            <w:r>
              <w:rPr>
                <w:rFonts w:ascii="Arial" w:cs="Arial" w:eastAsia="Arial" w:hAnsi="Arial"/>
                <w:sz w:val="18"/>
                <w:szCs w:val="18"/>
                <w:b w:val="1"/>
                <w:bCs w:val="1"/>
                <w:color w:val="auto"/>
              </w:rPr>
              <w:t>2005</w:t>
            </w:r>
          </w:p>
        </w:tc>
        <w:tc>
          <w:tcPr>
            <w:tcW w:w="2740" w:type="dxa"/>
            <w:vAlign w:val="bottom"/>
          </w:tcPr>
          <w:p>
            <w:pPr>
              <w:ind w:left="70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20" w:type="dxa"/>
            <w:vAlign w:val="bottom"/>
          </w:tcPr>
          <w:p>
            <w:pPr>
              <w:jc w:val="right"/>
              <w:ind w:right="75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4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Cost</w:t>
            </w:r>
          </w:p>
        </w:tc>
        <w:tc>
          <w:tcPr>
            <w:tcW w:w="1920" w:type="dxa"/>
            <w:vAlign w:val="bottom"/>
            <w:shd w:val="clear" w:color="auto" w:fill="E2EEF6"/>
          </w:tcPr>
          <w:p>
            <w:pPr>
              <w:ind w:left="920"/>
              <w:spacing w:after="0"/>
              <w:rPr>
                <w:sz w:val="20"/>
                <w:szCs w:val="20"/>
                <w:color w:val="auto"/>
              </w:rPr>
            </w:pPr>
            <w:r>
              <w:rPr>
                <w:rFonts w:ascii="Arial" w:cs="Arial" w:eastAsia="Arial" w:hAnsi="Arial"/>
                <w:sz w:val="18"/>
                <w:szCs w:val="18"/>
                <w:color w:val="auto"/>
              </w:rPr>
              <w:t>$-</w:t>
            </w:r>
          </w:p>
        </w:tc>
        <w:tc>
          <w:tcPr>
            <w:tcW w:w="2320" w:type="dxa"/>
            <w:vAlign w:val="bottom"/>
            <w:shd w:val="clear" w:color="auto" w:fill="E2EEF6"/>
          </w:tcPr>
          <w:p>
            <w:pPr>
              <w:ind w:left="860"/>
              <w:spacing w:after="0"/>
              <w:rPr>
                <w:sz w:val="20"/>
                <w:szCs w:val="20"/>
                <w:color w:val="auto"/>
              </w:rPr>
            </w:pPr>
            <w:r>
              <w:rPr>
                <w:rFonts w:ascii="Arial" w:cs="Arial" w:eastAsia="Arial" w:hAnsi="Arial"/>
                <w:sz w:val="18"/>
                <w:szCs w:val="18"/>
                <w:color w:val="auto"/>
              </w:rPr>
              <w:t>$250</w:t>
            </w:r>
          </w:p>
        </w:tc>
        <w:tc>
          <w:tcPr>
            <w:tcW w:w="2740" w:type="dxa"/>
            <w:vAlign w:val="bottom"/>
            <w:shd w:val="clear" w:color="auto" w:fill="E2EEF6"/>
          </w:tcPr>
          <w:p>
            <w:pPr>
              <w:ind w:left="7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19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(62)</w:t>
            </w:r>
          </w:p>
        </w:tc>
        <w:tc>
          <w:tcPr>
            <w:tcW w:w="27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Net book value</w:t>
            </w:r>
          </w:p>
        </w:tc>
        <w:tc>
          <w:tcPr>
            <w:tcW w:w="1920" w:type="dxa"/>
            <w:vAlign w:val="bottom"/>
            <w:tcBorders>
              <w:bottom w:val="single" w:sz="8" w:color="auto"/>
            </w:tcBorders>
            <w:shd w:val="clear" w:color="auto" w:fill="E2EEF6"/>
          </w:tcPr>
          <w:p>
            <w:pPr>
              <w:ind w:left="92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shd w:val="clear" w:color="auto" w:fill="E2EEF6"/>
          </w:tcPr>
          <w:p>
            <w:pPr>
              <w:ind w:left="860"/>
              <w:spacing w:after="0"/>
              <w:rPr>
                <w:sz w:val="20"/>
                <w:szCs w:val="20"/>
                <w:color w:val="auto"/>
              </w:rPr>
            </w:pPr>
            <w:r>
              <w:rPr>
                <w:rFonts w:ascii="Arial" w:cs="Arial" w:eastAsia="Arial" w:hAnsi="Arial"/>
                <w:sz w:val="18"/>
                <w:szCs w:val="18"/>
                <w:color w:val="auto"/>
              </w:rPr>
              <w:t>$188</w:t>
            </w:r>
          </w:p>
        </w:tc>
        <w:tc>
          <w:tcPr>
            <w:tcW w:w="2740" w:type="dxa"/>
            <w:vAlign w:val="bottom"/>
            <w:tcBorders>
              <w:bottom w:val="single" w:sz="8" w:color="auto"/>
            </w:tcBorders>
            <w:shd w:val="clear" w:color="auto" w:fill="E2EEF6"/>
          </w:tcPr>
          <w:p>
            <w:pPr>
              <w:ind w:left="7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75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tcPr>
          <w:p>
            <w:pPr>
              <w:ind w:left="84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ind w:left="1060"/>
              <w:spacing w:after="0"/>
              <w:rPr>
                <w:sz w:val="20"/>
                <w:szCs w:val="20"/>
                <w:color w:val="auto"/>
              </w:rPr>
            </w:pPr>
            <w:r>
              <w:rPr>
                <w:rFonts w:ascii="Arial" w:cs="Arial" w:eastAsia="Arial" w:hAnsi="Arial"/>
                <w:sz w:val="18"/>
                <w:szCs w:val="18"/>
                <w:b w:val="1"/>
                <w:bCs w:val="1"/>
                <w:color w:val="auto"/>
              </w:rPr>
              <w:t>May 31,</w:t>
            </w:r>
          </w:p>
        </w:tc>
        <w:tc>
          <w:tcPr>
            <w:tcW w:w="2740" w:type="dxa"/>
            <w:vAlign w:val="bottom"/>
          </w:tcPr>
          <w:p>
            <w:pPr>
              <w:ind w:lef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920" w:type="dxa"/>
            <w:vAlign w:val="bottom"/>
          </w:tcPr>
          <w:p>
            <w:pPr>
              <w:ind w:left="84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ind w:left="1060"/>
              <w:spacing w:after="0"/>
              <w:rPr>
                <w:sz w:val="20"/>
                <w:szCs w:val="20"/>
                <w:color w:val="auto"/>
              </w:rPr>
            </w:pPr>
            <w:r>
              <w:rPr>
                <w:rFonts w:ascii="Arial" w:cs="Arial" w:eastAsia="Arial" w:hAnsi="Arial"/>
                <w:sz w:val="18"/>
                <w:szCs w:val="18"/>
                <w:b w:val="1"/>
                <w:bCs w:val="1"/>
                <w:color w:val="auto"/>
              </w:rPr>
              <w:t>2005</w:t>
            </w:r>
          </w:p>
        </w:tc>
        <w:tc>
          <w:tcPr>
            <w:tcW w:w="2740" w:type="dxa"/>
            <w:vAlign w:val="bottom"/>
          </w:tcPr>
          <w:p>
            <w:pPr>
              <w:ind w:left="60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20" w:type="dxa"/>
            <w:vAlign w:val="bottom"/>
          </w:tcPr>
          <w:p>
            <w:pPr>
              <w:ind w:left="64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1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Land</w:t>
            </w:r>
          </w:p>
        </w:tc>
        <w:tc>
          <w:tcPr>
            <w:tcW w:w="1920" w:type="dxa"/>
            <w:vAlign w:val="bottom"/>
            <w:shd w:val="clear" w:color="auto" w:fill="E2EEF6"/>
          </w:tcPr>
          <w:p>
            <w:pPr>
              <w:ind w:left="840"/>
              <w:spacing w:after="0"/>
              <w:rPr>
                <w:sz w:val="20"/>
                <w:szCs w:val="20"/>
                <w:color w:val="auto"/>
              </w:rPr>
            </w:pPr>
            <w:r>
              <w:rPr>
                <w:rFonts w:ascii="Arial" w:cs="Arial" w:eastAsia="Arial" w:hAnsi="Arial"/>
                <w:sz w:val="18"/>
                <w:szCs w:val="18"/>
                <w:color w:val="auto"/>
              </w:rPr>
              <w:t>$748</w:t>
            </w:r>
          </w:p>
        </w:tc>
        <w:tc>
          <w:tcPr>
            <w:tcW w:w="2320" w:type="dxa"/>
            <w:vAlign w:val="bottom"/>
            <w:shd w:val="clear" w:color="auto" w:fill="E2EEF6"/>
          </w:tcPr>
          <w:p>
            <w:pPr>
              <w:ind w:left="1060"/>
              <w:spacing w:after="0"/>
              <w:rPr>
                <w:sz w:val="20"/>
                <w:szCs w:val="20"/>
                <w:color w:val="auto"/>
              </w:rPr>
            </w:pPr>
            <w:r>
              <w:rPr>
                <w:rFonts w:ascii="Arial" w:cs="Arial" w:eastAsia="Arial" w:hAnsi="Arial"/>
                <w:sz w:val="18"/>
                <w:szCs w:val="18"/>
                <w:color w:val="auto"/>
              </w:rPr>
              <w:t>$780</w:t>
            </w:r>
          </w:p>
        </w:tc>
        <w:tc>
          <w:tcPr>
            <w:tcW w:w="2740" w:type="dxa"/>
            <w:vAlign w:val="bottom"/>
            <w:shd w:val="clear" w:color="auto" w:fill="E2EEF6"/>
          </w:tcPr>
          <w:p>
            <w:pPr>
              <w:ind w:left="60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Building</w:t>
            </w:r>
          </w:p>
        </w:tc>
        <w:tc>
          <w:tcPr>
            <w:tcW w:w="1920" w:type="dxa"/>
            <w:vAlign w:val="bottom"/>
          </w:tcPr>
          <w:p>
            <w:pPr>
              <w:ind w:left="840"/>
              <w:spacing w:after="0"/>
              <w:rPr>
                <w:sz w:val="20"/>
                <w:szCs w:val="20"/>
                <w:color w:val="auto"/>
              </w:rPr>
            </w:pPr>
            <w:r>
              <w:rPr>
                <w:rFonts w:ascii="Arial" w:cs="Arial" w:eastAsia="Arial" w:hAnsi="Arial"/>
                <w:sz w:val="18"/>
                <w:szCs w:val="18"/>
                <w:color w:val="auto"/>
              </w:rPr>
              <w:t>9,502</w:t>
            </w:r>
          </w:p>
        </w:tc>
        <w:tc>
          <w:tcPr>
            <w:tcW w:w="2320" w:type="dxa"/>
            <w:vAlign w:val="bottom"/>
          </w:tcPr>
          <w:p>
            <w:pPr>
              <w:ind w:left="1060"/>
              <w:spacing w:after="0"/>
              <w:rPr>
                <w:sz w:val="20"/>
                <w:szCs w:val="20"/>
                <w:color w:val="auto"/>
              </w:rPr>
            </w:pPr>
            <w:r>
              <w:rPr>
                <w:rFonts w:ascii="Arial" w:cs="Arial" w:eastAsia="Arial" w:hAnsi="Arial"/>
                <w:sz w:val="18"/>
                <w:szCs w:val="18"/>
                <w:color w:val="auto"/>
              </w:rPr>
              <w:t>11,358</w:t>
            </w:r>
          </w:p>
        </w:tc>
        <w:tc>
          <w:tcPr>
            <w:tcW w:w="2740" w:type="dxa"/>
            <w:vAlign w:val="bottom"/>
          </w:tcPr>
          <w:p>
            <w:pPr>
              <w:ind w:left="600"/>
              <w:spacing w:after="0"/>
              <w:rPr>
                <w:sz w:val="20"/>
                <w:szCs w:val="20"/>
                <w:color w:val="auto"/>
              </w:rPr>
            </w:pPr>
            <w:r>
              <w:rPr>
                <w:rFonts w:ascii="Arial" w:cs="Arial" w:eastAsia="Arial" w:hAnsi="Arial"/>
                <w:sz w:val="18"/>
                <w:szCs w:val="18"/>
                <w:color w:val="auto"/>
              </w:rPr>
              <w:t>12,625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Computer equipment and software</w:t>
            </w:r>
          </w:p>
        </w:tc>
        <w:tc>
          <w:tcPr>
            <w:tcW w:w="1920" w:type="dxa"/>
            <w:vAlign w:val="bottom"/>
            <w:shd w:val="clear" w:color="auto" w:fill="E2EEF6"/>
          </w:tcPr>
          <w:p>
            <w:pPr>
              <w:ind w:left="840"/>
              <w:spacing w:after="0"/>
              <w:rPr>
                <w:sz w:val="20"/>
                <w:szCs w:val="20"/>
                <w:color w:val="auto"/>
              </w:rPr>
            </w:pPr>
            <w:r>
              <w:rPr>
                <w:rFonts w:ascii="Arial" w:cs="Arial" w:eastAsia="Arial" w:hAnsi="Arial"/>
                <w:sz w:val="18"/>
                <w:szCs w:val="18"/>
                <w:color w:val="auto"/>
              </w:rPr>
              <w:t>42,469</w:t>
            </w:r>
          </w:p>
        </w:tc>
        <w:tc>
          <w:tcPr>
            <w:tcW w:w="2320" w:type="dxa"/>
            <w:vAlign w:val="bottom"/>
            <w:shd w:val="clear" w:color="auto" w:fill="E2EEF6"/>
          </w:tcPr>
          <w:p>
            <w:pPr>
              <w:ind w:left="1060"/>
              <w:spacing w:after="0"/>
              <w:rPr>
                <w:sz w:val="20"/>
                <w:szCs w:val="20"/>
                <w:color w:val="auto"/>
              </w:rPr>
            </w:pPr>
            <w:r>
              <w:rPr>
                <w:rFonts w:ascii="Arial" w:cs="Arial" w:eastAsia="Arial" w:hAnsi="Arial"/>
                <w:sz w:val="18"/>
                <w:szCs w:val="18"/>
                <w:color w:val="auto"/>
              </w:rPr>
              <w:t>51,867</w:t>
            </w:r>
          </w:p>
        </w:tc>
        <w:tc>
          <w:tcPr>
            <w:tcW w:w="2740" w:type="dxa"/>
            <w:vAlign w:val="bottom"/>
            <w:shd w:val="clear" w:color="auto" w:fill="E2EEF6"/>
          </w:tcPr>
          <w:p>
            <w:pPr>
              <w:ind w:left="600"/>
              <w:spacing w:after="0"/>
              <w:rPr>
                <w:sz w:val="20"/>
                <w:szCs w:val="20"/>
                <w:color w:val="auto"/>
              </w:rPr>
            </w:pPr>
            <w:r>
              <w:rPr>
                <w:rFonts w:ascii="Arial" w:cs="Arial" w:eastAsia="Arial" w:hAnsi="Arial"/>
                <w:sz w:val="18"/>
                <w:szCs w:val="18"/>
                <w:color w:val="auto"/>
              </w:rPr>
              <w:t>53,768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920" w:type="dxa"/>
            <w:vAlign w:val="bottom"/>
          </w:tcPr>
          <w:p>
            <w:pPr>
              <w:ind w:left="840"/>
              <w:spacing w:after="0"/>
              <w:rPr>
                <w:sz w:val="20"/>
                <w:szCs w:val="20"/>
                <w:color w:val="auto"/>
              </w:rPr>
            </w:pPr>
            <w:r>
              <w:rPr>
                <w:rFonts w:ascii="Arial" w:cs="Arial" w:eastAsia="Arial" w:hAnsi="Arial"/>
                <w:sz w:val="18"/>
                <w:szCs w:val="18"/>
                <w:color w:val="auto"/>
              </w:rPr>
              <w:t>17,071</w:t>
            </w:r>
          </w:p>
        </w:tc>
        <w:tc>
          <w:tcPr>
            <w:tcW w:w="2320" w:type="dxa"/>
            <w:vAlign w:val="bottom"/>
          </w:tcPr>
          <w:p>
            <w:pPr>
              <w:ind w:left="1060"/>
              <w:spacing w:after="0"/>
              <w:rPr>
                <w:sz w:val="20"/>
                <w:szCs w:val="20"/>
                <w:color w:val="auto"/>
              </w:rPr>
            </w:pPr>
            <w:r>
              <w:rPr>
                <w:rFonts w:ascii="Arial" w:cs="Arial" w:eastAsia="Arial" w:hAnsi="Arial"/>
                <w:sz w:val="18"/>
                <w:szCs w:val="18"/>
                <w:color w:val="auto"/>
              </w:rPr>
              <w:t>20,031</w:t>
            </w:r>
          </w:p>
        </w:tc>
        <w:tc>
          <w:tcPr>
            <w:tcW w:w="2740" w:type="dxa"/>
            <w:vAlign w:val="bottom"/>
          </w:tcPr>
          <w:p>
            <w:pPr>
              <w:ind w:left="60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Laboratory equipment</w:t>
            </w:r>
          </w:p>
        </w:tc>
        <w:tc>
          <w:tcPr>
            <w:tcW w:w="1920" w:type="dxa"/>
            <w:vAlign w:val="bottom"/>
            <w:shd w:val="clear" w:color="auto" w:fill="E2EEF6"/>
          </w:tcPr>
          <w:p>
            <w:pPr>
              <w:ind w:left="840"/>
              <w:spacing w:after="0"/>
              <w:rPr>
                <w:sz w:val="20"/>
                <w:szCs w:val="20"/>
                <w:color w:val="auto"/>
              </w:rPr>
            </w:pPr>
            <w:r>
              <w:rPr>
                <w:rFonts w:ascii="Arial" w:cs="Arial" w:eastAsia="Arial" w:hAnsi="Arial"/>
                <w:sz w:val="18"/>
                <w:szCs w:val="18"/>
                <w:color w:val="auto"/>
              </w:rPr>
              <w:t>5,009</w:t>
            </w:r>
          </w:p>
        </w:tc>
        <w:tc>
          <w:tcPr>
            <w:tcW w:w="2320" w:type="dxa"/>
            <w:vAlign w:val="bottom"/>
            <w:shd w:val="clear" w:color="auto" w:fill="E2EEF6"/>
          </w:tcPr>
          <w:p>
            <w:pPr>
              <w:ind w:left="1060"/>
              <w:spacing w:after="0"/>
              <w:rPr>
                <w:sz w:val="20"/>
                <w:szCs w:val="20"/>
                <w:color w:val="auto"/>
              </w:rPr>
            </w:pPr>
            <w:r>
              <w:rPr>
                <w:rFonts w:ascii="Arial" w:cs="Arial" w:eastAsia="Arial" w:hAnsi="Arial"/>
                <w:sz w:val="18"/>
                <w:szCs w:val="18"/>
                <w:color w:val="auto"/>
              </w:rPr>
              <w:t>5,538</w:t>
            </w:r>
          </w:p>
        </w:tc>
        <w:tc>
          <w:tcPr>
            <w:tcW w:w="2740" w:type="dxa"/>
            <w:vAlign w:val="bottom"/>
            <w:shd w:val="clear" w:color="auto" w:fill="E2EEF6"/>
          </w:tcPr>
          <w:p>
            <w:pPr>
              <w:ind w:left="60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ind w:left="840"/>
              <w:spacing w:after="0"/>
              <w:rPr>
                <w:sz w:val="20"/>
                <w:szCs w:val="20"/>
                <w:color w:val="auto"/>
              </w:rPr>
            </w:pPr>
            <w:r>
              <w:rPr>
                <w:rFonts w:ascii="Arial" w:cs="Arial" w:eastAsia="Arial" w:hAnsi="Arial"/>
                <w:sz w:val="18"/>
                <w:szCs w:val="18"/>
                <w:color w:val="auto"/>
              </w:rPr>
              <w:t>6,116</w:t>
            </w:r>
          </w:p>
        </w:tc>
        <w:tc>
          <w:tcPr>
            <w:tcW w:w="2320" w:type="dxa"/>
            <w:vAlign w:val="bottom"/>
          </w:tcPr>
          <w:p>
            <w:pPr>
              <w:ind w:left="1060"/>
              <w:spacing w:after="0"/>
              <w:rPr>
                <w:sz w:val="20"/>
                <w:szCs w:val="20"/>
                <w:color w:val="auto"/>
              </w:rPr>
            </w:pPr>
            <w:r>
              <w:rPr>
                <w:rFonts w:ascii="Arial" w:cs="Arial" w:eastAsia="Arial" w:hAnsi="Arial"/>
                <w:sz w:val="18"/>
                <w:szCs w:val="18"/>
                <w:color w:val="auto"/>
              </w:rPr>
              <w:t>5,684</w:t>
            </w:r>
          </w:p>
        </w:tc>
        <w:tc>
          <w:tcPr>
            <w:tcW w:w="2740" w:type="dxa"/>
            <w:vAlign w:val="bottom"/>
          </w:tcPr>
          <w:p>
            <w:pPr>
              <w:ind w:left="6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Motor vehicles</w:t>
            </w:r>
          </w:p>
        </w:tc>
        <w:tc>
          <w:tcPr>
            <w:tcW w:w="1920" w:type="dxa"/>
            <w:vAlign w:val="bottom"/>
            <w:tcBorders>
              <w:bottom w:val="single" w:sz="8" w:color="auto"/>
            </w:tcBorders>
            <w:shd w:val="clear" w:color="auto" w:fill="E2EEF6"/>
          </w:tcPr>
          <w:p>
            <w:pPr>
              <w:ind w:left="840"/>
              <w:spacing w:after="0"/>
              <w:rPr>
                <w:sz w:val="20"/>
                <w:szCs w:val="20"/>
                <w:color w:val="auto"/>
              </w:rPr>
            </w:pPr>
            <w:r>
              <w:rPr>
                <w:rFonts w:ascii="Arial" w:cs="Arial" w:eastAsia="Arial" w:hAnsi="Arial"/>
                <w:sz w:val="18"/>
                <w:szCs w:val="18"/>
                <w:color w:val="auto"/>
              </w:rPr>
              <w:t>37</w:t>
            </w:r>
          </w:p>
        </w:tc>
        <w:tc>
          <w:tcPr>
            <w:tcW w:w="2320" w:type="dxa"/>
            <w:vAlign w:val="bottom"/>
            <w:tcBorders>
              <w:bottom w:val="single" w:sz="8" w:color="auto"/>
            </w:tcBorders>
            <w:shd w:val="clear" w:color="auto" w:fill="E2EEF6"/>
          </w:tcPr>
          <w:p>
            <w:pPr>
              <w:ind w:left="1060"/>
              <w:spacing w:after="0"/>
              <w:rPr>
                <w:sz w:val="20"/>
                <w:szCs w:val="20"/>
                <w:color w:val="auto"/>
              </w:rPr>
            </w:pPr>
            <w:r>
              <w:rPr>
                <w:rFonts w:ascii="Arial" w:cs="Arial" w:eastAsia="Arial" w:hAnsi="Arial"/>
                <w:sz w:val="18"/>
                <w:szCs w:val="18"/>
                <w:color w:val="auto"/>
              </w:rPr>
              <w:t>39</w:t>
            </w:r>
          </w:p>
        </w:tc>
        <w:tc>
          <w:tcPr>
            <w:tcW w:w="2740" w:type="dxa"/>
            <w:vAlign w:val="bottom"/>
            <w:tcBorders>
              <w:bottom w:val="single" w:sz="8" w:color="auto"/>
            </w:tcBorders>
            <w:shd w:val="clear" w:color="auto" w:fill="E2EEF6"/>
          </w:tcPr>
          <w:p>
            <w:pPr>
              <w:ind w:left="6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E2EEF6"/>
          </w:tcPr>
          <w:p>
            <w:pPr>
              <w:spacing w:after="0"/>
              <w:rPr>
                <w:sz w:val="21"/>
                <w:szCs w:val="21"/>
                <w:color w:val="auto"/>
              </w:rPr>
            </w:pPr>
          </w:p>
        </w:tc>
        <w:tc>
          <w:tcPr>
            <w:tcW w:w="1920" w:type="dxa"/>
            <w:vAlign w:val="bottom"/>
            <w:shd w:val="clear" w:color="auto" w:fill="E2EEF6"/>
          </w:tcPr>
          <w:p>
            <w:pPr>
              <w:ind w:left="840"/>
              <w:spacing w:after="0"/>
              <w:rPr>
                <w:sz w:val="20"/>
                <w:szCs w:val="20"/>
                <w:color w:val="auto"/>
              </w:rPr>
            </w:pPr>
            <w:r>
              <w:rPr>
                <w:rFonts w:ascii="Arial" w:cs="Arial" w:eastAsia="Arial" w:hAnsi="Arial"/>
                <w:sz w:val="18"/>
                <w:szCs w:val="18"/>
                <w:color w:val="auto"/>
              </w:rPr>
              <w:t>80,952</w:t>
            </w:r>
          </w:p>
        </w:tc>
        <w:tc>
          <w:tcPr>
            <w:tcW w:w="2320" w:type="dxa"/>
            <w:vAlign w:val="bottom"/>
            <w:shd w:val="clear" w:color="auto" w:fill="E2EEF6"/>
          </w:tcPr>
          <w:p>
            <w:pPr>
              <w:ind w:left="1060"/>
              <w:spacing w:after="0"/>
              <w:rPr>
                <w:sz w:val="20"/>
                <w:szCs w:val="20"/>
                <w:color w:val="auto"/>
              </w:rPr>
            </w:pPr>
            <w:r>
              <w:rPr>
                <w:rFonts w:ascii="Arial" w:cs="Arial" w:eastAsia="Arial" w:hAnsi="Arial"/>
                <w:sz w:val="18"/>
                <w:szCs w:val="18"/>
                <w:color w:val="auto"/>
              </w:rPr>
              <w:t>95,297</w:t>
            </w:r>
          </w:p>
        </w:tc>
        <w:tc>
          <w:tcPr>
            <w:tcW w:w="2740" w:type="dxa"/>
            <w:vAlign w:val="bottom"/>
            <w:shd w:val="clear" w:color="auto" w:fill="E2EEF6"/>
          </w:tcPr>
          <w:p>
            <w:pPr>
              <w:ind w:left="600"/>
              <w:spacing w:after="0"/>
              <w:rPr>
                <w:sz w:val="20"/>
                <w:szCs w:val="20"/>
                <w:color w:val="auto"/>
              </w:rPr>
            </w:pPr>
            <w:r>
              <w:rPr>
                <w:rFonts w:ascii="Arial" w:cs="Arial" w:eastAsia="Arial" w:hAnsi="Arial"/>
                <w:sz w:val="18"/>
                <w:szCs w:val="18"/>
                <w:color w:val="auto"/>
              </w:rPr>
              <w:t>102,331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asset write off</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(38,016)</w:t>
            </w:r>
          </w:p>
        </w:tc>
        <w:tc>
          <w:tcPr>
            <w:tcW w:w="2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(50,011)</w:t>
            </w:r>
          </w:p>
        </w:tc>
        <w:tc>
          <w:tcPr>
            <w:tcW w:w="2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(54,679)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shd w:val="clear" w:color="auto" w:fill="E2EEF6"/>
          </w:tcPr>
          <w:p>
            <w:pPr>
              <w:spacing w:after="0"/>
              <w:rPr>
                <w:sz w:val="20"/>
                <w:szCs w:val="20"/>
                <w:color w:val="auto"/>
              </w:rPr>
            </w:pPr>
          </w:p>
        </w:tc>
        <w:tc>
          <w:tcPr>
            <w:tcW w:w="1920" w:type="dxa"/>
            <w:vAlign w:val="bottom"/>
            <w:shd w:val="clear" w:color="auto" w:fill="E2EEF6"/>
          </w:tcPr>
          <w:p>
            <w:pPr>
              <w:spacing w:after="0"/>
              <w:rPr>
                <w:sz w:val="20"/>
                <w:szCs w:val="20"/>
                <w:color w:val="auto"/>
              </w:rPr>
            </w:pPr>
          </w:p>
        </w:tc>
        <w:tc>
          <w:tcPr>
            <w:tcW w:w="2320" w:type="dxa"/>
            <w:vAlign w:val="bottom"/>
            <w:shd w:val="clear" w:color="auto" w:fill="E2EEF6"/>
          </w:tcPr>
          <w:p>
            <w:pPr>
              <w:spacing w:after="0"/>
              <w:rPr>
                <w:sz w:val="20"/>
                <w:szCs w:val="20"/>
                <w:color w:val="auto"/>
              </w:rPr>
            </w:pPr>
          </w:p>
        </w:tc>
        <w:tc>
          <w:tcPr>
            <w:tcW w:w="274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$42,936</w:t>
            </w:r>
          </w:p>
        </w:tc>
        <w:tc>
          <w:tcPr>
            <w:tcW w:w="2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$45,286</w:t>
            </w:r>
          </w:p>
        </w:tc>
        <w:tc>
          <w:tcPr>
            <w:tcW w:w="2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Total cost above at December 31, 2005 includes U.S.$654,000 (May 31, 2005: U.S.$725,643, May 31, 2004: U.S.$1,580,127), which relates to assets held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capital finance leases. Related accumulated depreciation amounted to U.S.$346,000 (May 31, 2005: U.S.$305,867, May 31, 2004: U.S.$252,039).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2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20" w:type="dxa"/>
            <w:vAlign w:val="bottom"/>
          </w:tcPr>
          <w:p>
            <w:pPr>
              <w:ind w:left="1080"/>
              <w:spacing w:after="0"/>
              <w:rPr>
                <w:sz w:val="20"/>
                <w:szCs w:val="20"/>
                <w:color w:val="auto"/>
              </w:rPr>
            </w:pPr>
            <w:r>
              <w:rPr>
                <w:rFonts w:ascii="Arial" w:cs="Arial" w:eastAsia="Arial" w:hAnsi="Arial"/>
                <w:sz w:val="18"/>
                <w:szCs w:val="18"/>
                <w:b w:val="1"/>
                <w:bCs w:val="1"/>
                <w:color w:val="auto"/>
              </w:rPr>
              <w:t>May 31,</w:t>
            </w:r>
          </w:p>
        </w:tc>
        <w:tc>
          <w:tcPr>
            <w:tcW w:w="2180" w:type="dxa"/>
            <w:vAlign w:val="bottom"/>
          </w:tcPr>
          <w:p>
            <w:pPr>
              <w:ind w:left="1000"/>
              <w:spacing w:after="0"/>
              <w:rPr>
                <w:sz w:val="20"/>
                <w:szCs w:val="20"/>
                <w:color w:val="auto"/>
              </w:rPr>
            </w:pPr>
            <w:r>
              <w:rPr>
                <w:rFonts w:ascii="Arial" w:cs="Arial" w:eastAsia="Arial" w:hAnsi="Arial"/>
                <w:sz w:val="18"/>
                <w:szCs w:val="18"/>
                <w:b w:val="1"/>
                <w:bCs w:val="1"/>
                <w:color w:val="auto"/>
              </w:rPr>
              <w:t>May 31,</w:t>
            </w:r>
          </w:p>
        </w:tc>
        <w:tc>
          <w:tcPr>
            <w:tcW w:w="2740" w:type="dxa"/>
            <w:vAlign w:val="bottom"/>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320" w:type="dxa"/>
            <w:vAlign w:val="bottom"/>
          </w:tcPr>
          <w:p>
            <w:pPr>
              <w:ind w:left="1080"/>
              <w:spacing w:after="0"/>
              <w:rPr>
                <w:sz w:val="20"/>
                <w:szCs w:val="20"/>
                <w:color w:val="auto"/>
              </w:rPr>
            </w:pPr>
            <w:r>
              <w:rPr>
                <w:rFonts w:ascii="Arial" w:cs="Arial" w:eastAsia="Arial" w:hAnsi="Arial"/>
                <w:sz w:val="18"/>
                <w:szCs w:val="18"/>
                <w:b w:val="1"/>
                <w:bCs w:val="1"/>
                <w:color w:val="auto"/>
              </w:rPr>
              <w:t>2004</w:t>
            </w:r>
          </w:p>
        </w:tc>
        <w:tc>
          <w:tcPr>
            <w:tcW w:w="2180" w:type="dxa"/>
            <w:vAlign w:val="bottom"/>
          </w:tcPr>
          <w:p>
            <w:pPr>
              <w:ind w:left="1000"/>
              <w:spacing w:after="0"/>
              <w:rPr>
                <w:sz w:val="20"/>
                <w:szCs w:val="20"/>
                <w:color w:val="auto"/>
              </w:rPr>
            </w:pPr>
            <w:r>
              <w:rPr>
                <w:rFonts w:ascii="Arial" w:cs="Arial" w:eastAsia="Arial" w:hAnsi="Arial"/>
                <w:sz w:val="18"/>
                <w:szCs w:val="18"/>
                <w:b w:val="1"/>
                <w:bCs w:val="1"/>
                <w:color w:val="auto"/>
              </w:rPr>
              <w:t>2005</w:t>
            </w:r>
          </w:p>
        </w:tc>
        <w:tc>
          <w:tcPr>
            <w:tcW w:w="2740" w:type="dxa"/>
            <w:vAlign w:val="bottom"/>
          </w:tcPr>
          <w:p>
            <w:pPr>
              <w:ind w:left="48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180" w:type="dxa"/>
            <w:vAlign w:val="bottom"/>
          </w:tcPr>
          <w:p>
            <w:pPr>
              <w:ind w:left="60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1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2EEF6"/>
          </w:tcPr>
          <w:p>
            <w:pPr>
              <w:spacing w:after="0"/>
              <w:rPr>
                <w:sz w:val="20"/>
                <w:szCs w:val="20"/>
                <w:color w:val="auto"/>
              </w:rPr>
            </w:pPr>
            <w:r>
              <w:rPr>
                <w:rFonts w:ascii="Arial" w:cs="Arial" w:eastAsia="Arial" w:hAnsi="Arial"/>
                <w:sz w:val="18"/>
                <w:szCs w:val="18"/>
                <w:color w:val="auto"/>
              </w:rPr>
              <w:t>Accrued liabilities</w:t>
            </w:r>
          </w:p>
        </w:tc>
        <w:tc>
          <w:tcPr>
            <w:tcW w:w="2320" w:type="dxa"/>
            <w:vAlign w:val="bottom"/>
            <w:shd w:val="clear" w:color="auto" w:fill="E2EEF6"/>
          </w:tcPr>
          <w:p>
            <w:pPr>
              <w:ind w:left="1080"/>
              <w:spacing w:after="0"/>
              <w:rPr>
                <w:sz w:val="20"/>
                <w:szCs w:val="20"/>
                <w:color w:val="auto"/>
              </w:rPr>
            </w:pPr>
            <w:r>
              <w:rPr>
                <w:rFonts w:ascii="Arial" w:cs="Arial" w:eastAsia="Arial" w:hAnsi="Arial"/>
                <w:sz w:val="18"/>
                <w:szCs w:val="18"/>
                <w:color w:val="auto"/>
              </w:rPr>
              <w:t>$18,483</w:t>
            </w:r>
          </w:p>
        </w:tc>
        <w:tc>
          <w:tcPr>
            <w:tcW w:w="2180" w:type="dxa"/>
            <w:vAlign w:val="bottom"/>
            <w:shd w:val="clear" w:color="auto" w:fill="E2EEF6"/>
          </w:tcPr>
          <w:p>
            <w:pPr>
              <w:ind w:left="1000"/>
              <w:spacing w:after="0"/>
              <w:rPr>
                <w:sz w:val="20"/>
                <w:szCs w:val="20"/>
                <w:color w:val="auto"/>
              </w:rPr>
            </w:pPr>
            <w:r>
              <w:rPr>
                <w:rFonts w:ascii="Arial" w:cs="Arial" w:eastAsia="Arial" w:hAnsi="Arial"/>
                <w:sz w:val="18"/>
                <w:szCs w:val="18"/>
                <w:color w:val="auto"/>
              </w:rPr>
              <w:t>$23,183</w:t>
            </w:r>
          </w:p>
        </w:tc>
        <w:tc>
          <w:tcPr>
            <w:tcW w:w="2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57"/>
        </w:trPr>
        <w:tc>
          <w:tcPr>
            <w:tcW w:w="4180" w:type="dxa"/>
            <w:vAlign w:val="bottom"/>
            <w:gridSpan w:val="2"/>
          </w:tcPr>
          <w:p>
            <w:pPr>
              <w:spacing w:after="0"/>
              <w:rPr>
                <w:sz w:val="20"/>
                <w:szCs w:val="20"/>
                <w:color w:val="auto"/>
              </w:rPr>
            </w:pPr>
            <w:r>
              <w:rPr>
                <w:rFonts w:ascii="Arial" w:cs="Arial" w:eastAsia="Arial" w:hAnsi="Arial"/>
                <w:sz w:val="18"/>
                <w:szCs w:val="18"/>
                <w:color w:val="auto"/>
              </w:rPr>
              <w:t>Accrued bonuses</w:t>
            </w:r>
          </w:p>
        </w:tc>
        <w:tc>
          <w:tcPr>
            <w:tcW w:w="2320" w:type="dxa"/>
            <w:vAlign w:val="bottom"/>
          </w:tcPr>
          <w:p>
            <w:pPr>
              <w:ind w:left="1080"/>
              <w:spacing w:after="0"/>
              <w:rPr>
                <w:sz w:val="20"/>
                <w:szCs w:val="20"/>
                <w:color w:val="auto"/>
              </w:rPr>
            </w:pPr>
            <w:r>
              <w:rPr>
                <w:rFonts w:ascii="Arial" w:cs="Arial" w:eastAsia="Arial" w:hAnsi="Arial"/>
                <w:sz w:val="18"/>
                <w:szCs w:val="18"/>
                <w:color w:val="auto"/>
              </w:rPr>
              <w:t>8,828</w:t>
            </w:r>
          </w:p>
        </w:tc>
        <w:tc>
          <w:tcPr>
            <w:tcW w:w="2180" w:type="dxa"/>
            <w:vAlign w:val="bottom"/>
          </w:tcPr>
          <w:p>
            <w:pPr>
              <w:ind w:left="1000"/>
              <w:spacing w:after="0"/>
              <w:rPr>
                <w:sz w:val="20"/>
                <w:szCs w:val="20"/>
                <w:color w:val="auto"/>
              </w:rPr>
            </w:pPr>
            <w:r>
              <w:rPr>
                <w:rFonts w:ascii="Arial" w:cs="Arial" w:eastAsia="Arial" w:hAnsi="Arial"/>
                <w:sz w:val="18"/>
                <w:szCs w:val="18"/>
                <w:color w:val="auto"/>
              </w:rPr>
              <w:t>7,331</w:t>
            </w:r>
          </w:p>
        </w:tc>
        <w:tc>
          <w:tcPr>
            <w:tcW w:w="2740" w:type="dxa"/>
            <w:vAlign w:val="bottom"/>
          </w:tcPr>
          <w:p>
            <w:pPr>
              <w:ind w:left="48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E2EEF6"/>
          </w:tcPr>
          <w:p>
            <w:pPr>
              <w:spacing w:after="0"/>
              <w:rPr>
                <w:sz w:val="20"/>
                <w:szCs w:val="20"/>
                <w:color w:val="auto"/>
              </w:rPr>
            </w:pPr>
            <w:r>
              <w:rPr>
                <w:rFonts w:ascii="Arial" w:cs="Arial" w:eastAsia="Arial" w:hAnsi="Arial"/>
                <w:sz w:val="18"/>
                <w:szCs w:val="18"/>
                <w:color w:val="auto"/>
              </w:rPr>
              <w:t>Accrued social welfare costs</w:t>
            </w:r>
          </w:p>
        </w:tc>
        <w:tc>
          <w:tcPr>
            <w:tcW w:w="2320" w:type="dxa"/>
            <w:vAlign w:val="bottom"/>
            <w:shd w:val="clear" w:color="auto" w:fill="E2EEF6"/>
          </w:tcPr>
          <w:p>
            <w:pPr>
              <w:ind w:left="1080"/>
              <w:spacing w:after="0"/>
              <w:rPr>
                <w:sz w:val="20"/>
                <w:szCs w:val="20"/>
                <w:color w:val="auto"/>
              </w:rPr>
            </w:pPr>
            <w:r>
              <w:rPr>
                <w:rFonts w:ascii="Arial" w:cs="Arial" w:eastAsia="Arial" w:hAnsi="Arial"/>
                <w:sz w:val="18"/>
                <w:szCs w:val="18"/>
                <w:color w:val="auto"/>
              </w:rPr>
              <w:t>1,899</w:t>
            </w:r>
          </w:p>
        </w:tc>
        <w:tc>
          <w:tcPr>
            <w:tcW w:w="2180" w:type="dxa"/>
            <w:vAlign w:val="bottom"/>
            <w:shd w:val="clear" w:color="auto" w:fill="E2EEF6"/>
          </w:tcPr>
          <w:p>
            <w:pPr>
              <w:ind w:left="1000"/>
              <w:spacing w:after="0"/>
              <w:rPr>
                <w:sz w:val="20"/>
                <w:szCs w:val="20"/>
                <w:color w:val="auto"/>
              </w:rPr>
            </w:pPr>
            <w:r>
              <w:rPr>
                <w:rFonts w:ascii="Arial" w:cs="Arial" w:eastAsia="Arial" w:hAnsi="Arial"/>
                <w:sz w:val="18"/>
                <w:szCs w:val="18"/>
                <w:color w:val="auto"/>
              </w:rPr>
              <w:t>2,016</w:t>
            </w:r>
          </w:p>
        </w:tc>
        <w:tc>
          <w:tcPr>
            <w:tcW w:w="2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Contingent purchase consideration payable</w:t>
            </w:r>
          </w:p>
        </w:tc>
        <w:tc>
          <w:tcPr>
            <w:tcW w:w="2320" w:type="dxa"/>
            <w:vAlign w:val="bottom"/>
          </w:tcPr>
          <w:p>
            <w:pPr>
              <w:ind w:left="1080"/>
              <w:spacing w:after="0"/>
              <w:rPr>
                <w:sz w:val="20"/>
                <w:szCs w:val="20"/>
                <w:color w:val="auto"/>
              </w:rPr>
            </w:pPr>
            <w:r>
              <w:rPr>
                <w:rFonts w:ascii="Arial" w:cs="Arial" w:eastAsia="Arial" w:hAnsi="Arial"/>
                <w:sz w:val="18"/>
                <w:szCs w:val="18"/>
                <w:color w:val="auto"/>
              </w:rPr>
              <w:t>2,506</w:t>
            </w:r>
          </w:p>
        </w:tc>
        <w:tc>
          <w:tcPr>
            <w:tcW w:w="2180" w:type="dxa"/>
            <w:vAlign w:val="bottom"/>
          </w:tcPr>
          <w:p>
            <w:pPr>
              <w:ind w:left="1000"/>
              <w:spacing w:after="0"/>
              <w:rPr>
                <w:sz w:val="20"/>
                <w:szCs w:val="20"/>
                <w:color w:val="auto"/>
              </w:rPr>
            </w:pPr>
            <w:r>
              <w:rPr>
                <w:rFonts w:ascii="Arial" w:cs="Arial" w:eastAsia="Arial" w:hAnsi="Arial"/>
                <w:sz w:val="18"/>
                <w:szCs w:val="18"/>
                <w:color w:val="auto"/>
              </w:rPr>
              <w:t>3,374</w:t>
            </w:r>
          </w:p>
        </w:tc>
        <w:tc>
          <w:tcPr>
            <w:tcW w:w="274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2EEF6"/>
          </w:tcPr>
          <w:p>
            <w:pPr>
              <w:spacing w:after="0"/>
              <w:rPr>
                <w:sz w:val="20"/>
                <w:szCs w:val="20"/>
                <w:color w:val="auto"/>
              </w:rPr>
            </w:pPr>
            <w:r>
              <w:rPr>
                <w:rFonts w:ascii="Arial" w:cs="Arial" w:eastAsia="Arial" w:hAnsi="Arial"/>
                <w:sz w:val="18"/>
                <w:szCs w:val="18"/>
                <w:color w:val="auto"/>
              </w:rPr>
              <w:t>Short term government grants</w:t>
            </w:r>
          </w:p>
        </w:tc>
        <w:tc>
          <w:tcPr>
            <w:tcW w:w="2320" w:type="dxa"/>
            <w:vAlign w:val="bottom"/>
            <w:shd w:val="clear" w:color="auto" w:fill="E2EEF6"/>
          </w:tcPr>
          <w:p>
            <w:pPr>
              <w:ind w:left="1080"/>
              <w:spacing w:after="0"/>
              <w:rPr>
                <w:sz w:val="20"/>
                <w:szCs w:val="20"/>
                <w:color w:val="auto"/>
              </w:rPr>
            </w:pPr>
            <w:r>
              <w:rPr>
                <w:rFonts w:ascii="Arial" w:cs="Arial" w:eastAsia="Arial" w:hAnsi="Arial"/>
                <w:sz w:val="18"/>
                <w:szCs w:val="18"/>
                <w:color w:val="auto"/>
              </w:rPr>
              <w:t>195</w:t>
            </w:r>
          </w:p>
        </w:tc>
        <w:tc>
          <w:tcPr>
            <w:tcW w:w="2180" w:type="dxa"/>
            <w:vAlign w:val="bottom"/>
            <w:shd w:val="clear" w:color="auto" w:fill="E2EEF6"/>
          </w:tcPr>
          <w:p>
            <w:pPr>
              <w:ind w:left="1000"/>
              <w:spacing w:after="0"/>
              <w:rPr>
                <w:sz w:val="20"/>
                <w:szCs w:val="20"/>
                <w:color w:val="auto"/>
              </w:rPr>
            </w:pPr>
            <w:r>
              <w:rPr>
                <w:rFonts w:ascii="Arial" w:cs="Arial" w:eastAsia="Arial" w:hAnsi="Arial"/>
                <w:sz w:val="18"/>
                <w:szCs w:val="18"/>
                <w:color w:val="auto"/>
              </w:rPr>
              <w:t>199</w:t>
            </w:r>
          </w:p>
        </w:tc>
        <w:tc>
          <w:tcPr>
            <w:tcW w:w="2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Accrued pension liability</w:t>
            </w:r>
          </w:p>
        </w:tc>
        <w:tc>
          <w:tcPr>
            <w:tcW w:w="2320" w:type="dxa"/>
            <w:vAlign w:val="bottom"/>
          </w:tcPr>
          <w:p>
            <w:pPr>
              <w:ind w:left="1080"/>
              <w:spacing w:after="0"/>
              <w:rPr>
                <w:sz w:val="20"/>
                <w:szCs w:val="20"/>
                <w:color w:val="auto"/>
              </w:rPr>
            </w:pPr>
            <w:r>
              <w:rPr>
                <w:rFonts w:ascii="Arial" w:cs="Arial" w:eastAsia="Arial" w:hAnsi="Arial"/>
                <w:sz w:val="18"/>
                <w:szCs w:val="18"/>
                <w:color w:val="auto"/>
              </w:rPr>
              <w:t>2,927</w:t>
            </w:r>
          </w:p>
        </w:tc>
        <w:tc>
          <w:tcPr>
            <w:tcW w:w="2180" w:type="dxa"/>
            <w:vAlign w:val="bottom"/>
          </w:tcPr>
          <w:p>
            <w:pPr>
              <w:ind w:left="1000"/>
              <w:spacing w:after="0"/>
              <w:rPr>
                <w:sz w:val="20"/>
                <w:szCs w:val="20"/>
                <w:color w:val="auto"/>
              </w:rPr>
            </w:pPr>
            <w:r>
              <w:rPr>
                <w:rFonts w:ascii="Arial" w:cs="Arial" w:eastAsia="Arial" w:hAnsi="Arial"/>
                <w:sz w:val="18"/>
                <w:szCs w:val="18"/>
                <w:color w:val="auto"/>
              </w:rPr>
              <w:t>3,585</w:t>
            </w:r>
          </w:p>
        </w:tc>
        <w:tc>
          <w:tcPr>
            <w:tcW w:w="2740" w:type="dxa"/>
            <w:vAlign w:val="bottom"/>
          </w:tcPr>
          <w:p>
            <w:pPr>
              <w:ind w:left="48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Short term finance leases (note 17)</w:t>
            </w:r>
          </w:p>
        </w:tc>
        <w:tc>
          <w:tcPr>
            <w:tcW w:w="2320" w:type="dxa"/>
            <w:vAlign w:val="bottom"/>
            <w:tcBorders>
              <w:bottom w:val="single" w:sz="8" w:color="auto"/>
            </w:tcBorders>
            <w:shd w:val="clear" w:color="auto" w:fill="E2EEF6"/>
          </w:tcPr>
          <w:p>
            <w:pPr>
              <w:ind w:left="1080"/>
              <w:spacing w:after="0"/>
              <w:rPr>
                <w:sz w:val="20"/>
                <w:szCs w:val="20"/>
                <w:color w:val="auto"/>
              </w:rPr>
            </w:pPr>
            <w:r>
              <w:rPr>
                <w:rFonts w:ascii="Arial" w:cs="Arial" w:eastAsia="Arial" w:hAnsi="Arial"/>
                <w:sz w:val="18"/>
                <w:szCs w:val="18"/>
                <w:color w:val="auto"/>
              </w:rPr>
              <w:t>253</w:t>
            </w:r>
          </w:p>
        </w:tc>
        <w:tc>
          <w:tcPr>
            <w:tcW w:w="2180" w:type="dxa"/>
            <w:vAlign w:val="bottom"/>
            <w:tcBorders>
              <w:bottom w:val="single" w:sz="8" w:color="auto"/>
            </w:tcBorders>
            <w:shd w:val="clear" w:color="auto" w:fill="E2EEF6"/>
          </w:tcPr>
          <w:p>
            <w:pPr>
              <w:ind w:left="1000"/>
              <w:spacing w:after="0"/>
              <w:rPr>
                <w:sz w:val="20"/>
                <w:szCs w:val="20"/>
                <w:color w:val="auto"/>
              </w:rPr>
            </w:pPr>
            <w:r>
              <w:rPr>
                <w:rFonts w:ascii="Arial" w:cs="Arial" w:eastAsia="Arial" w:hAnsi="Arial"/>
                <w:sz w:val="18"/>
                <w:szCs w:val="18"/>
                <w:color w:val="auto"/>
              </w:rPr>
              <w:t>202</w:t>
            </w:r>
          </w:p>
        </w:tc>
        <w:tc>
          <w:tcPr>
            <w:tcW w:w="2740" w:type="dxa"/>
            <w:vAlign w:val="bottom"/>
            <w:tcBorders>
              <w:bottom w:val="single" w:sz="8" w:color="auto"/>
            </w:tcBorders>
            <w:shd w:val="clear" w:color="auto" w:fill="E2EEF6"/>
          </w:tcPr>
          <w:p>
            <w:pPr>
              <w:ind w:left="4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auto"/>
            </w:tcBorders>
            <w:shd w:val="clear" w:color="auto" w:fill="E2EEF6"/>
          </w:tcPr>
          <w:p>
            <w:pPr>
              <w:spacing w:after="0"/>
              <w:rPr>
                <w:sz w:val="20"/>
                <w:szCs w:val="20"/>
                <w:color w:val="auto"/>
              </w:rPr>
            </w:pPr>
          </w:p>
        </w:tc>
        <w:tc>
          <w:tcPr>
            <w:tcW w:w="2320" w:type="dxa"/>
            <w:vAlign w:val="bottom"/>
            <w:tcBorders>
              <w:bottom w:val="single" w:sz="8" w:color="auto"/>
            </w:tcBorders>
            <w:shd w:val="clear" w:color="auto" w:fill="E2EEF6"/>
          </w:tcPr>
          <w:p>
            <w:pPr>
              <w:ind w:left="1080"/>
              <w:spacing w:after="0"/>
              <w:rPr>
                <w:sz w:val="20"/>
                <w:szCs w:val="20"/>
                <w:color w:val="auto"/>
              </w:rPr>
            </w:pPr>
            <w:r>
              <w:rPr>
                <w:rFonts w:ascii="Arial" w:cs="Arial" w:eastAsia="Arial" w:hAnsi="Arial"/>
                <w:sz w:val="18"/>
                <w:szCs w:val="18"/>
                <w:color w:val="auto"/>
              </w:rPr>
              <w:t>$35,091</w:t>
            </w:r>
          </w:p>
        </w:tc>
        <w:tc>
          <w:tcPr>
            <w:tcW w:w="2180" w:type="dxa"/>
            <w:vAlign w:val="bottom"/>
            <w:tcBorders>
              <w:bottom w:val="single" w:sz="8" w:color="auto"/>
            </w:tcBorders>
            <w:shd w:val="clear" w:color="auto" w:fill="E2EEF6"/>
          </w:tcPr>
          <w:p>
            <w:pPr>
              <w:ind w:left="1000"/>
              <w:spacing w:after="0"/>
              <w:rPr>
                <w:sz w:val="20"/>
                <w:szCs w:val="20"/>
                <w:color w:val="auto"/>
              </w:rPr>
            </w:pPr>
            <w:r>
              <w:rPr>
                <w:rFonts w:ascii="Arial" w:cs="Arial" w:eastAsia="Arial" w:hAnsi="Arial"/>
                <w:sz w:val="18"/>
                <w:szCs w:val="18"/>
                <w:color w:val="auto"/>
              </w:rPr>
              <w:t>$39,890</w:t>
            </w:r>
          </w:p>
        </w:tc>
        <w:tc>
          <w:tcPr>
            <w:tcW w:w="2740" w:type="dxa"/>
            <w:vAlign w:val="bottom"/>
            <w:tcBorders>
              <w:bottom w:val="single" w:sz="8" w:color="auto"/>
            </w:tcBorders>
            <w:shd w:val="clear" w:color="auto" w:fill="E2EEF6"/>
          </w:tcPr>
          <w:p>
            <w:pPr>
              <w:ind w:left="480"/>
              <w:spacing w:after="0"/>
              <w:rPr>
                <w:sz w:val="20"/>
                <w:szCs w:val="20"/>
                <w:color w:val="auto"/>
              </w:rPr>
            </w:pPr>
            <w:r>
              <w:rPr>
                <w:rFonts w:ascii="Arial" w:cs="Arial" w:eastAsia="Arial" w:hAnsi="Arial"/>
                <w:sz w:val="18"/>
                <w:szCs w:val="18"/>
                <w:color w:val="auto"/>
              </w:rPr>
              <w:t>$33,184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8. Bank Loans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short-term bank loan facilities as follows: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December 31, 2005, the full amount of the term loan facility was available to be drawn down and $0.1 million of the multi currency overdraft was available to be drawn down. ICON Clinical Research, Inc. (a subsidiary of ICON plc) is entitled to make borrowings under a revolving credit facility of $15 million. As at December 31, 2005, the full amount of this facility was available to be drawn down.</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entered into an overdraft agreement with Allied Irish Banks, plc (“AIB”) whereby the company guarantees any overdraft of its subsidiary ICON Clinical Research GmbH up to an amount €120,000 (U.S.$142,128). As of December 31, 2005, the full facility was available to be drawn down.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Contributions to this plan are recorded, as expense in the Consolidated Statement of Operations. Contributions for the years ended May 31, 2003, 2004, 2005 and the seven month period ending December 31, 2005 were U.S.$1,649,793, U.S.$2,297,928, and U.S.$3,443,374, and U.S.$2,112,184 respectively.</w:t>
      </w:r>
    </w:p>
    <w:p>
      <w:pPr>
        <w:spacing w:after="0" w:line="24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2003, 2004, 2005 and the seven month period ending December 31, 2005 were U.S.$ 1,811,156, U.S.$ 2,389,757, U.S.$2,539,760 and U.S.$1,587,626 respectively.</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2004, 2005 and December 31, 2005 consist of units held in independently administered funds. The pension costs of this plan are presented in the following tables in accordance with the requirements of SFAS No.132(R), “Employees’ Disclosures about Pensions and Other Post-retirement Benefits”.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25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58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b w:val="1"/>
                <w:bCs w:val="1"/>
                <w:color w:val="auto"/>
                <w:w w:val="98"/>
              </w:rPr>
              <w:t>(in thousands)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2EEF6"/>
          </w:tcPr>
          <w:p>
            <w:pPr>
              <w:spacing w:after="0"/>
              <w:rPr>
                <w:sz w:val="20"/>
                <w:szCs w:val="20"/>
                <w:color w:val="auto"/>
              </w:rPr>
            </w:pPr>
            <w:r>
              <w:rPr>
                <w:rFonts w:ascii="Arial" w:cs="Arial" w:eastAsia="Arial" w:hAnsi="Arial"/>
                <w:sz w:val="18"/>
                <w:szCs w:val="18"/>
                <w:color w:val="auto"/>
              </w:rPr>
              <w:t>Benefit obligation at beginning of year/period</w:t>
            </w:r>
          </w:p>
        </w:tc>
        <w:tc>
          <w:tcPr>
            <w:tcW w:w="25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$7,207</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$9,056</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Service cost</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714</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832</w:t>
            </w:r>
          </w:p>
        </w:tc>
        <w:tc>
          <w:tcPr>
            <w:tcW w:w="140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2EEF6"/>
          </w:tcPr>
          <w:p>
            <w:pPr>
              <w:spacing w:after="0"/>
              <w:rPr>
                <w:sz w:val="20"/>
                <w:szCs w:val="20"/>
                <w:color w:val="auto"/>
              </w:rPr>
            </w:pPr>
            <w:r>
              <w:rPr>
                <w:rFonts w:ascii="Arial" w:cs="Arial" w:eastAsia="Arial" w:hAnsi="Arial"/>
                <w:sz w:val="18"/>
                <w:szCs w:val="18"/>
                <w:color w:val="auto"/>
              </w:rPr>
              <w:t>Interest cost</w:t>
            </w:r>
          </w:p>
        </w:tc>
        <w:tc>
          <w:tcPr>
            <w:tcW w:w="25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388</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559</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256</w:t>
            </w: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2EEF6"/>
          </w:tcPr>
          <w:p>
            <w:pPr>
              <w:spacing w:after="0"/>
              <w:rPr>
                <w:sz w:val="20"/>
                <w:szCs w:val="20"/>
                <w:color w:val="auto"/>
              </w:rPr>
            </w:pPr>
            <w:r>
              <w:rPr>
                <w:rFonts w:ascii="Arial" w:cs="Arial" w:eastAsia="Arial" w:hAnsi="Arial"/>
                <w:sz w:val="18"/>
                <w:szCs w:val="18"/>
                <w:color w:val="auto"/>
              </w:rPr>
              <w:t>Benefits paid</w:t>
            </w:r>
          </w:p>
        </w:tc>
        <w:tc>
          <w:tcPr>
            <w:tcW w:w="25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(62)</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(117)</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Actuarial loss</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819</w:t>
            </w:r>
          </w:p>
        </w:tc>
        <w:tc>
          <w:tcPr>
            <w:tcW w:w="1400" w:type="dxa"/>
            <w:vAlign w:val="bottom"/>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2EEF6"/>
          </w:tcPr>
          <w:p>
            <w:pPr>
              <w:spacing w:after="0"/>
              <w:rPr>
                <w:sz w:val="20"/>
                <w:szCs w:val="20"/>
                <w:color w:val="auto"/>
              </w:rPr>
            </w:pPr>
            <w:r>
              <w:rPr>
                <w:rFonts w:ascii="Arial" w:cs="Arial" w:eastAsia="Arial" w:hAnsi="Arial"/>
                <w:sz w:val="18"/>
                <w:szCs w:val="18"/>
                <w:color w:val="auto"/>
              </w:rPr>
              <w:t>Foreign currency exchange rate changes</w:t>
            </w:r>
          </w:p>
        </w:tc>
        <w:tc>
          <w:tcPr>
            <w:tcW w:w="25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927</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(82)</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b w:val="1"/>
                <w:bCs w:val="1"/>
                <w:color w:val="auto"/>
              </w:rPr>
              <w:t>Benefit obligation at end of year/period</w:t>
            </w:r>
          </w:p>
        </w:tc>
        <w:tc>
          <w:tcPr>
            <w:tcW w:w="2580" w:type="dxa"/>
            <w:vAlign w:val="bottom"/>
            <w:tcBorders>
              <w:bottom w:val="single" w:sz="8" w:color="auto"/>
            </w:tcBorders>
            <w:shd w:val="clear" w:color="auto" w:fill="E2EEF6"/>
          </w:tcPr>
          <w:p>
            <w:pPr>
              <w:jc w:val="right"/>
              <w:ind w:right="70"/>
              <w:spacing w:after="0"/>
              <w:rPr>
                <w:sz w:val="20"/>
                <w:szCs w:val="20"/>
                <w:color w:val="auto"/>
              </w:rPr>
            </w:pPr>
            <w:r>
              <w:rPr>
                <w:rFonts w:ascii="Arial" w:cs="Arial" w:eastAsia="Arial" w:hAnsi="Arial"/>
                <w:sz w:val="18"/>
                <w:szCs w:val="18"/>
                <w:color w:val="auto"/>
              </w:rPr>
              <w:t>$9,056</w:t>
            </w:r>
          </w:p>
        </w:tc>
        <w:tc>
          <w:tcPr>
            <w:tcW w:w="2320" w:type="dxa"/>
            <w:vAlign w:val="bottom"/>
            <w:tcBorders>
              <w:bottom w:val="single" w:sz="8" w:color="auto"/>
            </w:tcBorders>
            <w:shd w:val="clear" w:color="auto" w:fill="E2EEF6"/>
          </w:tcPr>
          <w:p>
            <w:pPr>
              <w:jc w:val="right"/>
              <w:ind w:right="250"/>
              <w:spacing w:after="0"/>
              <w:rPr>
                <w:sz w:val="20"/>
                <w:szCs w:val="20"/>
                <w:color w:val="auto"/>
              </w:rPr>
            </w:pPr>
            <w:r>
              <w:rPr>
                <w:rFonts w:ascii="Arial" w:cs="Arial" w:eastAsia="Arial" w:hAnsi="Arial"/>
                <w:sz w:val="18"/>
                <w:szCs w:val="18"/>
                <w:color w:val="auto"/>
              </w:rPr>
              <w:t>$11,323</w:t>
            </w:r>
          </w:p>
        </w:tc>
        <w:tc>
          <w:tcPr>
            <w:tcW w:w="14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$13,243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3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b w:val="1"/>
                <w:bCs w:val="1"/>
                <w:color w:val="auto"/>
                <w:w w:val="98"/>
              </w:rPr>
              <w:t>(in thousands)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2EEF6"/>
          </w:tcPr>
          <w:p>
            <w:pPr>
              <w:spacing w:after="0"/>
              <w:rPr>
                <w:sz w:val="20"/>
                <w:szCs w:val="20"/>
                <w:color w:val="auto"/>
              </w:rPr>
            </w:pPr>
            <w:r>
              <w:rPr>
                <w:rFonts w:ascii="Arial" w:cs="Arial" w:eastAsia="Arial" w:hAnsi="Arial"/>
                <w:sz w:val="18"/>
                <w:szCs w:val="18"/>
                <w:color w:val="auto"/>
              </w:rPr>
              <w:t>Fair value of plan assets at beginning of year/period</w:t>
            </w:r>
          </w:p>
        </w:tc>
        <w:tc>
          <w:tcPr>
            <w:tcW w:w="23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$4,378</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$6,129</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371</w:t>
            </w:r>
          </w:p>
        </w:tc>
        <w:tc>
          <w:tcPr>
            <w:tcW w:w="140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2EEF6"/>
          </w:tcPr>
          <w:p>
            <w:pPr>
              <w:spacing w:after="0"/>
              <w:rPr>
                <w:sz w:val="20"/>
                <w:szCs w:val="20"/>
                <w:color w:val="auto"/>
              </w:rPr>
            </w:pPr>
            <w:r>
              <w:rPr>
                <w:rFonts w:ascii="Arial" w:cs="Arial" w:eastAsia="Arial" w:hAnsi="Arial"/>
                <w:sz w:val="18"/>
                <w:szCs w:val="18"/>
                <w:color w:val="auto"/>
              </w:rPr>
              <w:t>Employer contributions</w:t>
            </w:r>
          </w:p>
        </w:tc>
        <w:tc>
          <w:tcPr>
            <w:tcW w:w="23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657</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765</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256</w:t>
            </w:r>
          </w:p>
        </w:tc>
        <w:tc>
          <w:tcPr>
            <w:tcW w:w="14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2EEF6"/>
          </w:tcPr>
          <w:p>
            <w:pPr>
              <w:spacing w:after="0"/>
              <w:rPr>
                <w:sz w:val="20"/>
                <w:szCs w:val="20"/>
                <w:color w:val="auto"/>
              </w:rPr>
            </w:pPr>
            <w:r>
              <w:rPr>
                <w:rFonts w:ascii="Arial" w:cs="Arial" w:eastAsia="Arial" w:hAnsi="Arial"/>
                <w:sz w:val="18"/>
                <w:szCs w:val="18"/>
                <w:color w:val="auto"/>
              </w:rPr>
              <w:t>Benefits paid</w:t>
            </w:r>
          </w:p>
        </w:tc>
        <w:tc>
          <w:tcPr>
            <w:tcW w:w="23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(62)</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(117)</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598</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40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Borders>
              <w:bottom w:val="single" w:sz="8" w:color="auto"/>
            </w:tcBorders>
            <w:shd w:val="clear" w:color="auto" w:fill="E2EEF6"/>
          </w:tcPr>
          <w:p>
            <w:pPr>
              <w:spacing w:after="0"/>
              <w:rPr>
                <w:sz w:val="21"/>
                <w:szCs w:val="21"/>
                <w:color w:val="auto"/>
              </w:rPr>
            </w:pPr>
          </w:p>
        </w:tc>
        <w:tc>
          <w:tcPr>
            <w:tcW w:w="2380" w:type="dxa"/>
            <w:vAlign w:val="bottom"/>
            <w:tcBorders>
              <w:bottom w:val="single" w:sz="8" w:color="auto"/>
            </w:tcBorders>
            <w:shd w:val="clear" w:color="auto" w:fill="E2EEF6"/>
          </w:tcPr>
          <w:p>
            <w:pPr>
              <w:spacing w:after="0"/>
              <w:rPr>
                <w:sz w:val="21"/>
                <w:szCs w:val="21"/>
                <w:color w:val="auto"/>
              </w:rPr>
            </w:pPr>
          </w:p>
        </w:tc>
        <w:tc>
          <w:tcPr>
            <w:tcW w:w="23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year/period</w:t>
            </w:r>
          </w:p>
        </w:tc>
        <w:tc>
          <w:tcPr>
            <w:tcW w:w="2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$6,129</w:t>
            </w:r>
          </w:p>
        </w:tc>
        <w:tc>
          <w:tcPr>
            <w:tcW w:w="2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$7,354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Funded status</w:t>
            </w: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b w:val="1"/>
                <w:bCs w:val="1"/>
                <w:color w:val="auto"/>
                <w:w w:val="98"/>
              </w:rPr>
              <w:t>(in thousands)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2EEF6"/>
          </w:tcPr>
          <w:p>
            <w:pPr>
              <w:spacing w:after="0"/>
              <w:rPr>
                <w:sz w:val="20"/>
                <w:szCs w:val="20"/>
                <w:color w:val="auto"/>
              </w:rPr>
            </w:pPr>
            <w:r>
              <w:rPr>
                <w:rFonts w:ascii="Arial" w:cs="Arial" w:eastAsia="Arial" w:hAnsi="Arial"/>
                <w:sz w:val="18"/>
                <w:szCs w:val="18"/>
                <w:color w:val="auto"/>
              </w:rPr>
              <w:t>Funded status</w:t>
            </w:r>
          </w:p>
        </w:tc>
        <w:tc>
          <w:tcPr>
            <w:tcW w:w="344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$(2,927)</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$(3,585)</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Unrecognized net loss</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auto"/>
            </w:tcBorders>
            <w:shd w:val="clear" w:color="auto" w:fill="E2EEF6"/>
          </w:tcPr>
          <w:p>
            <w:pPr>
              <w:spacing w:after="0"/>
              <w:rPr>
                <w:sz w:val="21"/>
                <w:szCs w:val="21"/>
                <w:color w:val="auto"/>
              </w:rPr>
            </w:pPr>
          </w:p>
        </w:tc>
        <w:tc>
          <w:tcPr>
            <w:tcW w:w="3440" w:type="dxa"/>
            <w:vAlign w:val="bottom"/>
            <w:tcBorders>
              <w:bottom w:val="single" w:sz="8" w:color="auto"/>
            </w:tcBorders>
            <w:shd w:val="clear" w:color="auto" w:fill="E2EEF6"/>
          </w:tcPr>
          <w:p>
            <w:pPr>
              <w:spacing w:after="0"/>
              <w:rPr>
                <w:sz w:val="21"/>
                <w:szCs w:val="21"/>
                <w:color w:val="auto"/>
              </w:rPr>
            </w:pPr>
          </w:p>
        </w:tc>
        <w:tc>
          <w:tcPr>
            <w:tcW w:w="23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Pension liability</w:t>
            </w:r>
          </w:p>
        </w:tc>
        <w:tc>
          <w:tcPr>
            <w:tcW w:w="3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$(2,927)</w:t>
            </w:r>
          </w:p>
        </w:tc>
        <w:tc>
          <w:tcPr>
            <w:tcW w:w="2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$(3,585)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160" w:type="dxa"/>
            <w:vAlign w:val="bottom"/>
          </w:tcPr>
          <w:p>
            <w:pPr>
              <w:jc w:val="right"/>
              <w:ind w:right="1371"/>
              <w:spacing w:after="0"/>
              <w:rPr>
                <w:sz w:val="20"/>
                <w:szCs w:val="20"/>
                <w:color w:val="auto"/>
              </w:rPr>
            </w:pPr>
            <w:r>
              <w:rPr>
                <w:rFonts w:ascii="Arial" w:cs="Arial" w:eastAsia="Arial" w:hAnsi="Arial"/>
                <w:sz w:val="18"/>
                <w:szCs w:val="18"/>
                <w:b w:val="1"/>
                <w:bCs w:val="1"/>
                <w:color w:val="auto"/>
              </w:rPr>
              <w:t>May 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the balance sheet consists of:</w:t>
            </w:r>
          </w:p>
        </w:tc>
        <w:tc>
          <w:tcPr>
            <w:tcW w:w="4160" w:type="dxa"/>
            <w:vAlign w:val="bottom"/>
          </w:tcPr>
          <w:p>
            <w:pPr>
              <w:jc w:val="right"/>
              <w:ind w:right="1371"/>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7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2EEF6"/>
          </w:tcPr>
          <w:p>
            <w:pPr>
              <w:spacing w:after="0"/>
              <w:rPr>
                <w:sz w:val="20"/>
                <w:szCs w:val="20"/>
                <w:color w:val="auto"/>
              </w:rPr>
            </w:pPr>
            <w:r>
              <w:rPr>
                <w:rFonts w:ascii="Arial" w:cs="Arial" w:eastAsia="Arial" w:hAnsi="Arial"/>
                <w:sz w:val="18"/>
                <w:szCs w:val="18"/>
                <w:color w:val="auto"/>
              </w:rPr>
              <w:t>Accrued benefit cost</w:t>
            </w:r>
          </w:p>
        </w:tc>
        <w:tc>
          <w:tcPr>
            <w:tcW w:w="4160" w:type="dxa"/>
            <w:vAlign w:val="bottom"/>
            <w:shd w:val="clear" w:color="auto" w:fill="E2EEF6"/>
          </w:tcPr>
          <w:p>
            <w:pPr>
              <w:jc w:val="right"/>
              <w:ind w:right="1371"/>
              <w:spacing w:after="0"/>
              <w:rPr>
                <w:sz w:val="20"/>
                <w:szCs w:val="20"/>
                <w:color w:val="auto"/>
              </w:rPr>
            </w:pPr>
            <w:r>
              <w:rPr>
                <w:rFonts w:ascii="Arial" w:cs="Arial" w:eastAsia="Arial" w:hAnsi="Arial"/>
                <w:sz w:val="18"/>
                <w:szCs w:val="18"/>
                <w:color w:val="auto"/>
              </w:rPr>
              <w:t>$(2,927)</w:t>
            </w: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8"/>
              </w:rPr>
              <w:t>$(3,585)</w:t>
            </w:r>
          </w:p>
        </w:tc>
        <w:tc>
          <w:tcPr>
            <w:tcW w:w="780" w:type="dxa"/>
            <w:vAlign w:val="bottom"/>
            <w:shd w:val="clear" w:color="auto" w:fill="E2EEF6"/>
          </w:tcPr>
          <w:p>
            <w:pPr>
              <w:spacing w:after="0"/>
              <w:rPr>
                <w:sz w:val="18"/>
                <w:szCs w:val="18"/>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income</w:t>
            </w:r>
          </w:p>
        </w:tc>
        <w:tc>
          <w:tcPr>
            <w:tcW w:w="4160" w:type="dxa"/>
            <w:vAlign w:val="bottom"/>
            <w:tcBorders>
              <w:bottom w:val="single" w:sz="8" w:color="auto"/>
            </w:tcBorders>
          </w:tcPr>
          <w:p>
            <w:pPr>
              <w:jc w:val="right"/>
              <w:ind w:right="13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b w:val="1"/>
                <w:bCs w:val="1"/>
                <w:color w:val="auto"/>
              </w:rPr>
              <w:t>Net amount recognized</w:t>
            </w:r>
          </w:p>
        </w:tc>
        <w:tc>
          <w:tcPr>
            <w:tcW w:w="4160" w:type="dxa"/>
            <w:vAlign w:val="bottom"/>
            <w:tcBorders>
              <w:bottom w:val="single" w:sz="8" w:color="auto"/>
            </w:tcBorders>
            <w:shd w:val="clear" w:color="auto" w:fill="E2EEF6"/>
          </w:tcPr>
          <w:p>
            <w:pPr>
              <w:jc w:val="right"/>
              <w:ind w:right="1371"/>
              <w:spacing w:after="0"/>
              <w:rPr>
                <w:sz w:val="20"/>
                <w:szCs w:val="20"/>
                <w:color w:val="auto"/>
              </w:rPr>
            </w:pPr>
            <w:r>
              <w:rPr>
                <w:rFonts w:ascii="Arial" w:cs="Arial" w:eastAsia="Arial" w:hAnsi="Arial"/>
                <w:sz w:val="18"/>
                <w:szCs w:val="18"/>
                <w:color w:val="auto"/>
              </w:rPr>
              <w:t>$(2,927)</w:t>
            </w:r>
          </w:p>
        </w:tc>
        <w:tc>
          <w:tcPr>
            <w:tcW w:w="7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98"/>
              </w:rPr>
              <w:t>$(3,585)</w:t>
            </w:r>
          </w:p>
        </w:tc>
        <w:tc>
          <w:tcPr>
            <w:tcW w:w="780" w:type="dxa"/>
            <w:vAlign w:val="bottom"/>
            <w:tcBorders>
              <w:bottom w:val="single" w:sz="8" w:color="auto"/>
            </w:tcBorders>
            <w:shd w:val="clear" w:color="auto" w:fill="E2EEF6"/>
          </w:tcPr>
          <w:p>
            <w:pPr>
              <w:spacing w:after="0"/>
              <w:rPr>
                <w:sz w:val="18"/>
                <w:szCs w:val="18"/>
                <w:color w:val="auto"/>
              </w:rPr>
            </w:pPr>
          </w:p>
        </w:tc>
        <w:tc>
          <w:tcPr>
            <w:tcW w:w="8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Information for pension plans with an accumulated</w:t>
            </w:r>
          </w:p>
        </w:tc>
        <w:tc>
          <w:tcPr>
            <w:tcW w:w="4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benefit obligation in excess of plan assets</w:t>
            </w:r>
          </w:p>
        </w:tc>
        <w:tc>
          <w:tcPr>
            <w:tcW w:w="4160" w:type="dxa"/>
            <w:vAlign w:val="bottom"/>
          </w:tcPr>
          <w:p>
            <w:pPr>
              <w:jc w:val="right"/>
              <w:ind w:right="211"/>
              <w:spacing w:after="0"/>
              <w:rPr>
                <w:sz w:val="20"/>
                <w:szCs w:val="20"/>
                <w:color w:val="auto"/>
              </w:rPr>
            </w:pPr>
            <w:r>
              <w:rPr>
                <w:rFonts w:ascii="Arial" w:cs="Arial" w:eastAsia="Arial" w:hAnsi="Arial"/>
                <w:sz w:val="18"/>
                <w:szCs w:val="18"/>
                <w:b w:val="1"/>
                <w:bCs w:val="1"/>
                <w:color w:val="auto"/>
              </w:rPr>
              <w:t>May 31,</w:t>
            </w:r>
          </w:p>
        </w:tc>
        <w:tc>
          <w:tcPr>
            <w:tcW w:w="7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160" w:type="dxa"/>
            <w:vAlign w:val="bottom"/>
          </w:tcPr>
          <w:p>
            <w:pPr>
              <w:jc w:val="right"/>
              <w:ind w:right="211"/>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160" w:type="dxa"/>
            <w:vAlign w:val="bottom"/>
          </w:tcPr>
          <w:p>
            <w:pPr>
              <w:jc w:val="right"/>
              <w:ind w:right="471"/>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2EEF6"/>
          </w:tcPr>
          <w:p>
            <w:pPr>
              <w:spacing w:after="0"/>
              <w:rPr>
                <w:sz w:val="20"/>
                <w:szCs w:val="20"/>
                <w:color w:val="auto"/>
              </w:rPr>
            </w:pPr>
            <w:r>
              <w:rPr>
                <w:rFonts w:ascii="Arial" w:cs="Arial" w:eastAsia="Arial" w:hAnsi="Arial"/>
                <w:sz w:val="18"/>
                <w:szCs w:val="18"/>
                <w:color w:val="auto"/>
              </w:rPr>
              <w:t>Projected benefit obligation</w:t>
            </w:r>
          </w:p>
        </w:tc>
        <w:tc>
          <w:tcPr>
            <w:tcW w:w="4160" w:type="dxa"/>
            <w:vAlign w:val="bottom"/>
            <w:shd w:val="clear" w:color="auto" w:fill="E2EEF6"/>
          </w:tcPr>
          <w:p>
            <w:pPr>
              <w:jc w:val="right"/>
              <w:ind w:right="211"/>
              <w:spacing w:after="0"/>
              <w:rPr>
                <w:sz w:val="20"/>
                <w:szCs w:val="20"/>
                <w:color w:val="auto"/>
              </w:rPr>
            </w:pPr>
            <w:r>
              <w:rPr>
                <w:rFonts w:ascii="Arial" w:cs="Arial" w:eastAsia="Arial" w:hAnsi="Arial"/>
                <w:sz w:val="18"/>
                <w:szCs w:val="18"/>
                <w:color w:val="auto"/>
              </w:rPr>
              <w:t>$9,056</w:t>
            </w:r>
          </w:p>
        </w:tc>
        <w:tc>
          <w:tcPr>
            <w:tcW w:w="760" w:type="dxa"/>
            <w:vAlign w:val="bottom"/>
            <w:shd w:val="clear" w:color="auto" w:fill="E2EEF6"/>
          </w:tcPr>
          <w:p>
            <w:pPr>
              <w:spacing w:after="0"/>
              <w:rPr>
                <w:sz w:val="18"/>
                <w:szCs w:val="18"/>
                <w:color w:val="auto"/>
              </w:rPr>
            </w:pPr>
          </w:p>
        </w:tc>
        <w:tc>
          <w:tcPr>
            <w:tcW w:w="7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$11,323</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4160" w:type="dxa"/>
            <w:vAlign w:val="bottom"/>
          </w:tcPr>
          <w:p>
            <w:pPr>
              <w:jc w:val="right"/>
              <w:ind w:right="211"/>
              <w:spacing w:after="0"/>
              <w:rPr>
                <w:sz w:val="20"/>
                <w:szCs w:val="20"/>
                <w:color w:val="auto"/>
              </w:rPr>
            </w:pPr>
            <w:r>
              <w:rPr>
                <w:rFonts w:ascii="Arial" w:cs="Arial" w:eastAsia="Arial" w:hAnsi="Arial"/>
                <w:sz w:val="18"/>
                <w:szCs w:val="18"/>
                <w:color w:val="auto"/>
              </w:rPr>
              <w:t>9,056</w:t>
            </w:r>
          </w:p>
        </w:tc>
        <w:tc>
          <w:tcPr>
            <w:tcW w:w="7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11,323</w:t>
            </w:r>
          </w:p>
        </w:tc>
        <w:tc>
          <w:tcPr>
            <w:tcW w:w="880" w:type="dxa"/>
            <w:vAlign w:val="bottom"/>
          </w:tcPr>
          <w:p>
            <w:pPr>
              <w:jc w:val="right"/>
              <w:spacing w:after="0"/>
              <w:rPr>
                <w:sz w:val="20"/>
                <w:szCs w:val="20"/>
                <w:color w:val="auto"/>
              </w:rPr>
            </w:pPr>
            <w:r>
              <w:rPr>
                <w:rFonts w:ascii="Arial" w:cs="Arial" w:eastAsia="Arial" w:hAnsi="Arial"/>
                <w:sz w:val="18"/>
                <w:szCs w:val="18"/>
                <w:color w:val="auto"/>
              </w:rPr>
              <w:t>13,243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2EEF6"/>
          </w:tcPr>
          <w:p>
            <w:pPr>
              <w:spacing w:after="0"/>
              <w:rPr>
                <w:sz w:val="20"/>
                <w:szCs w:val="20"/>
                <w:color w:val="auto"/>
              </w:rPr>
            </w:pPr>
            <w:r>
              <w:rPr>
                <w:rFonts w:ascii="Arial" w:cs="Arial" w:eastAsia="Arial" w:hAnsi="Arial"/>
                <w:sz w:val="18"/>
                <w:szCs w:val="18"/>
                <w:color w:val="auto"/>
              </w:rPr>
              <w:t>Fair value of assets</w:t>
            </w:r>
          </w:p>
        </w:tc>
        <w:tc>
          <w:tcPr>
            <w:tcW w:w="4160" w:type="dxa"/>
            <w:vAlign w:val="bottom"/>
            <w:shd w:val="clear" w:color="auto" w:fill="E2EEF6"/>
          </w:tcPr>
          <w:p>
            <w:pPr>
              <w:jc w:val="right"/>
              <w:ind w:right="211"/>
              <w:spacing w:after="0"/>
              <w:rPr>
                <w:sz w:val="20"/>
                <w:szCs w:val="20"/>
                <w:color w:val="auto"/>
              </w:rPr>
            </w:pPr>
            <w:r>
              <w:rPr>
                <w:rFonts w:ascii="Arial" w:cs="Arial" w:eastAsia="Arial" w:hAnsi="Arial"/>
                <w:sz w:val="18"/>
                <w:szCs w:val="18"/>
                <w:color w:val="auto"/>
              </w:rPr>
              <w:t>6,129</w:t>
            </w:r>
          </w:p>
        </w:tc>
        <w:tc>
          <w:tcPr>
            <w:tcW w:w="760" w:type="dxa"/>
            <w:vAlign w:val="bottom"/>
            <w:shd w:val="clear" w:color="auto" w:fill="E2EEF6"/>
          </w:tcPr>
          <w:p>
            <w:pPr>
              <w:spacing w:after="0"/>
              <w:rPr>
                <w:sz w:val="18"/>
                <w:szCs w:val="18"/>
                <w:color w:val="auto"/>
              </w:rPr>
            </w:pPr>
          </w:p>
        </w:tc>
        <w:tc>
          <w:tcPr>
            <w:tcW w:w="7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7,354</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160" w:type="dxa"/>
            <w:vAlign w:val="bottom"/>
          </w:tcPr>
          <w:p>
            <w:pPr>
              <w:jc w:val="right"/>
              <w:ind w:right="3131"/>
              <w:spacing w:after="0"/>
              <w:rPr>
                <w:sz w:val="20"/>
                <w:szCs w:val="20"/>
                <w:color w:val="auto"/>
              </w:rPr>
            </w:pPr>
            <w:r>
              <w:rPr>
                <w:rFonts w:ascii="Arial" w:cs="Arial" w:eastAsia="Arial" w:hAnsi="Arial"/>
                <w:sz w:val="14"/>
                <w:szCs w:val="14"/>
                <w:color w:val="auto"/>
              </w:rPr>
              <w:t>64</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The net periodic pension cost was comprised of the following:</w:t>
            </w:r>
          </w:p>
        </w:tc>
        <w:tc>
          <w:tcPr>
            <w:tcW w:w="18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jc w:val="right"/>
              <w:ind w:right="990"/>
              <w:spacing w:after="0"/>
              <w:rPr>
                <w:sz w:val="20"/>
                <w:szCs w:val="20"/>
                <w:color w:val="auto"/>
              </w:rPr>
            </w:pPr>
            <w:r>
              <w:rPr>
                <w:rFonts w:ascii="Arial" w:cs="Arial" w:eastAsia="Arial" w:hAnsi="Arial"/>
                <w:sz w:val="18"/>
                <w:szCs w:val="18"/>
                <w:b w:val="1"/>
                <w:bCs w:val="1"/>
                <w:color w:val="auto"/>
                <w:w w:val="98"/>
              </w:rPr>
              <w:t>(in thousands)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color w:val="auto"/>
              </w:rPr>
              <w:t>Service cost</w:t>
            </w:r>
          </w:p>
        </w:tc>
        <w:tc>
          <w:tcPr>
            <w:tcW w:w="18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$714</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$832</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cost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559</w:t>
            </w: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Expected return on plan assets</w:t>
            </w:r>
          </w:p>
        </w:tc>
        <w:tc>
          <w:tcPr>
            <w:tcW w:w="1880" w:type="dxa"/>
            <w:vAlign w:val="bottom"/>
            <w:tcBorders>
              <w:bottom w:val="single" w:sz="8" w:color="auto"/>
            </w:tcBorders>
            <w:shd w:val="clear" w:color="auto" w:fill="E2EEF6"/>
          </w:tcPr>
          <w:p>
            <w:pPr>
              <w:jc w:val="right"/>
              <w:ind w:right="70"/>
              <w:spacing w:after="0"/>
              <w:rPr>
                <w:sz w:val="20"/>
                <w:szCs w:val="20"/>
                <w:color w:val="auto"/>
              </w:rPr>
            </w:pPr>
            <w:r>
              <w:rPr>
                <w:rFonts w:ascii="Arial" w:cs="Arial" w:eastAsia="Arial" w:hAnsi="Arial"/>
                <w:sz w:val="18"/>
                <w:szCs w:val="18"/>
                <w:color w:val="auto"/>
              </w:rPr>
              <w:t>(329)</w:t>
            </w:r>
          </w:p>
        </w:tc>
        <w:tc>
          <w:tcPr>
            <w:tcW w:w="2320" w:type="dxa"/>
            <w:vAlign w:val="bottom"/>
            <w:tcBorders>
              <w:bottom w:val="single" w:sz="8" w:color="auto"/>
            </w:tcBorders>
            <w:shd w:val="clear" w:color="auto" w:fill="E2EEF6"/>
          </w:tcPr>
          <w:p>
            <w:pPr>
              <w:jc w:val="right"/>
              <w:ind w:right="250"/>
              <w:spacing w:after="0"/>
              <w:rPr>
                <w:sz w:val="20"/>
                <w:szCs w:val="20"/>
                <w:color w:val="auto"/>
              </w:rPr>
            </w:pPr>
            <w:r>
              <w:rPr>
                <w:rFonts w:ascii="Arial" w:cs="Arial" w:eastAsia="Arial" w:hAnsi="Arial"/>
                <w:sz w:val="18"/>
                <w:szCs w:val="18"/>
                <w:color w:val="auto"/>
              </w:rPr>
              <w:t>(429)</w:t>
            </w:r>
          </w:p>
        </w:tc>
        <w:tc>
          <w:tcPr>
            <w:tcW w:w="14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Net periodic pension cost</w:t>
            </w:r>
          </w:p>
        </w:tc>
        <w:tc>
          <w:tcPr>
            <w:tcW w:w="18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773</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962</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color w:val="auto"/>
              </w:rPr>
              <w:t>Amount of curtailment gain recognized</w:t>
            </w:r>
          </w:p>
        </w:tc>
        <w:tc>
          <w:tcPr>
            <w:tcW w:w="18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Amount of settlement gain recognized</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color w:val="auto"/>
              </w:rPr>
              <w:t>Cost of special or contractual termination benefits recognized</w:t>
            </w:r>
          </w:p>
        </w:tc>
        <w:tc>
          <w:tcPr>
            <w:tcW w:w="188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b w:val="1"/>
                <w:bCs w:val="1"/>
                <w:color w:val="auto"/>
              </w:rPr>
              <w:t>Total pension cost</w:t>
            </w:r>
          </w:p>
        </w:tc>
        <w:tc>
          <w:tcPr>
            <w:tcW w:w="1880" w:type="dxa"/>
            <w:vAlign w:val="bottom"/>
            <w:tcBorders>
              <w:bottom w:val="single" w:sz="8" w:color="auto"/>
            </w:tcBorders>
            <w:shd w:val="clear" w:color="auto" w:fill="E2EEF6"/>
          </w:tcPr>
          <w:p>
            <w:pPr>
              <w:jc w:val="right"/>
              <w:ind w:right="70"/>
              <w:spacing w:after="0"/>
              <w:rPr>
                <w:sz w:val="20"/>
                <w:szCs w:val="20"/>
                <w:color w:val="auto"/>
              </w:rPr>
            </w:pPr>
            <w:r>
              <w:rPr>
                <w:rFonts w:ascii="Arial" w:cs="Arial" w:eastAsia="Arial" w:hAnsi="Arial"/>
                <w:sz w:val="18"/>
                <w:szCs w:val="18"/>
                <w:color w:val="auto"/>
              </w:rPr>
              <w:t>$773</w:t>
            </w:r>
          </w:p>
        </w:tc>
        <w:tc>
          <w:tcPr>
            <w:tcW w:w="2320" w:type="dxa"/>
            <w:vAlign w:val="bottom"/>
            <w:tcBorders>
              <w:bottom w:val="single" w:sz="8" w:color="auto"/>
            </w:tcBorders>
            <w:shd w:val="clear" w:color="auto" w:fill="E2EEF6"/>
          </w:tcPr>
          <w:p>
            <w:pPr>
              <w:jc w:val="right"/>
              <w:ind w:right="250"/>
              <w:spacing w:after="0"/>
              <w:rPr>
                <w:sz w:val="20"/>
                <w:szCs w:val="20"/>
                <w:color w:val="auto"/>
              </w:rPr>
            </w:pPr>
            <w:r>
              <w:rPr>
                <w:rFonts w:ascii="Arial" w:cs="Arial" w:eastAsia="Arial" w:hAnsi="Arial"/>
                <w:sz w:val="18"/>
                <w:szCs w:val="18"/>
                <w:color w:val="auto"/>
              </w:rPr>
              <w:t>$962</w:t>
            </w:r>
          </w:p>
        </w:tc>
        <w:tc>
          <w:tcPr>
            <w:tcW w:w="14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Amount included in other comprehensive loss arising from a change</w:t>
            </w:r>
          </w:p>
        </w:tc>
        <w:tc>
          <w:tcPr>
            <w:tcW w:w="2940" w:type="dxa"/>
            <w:vAlign w:val="bottom"/>
          </w:tcPr>
          <w:p>
            <w:pPr>
              <w:jc w:val="right"/>
              <w:ind w:right="1370"/>
              <w:spacing w:after="0"/>
              <w:rPr>
                <w:sz w:val="20"/>
                <w:szCs w:val="20"/>
                <w:color w:val="auto"/>
              </w:rPr>
            </w:pPr>
            <w:r>
              <w:rPr>
                <w:rFonts w:ascii="Arial" w:cs="Arial" w:eastAsia="Arial" w:hAnsi="Arial"/>
                <w:sz w:val="18"/>
                <w:szCs w:val="18"/>
                <w:b w:val="1"/>
                <w:bCs w:val="1"/>
                <w:color w:val="auto"/>
              </w:rPr>
              <w:t>May 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in excess of additional minimum pension liability over intangible</w:t>
            </w:r>
          </w:p>
        </w:tc>
        <w:tc>
          <w:tcPr>
            <w:tcW w:w="2940" w:type="dxa"/>
            <w:vAlign w:val="bottom"/>
          </w:tcPr>
          <w:p>
            <w:pPr>
              <w:jc w:val="right"/>
              <w:ind w:right="1370"/>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060" w:type="dxa"/>
            <w:vAlign w:val="bottom"/>
            <w:shd w:val="clear" w:color="auto" w:fill="E2EEF6"/>
          </w:tcPr>
          <w:p>
            <w:pPr>
              <w:spacing w:after="0"/>
              <w:rPr>
                <w:sz w:val="20"/>
                <w:szCs w:val="20"/>
                <w:color w:val="auto"/>
              </w:rPr>
            </w:pPr>
            <w:r>
              <w:rPr>
                <w:rFonts w:ascii="Arial" w:cs="Arial" w:eastAsia="Arial" w:hAnsi="Arial"/>
                <w:sz w:val="18"/>
                <w:szCs w:val="18"/>
                <w:color w:val="auto"/>
              </w:rPr>
              <w:t>Increase in additional minimum liability</w:t>
            </w:r>
          </w:p>
        </w:tc>
        <w:tc>
          <w:tcPr>
            <w:tcW w:w="2940" w:type="dxa"/>
            <w:vAlign w:val="bottom"/>
            <w:shd w:val="clear" w:color="auto" w:fill="E2EEF6"/>
          </w:tcPr>
          <w:p>
            <w:pPr>
              <w:jc w:val="right"/>
              <w:ind w:right="1370"/>
              <w:spacing w:after="0"/>
              <w:rPr>
                <w:sz w:val="20"/>
                <w:szCs w:val="20"/>
                <w:color w:val="auto"/>
              </w:rPr>
            </w:pPr>
            <w:r>
              <w:rPr>
                <w:rFonts w:ascii="Arial" w:cs="Arial" w:eastAsia="Arial" w:hAnsi="Arial"/>
                <w:sz w:val="18"/>
                <w:szCs w:val="18"/>
                <w:color w:val="auto"/>
              </w:rPr>
              <w:t>$257</w:t>
            </w: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EF6"/>
          </w:tcPr>
          <w:p>
            <w:pPr>
              <w:spacing w:after="0"/>
              <w:rPr>
                <w:sz w:val="18"/>
                <w:szCs w:val="18"/>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711"/>
        </w:trPr>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assumptions to determine benefit</w:t>
            </w:r>
          </w:p>
        </w:tc>
        <w:tc>
          <w:tcPr>
            <w:tcW w:w="2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b w:val="1"/>
                <w:bCs w:val="1"/>
                <w:color w:val="auto"/>
              </w:rPr>
              <w:t>obligation</w:t>
            </w:r>
          </w:p>
        </w:tc>
        <w:tc>
          <w:tcPr>
            <w:tcW w:w="2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8"/>
              </w:rPr>
              <w:t>December</w:t>
            </w:r>
          </w:p>
        </w:tc>
      </w:tr>
      <w:tr>
        <w:trPr>
          <w:trHeight w:val="216"/>
        </w:trPr>
        <w:tc>
          <w:tcPr>
            <w:tcW w:w="6060" w:type="dxa"/>
            <w:vAlign w:val="bottom"/>
          </w:tcPr>
          <w:p>
            <w:pPr>
              <w:spacing w:after="0"/>
              <w:rPr>
                <w:sz w:val="18"/>
                <w:szCs w:val="18"/>
                <w:color w:val="auto"/>
              </w:rPr>
            </w:pPr>
          </w:p>
        </w:tc>
        <w:tc>
          <w:tcPr>
            <w:tcW w:w="294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31,</w:t>
            </w:r>
          </w:p>
        </w:tc>
        <w:tc>
          <w:tcPr>
            <w:tcW w:w="7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4"/>
        </w:trPr>
        <w:tc>
          <w:tcPr>
            <w:tcW w:w="6060" w:type="dxa"/>
            <w:vAlign w:val="bottom"/>
          </w:tcPr>
          <w:p>
            <w:pPr>
              <w:spacing w:after="0"/>
              <w:rPr>
                <w:sz w:val="20"/>
                <w:szCs w:val="20"/>
                <w:color w:val="auto"/>
              </w:rPr>
            </w:pPr>
          </w:p>
        </w:tc>
        <w:tc>
          <w:tcPr>
            <w:tcW w:w="2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r>
      <w:tr>
        <w:trPr>
          <w:trHeight w:val="216"/>
        </w:trPr>
        <w:tc>
          <w:tcPr>
            <w:tcW w:w="6060" w:type="dxa"/>
            <w:vAlign w:val="bottom"/>
            <w:shd w:val="clear" w:color="auto" w:fill="E2EEF6"/>
          </w:tcPr>
          <w:p>
            <w:pPr>
              <w:spacing w:after="0"/>
              <w:rPr>
                <w:sz w:val="20"/>
                <w:szCs w:val="20"/>
                <w:color w:val="auto"/>
              </w:rPr>
            </w:pPr>
            <w:r>
              <w:rPr>
                <w:rFonts w:ascii="Arial" w:cs="Arial" w:eastAsia="Arial" w:hAnsi="Arial"/>
                <w:sz w:val="18"/>
                <w:szCs w:val="18"/>
                <w:color w:val="auto"/>
              </w:rPr>
              <w:t>Discount rate</w:t>
            </w:r>
          </w:p>
        </w:tc>
        <w:tc>
          <w:tcPr>
            <w:tcW w:w="294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5.8%</w:t>
            </w:r>
          </w:p>
        </w:tc>
        <w:tc>
          <w:tcPr>
            <w:tcW w:w="760" w:type="dxa"/>
            <w:vAlign w:val="bottom"/>
            <w:shd w:val="clear" w:color="auto" w:fill="E2EEF6"/>
          </w:tcPr>
          <w:p>
            <w:pPr>
              <w:spacing w:after="0"/>
              <w:rPr>
                <w:sz w:val="18"/>
                <w:szCs w:val="18"/>
                <w:color w:val="auto"/>
              </w:rPr>
            </w:pPr>
          </w:p>
        </w:tc>
        <w:tc>
          <w:tcPr>
            <w:tcW w:w="7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5.4%</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060" w:type="dxa"/>
            <w:vAlign w:val="bottom"/>
            <w:shd w:val="clear" w:color="auto" w:fill="E2EEF6"/>
          </w:tcPr>
          <w:p>
            <w:pPr>
              <w:spacing w:after="0"/>
              <w:rPr>
                <w:sz w:val="20"/>
                <w:szCs w:val="20"/>
                <w:color w:val="auto"/>
              </w:rPr>
            </w:pPr>
            <w:r>
              <w:rPr>
                <w:rFonts w:ascii="Arial" w:cs="Arial" w:eastAsia="Arial" w:hAnsi="Arial"/>
                <w:sz w:val="18"/>
                <w:szCs w:val="18"/>
                <w:color w:val="auto"/>
              </w:rPr>
              <w:t>Expected rate of return on plan assets</w:t>
            </w:r>
          </w:p>
        </w:tc>
        <w:tc>
          <w:tcPr>
            <w:tcW w:w="2940" w:type="dxa"/>
            <w:vAlign w:val="bottom"/>
            <w:shd w:val="clear" w:color="auto" w:fill="E2EEF6"/>
          </w:tcPr>
          <w:p>
            <w:pPr>
              <w:jc w:val="right"/>
              <w:ind w:right="210"/>
              <w:spacing w:after="0"/>
              <w:rPr>
                <w:sz w:val="20"/>
                <w:szCs w:val="20"/>
                <w:color w:val="auto"/>
              </w:rPr>
            </w:pPr>
            <w:r>
              <w:rPr>
                <w:rFonts w:ascii="Arial" w:cs="Arial" w:eastAsia="Arial" w:hAnsi="Arial"/>
                <w:sz w:val="18"/>
                <w:szCs w:val="18"/>
                <w:color w:val="auto"/>
              </w:rPr>
              <w:t>6.5%</w:t>
            </w:r>
          </w:p>
        </w:tc>
        <w:tc>
          <w:tcPr>
            <w:tcW w:w="760" w:type="dxa"/>
            <w:vAlign w:val="bottom"/>
            <w:shd w:val="clear" w:color="auto" w:fill="E2EEF6"/>
          </w:tcPr>
          <w:p>
            <w:pPr>
              <w:spacing w:after="0"/>
              <w:rPr>
                <w:sz w:val="18"/>
                <w:szCs w:val="18"/>
                <w:color w:val="auto"/>
              </w:rPr>
            </w:pPr>
          </w:p>
        </w:tc>
        <w:tc>
          <w:tcPr>
            <w:tcW w:w="7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6.5%</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6.0%</w:t>
            </w: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assets of the scheme are invested in a unitized with profits policy. The expected long-term rate of return on assets of 6.0% was calculated as the value of the unitized with profits fund after application of a market value reduction factor. The underlying asset split of the fund is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4260" w:type="dxa"/>
            <w:vAlign w:val="bottom"/>
          </w:tcPr>
          <w:p>
            <w:pPr>
              <w:jc w:val="right"/>
              <w:ind w:right="670"/>
              <w:spacing w:after="0"/>
              <w:rPr>
                <w:sz w:val="20"/>
                <w:szCs w:val="20"/>
                <w:color w:val="auto"/>
              </w:rPr>
            </w:pPr>
            <w:r>
              <w:rPr>
                <w:rFonts w:ascii="Arial" w:cs="Arial" w:eastAsia="Arial" w:hAnsi="Arial"/>
                <w:sz w:val="18"/>
                <w:szCs w:val="18"/>
                <w:b w:val="1"/>
                <w:bCs w:val="1"/>
                <w:color w:val="auto"/>
              </w:rPr>
              <w:t>May 31,</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40" w:type="dxa"/>
            <w:vAlign w:val="bottom"/>
          </w:tcPr>
          <w:p>
            <w:pPr>
              <w:spacing w:after="0"/>
              <w:rPr>
                <w:sz w:val="20"/>
                <w:szCs w:val="20"/>
                <w:color w:val="auto"/>
              </w:rPr>
            </w:pPr>
          </w:p>
        </w:tc>
        <w:tc>
          <w:tcPr>
            <w:tcW w:w="4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2004</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r>
      <w:tr>
        <w:trPr>
          <w:trHeight w:val="216"/>
        </w:trPr>
        <w:tc>
          <w:tcPr>
            <w:tcW w:w="4040" w:type="dxa"/>
            <w:vAlign w:val="bottom"/>
            <w:shd w:val="clear" w:color="auto" w:fill="E2EEF6"/>
          </w:tcPr>
          <w:p>
            <w:pPr>
              <w:spacing w:after="0"/>
              <w:rPr>
                <w:sz w:val="20"/>
                <w:szCs w:val="20"/>
                <w:color w:val="auto"/>
              </w:rPr>
            </w:pPr>
            <w:r>
              <w:rPr>
                <w:rFonts w:ascii="Arial" w:cs="Arial" w:eastAsia="Arial" w:hAnsi="Arial"/>
                <w:sz w:val="18"/>
                <w:szCs w:val="18"/>
                <w:color w:val="auto"/>
              </w:rPr>
              <w:t>Equity</w:t>
            </w:r>
          </w:p>
        </w:tc>
        <w:tc>
          <w:tcPr>
            <w:tcW w:w="426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29%</w:t>
            </w:r>
          </w:p>
        </w:tc>
        <w:tc>
          <w:tcPr>
            <w:tcW w:w="17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28%</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Bonds</w:t>
            </w:r>
          </w:p>
        </w:tc>
        <w:tc>
          <w:tcPr>
            <w:tcW w:w="4260" w:type="dxa"/>
            <w:vAlign w:val="bottom"/>
          </w:tcPr>
          <w:p>
            <w:pPr>
              <w:jc w:val="right"/>
              <w:ind w:right="670"/>
              <w:spacing w:after="0"/>
              <w:rPr>
                <w:sz w:val="20"/>
                <w:szCs w:val="20"/>
                <w:color w:val="auto"/>
              </w:rPr>
            </w:pPr>
            <w:r>
              <w:rPr>
                <w:rFonts w:ascii="Arial" w:cs="Arial" w:eastAsia="Arial" w:hAnsi="Arial"/>
                <w:sz w:val="18"/>
                <w:szCs w:val="18"/>
                <w:color w:val="auto"/>
              </w:rPr>
              <w:t>50%</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4040" w:type="dxa"/>
            <w:vAlign w:val="bottom"/>
            <w:shd w:val="clear" w:color="auto" w:fill="E2EEF6"/>
          </w:tcPr>
          <w:p>
            <w:pPr>
              <w:spacing w:after="0"/>
              <w:rPr>
                <w:sz w:val="20"/>
                <w:szCs w:val="20"/>
                <w:color w:val="auto"/>
              </w:rPr>
            </w:pPr>
            <w:r>
              <w:rPr>
                <w:rFonts w:ascii="Arial" w:cs="Arial" w:eastAsia="Arial" w:hAnsi="Arial"/>
                <w:sz w:val="18"/>
                <w:szCs w:val="18"/>
                <w:color w:val="auto"/>
              </w:rPr>
              <w:t>Property</w:t>
            </w:r>
          </w:p>
        </w:tc>
        <w:tc>
          <w:tcPr>
            <w:tcW w:w="426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18%</w:t>
            </w:r>
          </w:p>
        </w:tc>
        <w:tc>
          <w:tcPr>
            <w:tcW w:w="1720" w:type="dxa"/>
            <w:vAlign w:val="bottom"/>
            <w:shd w:val="clear" w:color="auto" w:fill="E2EEF6"/>
          </w:tcPr>
          <w:p>
            <w:pPr>
              <w:jc w:val="right"/>
              <w:ind w:right="250"/>
              <w:spacing w:after="0"/>
              <w:rPr>
                <w:sz w:val="20"/>
                <w:szCs w:val="20"/>
                <w:color w:val="auto"/>
              </w:rPr>
            </w:pPr>
            <w:r>
              <w:rPr>
                <w:rFonts w:ascii="Arial" w:cs="Arial" w:eastAsia="Arial" w:hAnsi="Arial"/>
                <w:sz w:val="18"/>
                <w:szCs w:val="18"/>
                <w:color w:val="auto"/>
              </w:rPr>
              <w:t>16%</w:t>
            </w:r>
          </w:p>
        </w:tc>
        <w:tc>
          <w:tcPr>
            <w:tcW w:w="14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Cash/ other</w:t>
            </w:r>
          </w:p>
        </w:tc>
        <w:tc>
          <w:tcPr>
            <w:tcW w:w="4260" w:type="dxa"/>
            <w:vAlign w:val="bottom"/>
          </w:tcPr>
          <w:p>
            <w:pPr>
              <w:jc w:val="right"/>
              <w:ind w:right="670"/>
              <w:spacing w:after="0"/>
              <w:rPr>
                <w:sz w:val="20"/>
                <w:szCs w:val="20"/>
                <w:color w:val="auto"/>
              </w:rPr>
            </w:pPr>
            <w:r>
              <w:rPr>
                <w:rFonts w:ascii="Arial" w:cs="Arial" w:eastAsia="Arial" w:hAnsi="Arial"/>
                <w:sz w:val="18"/>
                <w:szCs w:val="18"/>
                <w:color w:val="auto"/>
              </w:rPr>
              <w:t>3%</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43"/>
        </w:trPr>
        <w:tc>
          <w:tcPr>
            <w:tcW w:w="4040" w:type="dxa"/>
            <w:vAlign w:val="bottom"/>
            <w:tcBorders>
              <w:bottom w:val="single" w:sz="8" w:color="auto"/>
            </w:tcBorders>
            <w:shd w:val="clear" w:color="auto" w:fill="E2EEF6"/>
          </w:tcPr>
          <w:p>
            <w:pPr>
              <w:spacing w:after="0"/>
              <w:rPr>
                <w:sz w:val="21"/>
                <w:szCs w:val="21"/>
                <w:color w:val="auto"/>
              </w:rPr>
            </w:pPr>
          </w:p>
        </w:tc>
        <w:tc>
          <w:tcPr>
            <w:tcW w:w="4260" w:type="dxa"/>
            <w:vAlign w:val="bottom"/>
            <w:tcBorders>
              <w:bottom w:val="single" w:sz="8" w:color="auto"/>
            </w:tcBorders>
            <w:shd w:val="clear" w:color="auto" w:fill="E2EEF6"/>
          </w:tcPr>
          <w:p>
            <w:pPr>
              <w:spacing w:after="0"/>
              <w:rPr>
                <w:sz w:val="21"/>
                <w:szCs w:val="21"/>
                <w:color w:val="auto"/>
              </w:rPr>
            </w:pPr>
          </w:p>
        </w:tc>
        <w:tc>
          <w:tcPr>
            <w:tcW w:w="17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20"/>
                <w:szCs w:val="20"/>
                <w:color w:val="auto"/>
              </w:rPr>
            </w:pPr>
          </w:p>
        </w:tc>
      </w:tr>
    </w:tbl>
    <w:p>
      <w:pPr>
        <w:spacing w:after="0" w:line="256"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The accumulated benefit obligation for all defined pension plans was $13.2 million at December 31, 2005 (May 2005: $10.9 million, May 2004: $9.1 million). With effect from July 1, 2003, the scheme was closed to new entrants. The company expects to contribute $1.60 million to its pension fund in the year ending December 31, 2006.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ind w:left="180"/>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5920" w:type="dxa"/>
            <w:vAlign w:val="bottom"/>
          </w:tcPr>
          <w:p>
            <w:pPr>
              <w:ind w:left="418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500" w:type="dxa"/>
            <w:vAlign w:val="bottom"/>
            <w:shd w:val="clear" w:color="auto" w:fill="E2EEF6"/>
          </w:tcPr>
          <w:p>
            <w:pPr>
              <w:spacing w:after="0"/>
              <w:rPr>
                <w:sz w:val="20"/>
                <w:szCs w:val="20"/>
                <w:color w:val="auto"/>
              </w:rPr>
            </w:pPr>
            <w:r>
              <w:rPr>
                <w:rFonts w:ascii="Arial" w:cs="Arial" w:eastAsia="Arial" w:hAnsi="Arial"/>
                <w:sz w:val="18"/>
                <w:szCs w:val="18"/>
                <w:color w:val="auto"/>
              </w:rPr>
              <w:t>2006</w:t>
            </w:r>
          </w:p>
        </w:tc>
        <w:tc>
          <w:tcPr>
            <w:tcW w:w="5920" w:type="dxa"/>
            <w:vAlign w:val="bottom"/>
            <w:shd w:val="clear" w:color="auto" w:fill="E2EEF6"/>
          </w:tcPr>
          <w:p>
            <w:pPr>
              <w:ind w:left="4180"/>
              <w:spacing w:after="0"/>
              <w:rPr>
                <w:sz w:val="20"/>
                <w:szCs w:val="20"/>
                <w:color w:val="auto"/>
              </w:rPr>
            </w:pPr>
            <w:r>
              <w:rPr>
                <w:rFonts w:ascii="Arial" w:cs="Arial" w:eastAsia="Arial" w:hAnsi="Arial"/>
                <w:sz w:val="18"/>
                <w:szCs w:val="18"/>
                <w:color w:val="auto"/>
              </w:rPr>
              <w:t>$ 17</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2007</w:t>
            </w:r>
          </w:p>
        </w:tc>
        <w:tc>
          <w:tcPr>
            <w:tcW w:w="5920" w:type="dxa"/>
            <w:vAlign w:val="bottom"/>
          </w:tcPr>
          <w:p>
            <w:pPr>
              <w:ind w:left="4180"/>
              <w:spacing w:after="0"/>
              <w:rPr>
                <w:sz w:val="20"/>
                <w:szCs w:val="20"/>
                <w:color w:val="auto"/>
              </w:rPr>
            </w:pPr>
            <w:r>
              <w:rPr>
                <w:rFonts w:ascii="Arial" w:cs="Arial" w:eastAsia="Arial" w:hAnsi="Arial"/>
                <w:sz w:val="18"/>
                <w:szCs w:val="18"/>
                <w:color w:val="auto"/>
              </w:rPr>
              <w:t>17</w:t>
            </w:r>
          </w:p>
        </w:tc>
      </w:tr>
      <w:tr>
        <w:trPr>
          <w:trHeight w:val="243"/>
        </w:trPr>
        <w:tc>
          <w:tcPr>
            <w:tcW w:w="5500" w:type="dxa"/>
            <w:vAlign w:val="bottom"/>
            <w:shd w:val="clear" w:color="auto" w:fill="E2EEF6"/>
          </w:tcPr>
          <w:p>
            <w:pPr>
              <w:spacing w:after="0"/>
              <w:rPr>
                <w:sz w:val="20"/>
                <w:szCs w:val="20"/>
                <w:color w:val="auto"/>
              </w:rPr>
            </w:pPr>
            <w:r>
              <w:rPr>
                <w:rFonts w:ascii="Arial" w:cs="Arial" w:eastAsia="Arial" w:hAnsi="Arial"/>
                <w:sz w:val="18"/>
                <w:szCs w:val="18"/>
                <w:color w:val="auto"/>
              </w:rPr>
              <w:t>2008</w:t>
            </w:r>
          </w:p>
        </w:tc>
        <w:tc>
          <w:tcPr>
            <w:tcW w:w="5920" w:type="dxa"/>
            <w:vAlign w:val="bottom"/>
            <w:shd w:val="clear" w:color="auto" w:fill="E2EEF6"/>
          </w:tcPr>
          <w:p>
            <w:pPr>
              <w:ind w:left="4180"/>
              <w:spacing w:after="0"/>
              <w:rPr>
                <w:sz w:val="20"/>
                <w:szCs w:val="20"/>
                <w:color w:val="auto"/>
              </w:rPr>
            </w:pPr>
            <w:r>
              <w:rPr>
                <w:rFonts w:ascii="Arial" w:cs="Arial" w:eastAsia="Arial" w:hAnsi="Arial"/>
                <w:sz w:val="18"/>
                <w:szCs w:val="18"/>
                <w:color w:val="auto"/>
              </w:rPr>
              <w:t>17</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2009</w:t>
            </w:r>
          </w:p>
        </w:tc>
        <w:tc>
          <w:tcPr>
            <w:tcW w:w="5920" w:type="dxa"/>
            <w:vAlign w:val="bottom"/>
          </w:tcPr>
          <w:p>
            <w:pPr>
              <w:ind w:left="4180"/>
              <w:spacing w:after="0"/>
              <w:rPr>
                <w:sz w:val="20"/>
                <w:szCs w:val="20"/>
                <w:color w:val="auto"/>
              </w:rPr>
            </w:pPr>
            <w:r>
              <w:rPr>
                <w:rFonts w:ascii="Arial" w:cs="Arial" w:eastAsia="Arial" w:hAnsi="Arial"/>
                <w:sz w:val="18"/>
                <w:szCs w:val="18"/>
                <w:color w:val="auto"/>
              </w:rPr>
              <w:t>52</w:t>
            </w:r>
          </w:p>
        </w:tc>
      </w:tr>
      <w:tr>
        <w:trPr>
          <w:trHeight w:val="243"/>
        </w:trPr>
        <w:tc>
          <w:tcPr>
            <w:tcW w:w="5500" w:type="dxa"/>
            <w:vAlign w:val="bottom"/>
            <w:shd w:val="clear" w:color="auto" w:fill="E2EEF6"/>
          </w:tcPr>
          <w:p>
            <w:pPr>
              <w:spacing w:after="0"/>
              <w:rPr>
                <w:sz w:val="20"/>
                <w:szCs w:val="20"/>
                <w:color w:val="auto"/>
              </w:rPr>
            </w:pPr>
            <w:r>
              <w:rPr>
                <w:rFonts w:ascii="Arial" w:cs="Arial" w:eastAsia="Arial" w:hAnsi="Arial"/>
                <w:sz w:val="18"/>
                <w:szCs w:val="18"/>
                <w:color w:val="auto"/>
              </w:rPr>
              <w:t>2010</w:t>
            </w:r>
          </w:p>
        </w:tc>
        <w:tc>
          <w:tcPr>
            <w:tcW w:w="5920" w:type="dxa"/>
            <w:vAlign w:val="bottom"/>
            <w:shd w:val="clear" w:color="auto" w:fill="E2EEF6"/>
          </w:tcPr>
          <w:p>
            <w:pPr>
              <w:ind w:left="4180"/>
              <w:spacing w:after="0"/>
              <w:rPr>
                <w:sz w:val="20"/>
                <w:szCs w:val="20"/>
                <w:color w:val="auto"/>
              </w:rPr>
            </w:pPr>
            <w:r>
              <w:rPr>
                <w:rFonts w:ascii="Arial" w:cs="Arial" w:eastAsia="Arial" w:hAnsi="Arial"/>
                <w:sz w:val="18"/>
                <w:szCs w:val="18"/>
                <w:color w:val="auto"/>
              </w:rPr>
              <w:t>52</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Years 2011 - 2015</w:t>
            </w:r>
          </w:p>
        </w:tc>
        <w:tc>
          <w:tcPr>
            <w:tcW w:w="5920" w:type="dxa"/>
            <w:vAlign w:val="bottom"/>
          </w:tcPr>
          <w:p>
            <w:pPr>
              <w:ind w:left="4180"/>
              <w:spacing w:after="0"/>
              <w:rPr>
                <w:sz w:val="20"/>
                <w:szCs w:val="20"/>
                <w:color w:val="auto"/>
              </w:rPr>
            </w:pPr>
            <w:r>
              <w:rPr>
                <w:rFonts w:ascii="Arial" w:cs="Arial" w:eastAsia="Arial" w:hAnsi="Arial"/>
                <w:sz w:val="18"/>
                <w:szCs w:val="18"/>
                <w:color w:val="auto"/>
              </w:rPr>
              <w:t>$344</w:t>
            </w: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the Scheme assets. The above cash flows have been estimated on the assumption that pension will be paid monthly out of the Scheme assets. If annuities are purchased, then the expected benefit payments will be significantly different to those shown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Medeval Group Limited pension and life assurance sheme.</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assets of the Scheme are invested in the Norwich Union With-Profit Fund. The aim of the With-Profits Fund is to provide good investment returns through steady growth over the duration of the policy. Although market fluctuations of investment return are evened through the declaration of bonuses, the investment objective is to provide payments which reflects the actual investment returns achieved by the Scheme over the long term.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 Allocation</w:t>
            </w:r>
          </w:p>
        </w:tc>
        <w:tc>
          <w:tcPr>
            <w:tcW w:w="4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4700" w:type="dxa"/>
            <w:vAlign w:val="bottom"/>
          </w:tcPr>
          <w:p>
            <w:pPr>
              <w:ind w:left="3120"/>
              <w:spacing w:after="0"/>
              <w:rPr>
                <w:sz w:val="20"/>
                <w:szCs w:val="20"/>
                <w:color w:val="auto"/>
              </w:rPr>
            </w:pPr>
            <w:r>
              <w:rPr>
                <w:rFonts w:ascii="Arial" w:cs="Arial" w:eastAsia="Arial" w:hAnsi="Arial"/>
                <w:sz w:val="18"/>
                <w:szCs w:val="18"/>
                <w:b w:val="1"/>
                <w:bCs w:val="1"/>
                <w:color w:val="auto"/>
              </w:rPr>
              <w:t>December 31,</w:t>
            </w:r>
          </w:p>
        </w:tc>
        <w:tc>
          <w:tcPr>
            <w:tcW w:w="2300" w:type="dxa"/>
            <w:vAlign w:val="bottom"/>
          </w:tcPr>
          <w:p>
            <w:pPr>
              <w:ind w:left="5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700" w:type="dxa"/>
            <w:vAlign w:val="bottom"/>
          </w:tcPr>
          <w:p>
            <w:pPr>
              <w:ind w:left="3120"/>
              <w:spacing w:after="0"/>
              <w:rPr>
                <w:sz w:val="20"/>
                <w:szCs w:val="20"/>
                <w:color w:val="auto"/>
              </w:rPr>
            </w:pPr>
            <w:r>
              <w:rPr>
                <w:rFonts w:ascii="Arial" w:cs="Arial" w:eastAsia="Arial" w:hAnsi="Arial"/>
                <w:sz w:val="18"/>
                <w:szCs w:val="18"/>
                <w:b w:val="1"/>
                <w:bCs w:val="1"/>
                <w:color w:val="auto"/>
              </w:rPr>
              <w:t>2004</w:t>
            </w:r>
          </w:p>
        </w:tc>
        <w:tc>
          <w:tcPr>
            <w:tcW w:w="2300" w:type="dxa"/>
            <w:vAlign w:val="bottom"/>
          </w:tcPr>
          <w:p>
            <w:pPr>
              <w:ind w:left="56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UK Equities</w:t>
            </w:r>
          </w:p>
        </w:tc>
        <w:tc>
          <w:tcPr>
            <w:tcW w:w="4700" w:type="dxa"/>
            <w:vAlign w:val="bottom"/>
            <w:shd w:val="clear" w:color="auto" w:fill="E2EEF6"/>
          </w:tcPr>
          <w:p>
            <w:pPr>
              <w:ind w:left="3120"/>
              <w:spacing w:after="0"/>
              <w:rPr>
                <w:sz w:val="20"/>
                <w:szCs w:val="20"/>
                <w:color w:val="auto"/>
              </w:rPr>
            </w:pPr>
            <w:r>
              <w:rPr>
                <w:rFonts w:ascii="Arial" w:cs="Arial" w:eastAsia="Arial" w:hAnsi="Arial"/>
                <w:sz w:val="18"/>
                <w:szCs w:val="18"/>
                <w:color w:val="auto"/>
              </w:rPr>
              <w:t>24%</w:t>
            </w:r>
          </w:p>
        </w:tc>
        <w:tc>
          <w:tcPr>
            <w:tcW w:w="2300" w:type="dxa"/>
            <w:vAlign w:val="bottom"/>
            <w:shd w:val="clear" w:color="auto" w:fill="E2EEF6"/>
          </w:tcPr>
          <w:p>
            <w:pPr>
              <w:ind w:left="5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Overseas Equities</w:t>
            </w:r>
          </w:p>
        </w:tc>
        <w:tc>
          <w:tcPr>
            <w:tcW w:w="4700" w:type="dxa"/>
            <w:vAlign w:val="bottom"/>
          </w:tcPr>
          <w:p>
            <w:pPr>
              <w:ind w:left="3120"/>
              <w:spacing w:after="0"/>
              <w:rPr>
                <w:sz w:val="20"/>
                <w:szCs w:val="20"/>
                <w:color w:val="auto"/>
              </w:rPr>
            </w:pPr>
            <w:r>
              <w:rPr>
                <w:rFonts w:ascii="Arial" w:cs="Arial" w:eastAsia="Arial" w:hAnsi="Arial"/>
                <w:sz w:val="18"/>
                <w:szCs w:val="18"/>
                <w:color w:val="auto"/>
              </w:rPr>
              <w:t>6%</w:t>
            </w:r>
          </w:p>
        </w:tc>
        <w:tc>
          <w:tcPr>
            <w:tcW w:w="2300" w:type="dxa"/>
            <w:vAlign w:val="bottom"/>
          </w:tcPr>
          <w:p>
            <w:pPr>
              <w:ind w:left="5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Property</w:t>
            </w:r>
          </w:p>
        </w:tc>
        <w:tc>
          <w:tcPr>
            <w:tcW w:w="4700" w:type="dxa"/>
            <w:vAlign w:val="bottom"/>
            <w:shd w:val="clear" w:color="auto" w:fill="E2EEF6"/>
          </w:tcPr>
          <w:p>
            <w:pPr>
              <w:ind w:left="3120"/>
              <w:spacing w:after="0"/>
              <w:rPr>
                <w:sz w:val="20"/>
                <w:szCs w:val="20"/>
                <w:color w:val="auto"/>
              </w:rPr>
            </w:pPr>
            <w:r>
              <w:rPr>
                <w:rFonts w:ascii="Arial" w:cs="Arial" w:eastAsia="Arial" w:hAnsi="Arial"/>
                <w:sz w:val="18"/>
                <w:szCs w:val="18"/>
                <w:color w:val="auto"/>
              </w:rPr>
              <w:t>18%</w:t>
            </w:r>
          </w:p>
        </w:tc>
        <w:tc>
          <w:tcPr>
            <w:tcW w:w="2300" w:type="dxa"/>
            <w:vAlign w:val="bottom"/>
            <w:shd w:val="clear" w:color="auto" w:fill="E2EEF6"/>
          </w:tcPr>
          <w:p>
            <w:pPr>
              <w:ind w:left="5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UK Fixed Interest</w:t>
            </w:r>
          </w:p>
        </w:tc>
        <w:tc>
          <w:tcPr>
            <w:tcW w:w="4700" w:type="dxa"/>
            <w:vAlign w:val="bottom"/>
          </w:tcPr>
          <w:p>
            <w:pPr>
              <w:ind w:left="3120"/>
              <w:spacing w:after="0"/>
              <w:rPr>
                <w:sz w:val="20"/>
                <w:szCs w:val="20"/>
                <w:color w:val="auto"/>
              </w:rPr>
            </w:pPr>
            <w:r>
              <w:rPr>
                <w:rFonts w:ascii="Arial" w:cs="Arial" w:eastAsia="Arial" w:hAnsi="Arial"/>
                <w:sz w:val="18"/>
                <w:szCs w:val="18"/>
                <w:color w:val="auto"/>
              </w:rPr>
              <w:t>21%</w:t>
            </w:r>
          </w:p>
        </w:tc>
        <w:tc>
          <w:tcPr>
            <w:tcW w:w="2300" w:type="dxa"/>
            <w:vAlign w:val="bottom"/>
          </w:tcPr>
          <w:p>
            <w:pPr>
              <w:ind w:left="5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shd w:val="clear" w:color="auto" w:fill="E2EEF6"/>
          </w:tcPr>
          <w:p>
            <w:pPr>
              <w:spacing w:after="0"/>
              <w:rPr>
                <w:sz w:val="20"/>
                <w:szCs w:val="20"/>
                <w:color w:val="auto"/>
              </w:rPr>
            </w:pPr>
            <w:r>
              <w:rPr>
                <w:rFonts w:ascii="Arial" w:cs="Arial" w:eastAsia="Arial" w:hAnsi="Arial"/>
                <w:sz w:val="18"/>
                <w:szCs w:val="18"/>
                <w:color w:val="auto"/>
              </w:rPr>
              <w:t>Corporate Bonds</w:t>
            </w:r>
          </w:p>
        </w:tc>
        <w:tc>
          <w:tcPr>
            <w:tcW w:w="4700" w:type="dxa"/>
            <w:vAlign w:val="bottom"/>
            <w:shd w:val="clear" w:color="auto" w:fill="E2EEF6"/>
          </w:tcPr>
          <w:p>
            <w:pPr>
              <w:ind w:left="3120"/>
              <w:spacing w:after="0"/>
              <w:rPr>
                <w:sz w:val="20"/>
                <w:szCs w:val="20"/>
                <w:color w:val="auto"/>
              </w:rPr>
            </w:pPr>
            <w:r>
              <w:rPr>
                <w:rFonts w:ascii="Arial" w:cs="Arial" w:eastAsia="Arial" w:hAnsi="Arial"/>
                <w:sz w:val="18"/>
                <w:szCs w:val="18"/>
                <w:color w:val="auto"/>
              </w:rPr>
              <w:t>24%</w:t>
            </w:r>
          </w:p>
        </w:tc>
        <w:tc>
          <w:tcPr>
            <w:tcW w:w="2300" w:type="dxa"/>
            <w:vAlign w:val="bottom"/>
            <w:shd w:val="clear" w:color="auto" w:fill="E2EEF6"/>
          </w:tcPr>
          <w:p>
            <w:pPr>
              <w:ind w:left="5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Overseas Bonds</w:t>
            </w:r>
          </w:p>
        </w:tc>
        <w:tc>
          <w:tcPr>
            <w:tcW w:w="4700" w:type="dxa"/>
            <w:vAlign w:val="bottom"/>
          </w:tcPr>
          <w:p>
            <w:pPr>
              <w:ind w:left="3120"/>
              <w:spacing w:after="0"/>
              <w:rPr>
                <w:sz w:val="20"/>
                <w:szCs w:val="20"/>
                <w:color w:val="auto"/>
              </w:rPr>
            </w:pPr>
            <w:r>
              <w:rPr>
                <w:rFonts w:ascii="Arial" w:cs="Arial" w:eastAsia="Arial" w:hAnsi="Arial"/>
                <w:sz w:val="18"/>
                <w:szCs w:val="18"/>
                <w:color w:val="auto"/>
              </w:rPr>
              <w:t>4%</w:t>
            </w:r>
          </w:p>
        </w:tc>
        <w:tc>
          <w:tcPr>
            <w:tcW w:w="2300" w:type="dxa"/>
            <w:vAlign w:val="bottom"/>
          </w:tcPr>
          <w:p>
            <w:pPr>
              <w:ind w:left="5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Cash</w:t>
            </w:r>
          </w:p>
        </w:tc>
        <w:tc>
          <w:tcPr>
            <w:tcW w:w="4700" w:type="dxa"/>
            <w:vAlign w:val="bottom"/>
            <w:tcBorders>
              <w:bottom w:val="single" w:sz="8" w:color="auto"/>
            </w:tcBorders>
            <w:shd w:val="clear" w:color="auto" w:fill="E2EEF6"/>
          </w:tcPr>
          <w:p>
            <w:pPr>
              <w:ind w:left="3120"/>
              <w:spacing w:after="0"/>
              <w:rPr>
                <w:sz w:val="20"/>
                <w:szCs w:val="20"/>
                <w:color w:val="auto"/>
              </w:rPr>
            </w:pPr>
            <w:r>
              <w:rPr>
                <w:rFonts w:ascii="Arial" w:cs="Arial" w:eastAsia="Arial" w:hAnsi="Arial"/>
                <w:sz w:val="18"/>
                <w:szCs w:val="18"/>
                <w:color w:val="auto"/>
              </w:rPr>
              <w:t>3%</w:t>
            </w:r>
          </w:p>
        </w:tc>
        <w:tc>
          <w:tcPr>
            <w:tcW w:w="2300" w:type="dxa"/>
            <w:vAlign w:val="bottom"/>
            <w:tcBorders>
              <w:bottom w:val="single" w:sz="8" w:color="auto"/>
            </w:tcBorders>
            <w:shd w:val="clear" w:color="auto" w:fill="E2EEF6"/>
          </w:tcPr>
          <w:p>
            <w:pPr>
              <w:ind w:left="5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700" w:type="dxa"/>
            <w:vAlign w:val="bottom"/>
            <w:tcBorders>
              <w:bottom w:val="single" w:sz="8" w:color="auto"/>
            </w:tcBorders>
          </w:tcPr>
          <w:p>
            <w:pPr>
              <w:ind w:left="3120"/>
              <w:spacing w:after="0"/>
              <w:rPr>
                <w:sz w:val="20"/>
                <w:szCs w:val="20"/>
                <w:color w:val="auto"/>
              </w:rPr>
            </w:pPr>
            <w:r>
              <w:rPr>
                <w:rFonts w:ascii="Arial" w:cs="Arial" w:eastAsia="Arial" w:hAnsi="Arial"/>
                <w:sz w:val="18"/>
                <w:szCs w:val="18"/>
                <w:color w:val="auto"/>
              </w:rPr>
              <w:t>100%</w:t>
            </w:r>
          </w:p>
        </w:tc>
        <w:tc>
          <w:tcPr>
            <w:tcW w:w="23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Bonuses paid under the Unitised With-Profits policy which is invested in the Norwich Union With-Profit Fund consist of regular bonuses and final bonuses which are explained below in further detail.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Regular Bonus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Premiums paid under the policy are used to buy units which increase in price daily in line with the current Regular Bonus rate. The Regular Bonus rate is normally declared at the end of each calendar year and remains in force until the rate is amended.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Regular Bonuses have been declared at the following levels:</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4400" w:type="dxa"/>
            <w:vAlign w:val="bottom"/>
          </w:tcPr>
          <w:p>
            <w:pPr>
              <w:ind w:left="2660"/>
              <w:spacing w:after="0"/>
              <w:rPr>
                <w:sz w:val="20"/>
                <w:szCs w:val="20"/>
                <w:color w:val="auto"/>
              </w:rPr>
            </w:pPr>
            <w:r>
              <w:rPr>
                <w:rFonts w:ascii="Arial" w:cs="Arial" w:eastAsia="Arial" w:hAnsi="Arial"/>
                <w:sz w:val="18"/>
                <w:szCs w:val="18"/>
                <w:b w:val="1"/>
                <w:bCs w:val="1"/>
                <w:color w:val="auto"/>
                <w:w w:val="94"/>
              </w:rPr>
              <w:t>Regular Bonus % per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4400" w:type="dxa"/>
            <w:vAlign w:val="bottom"/>
          </w:tcPr>
          <w:p>
            <w:pPr>
              <w:ind w:left="2660"/>
              <w:spacing w:after="0"/>
              <w:rPr>
                <w:sz w:val="20"/>
                <w:szCs w:val="20"/>
                <w:color w:val="auto"/>
              </w:rPr>
            </w:pPr>
            <w:r>
              <w:rPr>
                <w:rFonts w:ascii="Arial" w:cs="Arial" w:eastAsia="Arial" w:hAnsi="Arial"/>
                <w:sz w:val="18"/>
                <w:szCs w:val="18"/>
                <w:b w:val="1"/>
                <w:bCs w:val="1"/>
                <w:color w:val="auto"/>
              </w:rPr>
              <w:t>annum</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0" w:type="dxa"/>
            <w:vAlign w:val="bottom"/>
            <w:shd w:val="clear" w:color="auto" w:fill="E2EEF6"/>
          </w:tcPr>
          <w:p>
            <w:pPr>
              <w:spacing w:after="0"/>
              <w:rPr>
                <w:sz w:val="20"/>
                <w:szCs w:val="20"/>
                <w:color w:val="auto"/>
              </w:rPr>
            </w:pPr>
            <w:r>
              <w:rPr>
                <w:rFonts w:ascii="Arial" w:cs="Arial" w:eastAsia="Arial" w:hAnsi="Arial"/>
                <w:sz w:val="18"/>
                <w:szCs w:val="18"/>
                <w:color w:val="auto"/>
              </w:rPr>
              <w:t>August 1, 2002</w:t>
            </w:r>
          </w:p>
        </w:tc>
        <w:tc>
          <w:tcPr>
            <w:tcW w:w="4400" w:type="dxa"/>
            <w:vAlign w:val="bottom"/>
            <w:shd w:val="clear" w:color="auto" w:fill="E2EEF6"/>
          </w:tcPr>
          <w:p>
            <w:pPr>
              <w:ind w:left="26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December 31, 2002</w:t>
            </w:r>
          </w:p>
        </w:tc>
        <w:tc>
          <w:tcPr>
            <w:tcW w:w="4400" w:type="dxa"/>
            <w:vAlign w:val="bottom"/>
          </w:tcPr>
          <w:p>
            <w:pPr>
              <w:ind w:left="26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0" w:type="dxa"/>
            <w:vAlign w:val="bottom"/>
            <w:shd w:val="clear" w:color="auto" w:fill="E2EEF6"/>
          </w:tcPr>
          <w:p>
            <w:pPr>
              <w:spacing w:after="0"/>
              <w:rPr>
                <w:sz w:val="20"/>
                <w:szCs w:val="20"/>
                <w:color w:val="auto"/>
              </w:rPr>
            </w:pPr>
            <w:r>
              <w:rPr>
                <w:rFonts w:ascii="Arial" w:cs="Arial" w:eastAsia="Arial" w:hAnsi="Arial"/>
                <w:sz w:val="18"/>
                <w:szCs w:val="18"/>
                <w:color w:val="auto"/>
              </w:rPr>
              <w:t>December 31, 2003</w:t>
            </w:r>
          </w:p>
        </w:tc>
        <w:tc>
          <w:tcPr>
            <w:tcW w:w="4400" w:type="dxa"/>
            <w:vAlign w:val="bottom"/>
            <w:shd w:val="clear" w:color="auto" w:fill="E2EEF6"/>
          </w:tcPr>
          <w:p>
            <w:pPr>
              <w:ind w:left="26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December 31, 2004</w:t>
            </w:r>
          </w:p>
        </w:tc>
        <w:tc>
          <w:tcPr>
            <w:tcW w:w="4400" w:type="dxa"/>
            <w:vAlign w:val="bottom"/>
          </w:tcPr>
          <w:p>
            <w:pPr>
              <w:ind w:left="26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0" w:type="dxa"/>
            <w:vAlign w:val="bottom"/>
            <w:shd w:val="clear" w:color="auto" w:fill="E2EEF6"/>
          </w:tcPr>
          <w:p>
            <w:pPr>
              <w:spacing w:after="0"/>
              <w:rPr>
                <w:sz w:val="20"/>
                <w:szCs w:val="20"/>
                <w:color w:val="auto"/>
              </w:rPr>
            </w:pPr>
            <w:r>
              <w:rPr>
                <w:rFonts w:ascii="Arial" w:cs="Arial" w:eastAsia="Arial" w:hAnsi="Arial"/>
                <w:sz w:val="18"/>
                <w:szCs w:val="18"/>
                <w:color w:val="auto"/>
              </w:rPr>
              <w:t>December 31, 2005</w:t>
            </w:r>
          </w:p>
        </w:tc>
        <w:tc>
          <w:tcPr>
            <w:tcW w:w="4400" w:type="dxa"/>
            <w:vAlign w:val="bottom"/>
            <w:shd w:val="clear" w:color="auto" w:fill="E2EEF6"/>
          </w:tcPr>
          <w:p>
            <w:pPr>
              <w:ind w:left="26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Bonus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Final Bonus is to enable the investment return provided by the policy to reflect more closely what has actually been earned over its lifetime. Final Bonus is added when units are cashed and is taken into account in calculating the market value of the policy. The last units purchased are the first units cashed. The amount of Final Bonus depends on the year units were purchased. A scale of bonus rates is normally declared at the end of each calendar year and remains in force until further notice. The scale can be altered during the year.</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units are cashed a Market Value Reduction (“MVR”) scale may be applied instead of a Final Bonus Scale. This reduction may be applied at any time except when units are cashed to provide a member’s normal retirement benefits or because of a member’s death before retirement.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MVR is applied when the value of the units plus the Final Bonus is significantly greater than the value of the underlying investments. It is applied so that non-contracted encashments do not result in more than the fair share of the fund being taken in times of poor performance in the stock market and other asset types in which Norwich Union’s With-Profits Fund is invested.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Year units purchased</w:t>
            </w:r>
          </w:p>
        </w:tc>
        <w:tc>
          <w:tcPr>
            <w:tcW w:w="4220" w:type="dxa"/>
            <w:vAlign w:val="bottom"/>
          </w:tcPr>
          <w:p>
            <w:pPr>
              <w:ind w:left="2960"/>
              <w:spacing w:after="0"/>
              <w:rPr>
                <w:sz w:val="20"/>
                <w:szCs w:val="20"/>
                <w:color w:val="auto"/>
              </w:rPr>
            </w:pPr>
            <w:r>
              <w:rPr>
                <w:rFonts w:ascii="Arial" w:cs="Arial" w:eastAsia="Arial" w:hAnsi="Arial"/>
                <w:sz w:val="18"/>
                <w:szCs w:val="18"/>
                <w:b w:val="1"/>
                <w:bCs w:val="1"/>
                <w:color w:val="auto"/>
              </w:rPr>
              <w:t>Final Bonus</w:t>
            </w:r>
          </w:p>
        </w:tc>
        <w:tc>
          <w:tcPr>
            <w:tcW w:w="2620" w:type="dxa"/>
            <w:vAlign w:val="bottom"/>
          </w:tcPr>
          <w:p>
            <w:pPr>
              <w:ind w:left="340"/>
              <w:spacing w:after="0"/>
              <w:rPr>
                <w:sz w:val="20"/>
                <w:szCs w:val="20"/>
                <w:color w:val="auto"/>
              </w:rPr>
            </w:pPr>
            <w:r>
              <w:rPr>
                <w:rFonts w:ascii="Arial" w:cs="Arial" w:eastAsia="Arial" w:hAnsi="Arial"/>
                <w:sz w:val="18"/>
                <w:szCs w:val="18"/>
                <w:b w:val="1"/>
                <w:bCs w:val="1"/>
                <w:color w:val="auto"/>
              </w:rPr>
              <w:t>Final Bonus (including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20" w:type="dxa"/>
            <w:vAlign w:val="bottom"/>
          </w:tcPr>
          <w:p>
            <w:pPr>
              <w:ind w:left="340"/>
              <w:spacing w:after="0"/>
              <w:rPr>
                <w:sz w:val="20"/>
                <w:szCs w:val="20"/>
                <w:color w:val="auto"/>
              </w:rPr>
            </w:pPr>
            <w:r>
              <w:rPr>
                <w:rFonts w:ascii="Arial" w:cs="Arial" w:eastAsia="Arial" w:hAnsi="Arial"/>
                <w:sz w:val="18"/>
                <w:szCs w:val="18"/>
                <w:b w:val="1"/>
                <w:bCs w:val="1"/>
                <w:color w:val="auto"/>
              </w:rPr>
              <w:t>MVR)</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E2EEF6"/>
          </w:tcPr>
          <w:p>
            <w:pPr>
              <w:spacing w:after="0"/>
              <w:rPr>
                <w:sz w:val="20"/>
                <w:szCs w:val="20"/>
                <w:color w:val="auto"/>
              </w:rPr>
            </w:pPr>
            <w:r>
              <w:rPr>
                <w:rFonts w:ascii="Arial" w:cs="Arial" w:eastAsia="Arial" w:hAnsi="Arial"/>
                <w:sz w:val="18"/>
                <w:szCs w:val="18"/>
                <w:color w:val="auto"/>
              </w:rPr>
              <w:t>2002</w:t>
            </w:r>
          </w:p>
        </w:tc>
        <w:tc>
          <w:tcPr>
            <w:tcW w:w="4220" w:type="dxa"/>
            <w:vAlign w:val="bottom"/>
            <w:shd w:val="clear" w:color="auto" w:fill="E2EEF6"/>
          </w:tcPr>
          <w:p>
            <w:pPr>
              <w:ind w:left="2960"/>
              <w:spacing w:after="0"/>
              <w:rPr>
                <w:sz w:val="20"/>
                <w:szCs w:val="20"/>
                <w:color w:val="auto"/>
              </w:rPr>
            </w:pPr>
            <w:r>
              <w:rPr>
                <w:rFonts w:ascii="Arial" w:cs="Arial" w:eastAsia="Arial" w:hAnsi="Arial"/>
                <w:sz w:val="18"/>
                <w:szCs w:val="18"/>
                <w:color w:val="auto"/>
              </w:rPr>
              <w:t>2%</w:t>
            </w:r>
          </w:p>
        </w:tc>
        <w:tc>
          <w:tcPr>
            <w:tcW w:w="26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2003</w:t>
            </w:r>
          </w:p>
        </w:tc>
        <w:tc>
          <w:tcPr>
            <w:tcW w:w="4220" w:type="dxa"/>
            <w:vAlign w:val="bottom"/>
          </w:tcPr>
          <w:p>
            <w:pPr>
              <w:ind w:left="2960"/>
              <w:spacing w:after="0"/>
              <w:rPr>
                <w:sz w:val="20"/>
                <w:szCs w:val="20"/>
                <w:color w:val="auto"/>
              </w:rPr>
            </w:pPr>
            <w:r>
              <w:rPr>
                <w:rFonts w:ascii="Arial" w:cs="Arial" w:eastAsia="Arial" w:hAnsi="Arial"/>
                <w:sz w:val="18"/>
                <w:szCs w:val="18"/>
                <w:color w:val="auto"/>
              </w:rPr>
              <w:t>7%</w:t>
            </w:r>
          </w:p>
        </w:tc>
        <w:tc>
          <w:tcPr>
            <w:tcW w:w="2620" w:type="dxa"/>
            <w:vAlign w:val="bottom"/>
          </w:tcPr>
          <w:p>
            <w:pPr>
              <w:ind w:lef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E2EEF6"/>
          </w:tcPr>
          <w:p>
            <w:pPr>
              <w:spacing w:after="0"/>
              <w:rPr>
                <w:sz w:val="20"/>
                <w:szCs w:val="20"/>
                <w:color w:val="auto"/>
              </w:rPr>
            </w:pPr>
            <w:r>
              <w:rPr>
                <w:rFonts w:ascii="Arial" w:cs="Arial" w:eastAsia="Arial" w:hAnsi="Arial"/>
                <w:sz w:val="18"/>
                <w:szCs w:val="18"/>
                <w:color w:val="auto"/>
              </w:rPr>
              <w:t>2004</w:t>
            </w:r>
          </w:p>
        </w:tc>
        <w:tc>
          <w:tcPr>
            <w:tcW w:w="4220" w:type="dxa"/>
            <w:vAlign w:val="bottom"/>
            <w:shd w:val="clear" w:color="auto" w:fill="E2EEF6"/>
          </w:tcPr>
          <w:p>
            <w:pPr>
              <w:ind w:left="2960"/>
              <w:spacing w:after="0"/>
              <w:rPr>
                <w:sz w:val="20"/>
                <w:szCs w:val="20"/>
                <w:color w:val="auto"/>
              </w:rPr>
            </w:pPr>
            <w:r>
              <w:rPr>
                <w:rFonts w:ascii="Arial" w:cs="Arial" w:eastAsia="Arial" w:hAnsi="Arial"/>
                <w:sz w:val="18"/>
                <w:szCs w:val="18"/>
                <w:color w:val="auto"/>
              </w:rPr>
              <w:t>3%</w:t>
            </w:r>
          </w:p>
        </w:tc>
        <w:tc>
          <w:tcPr>
            <w:tcW w:w="2620" w:type="dxa"/>
            <w:vAlign w:val="bottom"/>
            <w:shd w:val="clear" w:color="auto" w:fill="E2EEF6"/>
          </w:tcPr>
          <w:p>
            <w:pPr>
              <w:ind w:left="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2005</w:t>
            </w:r>
          </w:p>
        </w:tc>
        <w:tc>
          <w:tcPr>
            <w:tcW w:w="4220" w:type="dxa"/>
            <w:vAlign w:val="bottom"/>
          </w:tcPr>
          <w:p>
            <w:pPr>
              <w:ind w:left="2960"/>
              <w:spacing w:after="0"/>
              <w:rPr>
                <w:sz w:val="20"/>
                <w:szCs w:val="20"/>
                <w:color w:val="auto"/>
              </w:rPr>
            </w:pPr>
            <w:r>
              <w:rPr>
                <w:rFonts w:ascii="Arial" w:cs="Arial" w:eastAsia="Arial" w:hAnsi="Arial"/>
                <w:sz w:val="18"/>
                <w:szCs w:val="18"/>
                <w:color w:val="auto"/>
              </w:rPr>
              <w:t>-%</w:t>
            </w:r>
          </w:p>
        </w:tc>
        <w:tc>
          <w:tcPr>
            <w:tcW w:w="262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Rate of Return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2005, UK gilts were yielding around 4.1% per annum. This is often referred to as the risk free rate of return as UK gilts have a negligible risk of default and the income payments and capital on redemption are guaranteed by the UK Government. Overseas bonds have been assumed to produce returns in line with UK gilts.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long term equity “risk-premium” of 3.5% per annum has been assumed. This being the expected long term out-performance of equities over UK gilts. Property has been assumed to provide a return in line with equities over the long term. A outperformance of 1% per annum over the long term for corporate bonds over UK gilts has been taken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expected long term rates of return on different asset classes over the long term are as follows:</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2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Expected long-term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return per annum</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4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60" w:type="dxa"/>
            <w:vAlign w:val="bottom"/>
            <w:shd w:val="clear" w:color="auto" w:fill="E2EEF6"/>
          </w:tcPr>
          <w:p>
            <w:pPr>
              <w:spacing w:after="0"/>
              <w:rPr>
                <w:sz w:val="20"/>
                <w:szCs w:val="20"/>
                <w:color w:val="auto"/>
              </w:rPr>
            </w:pPr>
            <w:r>
              <w:rPr>
                <w:rFonts w:ascii="Arial" w:cs="Arial" w:eastAsia="Arial" w:hAnsi="Arial"/>
                <w:sz w:val="18"/>
                <w:szCs w:val="18"/>
                <w:color w:val="auto"/>
              </w:rPr>
              <w:t>UK equities</w:t>
            </w:r>
          </w:p>
        </w:tc>
        <w:tc>
          <w:tcPr>
            <w:tcW w:w="2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Overseas equities</w:t>
            </w:r>
          </w:p>
        </w:tc>
        <w:tc>
          <w:tcPr>
            <w:tcW w:w="29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460" w:type="dxa"/>
            <w:vAlign w:val="bottom"/>
            <w:shd w:val="clear" w:color="auto" w:fill="E2EEF6"/>
          </w:tcPr>
          <w:p>
            <w:pPr>
              <w:spacing w:after="0"/>
              <w:rPr>
                <w:sz w:val="20"/>
                <w:szCs w:val="20"/>
                <w:color w:val="auto"/>
              </w:rPr>
            </w:pPr>
            <w:r>
              <w:rPr>
                <w:rFonts w:ascii="Arial" w:cs="Arial" w:eastAsia="Arial" w:hAnsi="Arial"/>
                <w:sz w:val="18"/>
                <w:szCs w:val="18"/>
                <w:color w:val="auto"/>
              </w:rPr>
              <w:t>Property</w:t>
            </w:r>
          </w:p>
        </w:tc>
        <w:tc>
          <w:tcPr>
            <w:tcW w:w="2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UK Gilts</w:t>
            </w:r>
          </w:p>
        </w:tc>
        <w:tc>
          <w:tcPr>
            <w:tcW w:w="29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460" w:type="dxa"/>
            <w:vAlign w:val="bottom"/>
            <w:shd w:val="clear" w:color="auto" w:fill="E2EEF6"/>
          </w:tcPr>
          <w:p>
            <w:pPr>
              <w:spacing w:after="0"/>
              <w:rPr>
                <w:sz w:val="20"/>
                <w:szCs w:val="20"/>
                <w:color w:val="auto"/>
              </w:rPr>
            </w:pPr>
            <w:r>
              <w:rPr>
                <w:rFonts w:ascii="Arial" w:cs="Arial" w:eastAsia="Arial" w:hAnsi="Arial"/>
                <w:sz w:val="18"/>
                <w:szCs w:val="18"/>
                <w:color w:val="auto"/>
              </w:rPr>
              <w:t>Overseas bonds</w:t>
            </w:r>
          </w:p>
        </w:tc>
        <w:tc>
          <w:tcPr>
            <w:tcW w:w="2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Corporate bonds</w:t>
            </w:r>
          </w:p>
        </w:tc>
        <w:tc>
          <w:tcPr>
            <w:tcW w:w="29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460" w:type="dxa"/>
            <w:vAlign w:val="bottom"/>
            <w:shd w:val="clear" w:color="auto" w:fill="E2EEF6"/>
          </w:tcPr>
          <w:p>
            <w:pPr>
              <w:spacing w:after="0"/>
              <w:rPr>
                <w:sz w:val="20"/>
                <w:szCs w:val="20"/>
                <w:color w:val="auto"/>
              </w:rPr>
            </w:pPr>
            <w:r>
              <w:rPr>
                <w:rFonts w:ascii="Arial" w:cs="Arial" w:eastAsia="Arial" w:hAnsi="Arial"/>
                <w:sz w:val="18"/>
                <w:szCs w:val="18"/>
                <w:color w:val="auto"/>
              </w:rPr>
              <w:t>Cash</w:t>
            </w:r>
          </w:p>
        </w:tc>
        <w:tc>
          <w:tcPr>
            <w:tcW w:w="2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of the With-Profits Fund at December 31, 2005 gives rise to an expected overall rate of return of scheme assets of around 6.0% per annum.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Options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options can be granted after January 17, 2013.</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340"/>
        <w:spacing w:after="0" w:line="277" w:lineRule="auto"/>
        <w:rPr>
          <w:sz w:val="20"/>
          <w:szCs w:val="20"/>
          <w:color w:val="auto"/>
        </w:rPr>
      </w:pPr>
      <w:r>
        <w:rPr>
          <w:rFonts w:ascii="Arial" w:cs="Arial" w:eastAsia="Arial" w:hAnsi="Arial"/>
          <w:sz w:val="18"/>
          <w:szCs w:val="18"/>
          <w:color w:val="auto"/>
        </w:rPr>
        <w:t>The following table summarizes the transactions for the Company’s share option plans for the three year period ended May 31, 2005 and the seven month period ended December 31, 2005: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Options Granted</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Weighted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Prior to</w:t>
            </w: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Options Granted</w:t>
            </w: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Average Exercise</w:t>
            </w:r>
          </w:p>
        </w:tc>
      </w:tr>
      <w:tr>
        <w:trPr>
          <w:trHeight w:val="234"/>
        </w:trPr>
        <w:tc>
          <w:tcPr>
            <w:tcW w:w="4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Jan 15, 1998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 Plans</w:t>
            </w: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Price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Outstanding at May 31, 2002</w:t>
            </w:r>
          </w:p>
        </w:tc>
        <w:tc>
          <w:tcPr>
            <w:tcW w:w="240" w:type="dxa"/>
            <w:vAlign w:val="bottom"/>
            <w:tcBorders>
              <w:bottom w:val="single" w:sz="8" w:color="E2EEF6"/>
            </w:tcBorders>
            <w:shd w:val="clear" w:color="auto" w:fill="E2EEF6"/>
          </w:tcPr>
          <w:p>
            <w:pPr>
              <w:spacing w:after="0"/>
              <w:rPr>
                <w:sz w:val="21"/>
                <w:szCs w:val="21"/>
                <w:color w:val="auto"/>
              </w:rPr>
            </w:pPr>
          </w:p>
        </w:tc>
        <w:tc>
          <w:tcPr>
            <w:tcW w:w="1520" w:type="dxa"/>
            <w:vAlign w:val="bottom"/>
            <w:tcBorders>
              <w:bottom w:val="single" w:sz="8" w:color="E2EEF6"/>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292,030</w:t>
            </w:r>
          </w:p>
        </w:tc>
        <w:tc>
          <w:tcPr>
            <w:tcW w:w="1680" w:type="dxa"/>
            <w:vAlign w:val="bottom"/>
            <w:tcBorders>
              <w:bottom w:val="single" w:sz="8" w:color="E2EEF6"/>
            </w:tcBorders>
            <w:gridSpan w:val="3"/>
            <w:shd w:val="clear" w:color="auto" w:fill="E2EEF6"/>
          </w:tcPr>
          <w:p>
            <w:pPr>
              <w:jc w:val="right"/>
              <w:ind w:right="220"/>
              <w:spacing w:after="0"/>
              <w:rPr>
                <w:sz w:val="20"/>
                <w:szCs w:val="20"/>
                <w:color w:val="auto"/>
              </w:rPr>
            </w:pPr>
            <w:r>
              <w:rPr>
                <w:rFonts w:ascii="Arial" w:cs="Arial" w:eastAsia="Arial" w:hAnsi="Arial"/>
                <w:sz w:val="18"/>
                <w:szCs w:val="18"/>
                <w:color w:val="auto"/>
              </w:rPr>
              <w:t>727,590</w:t>
            </w:r>
          </w:p>
        </w:tc>
        <w:tc>
          <w:tcPr>
            <w:tcW w:w="160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1,019,620</w:t>
            </w:r>
          </w:p>
        </w:tc>
        <w:tc>
          <w:tcPr>
            <w:tcW w:w="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15.85</w:t>
            </w:r>
          </w:p>
        </w:tc>
      </w:tr>
      <w:tr>
        <w:trPr>
          <w:trHeight w:val="20"/>
        </w:trPr>
        <w:tc>
          <w:tcPr>
            <w:tcW w:w="4920" w:type="dxa"/>
            <w:vAlign w:val="bottom"/>
            <w:shd w:val="clear" w:color="auto" w:fill="E2EEF6"/>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283,445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283,445</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27.96</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680" w:type="dxa"/>
            <w:vAlign w:val="bottom"/>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(39,360)</w:t>
            </w:r>
          </w:p>
        </w:tc>
        <w:tc>
          <w:tcPr>
            <w:tcW w:w="16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(39,360)</w:t>
            </w:r>
          </w:p>
        </w:tc>
        <w:tc>
          <w:tcPr>
            <w:tcW w:w="8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18.51</w:t>
            </w: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(78,060)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(78,060)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r>
      <w:tr>
        <w:trPr>
          <w:trHeight w:val="257"/>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Outstanding at May 31, 2003</w:t>
            </w:r>
          </w:p>
        </w:tc>
        <w:tc>
          <w:tcPr>
            <w:tcW w:w="1760" w:type="dxa"/>
            <w:vAlign w:val="bottom"/>
            <w:tcBorders>
              <w:bottom w:val="single" w:sz="8" w:color="E2EEF6"/>
            </w:tcBorders>
            <w:gridSpan w:val="3"/>
            <w:shd w:val="clear" w:color="auto" w:fill="E2EEF6"/>
          </w:tcPr>
          <w:p>
            <w:pPr>
              <w:jc w:val="right"/>
              <w:ind w:right="140"/>
              <w:spacing w:after="0"/>
              <w:rPr>
                <w:sz w:val="20"/>
                <w:szCs w:val="20"/>
                <w:color w:val="auto"/>
              </w:rPr>
            </w:pPr>
            <w:r>
              <w:rPr>
                <w:rFonts w:ascii="Arial" w:cs="Arial" w:eastAsia="Arial" w:hAnsi="Arial"/>
                <w:sz w:val="18"/>
                <w:szCs w:val="18"/>
                <w:color w:val="auto"/>
              </w:rPr>
              <w:t>292,030</w:t>
            </w:r>
          </w:p>
        </w:tc>
        <w:tc>
          <w:tcPr>
            <w:tcW w:w="1680" w:type="dxa"/>
            <w:vAlign w:val="bottom"/>
            <w:tcBorders>
              <w:bottom w:val="single" w:sz="8" w:color="E2EEF6"/>
            </w:tcBorders>
            <w:gridSpan w:val="3"/>
            <w:shd w:val="clear" w:color="auto" w:fill="E2EEF6"/>
          </w:tcPr>
          <w:p>
            <w:pPr>
              <w:jc w:val="right"/>
              <w:ind w:right="220"/>
              <w:spacing w:after="0"/>
              <w:rPr>
                <w:sz w:val="20"/>
                <w:szCs w:val="20"/>
                <w:color w:val="auto"/>
              </w:rPr>
            </w:pPr>
            <w:r>
              <w:rPr>
                <w:rFonts w:ascii="Arial" w:cs="Arial" w:eastAsia="Arial" w:hAnsi="Arial"/>
                <w:sz w:val="18"/>
                <w:szCs w:val="18"/>
                <w:color w:val="auto"/>
              </w:rPr>
              <w:t>893,615</w:t>
            </w:r>
          </w:p>
        </w:tc>
        <w:tc>
          <w:tcPr>
            <w:tcW w:w="160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1,185,645</w:t>
            </w:r>
          </w:p>
        </w:tc>
        <w:tc>
          <w:tcPr>
            <w:tcW w:w="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18.24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372,926</w:t>
            </w: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372,926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35.53</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Exercised</w:t>
            </w:r>
          </w:p>
        </w:tc>
        <w:tc>
          <w:tcPr>
            <w:tcW w:w="240" w:type="dxa"/>
            <w:vAlign w:val="bottom"/>
            <w:shd w:val="clear" w:color="auto" w:fill="E2EEF6"/>
          </w:tcPr>
          <w:p>
            <w:pPr>
              <w:spacing w:after="0"/>
              <w:rPr>
                <w:sz w:val="20"/>
                <w:szCs w:val="20"/>
                <w:color w:val="auto"/>
              </w:rPr>
            </w:pPr>
          </w:p>
        </w:tc>
        <w:tc>
          <w:tcPr>
            <w:tcW w:w="15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(244,960)</w:t>
            </w:r>
          </w:p>
        </w:tc>
        <w:tc>
          <w:tcPr>
            <w:tcW w:w="1680" w:type="dxa"/>
            <w:vAlign w:val="bottom"/>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(251,959)</w:t>
            </w:r>
          </w:p>
        </w:tc>
        <w:tc>
          <w:tcPr>
            <w:tcW w:w="16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(496,919)</w:t>
            </w:r>
          </w:p>
        </w:tc>
        <w:tc>
          <w:tcPr>
            <w:tcW w:w="8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10.78</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Canceled</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(68,080)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(68,080)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Outstanding at May 31, 2004</w:t>
            </w:r>
          </w:p>
        </w:tc>
        <w:tc>
          <w:tcPr>
            <w:tcW w:w="240" w:type="dxa"/>
            <w:vAlign w:val="bottom"/>
            <w:tcBorders>
              <w:bottom w:val="single" w:sz="8" w:color="E2EEF6"/>
            </w:tcBorders>
            <w:shd w:val="clear" w:color="auto" w:fill="E2EEF6"/>
          </w:tcPr>
          <w:p>
            <w:pPr>
              <w:spacing w:after="0"/>
              <w:rPr>
                <w:sz w:val="21"/>
                <w:szCs w:val="21"/>
                <w:color w:val="auto"/>
              </w:rPr>
            </w:pP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47,070</w:t>
            </w:r>
          </w:p>
        </w:tc>
        <w:tc>
          <w:tcPr>
            <w:tcW w:w="1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946,502</w:t>
            </w:r>
          </w:p>
        </w:tc>
        <w:tc>
          <w:tcPr>
            <w:tcW w:w="220" w:type="dxa"/>
            <w:vAlign w:val="bottom"/>
            <w:tcBorders>
              <w:bottom w:val="single" w:sz="8" w:color="E2EEF6"/>
            </w:tcBorders>
            <w:shd w:val="clear" w:color="auto" w:fill="E2EEF6"/>
          </w:tcPr>
          <w:p>
            <w:pPr>
              <w:spacing w:after="0"/>
              <w:rPr>
                <w:sz w:val="21"/>
                <w:szCs w:val="21"/>
                <w:color w:val="auto"/>
              </w:rPr>
            </w:pPr>
          </w:p>
        </w:tc>
        <w:tc>
          <w:tcPr>
            <w:tcW w:w="160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993,572</w:t>
            </w:r>
          </w:p>
        </w:tc>
        <w:tc>
          <w:tcPr>
            <w:tcW w:w="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27.90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427,730</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427,730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680" w:type="dxa"/>
            <w:vAlign w:val="bottom"/>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(60,620)</w:t>
            </w:r>
          </w:p>
        </w:tc>
        <w:tc>
          <w:tcPr>
            <w:tcW w:w="16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(60,620)</w:t>
            </w:r>
          </w:p>
        </w:tc>
        <w:tc>
          <w:tcPr>
            <w:tcW w:w="8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23.11</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Canceled</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(72,440)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(72,440)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Outstanding at May 31, 2005</w:t>
            </w:r>
          </w:p>
        </w:tc>
        <w:tc>
          <w:tcPr>
            <w:tcW w:w="240" w:type="dxa"/>
            <w:vAlign w:val="bottom"/>
            <w:tcBorders>
              <w:bottom w:val="single" w:sz="8" w:color="E2EEF6"/>
            </w:tcBorders>
            <w:shd w:val="clear" w:color="auto" w:fill="E2EEF6"/>
          </w:tcPr>
          <w:p>
            <w:pPr>
              <w:spacing w:after="0"/>
              <w:rPr>
                <w:sz w:val="21"/>
                <w:szCs w:val="21"/>
                <w:color w:val="auto"/>
              </w:rPr>
            </w:pP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47,070</w:t>
            </w:r>
          </w:p>
        </w:tc>
        <w:tc>
          <w:tcPr>
            <w:tcW w:w="1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1,241,172</w:t>
            </w:r>
          </w:p>
        </w:tc>
        <w:tc>
          <w:tcPr>
            <w:tcW w:w="220" w:type="dxa"/>
            <w:vAlign w:val="bottom"/>
            <w:tcBorders>
              <w:bottom w:val="single" w:sz="8" w:color="E2EEF6"/>
            </w:tcBorders>
            <w:shd w:val="clear" w:color="auto" w:fill="E2EEF6"/>
          </w:tcPr>
          <w:p>
            <w:pPr>
              <w:spacing w:after="0"/>
              <w:rPr>
                <w:sz w:val="21"/>
                <w:szCs w:val="21"/>
                <w:color w:val="auto"/>
              </w:rPr>
            </w:pPr>
          </w:p>
        </w:tc>
        <w:tc>
          <w:tcPr>
            <w:tcW w:w="160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1,288,242</w:t>
            </w:r>
          </w:p>
        </w:tc>
        <w:tc>
          <w:tcPr>
            <w:tcW w:w="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30.10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Exercised</w:t>
            </w:r>
          </w:p>
        </w:tc>
        <w:tc>
          <w:tcPr>
            <w:tcW w:w="24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(78,996)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(118,996)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r>
      <w:tr>
        <w:trPr>
          <w:trHeight w:val="250"/>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Canceled</w:t>
            </w:r>
          </w:p>
        </w:tc>
        <w:tc>
          <w:tcPr>
            <w:tcW w:w="162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2EEF6"/>
            </w:tcBorders>
            <w:shd w:val="clear" w:color="auto" w:fill="E2EEF6"/>
          </w:tcPr>
          <w:p>
            <w:pPr>
              <w:spacing w:after="0"/>
              <w:rPr>
                <w:sz w:val="21"/>
                <w:szCs w:val="21"/>
                <w:color w:val="auto"/>
              </w:rPr>
            </w:pPr>
          </w:p>
        </w:tc>
        <w:tc>
          <w:tcPr>
            <w:tcW w:w="1680" w:type="dxa"/>
            <w:vAlign w:val="bottom"/>
            <w:tcBorders>
              <w:bottom w:val="single" w:sz="8" w:color="E2EEF6"/>
            </w:tcBorders>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(37,100)</w:t>
            </w:r>
          </w:p>
        </w:tc>
        <w:tc>
          <w:tcPr>
            <w:tcW w:w="160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(37,100)</w:t>
            </w:r>
          </w:p>
        </w:tc>
        <w:tc>
          <w:tcPr>
            <w:tcW w:w="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32.38</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Outstanding at December 31, 2005</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7,070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1,125,076</w:t>
            </w: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1,132,146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None of the share option grants summarized in the above table resulted in compensation expense in the current period, as the option grant price was equal to or greater than the estimated fair value of ordinary shares on the measurement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2005: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Weighted</w:t>
            </w:r>
          </w:p>
        </w:tc>
        <w:tc>
          <w:tcPr>
            <w:tcW w:w="1940" w:type="dxa"/>
            <w:vAlign w:val="bottom"/>
          </w:tcPr>
          <w:p>
            <w:pPr>
              <w:spacing w:after="0"/>
              <w:rPr>
                <w:sz w:val="20"/>
                <w:szCs w:val="20"/>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b w:val="1"/>
                <w:bCs w:val="1"/>
                <w:color w:val="auto"/>
              </w:rPr>
              <w:t>Options Exercisable</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Range</w:t>
            </w:r>
          </w:p>
        </w:tc>
        <w:tc>
          <w:tcPr>
            <w:tcW w:w="196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Average</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Weighted</w:t>
            </w:r>
          </w:p>
        </w:tc>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Exercise</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Remaining</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Average</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Price</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Contractual Life</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19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$0.07</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7,070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0.9</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$0.07</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7,070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$15.63</w:t>
            </w:r>
          </w:p>
        </w:tc>
        <w:tc>
          <w:tcPr>
            <w:tcW w:w="1960" w:type="dxa"/>
            <w:vAlign w:val="bottom"/>
          </w:tcPr>
          <w:p>
            <w:pPr>
              <w:jc w:val="right"/>
              <w:spacing w:after="0"/>
              <w:rPr>
                <w:sz w:val="20"/>
                <w:szCs w:val="20"/>
                <w:color w:val="auto"/>
              </w:rPr>
            </w:pPr>
            <w:r>
              <w:rPr>
                <w:rFonts w:ascii="Arial" w:cs="Arial" w:eastAsia="Arial" w:hAnsi="Arial"/>
                <w:sz w:val="18"/>
                <w:szCs w:val="18"/>
                <w:color w:val="auto"/>
              </w:rPr>
              <w:t>7,000</w:t>
            </w: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c>
          <w:tcPr>
            <w:tcW w:w="1940" w:type="dxa"/>
            <w:vAlign w:val="bottom"/>
          </w:tcPr>
          <w:p>
            <w:pPr>
              <w:jc w:val="right"/>
              <w:spacing w:after="0"/>
              <w:rPr>
                <w:sz w:val="20"/>
                <w:szCs w:val="20"/>
                <w:color w:val="auto"/>
              </w:rPr>
            </w:pPr>
            <w:r>
              <w:rPr>
                <w:rFonts w:ascii="Arial" w:cs="Arial" w:eastAsia="Arial" w:hAnsi="Arial"/>
                <w:sz w:val="18"/>
                <w:szCs w:val="18"/>
                <w:color w:val="auto"/>
              </w:rPr>
              <w:t>$15.63</w:t>
            </w:r>
          </w:p>
        </w:tc>
        <w:tc>
          <w:tcPr>
            <w:tcW w:w="1960" w:type="dxa"/>
            <w:vAlign w:val="bottom"/>
          </w:tcPr>
          <w:p>
            <w:pPr>
              <w:jc w:val="right"/>
              <w:spacing w:after="0"/>
              <w:rPr>
                <w:sz w:val="20"/>
                <w:szCs w:val="20"/>
                <w:color w:val="auto"/>
              </w:rPr>
            </w:pPr>
            <w:r>
              <w:rPr>
                <w:rFonts w:ascii="Arial" w:cs="Arial" w:eastAsia="Arial" w:hAnsi="Arial"/>
                <w:sz w:val="18"/>
                <w:szCs w:val="18"/>
                <w:color w:val="auto"/>
              </w:rPr>
              <w:t>7,000</w:t>
            </w:r>
          </w:p>
        </w:tc>
        <w:tc>
          <w:tcPr>
            <w:tcW w:w="1960" w:type="dxa"/>
            <w:vAlign w:val="bottom"/>
          </w:tcPr>
          <w:p>
            <w:pPr>
              <w:jc w:val="right"/>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1,600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$18.00</w:t>
            </w:r>
          </w:p>
        </w:tc>
        <w:tc>
          <w:tcPr>
            <w:tcW w:w="1960" w:type="dxa"/>
            <w:vAlign w:val="bottom"/>
          </w:tcPr>
          <w:p>
            <w:pPr>
              <w:jc w:val="right"/>
              <w:spacing w:after="0"/>
              <w:rPr>
                <w:sz w:val="20"/>
                <w:szCs w:val="20"/>
                <w:color w:val="auto"/>
              </w:rPr>
            </w:pPr>
            <w:r>
              <w:rPr>
                <w:rFonts w:ascii="Arial" w:cs="Arial" w:eastAsia="Arial" w:hAnsi="Arial"/>
                <w:sz w:val="18"/>
                <w:szCs w:val="18"/>
                <w:color w:val="auto"/>
              </w:rPr>
              <w:t>58,010</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c>
          <w:tcPr>
            <w:tcW w:w="1940" w:type="dxa"/>
            <w:vAlign w:val="bottom"/>
          </w:tcPr>
          <w:p>
            <w:pPr>
              <w:jc w:val="right"/>
              <w:spacing w:after="0"/>
              <w:rPr>
                <w:sz w:val="20"/>
                <w:szCs w:val="20"/>
                <w:color w:val="auto"/>
              </w:rPr>
            </w:pPr>
            <w:r>
              <w:rPr>
                <w:rFonts w:ascii="Arial" w:cs="Arial" w:eastAsia="Arial" w:hAnsi="Arial"/>
                <w:sz w:val="18"/>
                <w:szCs w:val="18"/>
                <w:color w:val="auto"/>
              </w:rPr>
              <w:t>$18.00</w:t>
            </w:r>
          </w:p>
        </w:tc>
        <w:tc>
          <w:tcPr>
            <w:tcW w:w="1960" w:type="dxa"/>
            <w:vAlign w:val="bottom"/>
          </w:tcPr>
          <w:p>
            <w:pPr>
              <w:jc w:val="right"/>
              <w:spacing w:after="0"/>
              <w:rPr>
                <w:sz w:val="20"/>
                <w:szCs w:val="20"/>
                <w:color w:val="auto"/>
              </w:rPr>
            </w:pPr>
            <w:r>
              <w:rPr>
                <w:rFonts w:ascii="Arial" w:cs="Arial" w:eastAsia="Arial" w:hAnsi="Arial"/>
                <w:sz w:val="18"/>
                <w:szCs w:val="18"/>
                <w:color w:val="auto"/>
              </w:rPr>
              <w:t>58,010</w:t>
            </w:r>
          </w:p>
        </w:tc>
        <w:tc>
          <w:tcPr>
            <w:tcW w:w="196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$21.25</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42,020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$21.25</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22,260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$26.50</w:t>
            </w:r>
          </w:p>
        </w:tc>
        <w:tc>
          <w:tcPr>
            <w:tcW w:w="1960" w:type="dxa"/>
            <w:vAlign w:val="bottom"/>
          </w:tcPr>
          <w:p>
            <w:pPr>
              <w:jc w:val="right"/>
              <w:spacing w:after="0"/>
              <w:rPr>
                <w:sz w:val="20"/>
                <w:szCs w:val="20"/>
                <w:color w:val="auto"/>
              </w:rPr>
            </w:pPr>
            <w:r>
              <w:rPr>
                <w:rFonts w:ascii="Arial" w:cs="Arial" w:eastAsia="Arial" w:hAnsi="Arial"/>
                <w:sz w:val="18"/>
                <w:szCs w:val="18"/>
                <w:color w:val="auto"/>
              </w:rPr>
              <w:t>8,000</w:t>
            </w:r>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c>
          <w:tcPr>
            <w:tcW w:w="1940" w:type="dxa"/>
            <w:vAlign w:val="bottom"/>
          </w:tcPr>
          <w:p>
            <w:pPr>
              <w:jc w:val="right"/>
              <w:spacing w:after="0"/>
              <w:rPr>
                <w:sz w:val="20"/>
                <w:szCs w:val="20"/>
                <w:color w:val="auto"/>
              </w:rPr>
            </w:pPr>
            <w:r>
              <w:rPr>
                <w:rFonts w:ascii="Arial" w:cs="Arial" w:eastAsia="Arial" w:hAnsi="Arial"/>
                <w:sz w:val="18"/>
                <w:szCs w:val="18"/>
                <w:color w:val="auto"/>
              </w:rPr>
              <w:t>$26.50</w:t>
            </w:r>
          </w:p>
        </w:tc>
        <w:tc>
          <w:tcPr>
            <w:tcW w:w="1960" w:type="dxa"/>
            <w:vAlign w:val="bottom"/>
          </w:tcPr>
          <w:p>
            <w:pPr>
              <w:jc w:val="right"/>
              <w:spacing w:after="0"/>
              <w:rPr>
                <w:sz w:val="20"/>
                <w:szCs w:val="20"/>
                <w:color w:val="auto"/>
              </w:rPr>
            </w:pPr>
            <w:r>
              <w:rPr>
                <w:rFonts w:ascii="Arial" w:cs="Arial" w:eastAsia="Arial" w:hAnsi="Arial"/>
                <w:sz w:val="18"/>
                <w:szCs w:val="18"/>
                <w:color w:val="auto"/>
              </w:rPr>
              <w:t>6,000</w:t>
            </w:r>
          </w:p>
        </w:tc>
        <w:tc>
          <w:tcPr>
            <w:tcW w:w="1960" w:type="dxa"/>
            <w:vAlign w:val="bottom"/>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101,100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74,340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$28.00</w:t>
            </w:r>
          </w:p>
        </w:tc>
        <w:tc>
          <w:tcPr>
            <w:tcW w:w="1960" w:type="dxa"/>
            <w:vAlign w:val="bottom"/>
          </w:tcPr>
          <w:p>
            <w:pPr>
              <w:jc w:val="right"/>
              <w:spacing w:after="0"/>
              <w:rPr>
                <w:sz w:val="20"/>
                <w:szCs w:val="20"/>
                <w:color w:val="auto"/>
              </w:rPr>
            </w:pPr>
            <w:r>
              <w:rPr>
                <w:rFonts w:ascii="Arial" w:cs="Arial" w:eastAsia="Arial" w:hAnsi="Arial"/>
                <w:sz w:val="18"/>
                <w:szCs w:val="18"/>
                <w:color w:val="auto"/>
              </w:rPr>
              <w:t>186,030</w:t>
            </w:r>
          </w:p>
        </w:tc>
        <w:tc>
          <w:tcPr>
            <w:tcW w:w="1940" w:type="dxa"/>
            <w:vAlign w:val="bottom"/>
          </w:tcPr>
          <w:p>
            <w:pPr>
              <w:jc w:val="right"/>
              <w:spacing w:after="0"/>
              <w:rPr>
                <w:sz w:val="20"/>
                <w:szCs w:val="20"/>
                <w:color w:val="auto"/>
              </w:rPr>
            </w:pPr>
            <w:r>
              <w:rPr>
                <w:rFonts w:ascii="Arial" w:cs="Arial" w:eastAsia="Arial" w:hAnsi="Arial"/>
                <w:sz w:val="18"/>
                <w:szCs w:val="18"/>
                <w:color w:val="auto"/>
              </w:rPr>
              <w:t>4.9</w:t>
            </w:r>
          </w:p>
        </w:tc>
        <w:tc>
          <w:tcPr>
            <w:tcW w:w="1940" w:type="dxa"/>
            <w:vAlign w:val="bottom"/>
          </w:tcPr>
          <w:p>
            <w:pPr>
              <w:jc w:val="right"/>
              <w:spacing w:after="0"/>
              <w:rPr>
                <w:sz w:val="20"/>
                <w:szCs w:val="20"/>
                <w:color w:val="auto"/>
              </w:rPr>
            </w:pPr>
            <w:r>
              <w:rPr>
                <w:rFonts w:ascii="Arial" w:cs="Arial" w:eastAsia="Arial" w:hAnsi="Arial"/>
                <w:sz w:val="18"/>
                <w:szCs w:val="18"/>
                <w:color w:val="auto"/>
              </w:rPr>
              <w:t>$28.00</w:t>
            </w:r>
          </w:p>
        </w:tc>
        <w:tc>
          <w:tcPr>
            <w:tcW w:w="1960" w:type="dxa"/>
            <w:vAlign w:val="bottom"/>
          </w:tcPr>
          <w:p>
            <w:pPr>
              <w:jc w:val="right"/>
              <w:spacing w:after="0"/>
              <w:rPr>
                <w:sz w:val="20"/>
                <w:szCs w:val="20"/>
                <w:color w:val="auto"/>
              </w:rPr>
            </w:pPr>
            <w:r>
              <w:rPr>
                <w:rFonts w:ascii="Arial" w:cs="Arial" w:eastAsia="Arial" w:hAnsi="Arial"/>
                <w:sz w:val="18"/>
                <w:szCs w:val="18"/>
                <w:color w:val="auto"/>
              </w:rPr>
              <w:t>58,983</w:t>
            </w:r>
          </w:p>
        </w:tc>
        <w:tc>
          <w:tcPr>
            <w:tcW w:w="1960" w:type="dxa"/>
            <w:vAlign w:val="bottom"/>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$42.71</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1,798</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5.8</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$42.71</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1,798</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$35.50</w:t>
            </w:r>
          </w:p>
        </w:tc>
        <w:tc>
          <w:tcPr>
            <w:tcW w:w="1960" w:type="dxa"/>
            <w:vAlign w:val="bottom"/>
          </w:tcPr>
          <w:p>
            <w:pPr>
              <w:jc w:val="right"/>
              <w:spacing w:after="0"/>
              <w:rPr>
                <w:sz w:val="20"/>
                <w:szCs w:val="20"/>
                <w:color w:val="auto"/>
              </w:rPr>
            </w:pPr>
            <w:r>
              <w:rPr>
                <w:rFonts w:ascii="Arial" w:cs="Arial" w:eastAsia="Arial" w:hAnsi="Arial"/>
                <w:sz w:val="18"/>
                <w:szCs w:val="18"/>
                <w:color w:val="auto"/>
              </w:rPr>
              <w:t>314,538</w:t>
            </w:r>
          </w:p>
        </w:tc>
        <w:tc>
          <w:tcPr>
            <w:tcW w:w="1940" w:type="dxa"/>
            <w:vAlign w:val="bottom"/>
          </w:tcPr>
          <w:p>
            <w:pPr>
              <w:jc w:val="right"/>
              <w:spacing w:after="0"/>
              <w:rPr>
                <w:sz w:val="20"/>
                <w:szCs w:val="20"/>
                <w:color w:val="auto"/>
              </w:rPr>
            </w:pPr>
            <w:r>
              <w:rPr>
                <w:rFonts w:ascii="Arial" w:cs="Arial" w:eastAsia="Arial" w:hAnsi="Arial"/>
                <w:sz w:val="18"/>
                <w:szCs w:val="18"/>
                <w:color w:val="auto"/>
              </w:rPr>
              <w:t>6.1</w:t>
            </w:r>
          </w:p>
        </w:tc>
        <w:tc>
          <w:tcPr>
            <w:tcW w:w="1940" w:type="dxa"/>
            <w:vAlign w:val="bottom"/>
          </w:tcPr>
          <w:p>
            <w:pPr>
              <w:jc w:val="right"/>
              <w:spacing w:after="0"/>
              <w:rPr>
                <w:sz w:val="20"/>
                <w:szCs w:val="20"/>
                <w:color w:val="auto"/>
              </w:rPr>
            </w:pPr>
            <w:r>
              <w:rPr>
                <w:rFonts w:ascii="Arial" w:cs="Arial" w:eastAsia="Arial" w:hAnsi="Arial"/>
                <w:sz w:val="18"/>
                <w:szCs w:val="18"/>
                <w:color w:val="auto"/>
              </w:rPr>
              <w:t>$35.50</w:t>
            </w:r>
          </w:p>
        </w:tc>
        <w:tc>
          <w:tcPr>
            <w:tcW w:w="1960" w:type="dxa"/>
            <w:vAlign w:val="bottom"/>
          </w:tcPr>
          <w:p>
            <w:pPr>
              <w:jc w:val="right"/>
              <w:spacing w:after="0"/>
              <w:rPr>
                <w:sz w:val="20"/>
                <w:szCs w:val="20"/>
                <w:color w:val="auto"/>
              </w:rPr>
            </w:pPr>
            <w:r>
              <w:rPr>
                <w:rFonts w:ascii="Arial" w:cs="Arial" w:eastAsia="Arial" w:hAnsi="Arial"/>
                <w:sz w:val="18"/>
                <w:szCs w:val="18"/>
                <w:color w:val="auto"/>
              </w:rPr>
              <w:t>69,196</w:t>
            </w:r>
          </w:p>
        </w:tc>
        <w:tc>
          <w:tcPr>
            <w:tcW w:w="1960" w:type="dxa"/>
            <w:vAlign w:val="bottom"/>
          </w:tcPr>
          <w:p>
            <w:pPr>
              <w:jc w:val="right"/>
              <w:spacing w:after="0"/>
              <w:rPr>
                <w:sz w:val="20"/>
                <w:szCs w:val="20"/>
                <w:color w:val="auto"/>
              </w:rPr>
            </w:pPr>
            <w:r>
              <w:rPr>
                <w:rFonts w:ascii="Arial" w:cs="Arial" w:eastAsia="Arial" w:hAnsi="Arial"/>
                <w:sz w:val="18"/>
                <w:szCs w:val="18"/>
                <w:color w:val="auto"/>
              </w:rPr>
              <w:t>$35.50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$34.40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404,980</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w:t>
            </w:r>
          </w:p>
        </w:tc>
        <w:tc>
          <w:tcPr>
            <w:tcW w:w="1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$34.40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22,500</w:t>
            </w:r>
          </w:p>
        </w:tc>
        <w:tc>
          <w:tcPr>
            <w:tcW w:w="1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tcBorders>
              <w:bottom w:val="single" w:sz="8" w:color="auto"/>
            </w:tcBorders>
            <w:shd w:val="clear" w:color="auto" w:fill="E2EEF6"/>
          </w:tcPr>
          <w:p>
            <w:pPr>
              <w:spacing w:after="0"/>
              <w:rPr>
                <w:sz w:val="21"/>
                <w:szCs w:val="21"/>
                <w:color w:val="auto"/>
              </w:rPr>
            </w:pPr>
          </w:p>
        </w:tc>
        <w:tc>
          <w:tcPr>
            <w:tcW w:w="1960" w:type="dxa"/>
            <w:vAlign w:val="bottom"/>
            <w:tcBorders>
              <w:bottom w:val="single" w:sz="8" w:color="auto"/>
            </w:tcBorders>
            <w:shd w:val="clear" w:color="auto" w:fill="E2EEF6"/>
          </w:tcPr>
          <w:p>
            <w:pPr>
              <w:spacing w:after="0"/>
              <w:rPr>
                <w:sz w:val="21"/>
                <w:szCs w:val="21"/>
                <w:color w:val="auto"/>
              </w:rPr>
            </w:pPr>
          </w:p>
        </w:tc>
        <w:tc>
          <w:tcPr>
            <w:tcW w:w="1940" w:type="dxa"/>
            <w:vAlign w:val="bottom"/>
            <w:tcBorders>
              <w:bottom w:val="single" w:sz="8" w:color="auto"/>
            </w:tcBorders>
            <w:shd w:val="clear" w:color="auto" w:fill="E2EEF6"/>
          </w:tcPr>
          <w:p>
            <w:pPr>
              <w:spacing w:after="0"/>
              <w:rPr>
                <w:sz w:val="21"/>
                <w:szCs w:val="21"/>
                <w:color w:val="auto"/>
              </w:rPr>
            </w:pPr>
          </w:p>
        </w:tc>
        <w:tc>
          <w:tcPr>
            <w:tcW w:w="1940" w:type="dxa"/>
            <w:vAlign w:val="bottom"/>
            <w:tcBorders>
              <w:bottom w:val="single" w:sz="8" w:color="auto"/>
            </w:tcBorders>
            <w:shd w:val="clear" w:color="auto" w:fill="E2EEF6"/>
          </w:tcPr>
          <w:p>
            <w:pPr>
              <w:spacing w:after="0"/>
              <w:rPr>
                <w:sz w:val="21"/>
                <w:szCs w:val="21"/>
                <w:color w:val="auto"/>
              </w:rPr>
            </w:pPr>
          </w:p>
        </w:tc>
        <w:tc>
          <w:tcPr>
            <w:tcW w:w="1960" w:type="dxa"/>
            <w:vAlign w:val="bottom"/>
            <w:tcBorders>
              <w:bottom w:val="single" w:sz="8" w:color="auto"/>
            </w:tcBorders>
            <w:shd w:val="clear" w:color="auto" w:fill="E2EEF6"/>
          </w:tcPr>
          <w:p>
            <w:pPr>
              <w:spacing w:after="0"/>
              <w:rPr>
                <w:sz w:val="21"/>
                <w:szCs w:val="21"/>
                <w:color w:val="auto"/>
              </w:rPr>
            </w:pPr>
          </w:p>
        </w:tc>
        <w:tc>
          <w:tcPr>
            <w:tcW w:w="1960" w:type="dxa"/>
            <w:vAlign w:val="bottom"/>
            <w:tcBorders>
              <w:bottom w:val="single" w:sz="8" w:color="auto"/>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$0.07 - $42.71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1,132,146</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328,757</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Substantially all of the options granted at exercise prices from $21.25 to $35.50 vest over a five year period from the date of grant. All other options have fully vested as of December 31, 2005.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right="100"/>
        <w:spacing w:after="0" w:line="342" w:lineRule="auto"/>
        <w:rPr>
          <w:sz w:val="20"/>
          <w:szCs w:val="20"/>
          <w:color w:val="auto"/>
        </w:rPr>
      </w:pPr>
      <w:r>
        <w:rPr>
          <w:rFonts w:ascii="Arial" w:cs="Arial" w:eastAsia="Arial" w:hAnsi="Arial"/>
          <w:sz w:val="16"/>
          <w:szCs w:val="16"/>
          <w:color w:val="auto"/>
        </w:rPr>
        <w:t>The weighted average fair value of stock options granted during the year ended May 31, 2003, calculated using the Black-Scholes option pricing model, was $15.84 using the following assumptions; expected dividend yield - 0%, risk free interest rate - 3.39%, expected volatility - 50% and expected life - 8 years.</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weighted average fair value of stock options granted during the year ended May 31, 2004, calculated using the Black-Scholes option pricing model, was $24.58 using the following assumptions; expected dividend yield - 0%, risk free interest rate - 4.87%, expected volatility - 50% and expected life - 8 years.</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weighted average fair value of stock options granted during the year ended May 31, 2005, calculated using the Black-Scholes option pricing model, was $17.09 using the following assumptions; expected dividend yield - 0%, risk free interest rate - 4.02%, expected volatility - 50% and expected life - 8 years.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11. Stock Compensation</w:t>
      </w:r>
    </w:p>
    <w:p>
      <w:pPr>
        <w:spacing w:after="0" w:line="28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 25 permits entities to recognize as expense, over the vesting period, the intrinsic value of all stock- based awards determined on the measurement date. The Company has elected to apply the provisions of APB Opinion No. 25 and provide the pro forma disclosure provisions of SFAS No. 123.</w:t>
      </w:r>
    </w:p>
    <w:p>
      <w:pPr>
        <w:spacing w:after="0" w:line="2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illustrates the effect on net income and earnings per share as if the fair value method of SFAS No. 123 had been applied to all outstanding and unvested stock options in each period.</w:t>
      </w:r>
    </w:p>
    <w:p>
      <w:pPr>
        <w:spacing w:after="0" w:line="220" w:lineRule="exact"/>
        <w:rPr>
          <w:sz w:val="20"/>
          <w:szCs w:val="20"/>
          <w:color w:val="auto"/>
        </w:rPr>
      </w:pPr>
    </w:p>
    <w:tbl>
      <w:tblPr>
        <w:tblLayout w:type="fixed"/>
        <w:tblInd w:w="568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Seven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98"/>
              </w:rPr>
              <w:t>Year Ended May 31,</w:t>
            </w: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126"/>
        </w:trPr>
        <w:tc>
          <w:tcPr>
            <w:tcW w:w="16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40" w:type="dxa"/>
            <w:vAlign w:val="bottom"/>
            <w:vMerge w:val="restart"/>
          </w:tcPr>
          <w:p>
            <w:pPr>
              <w:ind w:left="560"/>
              <w:spacing w:after="0"/>
              <w:rPr>
                <w:sz w:val="20"/>
                <w:szCs w:val="20"/>
                <w:color w:val="auto"/>
              </w:rPr>
            </w:pPr>
            <w:r>
              <w:rPr>
                <w:rFonts w:ascii="Arial" w:cs="Arial" w:eastAsia="Arial" w:hAnsi="Arial"/>
                <w:sz w:val="18"/>
                <w:szCs w:val="18"/>
                <w:b w:val="1"/>
                <w:bCs w:val="1"/>
                <w:color w:val="auto"/>
                <w:w w:val="87"/>
              </w:rPr>
              <w:t>December</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2004</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32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(except per share data)</w:t>
            </w: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2EEF6"/>
          </w:tcPr>
          <w:p>
            <w:pPr>
              <w:spacing w:after="0"/>
              <w:rPr>
                <w:sz w:val="20"/>
                <w:szCs w:val="20"/>
                <w:color w:val="auto"/>
              </w:rPr>
            </w:pPr>
            <w:r>
              <w:rPr>
                <w:rFonts w:ascii="Arial" w:cs="Arial" w:eastAsia="Arial" w:hAnsi="Arial"/>
                <w:sz w:val="18"/>
                <w:szCs w:val="18"/>
                <w:color w:val="auto"/>
              </w:rPr>
              <w:t>Net income, as reported</w:t>
            </w:r>
          </w:p>
        </w:tc>
        <w:tc>
          <w:tcPr>
            <w:tcW w:w="150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rPr>
              <w:t>$18,283</w:t>
            </w:r>
          </w:p>
        </w:tc>
        <w:tc>
          <w:tcPr>
            <w:tcW w:w="1780" w:type="dxa"/>
            <w:vAlign w:val="bottom"/>
            <w:shd w:val="clear" w:color="auto" w:fill="E2EEF6"/>
          </w:tcPr>
          <w:p>
            <w:pPr>
              <w:jc w:val="right"/>
              <w:ind w:right="450"/>
              <w:spacing w:after="0"/>
              <w:rPr>
                <w:sz w:val="20"/>
                <w:szCs w:val="20"/>
                <w:color w:val="auto"/>
              </w:rPr>
            </w:pPr>
            <w:r>
              <w:rPr>
                <w:rFonts w:ascii="Arial" w:cs="Arial" w:eastAsia="Arial" w:hAnsi="Arial"/>
                <w:sz w:val="18"/>
                <w:szCs w:val="18"/>
                <w:color w:val="auto"/>
              </w:rPr>
              <w:t>$25,742</w:t>
            </w:r>
          </w:p>
        </w:tc>
        <w:tc>
          <w:tcPr>
            <w:tcW w:w="118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rPr>
              <w:t>$13,545</w:t>
            </w: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Add: Stock compensation expense</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E2EEF6"/>
          </w:tcPr>
          <w:p>
            <w:pPr>
              <w:spacing w:after="0"/>
              <w:rPr>
                <w:sz w:val="21"/>
                <w:szCs w:val="21"/>
                <w:color w:val="auto"/>
              </w:rPr>
            </w:pPr>
          </w:p>
        </w:tc>
        <w:tc>
          <w:tcPr>
            <w:tcW w:w="1500" w:type="dxa"/>
            <w:vAlign w:val="bottom"/>
            <w:shd w:val="clear" w:color="auto" w:fill="E2EEF6"/>
          </w:tcPr>
          <w:p>
            <w:pPr>
              <w:spacing w:after="0"/>
              <w:rPr>
                <w:sz w:val="21"/>
                <w:szCs w:val="21"/>
                <w:color w:val="auto"/>
              </w:rPr>
            </w:pPr>
          </w:p>
        </w:tc>
        <w:tc>
          <w:tcPr>
            <w:tcW w:w="178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8"/>
              </w:rPr>
              <w:t>Deduct: Total stock-based employee compensation expense determined under</w:t>
            </w: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fair value based method for all awards, net of related tax effects</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(2,096)</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(2,358)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(2,729)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Pro forma net income</w:t>
            </w:r>
          </w:p>
        </w:tc>
        <w:tc>
          <w:tcPr>
            <w:tcW w:w="1500" w:type="dxa"/>
            <w:vAlign w:val="bottom"/>
            <w:tcBorders>
              <w:top w:val="single" w:sz="8" w:color="auto"/>
              <w:bottom w:val="single" w:sz="8" w:color="auto"/>
            </w:tcBorders>
            <w:shd w:val="clear" w:color="auto" w:fill="E2EEF6"/>
          </w:tcPr>
          <w:p>
            <w:pPr>
              <w:jc w:val="right"/>
              <w:ind w:right="190"/>
              <w:spacing w:after="0"/>
              <w:rPr>
                <w:sz w:val="20"/>
                <w:szCs w:val="20"/>
                <w:color w:val="auto"/>
              </w:rPr>
            </w:pPr>
            <w:r>
              <w:rPr>
                <w:rFonts w:ascii="Arial" w:cs="Arial" w:eastAsia="Arial" w:hAnsi="Arial"/>
                <w:sz w:val="18"/>
                <w:szCs w:val="18"/>
                <w:color w:val="auto"/>
              </w:rPr>
              <w:t>$16,187</w:t>
            </w:r>
          </w:p>
        </w:tc>
        <w:tc>
          <w:tcPr>
            <w:tcW w:w="1780" w:type="dxa"/>
            <w:vAlign w:val="bottom"/>
            <w:tcBorders>
              <w:top w:val="single" w:sz="8" w:color="auto"/>
              <w:bottom w:val="single" w:sz="8" w:color="auto"/>
            </w:tcBorders>
            <w:shd w:val="clear" w:color="auto" w:fill="E2EEF6"/>
          </w:tcPr>
          <w:p>
            <w:pPr>
              <w:jc w:val="right"/>
              <w:ind w:right="450"/>
              <w:spacing w:after="0"/>
              <w:rPr>
                <w:sz w:val="20"/>
                <w:szCs w:val="20"/>
                <w:color w:val="auto"/>
              </w:rPr>
            </w:pPr>
            <w:r>
              <w:rPr>
                <w:rFonts w:ascii="Arial" w:cs="Arial" w:eastAsia="Arial" w:hAnsi="Arial"/>
                <w:sz w:val="18"/>
                <w:szCs w:val="18"/>
                <w:color w:val="auto"/>
              </w:rPr>
              <w:t>$23,384</w:t>
            </w:r>
          </w:p>
        </w:tc>
        <w:tc>
          <w:tcPr>
            <w:tcW w:w="1180" w:type="dxa"/>
            <w:vAlign w:val="bottom"/>
            <w:tcBorders>
              <w:top w:val="single" w:sz="8" w:color="auto"/>
              <w:bottom w:val="single" w:sz="8" w:color="auto"/>
            </w:tcBorders>
            <w:shd w:val="clear" w:color="auto" w:fill="E2EEF6"/>
          </w:tcPr>
          <w:p>
            <w:pPr>
              <w:jc w:val="right"/>
              <w:ind w:right="130"/>
              <w:spacing w:after="0"/>
              <w:rPr>
                <w:sz w:val="20"/>
                <w:szCs w:val="20"/>
                <w:color w:val="auto"/>
              </w:rPr>
            </w:pPr>
            <w:r>
              <w:rPr>
                <w:rFonts w:ascii="Arial" w:cs="Arial" w:eastAsia="Arial" w:hAnsi="Arial"/>
                <w:sz w:val="18"/>
                <w:szCs w:val="18"/>
                <w:color w:val="auto"/>
              </w:rPr>
              <w:t>$10,816</w:t>
            </w:r>
          </w:p>
        </w:tc>
        <w:tc>
          <w:tcPr>
            <w:tcW w:w="72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Earnings per share (in $):</w:t>
            </w: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E2EEF6"/>
          </w:tcPr>
          <w:p>
            <w:pPr>
              <w:spacing w:after="0"/>
              <w:rPr>
                <w:sz w:val="20"/>
                <w:szCs w:val="20"/>
                <w:color w:val="auto"/>
              </w:rPr>
            </w:pPr>
            <w:r>
              <w:rPr>
                <w:rFonts w:ascii="Arial" w:cs="Arial" w:eastAsia="Arial" w:hAnsi="Arial"/>
                <w:sz w:val="18"/>
                <w:szCs w:val="18"/>
                <w:color w:val="auto"/>
              </w:rPr>
              <w:t>Basic - as reported</w:t>
            </w:r>
          </w:p>
        </w:tc>
        <w:tc>
          <w:tcPr>
            <w:tcW w:w="150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rPr>
              <w:t>$1.55</w:t>
            </w:r>
          </w:p>
        </w:tc>
        <w:tc>
          <w:tcPr>
            <w:tcW w:w="1780" w:type="dxa"/>
            <w:vAlign w:val="bottom"/>
            <w:shd w:val="clear" w:color="auto" w:fill="E2EEF6"/>
          </w:tcPr>
          <w:p>
            <w:pPr>
              <w:jc w:val="right"/>
              <w:ind w:right="450"/>
              <w:spacing w:after="0"/>
              <w:rPr>
                <w:sz w:val="20"/>
                <w:szCs w:val="20"/>
                <w:color w:val="auto"/>
              </w:rPr>
            </w:pPr>
            <w:r>
              <w:rPr>
                <w:rFonts w:ascii="Arial" w:cs="Arial" w:eastAsia="Arial" w:hAnsi="Arial"/>
                <w:sz w:val="18"/>
                <w:szCs w:val="18"/>
                <w:color w:val="auto"/>
              </w:rPr>
              <w:t>$1.94</w:t>
            </w:r>
          </w:p>
        </w:tc>
        <w:tc>
          <w:tcPr>
            <w:tcW w:w="118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rPr>
              <w:t>$0.98</w:t>
            </w: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Basic - pro forma</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1.76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0.78</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2EEF6"/>
          </w:tcPr>
          <w:p>
            <w:pPr>
              <w:spacing w:after="0"/>
              <w:rPr>
                <w:sz w:val="20"/>
                <w:szCs w:val="20"/>
                <w:color w:val="auto"/>
              </w:rPr>
            </w:pPr>
            <w:r>
              <w:rPr>
                <w:rFonts w:ascii="Arial" w:cs="Arial" w:eastAsia="Arial" w:hAnsi="Arial"/>
                <w:sz w:val="18"/>
                <w:szCs w:val="18"/>
                <w:color w:val="auto"/>
              </w:rPr>
              <w:t>Diluted - as reported</w:t>
            </w:r>
          </w:p>
        </w:tc>
        <w:tc>
          <w:tcPr>
            <w:tcW w:w="150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rPr>
              <w:t>$1.50</w:t>
            </w:r>
          </w:p>
        </w:tc>
        <w:tc>
          <w:tcPr>
            <w:tcW w:w="1780" w:type="dxa"/>
            <w:vAlign w:val="bottom"/>
            <w:shd w:val="clear" w:color="auto" w:fill="E2EEF6"/>
          </w:tcPr>
          <w:p>
            <w:pPr>
              <w:jc w:val="right"/>
              <w:ind w:right="450"/>
              <w:spacing w:after="0"/>
              <w:rPr>
                <w:sz w:val="20"/>
                <w:szCs w:val="20"/>
                <w:color w:val="auto"/>
              </w:rPr>
            </w:pPr>
            <w:r>
              <w:rPr>
                <w:rFonts w:ascii="Arial" w:cs="Arial" w:eastAsia="Arial" w:hAnsi="Arial"/>
                <w:sz w:val="18"/>
                <w:szCs w:val="18"/>
                <w:color w:val="auto"/>
              </w:rPr>
              <w:t>$1.88</w:t>
            </w:r>
          </w:p>
        </w:tc>
        <w:tc>
          <w:tcPr>
            <w:tcW w:w="118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rPr>
              <w:t>$0.96</w:t>
            </w: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 pro forma</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w:t>
            </w: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1.71</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6, 2005, Dr. Ronan Lambe and Dr. John Climax gifted 64,000 and 80,000 ADSs, respectively, to Mr. Peter Gray, the Company’s Chief Executive Officer. The Company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no cash flow impact on the Company and created no dilution of ordinary shares outstanding. The fair value of the ADSs on the date of gift was determined by reference to market price.</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 A stock compensation expense of U.S.$225,000 has been recorded during the period in relation to these options.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12. Government Grants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May 31,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520" w:type="dxa"/>
            <w:vAlign w:val="bottom"/>
          </w:tcPr>
          <w:p>
            <w:pPr>
              <w:spacing w:after="0"/>
              <w:rPr>
                <w:sz w:val="21"/>
                <w:szCs w:val="21"/>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4"/>
          </w:tcPr>
          <w:p>
            <w:pPr>
              <w:ind w:left="24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Received and receivable</w:t>
            </w:r>
          </w:p>
        </w:tc>
        <w:tc>
          <w:tcPr>
            <w:tcW w:w="1020" w:type="dxa"/>
            <w:vAlign w:val="bottom"/>
            <w:gridSpan w:val="2"/>
            <w:shd w:val="clear" w:color="auto" w:fill="E2EEF6"/>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2,225</w:t>
            </w:r>
          </w:p>
        </w:tc>
        <w:tc>
          <w:tcPr>
            <w:tcW w:w="860" w:type="dxa"/>
            <w:vAlign w:val="bottom"/>
            <w:gridSpan w:val="2"/>
            <w:shd w:val="clear" w:color="auto" w:fill="E2EEF6"/>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2,225</w:t>
            </w:r>
          </w:p>
        </w:tc>
        <w:tc>
          <w:tcPr>
            <w:tcW w:w="22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2,225</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(1,048)</w:t>
            </w:r>
          </w:p>
        </w:tc>
        <w:tc>
          <w:tcPr>
            <w:tcW w:w="6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r>
      <w:tr>
        <w:trPr>
          <w:trHeight w:val="250"/>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Foreign exchange translation adjustment</w:t>
            </w:r>
          </w:p>
        </w:tc>
        <w:tc>
          <w:tcPr>
            <w:tcW w:w="220" w:type="dxa"/>
            <w:vAlign w:val="bottom"/>
            <w:tcBorders>
              <w:bottom w:val="single" w:sz="8" w:color="E2EEF6"/>
            </w:tcBorders>
            <w:shd w:val="clear" w:color="auto" w:fill="E2EEF6"/>
          </w:tcPr>
          <w:p>
            <w:pPr>
              <w:spacing w:after="0"/>
              <w:rPr>
                <w:sz w:val="21"/>
                <w:szCs w:val="21"/>
                <w:color w:val="auto"/>
              </w:rPr>
            </w:pPr>
          </w:p>
        </w:tc>
        <w:tc>
          <w:tcPr>
            <w:tcW w:w="800" w:type="dxa"/>
            <w:vAlign w:val="bottom"/>
            <w:tcBorders>
              <w:bottom w:val="single" w:sz="8" w:color="E2EEF6"/>
            </w:tcBorders>
            <w:shd w:val="clear" w:color="auto" w:fill="E2EEF6"/>
          </w:tcPr>
          <w:p>
            <w:pPr>
              <w:spacing w:after="0"/>
              <w:rPr>
                <w:sz w:val="21"/>
                <w:szCs w:val="21"/>
                <w:color w:val="auto"/>
              </w:rPr>
            </w:pPr>
          </w:p>
        </w:tc>
        <w:tc>
          <w:tcPr>
            <w:tcW w:w="720" w:type="dxa"/>
            <w:vAlign w:val="bottom"/>
            <w:tcBorders>
              <w:bottom w:val="single" w:sz="8" w:color="E2EEF6"/>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279</w:t>
            </w:r>
          </w:p>
        </w:tc>
        <w:tc>
          <w:tcPr>
            <w:tcW w:w="62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197</w:t>
            </w: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r>
      <w:tr>
        <w:trPr>
          <w:trHeight w:val="250"/>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E2EEF6"/>
            </w:tcBorders>
            <w:shd w:val="clear" w:color="auto" w:fill="E2EEF6"/>
          </w:tcPr>
          <w:p>
            <w:pPr>
              <w:spacing w:after="0"/>
              <w:rPr>
                <w:sz w:val="21"/>
                <w:szCs w:val="21"/>
                <w:color w:val="auto"/>
              </w:rPr>
            </w:pPr>
          </w:p>
        </w:tc>
        <w:tc>
          <w:tcPr>
            <w:tcW w:w="800" w:type="dxa"/>
            <w:vAlign w:val="bottom"/>
            <w:tcBorders>
              <w:bottom w:val="single" w:sz="8" w:color="E2EEF6"/>
            </w:tcBorders>
            <w:shd w:val="clear" w:color="auto" w:fill="E2EEF6"/>
          </w:tcPr>
          <w:p>
            <w:pPr>
              <w:spacing w:after="0"/>
              <w:rPr>
                <w:sz w:val="21"/>
                <w:szCs w:val="21"/>
                <w:color w:val="auto"/>
              </w:rPr>
            </w:pPr>
          </w:p>
        </w:tc>
        <w:tc>
          <w:tcPr>
            <w:tcW w:w="72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(199)</w:t>
            </w:r>
          </w:p>
        </w:tc>
        <w:tc>
          <w:tcPr>
            <w:tcW w:w="62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1,411</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Government grants amortized to the profit and loss account amounted to U.S.$36,000, U.S.$569,000 and U.S.$199,000 for the years ended May 31, 2003, 2004 and 2005, respectively and U.S.$105,000 for the seven months ended December 31,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the Company had U.S.$1,351,000 in restricted retained earnings, pursuant to the terms of the grant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Capital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2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year to May 31, 2003, 39,360 options were exercised by employees at an average exercise price of U.S.$18.51 per share for total proceeds of U.S.$0.7 million.</w:t>
      </w:r>
    </w:p>
    <w:p>
      <w:pPr>
        <w:spacing w:after="0" w:line="2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year to May 31, 2004, a further 496,919 options were exercised by employees at an average exercise price of U.S.$10.78 per share for total proceeds of U.S.$5.4 million.</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to May 31, 2005, a further 60,620 options were exercised by employees at an average exercise price of U.S.$23.11 per share for total proceeds of U.S.$1.4 million.</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seven month period to December 31, 2005, a further 118,996 options were exercised by employees at an average exercise price of U.S.$16.07 per share for total proceeds of U.S.$1.9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14. Income Taxes</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U.S. based and Irish-based subsidiaries file tax returns in the United States and Ireland, respectively. The other foreign subsidiaries are taxed separately under the laws of their respective countries.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Seven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60" w:type="dxa"/>
            <w:vAlign w:val="bottom"/>
          </w:tcPr>
          <w:p>
            <w:pPr>
              <w:ind w:left="400"/>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4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Year Ended May 31,</w:t>
            </w:r>
          </w:p>
        </w:tc>
        <w:tc>
          <w:tcPr>
            <w:tcW w:w="96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2003</w:t>
            </w: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960" w:type="dxa"/>
            <w:vAlign w:val="bottom"/>
          </w:tcPr>
          <w:p>
            <w:pPr>
              <w:spacing w:after="0"/>
              <w:rPr>
                <w:sz w:val="21"/>
                <w:szCs w:val="21"/>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660" w:type="dxa"/>
            <w:vAlign w:val="bottom"/>
          </w:tcPr>
          <w:p>
            <w:pPr>
              <w:ind w:left="400"/>
              <w:spacing w:after="0"/>
              <w:rPr>
                <w:sz w:val="20"/>
                <w:szCs w:val="20"/>
                <w:color w:val="auto"/>
              </w:rPr>
            </w:pPr>
            <w:r>
              <w:rPr>
                <w:rFonts w:ascii="Arial" w:cs="Arial" w:eastAsia="Arial" w:hAnsi="Arial"/>
                <w:sz w:val="18"/>
                <w:szCs w:val="18"/>
                <w:b w:val="1"/>
                <w:bCs w:val="1"/>
                <w:color w:val="auto"/>
                <w:w w:val="99"/>
              </w:rPr>
              <w:t>(in thousands)</w:t>
            </w:r>
          </w:p>
        </w:tc>
        <w:tc>
          <w:tcPr>
            <w:tcW w:w="1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1660" w:type="dxa"/>
            <w:vAlign w:val="bottom"/>
            <w:shd w:val="clear" w:color="auto" w:fill="E2EEF6"/>
          </w:tcPr>
          <w:p>
            <w:pPr>
              <w:jc w:val="right"/>
              <w:ind w:right="550"/>
              <w:spacing w:after="0"/>
              <w:rPr>
                <w:sz w:val="20"/>
                <w:szCs w:val="20"/>
                <w:color w:val="auto"/>
              </w:rPr>
            </w:pPr>
            <w:r>
              <w:rPr>
                <w:rFonts w:ascii="Arial" w:cs="Arial" w:eastAsia="Arial" w:hAnsi="Arial"/>
                <w:sz w:val="18"/>
                <w:szCs w:val="18"/>
                <w:color w:val="auto"/>
              </w:rPr>
              <w:t>$8,859</w:t>
            </w:r>
          </w:p>
        </w:tc>
        <w:tc>
          <w:tcPr>
            <w:tcW w:w="1480" w:type="dxa"/>
            <w:vAlign w:val="bottom"/>
            <w:shd w:val="clear" w:color="auto" w:fill="E2EEF6"/>
          </w:tcPr>
          <w:p>
            <w:pPr>
              <w:jc w:val="right"/>
              <w:ind w:right="650"/>
              <w:spacing w:after="0"/>
              <w:rPr>
                <w:sz w:val="20"/>
                <w:szCs w:val="20"/>
                <w:color w:val="auto"/>
              </w:rPr>
            </w:pPr>
            <w:r>
              <w:rPr>
                <w:rFonts w:ascii="Arial" w:cs="Arial" w:eastAsia="Arial" w:hAnsi="Arial"/>
                <w:sz w:val="18"/>
                <w:szCs w:val="18"/>
                <w:color w:val="auto"/>
              </w:rPr>
              <w:t>$12,674</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$13,795</w:t>
            </w:r>
          </w:p>
        </w:tc>
        <w:tc>
          <w:tcPr>
            <w:tcW w:w="1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United States</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12,230</w:t>
            </w: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9,601</w:t>
            </w:r>
          </w:p>
        </w:tc>
        <w:tc>
          <w:tcPr>
            <w:tcW w:w="960" w:type="dxa"/>
            <w:vAlign w:val="bottom"/>
          </w:tcPr>
          <w:p>
            <w:pPr>
              <w:jc w:val="right"/>
              <w:spacing w:after="0"/>
              <w:rPr>
                <w:sz w:val="20"/>
                <w:szCs w:val="20"/>
                <w:color w:val="auto"/>
              </w:rPr>
            </w:pPr>
            <w:r>
              <w:rPr>
                <w:rFonts w:ascii="Arial" w:cs="Arial" w:eastAsia="Arial" w:hAnsi="Arial"/>
                <w:sz w:val="18"/>
                <w:szCs w:val="18"/>
                <w:color w:val="auto"/>
              </w:rPr>
              <w:t>(9,001)</w:t>
            </w:r>
          </w:p>
        </w:tc>
        <w:tc>
          <w:tcPr>
            <w:tcW w:w="1860" w:type="dxa"/>
            <w:vAlign w:val="bottom"/>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shd w:val="clear" w:color="auto" w:fill="E2EEF6"/>
          </w:tcPr>
          <w:p>
            <w:pPr>
              <w:jc w:val="right"/>
              <w:ind w:right="550"/>
              <w:spacing w:after="0"/>
              <w:rPr>
                <w:sz w:val="20"/>
                <w:szCs w:val="20"/>
                <w:color w:val="auto"/>
              </w:rPr>
            </w:pPr>
            <w:r>
              <w:rPr>
                <w:rFonts w:ascii="Arial" w:cs="Arial" w:eastAsia="Arial" w:hAnsi="Arial"/>
                <w:sz w:val="18"/>
                <w:szCs w:val="18"/>
                <w:color w:val="auto"/>
              </w:rPr>
              <w:t>4,194</w:t>
            </w:r>
          </w:p>
        </w:tc>
        <w:tc>
          <w:tcPr>
            <w:tcW w:w="1480" w:type="dxa"/>
            <w:vAlign w:val="bottom"/>
            <w:tcBorders>
              <w:bottom w:val="single" w:sz="8" w:color="auto"/>
            </w:tcBorders>
            <w:shd w:val="clear" w:color="auto" w:fill="E2EEF6"/>
          </w:tcPr>
          <w:p>
            <w:pPr>
              <w:jc w:val="right"/>
              <w:ind w:right="650"/>
              <w:spacing w:after="0"/>
              <w:rPr>
                <w:sz w:val="20"/>
                <w:szCs w:val="20"/>
                <w:color w:val="auto"/>
              </w:rPr>
            </w:pPr>
            <w:r>
              <w:rPr>
                <w:rFonts w:ascii="Arial" w:cs="Arial" w:eastAsia="Arial" w:hAnsi="Arial"/>
                <w:sz w:val="18"/>
                <w:szCs w:val="18"/>
                <w:color w:val="auto"/>
              </w:rPr>
              <w:t>12,396</w:t>
            </w:r>
          </w:p>
        </w:tc>
        <w:tc>
          <w:tcPr>
            <w:tcW w:w="9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14,792</w:t>
            </w:r>
          </w:p>
        </w:tc>
        <w:tc>
          <w:tcPr>
            <w:tcW w:w="1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5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Income before provision for income taxes</w:t>
            </w:r>
          </w:p>
        </w:tc>
        <w:tc>
          <w:tcPr>
            <w:tcW w:w="1660" w:type="dxa"/>
            <w:vAlign w:val="bottom"/>
            <w:tcBorders>
              <w:bottom w:val="single" w:sz="8" w:color="auto"/>
            </w:tcBorders>
            <w:shd w:val="clear" w:color="auto" w:fill="E2EEF6"/>
          </w:tcPr>
          <w:p>
            <w:pPr>
              <w:jc w:val="right"/>
              <w:ind w:right="550"/>
              <w:spacing w:after="0"/>
              <w:rPr>
                <w:sz w:val="20"/>
                <w:szCs w:val="20"/>
                <w:color w:val="auto"/>
              </w:rPr>
            </w:pPr>
            <w:r>
              <w:rPr>
                <w:rFonts w:ascii="Arial" w:cs="Arial" w:eastAsia="Arial" w:hAnsi="Arial"/>
                <w:sz w:val="18"/>
                <w:szCs w:val="18"/>
                <w:color w:val="auto"/>
              </w:rPr>
              <w:t>$25,283</w:t>
            </w:r>
          </w:p>
        </w:tc>
        <w:tc>
          <w:tcPr>
            <w:tcW w:w="1480" w:type="dxa"/>
            <w:vAlign w:val="bottom"/>
            <w:tcBorders>
              <w:bottom w:val="single" w:sz="8" w:color="auto"/>
            </w:tcBorders>
            <w:shd w:val="clear" w:color="auto" w:fill="E2EEF6"/>
          </w:tcPr>
          <w:p>
            <w:pPr>
              <w:jc w:val="right"/>
              <w:ind w:right="650"/>
              <w:spacing w:after="0"/>
              <w:rPr>
                <w:sz w:val="20"/>
                <w:szCs w:val="20"/>
                <w:color w:val="auto"/>
              </w:rPr>
            </w:pPr>
            <w:r>
              <w:rPr>
                <w:rFonts w:ascii="Arial" w:cs="Arial" w:eastAsia="Arial" w:hAnsi="Arial"/>
                <w:sz w:val="18"/>
                <w:szCs w:val="18"/>
                <w:color w:val="auto"/>
              </w:rPr>
              <w:t>$34,671</w:t>
            </w:r>
          </w:p>
        </w:tc>
        <w:tc>
          <w:tcPr>
            <w:tcW w:w="9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$19,586</w:t>
            </w:r>
          </w:p>
        </w:tc>
        <w:tc>
          <w:tcPr>
            <w:tcW w:w="1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$12,824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Income as reported for the seven months ended December 31, 2005 is stated inclusive of stock compensation expense of $6.25 million recorded for the period (see note 11: Stock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income tax expense are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expenses/(benefit):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216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Total deferred tax / (benefit)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Shareholders’ equity for compensation expense for tax purposes in excess of amounts recognized for financial reporting purposes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gridSpan w:val="4"/>
          </w:tcPr>
          <w:p>
            <w:pPr>
              <w:ind w:left="560"/>
              <w:spacing w:after="0"/>
              <w:rPr>
                <w:sz w:val="20"/>
                <w:szCs w:val="20"/>
                <w:color w:val="auto"/>
              </w:rPr>
            </w:pPr>
            <w:r>
              <w:rPr>
                <w:rFonts w:ascii="Arial" w:cs="Arial" w:eastAsia="Arial" w:hAnsi="Arial"/>
                <w:sz w:val="18"/>
                <w:szCs w:val="18"/>
                <w:b w:val="1"/>
                <w:bCs w:val="1"/>
                <w:color w:val="auto"/>
              </w:rPr>
              <w:t>Year Ended</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Ended</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31,</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2003</w:t>
            </w:r>
          </w:p>
        </w:tc>
        <w:tc>
          <w:tcPr>
            <w:tcW w:w="760" w:type="dxa"/>
            <w:vAlign w:val="bottom"/>
          </w:tcPr>
          <w:p>
            <w:pPr>
              <w:spacing w:after="0"/>
              <w:rPr>
                <w:sz w:val="21"/>
                <w:szCs w:val="21"/>
                <w:color w:val="auto"/>
              </w:rPr>
            </w:pPr>
          </w:p>
        </w:tc>
        <w:tc>
          <w:tcPr>
            <w:tcW w:w="920" w:type="dxa"/>
            <w:vAlign w:val="bottom"/>
            <w:gridSpan w:val="3"/>
          </w:tcPr>
          <w:p>
            <w:pPr>
              <w:ind w:left="200"/>
              <w:spacing w:after="0"/>
              <w:rPr>
                <w:sz w:val="20"/>
                <w:szCs w:val="20"/>
                <w:color w:val="auto"/>
              </w:rPr>
            </w:pPr>
            <w:r>
              <w:rPr>
                <w:rFonts w:ascii="Arial" w:cs="Arial" w:eastAsia="Arial" w:hAnsi="Arial"/>
                <w:sz w:val="18"/>
                <w:szCs w:val="18"/>
                <w:b w:val="1"/>
                <w:bCs w:val="1"/>
                <w:color w:val="auto"/>
              </w:rPr>
              <w:t>2004</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gridSpan w:val="4"/>
          </w:tcPr>
          <w:p>
            <w:pPr>
              <w:ind w:left="30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4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37"/>
        </w:trPr>
        <w:tc>
          <w:tcPr>
            <w:tcW w:w="120" w:type="dxa"/>
            <w:vAlign w:val="bottom"/>
          </w:tcPr>
          <w:p>
            <w:pPr>
              <w:spacing w:after="0"/>
              <w:rPr>
                <w:sz w:val="20"/>
                <w:szCs w:val="20"/>
                <w:color w:val="auto"/>
              </w:rPr>
            </w:pPr>
          </w:p>
        </w:tc>
        <w:tc>
          <w:tcPr>
            <w:tcW w:w="520" w:type="dxa"/>
            <w:vAlign w:val="bottom"/>
            <w:tcBorders>
              <w:top w:val="single" w:sz="8" w:color="E2EEF6"/>
            </w:tcBorders>
          </w:tcPr>
          <w:p>
            <w:pPr>
              <w:spacing w:after="0"/>
              <w:rPr>
                <w:sz w:val="20"/>
                <w:szCs w:val="20"/>
                <w:color w:val="auto"/>
              </w:rPr>
            </w:pPr>
          </w:p>
        </w:tc>
        <w:tc>
          <w:tcPr>
            <w:tcW w:w="760" w:type="dxa"/>
            <w:vAlign w:val="bottom"/>
            <w:tcBorders>
              <w:top w:val="single" w:sz="8" w:color="E2EEF6"/>
            </w:tcBorders>
          </w:tcPr>
          <w:p>
            <w:pPr>
              <w:jc w:val="right"/>
              <w:spacing w:after="0"/>
              <w:rPr>
                <w:sz w:val="20"/>
                <w:szCs w:val="20"/>
                <w:color w:val="auto"/>
              </w:rPr>
            </w:pPr>
            <w:r>
              <w:rPr>
                <w:rFonts w:ascii="Arial" w:cs="Arial" w:eastAsia="Arial" w:hAnsi="Arial"/>
                <w:sz w:val="18"/>
                <w:szCs w:val="18"/>
                <w:color w:val="auto"/>
              </w:rPr>
              <w:t>4,334</w:t>
            </w:r>
          </w:p>
        </w:tc>
        <w:tc>
          <w:tcPr>
            <w:tcW w:w="200" w:type="dxa"/>
            <w:vAlign w:val="bottom"/>
            <w:tcBorders>
              <w:top w:val="single" w:sz="8" w:color="E2EEF6"/>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E2EEF6"/>
            </w:tcBorders>
          </w:tcPr>
          <w:p>
            <w:pPr>
              <w:spacing w:after="0"/>
              <w:rPr>
                <w:sz w:val="20"/>
                <w:szCs w:val="20"/>
                <w:color w:val="auto"/>
              </w:rPr>
            </w:pPr>
          </w:p>
        </w:tc>
        <w:tc>
          <w:tcPr>
            <w:tcW w:w="880" w:type="dxa"/>
            <w:vAlign w:val="bottom"/>
            <w:tcBorders>
              <w:top w:val="single" w:sz="8" w:color="E2EEF6"/>
            </w:tcBorders>
            <w:gridSpan w:val="2"/>
          </w:tcPr>
          <w:p>
            <w:pPr>
              <w:jc w:val="right"/>
              <w:ind w:right="220"/>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0"/>
                <w:szCs w:val="20"/>
                <w:color w:val="auto"/>
              </w:rPr>
            </w:pPr>
          </w:p>
        </w:tc>
        <w:tc>
          <w:tcPr>
            <w:tcW w:w="560" w:type="dxa"/>
            <w:vAlign w:val="bottom"/>
            <w:tcBorders>
              <w:top w:val="single" w:sz="8" w:color="E2EEF6"/>
            </w:tcBorders>
          </w:tcPr>
          <w:p>
            <w:pPr>
              <w:spacing w:after="0"/>
              <w:rPr>
                <w:sz w:val="20"/>
                <w:szCs w:val="20"/>
                <w:color w:val="auto"/>
              </w:rPr>
            </w:pPr>
          </w:p>
        </w:tc>
        <w:tc>
          <w:tcPr>
            <w:tcW w:w="920" w:type="dxa"/>
            <w:vAlign w:val="bottom"/>
            <w:tcBorders>
              <w:top w:val="single" w:sz="8" w:color="E2EEF6"/>
            </w:tcBorders>
            <w:gridSpan w:val="2"/>
          </w:tcPr>
          <w:p>
            <w:pPr>
              <w:jc w:val="right"/>
              <w:ind w:right="22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620" w:type="dxa"/>
            <w:vAlign w:val="bottom"/>
            <w:tcBorders>
              <w:top w:val="single" w:sz="8" w:color="E2EEF6"/>
            </w:tcBorders>
          </w:tcPr>
          <w:p>
            <w:pPr>
              <w:spacing w:after="0"/>
              <w:rPr>
                <w:sz w:val="20"/>
                <w:szCs w:val="20"/>
                <w:color w:val="auto"/>
              </w:rPr>
            </w:pPr>
          </w:p>
        </w:tc>
        <w:tc>
          <w:tcPr>
            <w:tcW w:w="740" w:type="dxa"/>
            <w:vAlign w:val="bottom"/>
            <w:tcBorders>
              <w:top w:val="single" w:sz="8" w:color="E2EEF6"/>
            </w:tcBorders>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50"/>
        </w:trPr>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r>
      <w:tr>
        <w:trPr>
          <w:trHeight w:val="20"/>
        </w:trPr>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r>
      <w:tr>
        <w:trPr>
          <w:trHeight w:val="391"/>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57"/>
        </w:trPr>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0"/>
        </w:trPr>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43"/>
        </w:trPr>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5,396</w:t>
            </w:r>
          </w:p>
        </w:tc>
      </w:tr>
      <w:tr>
        <w:trPr>
          <w:trHeight w:val="669"/>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r>
      <w:tr>
        <w:trPr>
          <w:trHeight w:val="20"/>
        </w:trPr>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right w:val="single" w:sz="8" w:color="E2EEF6"/>
            </w:tcBorders>
            <w:shd w:val="clear" w:color="auto" w:fill="000000"/>
          </w:tcPr>
          <w:p>
            <w:pPr>
              <w:spacing w:after="0" w:line="20" w:lineRule="exact"/>
              <w:rPr>
                <w:sz w:val="1"/>
                <w:szCs w:val="1"/>
                <w:color w:val="auto"/>
              </w:rPr>
            </w:pPr>
          </w:p>
        </w:tc>
        <w:tc>
          <w:tcPr>
            <w:tcW w:w="20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-1619885</wp:posOffset>
            </wp:positionV>
            <wp:extent cx="72466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-908685</wp:posOffset>
            </wp:positionV>
            <wp:extent cx="72466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72466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-2529205</wp:posOffset>
            </wp:positionV>
            <wp:extent cx="7246620" cy="420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-1954530</wp:posOffset>
            </wp:positionV>
            <wp:extent cx="72466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-282575</wp:posOffset>
            </wp:positionV>
            <wp:extent cx="7246620" cy="283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180340</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4800" w:space="360"/>
            <w:col w:w="6260"/>
          </w:cols>
          <w:pgMar w:left="240" w:top="391" w:right="239" w:bottom="1440" w:gutter="0" w:footer="0" w:header="0"/>
          <w:type w:val="continuous"/>
        </w:sectPr>
      </w:pPr>
    </w:p>
    <w:p>
      <w:pPr>
        <w:spacing w:after="0" w:line="59" w:lineRule="exact"/>
        <w:rPr>
          <w:sz w:val="20"/>
          <w:szCs w:val="20"/>
          <w:color w:val="auto"/>
        </w:rPr>
      </w:pPr>
    </w:p>
    <w:p>
      <w:pPr>
        <w:spacing w:after="0"/>
        <w:tabs>
          <w:tab w:leader="none" w:pos="5140" w:val="left"/>
          <w:tab w:leader="none" w:pos="6100" w:val="left"/>
          <w:tab w:leader="none" w:pos="6740" w:val="left"/>
          <w:tab w:leader="none" w:pos="7720" w:val="left"/>
          <w:tab w:leader="none" w:pos="8340" w:val="left"/>
          <w:tab w:leader="none" w:pos="9320" w:val="left"/>
          <w:tab w:leader="none" w:pos="9940" w:val="left"/>
          <w:tab w:leader="none" w:pos="108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6,952</w:t>
        <w:tab/>
        <w:t>$</w:t>
      </w:r>
      <w:r>
        <w:rPr>
          <w:sz w:val="20"/>
          <w:szCs w:val="20"/>
          <w:color w:val="auto"/>
        </w:rPr>
        <w:tab/>
      </w:r>
      <w:r>
        <w:rPr>
          <w:rFonts w:ascii="Arial" w:cs="Arial" w:eastAsia="Arial" w:hAnsi="Arial"/>
          <w:sz w:val="18"/>
          <w:szCs w:val="18"/>
          <w:color w:val="auto"/>
        </w:rPr>
        <w:t>6,653</w:t>
        <w:tab/>
        <w:t>$</w:t>
      </w:r>
      <w:r>
        <w:rPr>
          <w:sz w:val="20"/>
          <w:szCs w:val="20"/>
          <w:color w:val="auto"/>
        </w:rPr>
        <w:tab/>
      </w:r>
      <w:r>
        <w:rPr>
          <w:rFonts w:ascii="Arial" w:cs="Arial" w:eastAsia="Arial" w:hAnsi="Arial"/>
          <w:sz w:val="18"/>
          <w:szCs w:val="18"/>
          <w:color w:val="auto"/>
        </w:rPr>
        <w:t>5,683</w:t>
        <w:tab/>
        <w:t>$</w:t>
      </w:r>
      <w:r>
        <w:rPr>
          <w:sz w:val="20"/>
          <w:szCs w:val="20"/>
          <w:color w:val="auto"/>
        </w:rPr>
        <w:tab/>
      </w:r>
      <w:r>
        <w:rPr>
          <w:rFonts w:ascii="Arial" w:cs="Arial" w:eastAsia="Arial" w:hAnsi="Arial"/>
          <w:sz w:val="16"/>
          <w:szCs w:val="16"/>
          <w:color w:val="auto"/>
        </w:rPr>
        <w:t>4,638</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5" w:name="page76"/>
    <w:bookmarkEnd w:id="75"/>
    <w:p>
      <w:pPr>
        <w:ind w:right="280"/>
        <w:spacing w:after="0" w:line="277" w:lineRule="auto"/>
        <w:rPr>
          <w:sz w:val="20"/>
          <w:szCs w:val="20"/>
          <w:color w:val="auto"/>
        </w:rPr>
      </w:pPr>
      <w:r>
        <w:rPr>
          <w:rFonts w:ascii="Arial" w:cs="Arial" w:eastAsia="Arial" w:hAnsi="Arial"/>
          <w:sz w:val="18"/>
          <w:szCs w:val="18"/>
          <w:color w:val="auto"/>
        </w:rPr>
        <w:t>Ireland’s statutory income tax rate is 12.5%. Certain activities carried out by the Irish company, principally data processing services, are taxed at a reduced rate of 10%. The Company’s consolidated effective tax rate differed from the blended statutory rate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Seven Months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31,</w:t>
            </w: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2003</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21"/>
                <w:szCs w:val="21"/>
                <w:color w:val="auto"/>
              </w:rPr>
            </w:pPr>
          </w:p>
        </w:tc>
        <w:tc>
          <w:tcPr>
            <w:tcW w:w="180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Taxes at Irish statutory rate of 12.50% (2005:12.5%, 2004: 12.5%, 2003:</w:t>
            </w:r>
          </w:p>
        </w:tc>
        <w:tc>
          <w:tcPr>
            <w:tcW w:w="1440" w:type="dxa"/>
            <w:vAlign w:val="bottom"/>
            <w:shd w:val="clear" w:color="auto" w:fill="E2EEF6"/>
          </w:tcPr>
          <w:p>
            <w:pPr>
              <w:spacing w:after="0"/>
              <w:rPr>
                <w:sz w:val="17"/>
                <w:szCs w:val="17"/>
                <w:color w:val="auto"/>
              </w:rPr>
            </w:pPr>
          </w:p>
        </w:tc>
        <w:tc>
          <w:tcPr>
            <w:tcW w:w="136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800" w:type="dxa"/>
            <w:vAlign w:val="bottom"/>
            <w:shd w:val="clear" w:color="auto" w:fill="E2EEF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E2EEF6"/>
          </w:tcPr>
          <w:p>
            <w:pPr>
              <w:spacing w:after="0"/>
              <w:rPr>
                <w:sz w:val="20"/>
                <w:szCs w:val="20"/>
                <w:color w:val="auto"/>
              </w:rPr>
            </w:pPr>
            <w:r>
              <w:rPr>
                <w:rFonts w:ascii="Arial" w:cs="Arial" w:eastAsia="Arial" w:hAnsi="Arial"/>
                <w:sz w:val="18"/>
                <w:szCs w:val="18"/>
                <w:color w:val="auto"/>
              </w:rPr>
              <w:t>14.54%)</w:t>
            </w:r>
          </w:p>
        </w:tc>
        <w:tc>
          <w:tcPr>
            <w:tcW w:w="144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$3,676</w:t>
            </w:r>
          </w:p>
        </w:tc>
        <w:tc>
          <w:tcPr>
            <w:tcW w:w="1360" w:type="dxa"/>
            <w:vAlign w:val="bottom"/>
            <w:shd w:val="clear" w:color="auto" w:fill="E2EEF6"/>
          </w:tcPr>
          <w:p>
            <w:pPr>
              <w:jc w:val="right"/>
              <w:ind w:right="650"/>
              <w:spacing w:after="0"/>
              <w:rPr>
                <w:sz w:val="20"/>
                <w:szCs w:val="20"/>
                <w:color w:val="auto"/>
              </w:rPr>
            </w:pPr>
            <w:r>
              <w:rPr>
                <w:rFonts w:ascii="Arial" w:cs="Arial" w:eastAsia="Arial" w:hAnsi="Arial"/>
                <w:sz w:val="18"/>
                <w:szCs w:val="18"/>
                <w:color w:val="auto"/>
              </w:rPr>
              <w:t>$4,334</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$2,448</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and other income taxed at higher/(reduced) rates</w:t>
            </w: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1,874</w:t>
            </w: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3,333</w:t>
            </w:r>
          </w:p>
        </w:tc>
        <w:tc>
          <w:tcPr>
            <w:tcW w:w="900" w:type="dxa"/>
            <w:vAlign w:val="bottom"/>
          </w:tcPr>
          <w:p>
            <w:pPr>
              <w:jc w:val="right"/>
              <w:spacing w:after="0"/>
              <w:rPr>
                <w:sz w:val="20"/>
                <w:szCs w:val="20"/>
                <w:color w:val="auto"/>
              </w:rPr>
            </w:pPr>
            <w:r>
              <w:rPr>
                <w:rFonts w:ascii="Arial" w:cs="Arial" w:eastAsia="Arial" w:hAnsi="Arial"/>
                <w:sz w:val="18"/>
                <w:szCs w:val="18"/>
                <w:color w:val="auto"/>
              </w:rPr>
              <w:t>(1,068)</w:t>
            </w:r>
          </w:p>
        </w:tc>
        <w:tc>
          <w:tcPr>
            <w:tcW w:w="1800" w:type="dxa"/>
            <w:vAlign w:val="bottom"/>
          </w:tcPr>
          <w:p>
            <w:pPr>
              <w:jc w:val="right"/>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United States state tax net of United States Federal benefit and other</w:t>
            </w:r>
          </w:p>
        </w:tc>
        <w:tc>
          <w:tcPr>
            <w:tcW w:w="1440" w:type="dxa"/>
            <w:vAlign w:val="bottom"/>
            <w:shd w:val="clear" w:color="auto" w:fill="E2EEF6"/>
          </w:tcPr>
          <w:p>
            <w:pPr>
              <w:spacing w:after="0"/>
              <w:rPr>
                <w:sz w:val="17"/>
                <w:szCs w:val="17"/>
                <w:color w:val="auto"/>
              </w:rPr>
            </w:pPr>
          </w:p>
        </w:tc>
        <w:tc>
          <w:tcPr>
            <w:tcW w:w="136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800" w:type="dxa"/>
            <w:vAlign w:val="bottom"/>
            <w:shd w:val="clear" w:color="auto" w:fill="E2EEF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E2EEF6"/>
          </w:tcPr>
          <w:p>
            <w:pPr>
              <w:spacing w:after="0"/>
              <w:rPr>
                <w:sz w:val="20"/>
                <w:szCs w:val="20"/>
                <w:color w:val="auto"/>
              </w:rPr>
            </w:pPr>
            <w:r>
              <w:rPr>
                <w:rFonts w:ascii="Arial" w:cs="Arial" w:eastAsia="Arial" w:hAnsi="Arial"/>
                <w:sz w:val="18"/>
                <w:szCs w:val="18"/>
                <w:color w:val="auto"/>
              </w:rPr>
              <w:t>foreign taxes</w:t>
            </w:r>
          </w:p>
        </w:tc>
        <w:tc>
          <w:tcPr>
            <w:tcW w:w="144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556</w:t>
            </w:r>
          </w:p>
        </w:tc>
        <w:tc>
          <w:tcPr>
            <w:tcW w:w="1360" w:type="dxa"/>
            <w:vAlign w:val="bottom"/>
            <w:shd w:val="clear" w:color="auto" w:fill="E2EEF6"/>
          </w:tcPr>
          <w:p>
            <w:pPr>
              <w:jc w:val="right"/>
              <w:ind w:right="650"/>
              <w:spacing w:after="0"/>
              <w:rPr>
                <w:sz w:val="20"/>
                <w:szCs w:val="20"/>
                <w:color w:val="auto"/>
              </w:rPr>
            </w:pPr>
            <w:r>
              <w:rPr>
                <w:rFonts w:ascii="Arial" w:cs="Arial" w:eastAsia="Arial" w:hAnsi="Arial"/>
                <w:sz w:val="18"/>
                <w:szCs w:val="18"/>
                <w:color w:val="auto"/>
              </w:rPr>
              <w:t>403</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767</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374</w:t>
            </w: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1,445</w:t>
            </w:r>
          </w:p>
        </w:tc>
        <w:tc>
          <w:tcPr>
            <w:tcW w:w="900" w:type="dxa"/>
            <w:vAlign w:val="bottom"/>
          </w:tcPr>
          <w:p>
            <w:pPr>
              <w:jc w:val="right"/>
              <w:spacing w:after="0"/>
              <w:rPr>
                <w:sz w:val="20"/>
                <w:szCs w:val="20"/>
                <w:color w:val="auto"/>
              </w:rPr>
            </w:pPr>
            <w:r>
              <w:rPr>
                <w:rFonts w:ascii="Arial" w:cs="Arial" w:eastAsia="Arial" w:hAnsi="Arial"/>
                <w:sz w:val="18"/>
                <w:szCs w:val="18"/>
                <w:color w:val="auto"/>
              </w:rPr>
              <w:t>2,473</w:t>
            </w:r>
          </w:p>
        </w:tc>
        <w:tc>
          <w:tcPr>
            <w:tcW w:w="1800" w:type="dxa"/>
            <w:vAlign w:val="bottom"/>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E2EEF6"/>
          </w:tcPr>
          <w:p>
            <w:pPr>
              <w:spacing w:after="0"/>
              <w:rPr>
                <w:sz w:val="20"/>
                <w:szCs w:val="20"/>
                <w:color w:val="auto"/>
              </w:rPr>
            </w:pPr>
            <w:r>
              <w:rPr>
                <w:rFonts w:ascii="Arial" w:cs="Arial" w:eastAsia="Arial" w:hAnsi="Arial"/>
                <w:sz w:val="18"/>
                <w:szCs w:val="18"/>
                <w:color w:val="auto"/>
              </w:rPr>
              <w:t>Current year under-provision in respect of foreign taxes</w:t>
            </w:r>
          </w:p>
        </w:tc>
        <w:tc>
          <w:tcPr>
            <w:tcW w:w="144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2EEF6"/>
          </w:tcPr>
          <w:p>
            <w:pPr>
              <w:jc w:val="right"/>
              <w:ind w:right="650"/>
              <w:spacing w:after="0"/>
              <w:rPr>
                <w:sz w:val="20"/>
                <w:szCs w:val="20"/>
                <w:color w:val="auto"/>
              </w:rPr>
            </w:pPr>
            <w:r>
              <w:rPr>
                <w:rFonts w:ascii="Arial" w:cs="Arial" w:eastAsia="Arial" w:hAnsi="Arial"/>
                <w:sz w:val="18"/>
                <w:szCs w:val="18"/>
                <w:color w:val="auto"/>
              </w:rPr>
              <w:t>(547)</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Reversal of prior year over-provision in respect of foreign taxes</w:t>
            </w: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(444)</w:t>
            </w:r>
          </w:p>
        </w:tc>
        <w:tc>
          <w:tcPr>
            <w:tcW w:w="900" w:type="dxa"/>
            <w:vAlign w:val="bottom"/>
          </w:tcPr>
          <w:p>
            <w:pPr>
              <w:jc w:val="right"/>
              <w:spacing w:after="0"/>
              <w:rPr>
                <w:sz w:val="20"/>
                <w:szCs w:val="20"/>
                <w:color w:val="auto"/>
              </w:rPr>
            </w:pPr>
            <w:r>
              <w:rPr>
                <w:rFonts w:ascii="Arial" w:cs="Arial" w:eastAsia="Arial" w:hAnsi="Arial"/>
                <w:sz w:val="18"/>
                <w:szCs w:val="18"/>
                <w:color w:val="auto"/>
              </w:rPr>
              <w:t>(1,319)</w:t>
            </w:r>
          </w:p>
        </w:tc>
        <w:tc>
          <w:tcPr>
            <w:tcW w:w="180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E2EEF6"/>
          </w:tcPr>
          <w:p>
            <w:pPr>
              <w:spacing w:after="0"/>
              <w:rPr>
                <w:sz w:val="20"/>
                <w:szCs w:val="20"/>
                <w:color w:val="auto"/>
              </w:rPr>
            </w:pPr>
            <w:r>
              <w:rPr>
                <w:rFonts w:ascii="Arial" w:cs="Arial" w:eastAsia="Arial" w:hAnsi="Arial"/>
                <w:sz w:val="18"/>
                <w:szCs w:val="18"/>
                <w:color w:val="auto"/>
              </w:rPr>
              <w:t>Non deductible expenses</w:t>
            </w:r>
          </w:p>
        </w:tc>
        <w:tc>
          <w:tcPr>
            <w:tcW w:w="1440" w:type="dxa"/>
            <w:vAlign w:val="bottom"/>
            <w:shd w:val="clear" w:color="auto" w:fill="E2EEF6"/>
          </w:tcPr>
          <w:p>
            <w:pPr>
              <w:jc w:val="right"/>
              <w:ind w:right="670"/>
              <w:spacing w:after="0"/>
              <w:rPr>
                <w:sz w:val="20"/>
                <w:szCs w:val="20"/>
                <w:color w:val="auto"/>
              </w:rPr>
            </w:pPr>
            <w:r>
              <w:rPr>
                <w:rFonts w:ascii="Arial" w:cs="Arial" w:eastAsia="Arial" w:hAnsi="Arial"/>
                <w:sz w:val="18"/>
                <w:szCs w:val="18"/>
                <w:color w:val="auto"/>
              </w:rPr>
              <w:t>35</w:t>
            </w:r>
          </w:p>
        </w:tc>
        <w:tc>
          <w:tcPr>
            <w:tcW w:w="1360" w:type="dxa"/>
            <w:vAlign w:val="bottom"/>
            <w:shd w:val="clear" w:color="auto" w:fill="E2EEF6"/>
          </w:tcPr>
          <w:p>
            <w:pPr>
              <w:jc w:val="right"/>
              <w:ind w:right="650"/>
              <w:spacing w:after="0"/>
              <w:rPr>
                <w:sz w:val="20"/>
                <w:szCs w:val="20"/>
                <w:color w:val="auto"/>
              </w:rPr>
            </w:pPr>
            <w:r>
              <w:rPr>
                <w:rFonts w:ascii="Arial" w:cs="Arial" w:eastAsia="Arial" w:hAnsi="Arial"/>
                <w:sz w:val="18"/>
                <w:szCs w:val="18"/>
                <w:color w:val="auto"/>
              </w:rPr>
              <w:t>531</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2,491</w:t>
            </w:r>
          </w:p>
        </w:tc>
        <w:tc>
          <w:tcPr>
            <w:tcW w:w="1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485</w:t>
            </w: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5900" w:type="dxa"/>
            <w:vAlign w:val="bottom"/>
            <w:shd w:val="clear" w:color="auto" w:fill="E2EEF6"/>
          </w:tcPr>
          <w:p>
            <w:pPr>
              <w:spacing w:after="0"/>
              <w:rPr>
                <w:sz w:val="24"/>
                <w:szCs w:val="24"/>
                <w:color w:val="auto"/>
              </w:rPr>
            </w:pPr>
          </w:p>
        </w:tc>
        <w:tc>
          <w:tcPr>
            <w:tcW w:w="1440" w:type="dxa"/>
            <w:vAlign w:val="bottom"/>
            <w:shd w:val="clear" w:color="auto" w:fill="E2EEF6"/>
          </w:tcPr>
          <w:p>
            <w:pPr>
              <w:spacing w:after="0"/>
              <w:rPr>
                <w:sz w:val="24"/>
                <w:szCs w:val="24"/>
                <w:color w:val="auto"/>
              </w:rPr>
            </w:pPr>
          </w:p>
        </w:tc>
        <w:tc>
          <w:tcPr>
            <w:tcW w:w="1360" w:type="dxa"/>
            <w:vAlign w:val="bottom"/>
            <w:shd w:val="clear" w:color="auto" w:fill="E2EEF6"/>
          </w:tcPr>
          <w:p>
            <w:pPr>
              <w:spacing w:after="0"/>
              <w:rPr>
                <w:sz w:val="24"/>
                <w:szCs w:val="24"/>
                <w:color w:val="auto"/>
              </w:rPr>
            </w:pPr>
          </w:p>
        </w:tc>
        <w:tc>
          <w:tcPr>
            <w:tcW w:w="900" w:type="dxa"/>
            <w:vAlign w:val="bottom"/>
            <w:shd w:val="clear" w:color="auto" w:fill="E2EEF6"/>
          </w:tcPr>
          <w:p>
            <w:pPr>
              <w:spacing w:after="0"/>
              <w:rPr>
                <w:sz w:val="24"/>
                <w:szCs w:val="24"/>
                <w:color w:val="auto"/>
              </w:rPr>
            </w:pPr>
          </w:p>
        </w:tc>
        <w:tc>
          <w:tcPr>
            <w:tcW w:w="1800" w:type="dxa"/>
            <w:vAlign w:val="bottom"/>
            <w:shd w:val="clear" w:color="auto" w:fill="E2EEF6"/>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$7,000</w:t>
            </w: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$8,929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Seven Months</w:t>
            </w:r>
          </w:p>
        </w:tc>
      </w:tr>
      <w:tr>
        <w:trPr>
          <w:trHeight w:val="243"/>
        </w:trPr>
        <w:tc>
          <w:tcPr>
            <w:tcW w:w="4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gridSpan w:val="3"/>
          </w:tcPr>
          <w:p>
            <w:pPr>
              <w:ind w:left="420"/>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43"/>
        </w:trPr>
        <w:tc>
          <w:tcPr>
            <w:tcW w:w="4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May 31,</w:t>
            </w: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r>
      <w:tr>
        <w:trPr>
          <w:trHeight w:val="243"/>
        </w:trPr>
        <w:tc>
          <w:tcPr>
            <w:tcW w:w="4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442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Deferred tax liabilities:</w:t>
            </w:r>
          </w:p>
        </w:tc>
        <w:tc>
          <w:tcPr>
            <w:tcW w:w="210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240" w:type="dxa"/>
            <w:vAlign w:val="bottom"/>
            <w:tcBorders>
              <w:right w:val="single" w:sz="8" w:color="E2EEF6"/>
            </w:tcBorders>
            <w:shd w:val="clear" w:color="auto" w:fill="E2EEF6"/>
          </w:tcPr>
          <w:p>
            <w:pPr>
              <w:spacing w:after="0"/>
              <w:rPr>
                <w:sz w:val="17"/>
                <w:szCs w:val="17"/>
                <w:color w:val="auto"/>
              </w:rPr>
            </w:pPr>
          </w:p>
        </w:tc>
        <w:tc>
          <w:tcPr>
            <w:tcW w:w="620" w:type="dxa"/>
            <w:vAlign w:val="bottom"/>
            <w:shd w:val="clear" w:color="auto" w:fill="E2EEF6"/>
          </w:tcPr>
          <w:p>
            <w:pPr>
              <w:spacing w:after="0"/>
              <w:rPr>
                <w:sz w:val="17"/>
                <w:szCs w:val="17"/>
                <w:color w:val="auto"/>
              </w:rPr>
            </w:pPr>
          </w:p>
        </w:tc>
        <w:tc>
          <w:tcPr>
            <w:tcW w:w="76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11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30"/>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Property, plant and equipment</w:t>
            </w:r>
          </w:p>
        </w:tc>
        <w:tc>
          <w:tcPr>
            <w:tcW w:w="2800" w:type="dxa"/>
            <w:vAlign w:val="bottom"/>
            <w:gridSpan w:val="3"/>
            <w:shd w:val="clear" w:color="auto" w:fill="E2EEF6"/>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2,180</w:t>
            </w:r>
          </w:p>
        </w:tc>
        <w:tc>
          <w:tcPr>
            <w:tcW w:w="62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1,659</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1,023</w:t>
            </w: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Accruals to cash method adjustment</w:t>
            </w:r>
          </w:p>
        </w:tc>
        <w:tc>
          <w:tcPr>
            <w:tcW w:w="2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40" w:type="dxa"/>
            <w:vAlign w:val="bottom"/>
            <w:tcBorders>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687</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0"/>
        </w:trPr>
        <w:tc>
          <w:tcPr>
            <w:tcW w:w="4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Total deferred tax liabilities</w:t>
            </w:r>
          </w:p>
        </w:tc>
        <w:tc>
          <w:tcPr>
            <w:tcW w:w="21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140" w:type="dxa"/>
            <w:vAlign w:val="bottom"/>
            <w:tcBorders>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3,203</w:t>
            </w:r>
          </w:p>
        </w:tc>
        <w:tc>
          <w:tcPr>
            <w:tcW w:w="620" w:type="dxa"/>
            <w:vAlign w:val="bottom"/>
            <w:shd w:val="clear" w:color="auto" w:fill="E2EEF6"/>
          </w:tcPr>
          <w:p>
            <w:pPr>
              <w:spacing w:after="0"/>
              <w:rPr>
                <w:sz w:val="20"/>
                <w:szCs w:val="20"/>
                <w:color w:val="auto"/>
              </w:rPr>
            </w:pP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4,013</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4,570</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Deferred tax assets:</w:t>
            </w: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Net operating loss carryforwards</w:t>
            </w:r>
          </w:p>
        </w:tc>
        <w:tc>
          <w:tcPr>
            <w:tcW w:w="2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40" w:type="dxa"/>
            <w:vAlign w:val="bottom"/>
            <w:tcBorders>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3,880</w:t>
            </w:r>
          </w:p>
        </w:tc>
        <w:tc>
          <w:tcPr>
            <w:tcW w:w="620" w:type="dxa"/>
            <w:vAlign w:val="bottom"/>
            <w:shd w:val="clear" w:color="auto" w:fill="E2EEF6"/>
          </w:tcPr>
          <w:p>
            <w:pPr>
              <w:spacing w:after="0"/>
              <w:rPr>
                <w:sz w:val="21"/>
                <w:szCs w:val="21"/>
                <w:color w:val="auto"/>
              </w:rPr>
            </w:pP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5,891</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7,330</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Property, plant and other equipment</w:t>
            </w: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43"/>
        </w:trPr>
        <w:tc>
          <w:tcPr>
            <w:tcW w:w="4420" w:type="dxa"/>
            <w:vAlign w:val="bottom"/>
            <w:shd w:val="clear" w:color="auto" w:fill="E2EEF6"/>
          </w:tcPr>
          <w:p>
            <w:pPr>
              <w:spacing w:after="0"/>
              <w:rPr>
                <w:sz w:val="20"/>
                <w:szCs w:val="20"/>
                <w:color w:val="auto"/>
              </w:rPr>
            </w:pPr>
            <w:r>
              <w:rPr>
                <w:rFonts w:ascii="Arial" w:cs="Arial" w:eastAsia="Arial" w:hAnsi="Arial"/>
                <w:sz w:val="18"/>
                <w:szCs w:val="18"/>
                <w:color w:val="auto"/>
              </w:rPr>
              <w:t>Accrued expenses and payments on account</w:t>
            </w:r>
          </w:p>
        </w:tc>
        <w:tc>
          <w:tcPr>
            <w:tcW w:w="2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140" w:type="dxa"/>
            <w:vAlign w:val="bottom"/>
            <w:tcBorders>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1,565</w:t>
            </w:r>
          </w:p>
        </w:tc>
        <w:tc>
          <w:tcPr>
            <w:tcW w:w="620" w:type="dxa"/>
            <w:vAlign w:val="bottom"/>
            <w:shd w:val="clear" w:color="auto" w:fill="E2EEF6"/>
          </w:tcPr>
          <w:p>
            <w:pPr>
              <w:spacing w:after="0"/>
              <w:rPr>
                <w:sz w:val="21"/>
                <w:szCs w:val="21"/>
                <w:color w:val="auto"/>
              </w:rPr>
            </w:pP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4,354</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4,680</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50"/>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E2EEF6"/>
            </w:tcBorders>
            <w:shd w:val="clear" w:color="auto" w:fill="E2EEF6"/>
          </w:tcPr>
          <w:p>
            <w:pPr>
              <w:spacing w:after="0"/>
              <w:rPr>
                <w:sz w:val="21"/>
                <w:szCs w:val="21"/>
                <w:color w:val="auto"/>
              </w:rPr>
            </w:pPr>
          </w:p>
        </w:tc>
        <w:tc>
          <w:tcPr>
            <w:tcW w:w="480" w:type="dxa"/>
            <w:vAlign w:val="bottom"/>
            <w:tcBorders>
              <w:bottom w:val="single" w:sz="8" w:color="E2EEF6"/>
            </w:tcBorders>
            <w:shd w:val="clear" w:color="auto" w:fill="E2EEF6"/>
          </w:tcPr>
          <w:p>
            <w:pPr>
              <w:spacing w:after="0"/>
              <w:rPr>
                <w:sz w:val="21"/>
                <w:szCs w:val="21"/>
                <w:color w:val="auto"/>
              </w:rPr>
            </w:pPr>
          </w:p>
        </w:tc>
        <w:tc>
          <w:tcPr>
            <w:tcW w:w="1140" w:type="dxa"/>
            <w:vAlign w:val="bottom"/>
            <w:tcBorders>
              <w:bottom w:val="single" w:sz="8" w:color="E2EEF6"/>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2EEF6"/>
            </w:tcBorders>
            <w:shd w:val="clear" w:color="auto" w:fill="E2EEF6"/>
          </w:tcPr>
          <w:p>
            <w:pPr>
              <w:spacing w:after="0"/>
              <w:rPr>
                <w:sz w:val="21"/>
                <w:szCs w:val="21"/>
                <w:color w:val="auto"/>
              </w:rPr>
            </w:pPr>
          </w:p>
        </w:tc>
        <w:tc>
          <w:tcPr>
            <w:tcW w:w="98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451</w:t>
            </w:r>
          </w:p>
        </w:tc>
        <w:tc>
          <w:tcPr>
            <w:tcW w:w="180" w:type="dxa"/>
            <w:vAlign w:val="bottom"/>
            <w:tcBorders>
              <w:bottom w:val="single" w:sz="8" w:color="E2EEF6"/>
            </w:tcBorders>
            <w:shd w:val="clear" w:color="auto" w:fill="E2EEF6"/>
          </w:tcPr>
          <w:p>
            <w:pPr>
              <w:spacing w:after="0"/>
              <w:rPr>
                <w:sz w:val="21"/>
                <w:szCs w:val="21"/>
                <w:color w:val="auto"/>
              </w:rPr>
            </w:pPr>
          </w:p>
        </w:tc>
        <w:tc>
          <w:tcPr>
            <w:tcW w:w="12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259</w:t>
            </w:r>
          </w:p>
        </w:tc>
      </w:tr>
      <w:tr>
        <w:trPr>
          <w:trHeight w:val="20"/>
        </w:trPr>
        <w:tc>
          <w:tcPr>
            <w:tcW w:w="44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E2EEF6"/>
            </w:tcBorders>
            <w:shd w:val="clear" w:color="auto" w:fill="E2EEF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5,611</w:t>
            </w:r>
          </w:p>
        </w:tc>
        <w:tc>
          <w:tcPr>
            <w:tcW w:w="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13,347</w:t>
            </w:r>
          </w:p>
        </w:tc>
      </w:tr>
      <w:tr>
        <w:trPr>
          <w:trHeight w:val="275"/>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Valuation allowance for deferred tax assets</w:t>
            </w:r>
          </w:p>
        </w:tc>
        <w:tc>
          <w:tcPr>
            <w:tcW w:w="2100" w:type="dxa"/>
            <w:vAlign w:val="bottom"/>
            <w:tcBorders>
              <w:bottom w:val="single" w:sz="8" w:color="E2EEF6"/>
            </w:tcBorders>
            <w:shd w:val="clear" w:color="auto" w:fill="E2EEF6"/>
          </w:tcPr>
          <w:p>
            <w:pPr>
              <w:spacing w:after="0"/>
              <w:rPr>
                <w:sz w:val="23"/>
                <w:szCs w:val="23"/>
                <w:color w:val="auto"/>
              </w:rPr>
            </w:pPr>
          </w:p>
        </w:tc>
        <w:tc>
          <w:tcPr>
            <w:tcW w:w="220" w:type="dxa"/>
            <w:vAlign w:val="bottom"/>
            <w:tcBorders>
              <w:bottom w:val="single" w:sz="8" w:color="E2EEF6"/>
            </w:tcBorders>
            <w:shd w:val="clear" w:color="auto" w:fill="E2EEF6"/>
          </w:tcPr>
          <w:p>
            <w:pPr>
              <w:spacing w:after="0"/>
              <w:rPr>
                <w:sz w:val="23"/>
                <w:szCs w:val="23"/>
                <w:color w:val="auto"/>
              </w:rPr>
            </w:pPr>
          </w:p>
        </w:tc>
        <w:tc>
          <w:tcPr>
            <w:tcW w:w="480" w:type="dxa"/>
            <w:vAlign w:val="bottom"/>
            <w:tcBorders>
              <w:bottom w:val="single" w:sz="8" w:color="E2EEF6"/>
            </w:tcBorders>
            <w:shd w:val="clear" w:color="auto" w:fill="E2EEF6"/>
          </w:tcPr>
          <w:p>
            <w:pPr>
              <w:spacing w:after="0"/>
              <w:rPr>
                <w:sz w:val="23"/>
                <w:szCs w:val="23"/>
                <w:color w:val="auto"/>
              </w:rPr>
            </w:pPr>
          </w:p>
        </w:tc>
        <w:tc>
          <w:tcPr>
            <w:tcW w:w="1140" w:type="dxa"/>
            <w:vAlign w:val="bottom"/>
            <w:tcBorders>
              <w:bottom w:val="single" w:sz="8" w:color="E2EEF6"/>
              <w:right w:val="single" w:sz="8" w:color="E2EEF6"/>
            </w:tcBorders>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(3,361)</w:t>
            </w:r>
          </w:p>
        </w:tc>
        <w:tc>
          <w:tcPr>
            <w:tcW w:w="620" w:type="dxa"/>
            <w:vAlign w:val="bottom"/>
            <w:tcBorders>
              <w:bottom w:val="single" w:sz="8" w:color="E2EEF6"/>
            </w:tcBorders>
            <w:shd w:val="clear" w:color="auto" w:fill="E2EEF6"/>
          </w:tcPr>
          <w:p>
            <w:pPr>
              <w:spacing w:after="0"/>
              <w:rPr>
                <w:sz w:val="23"/>
                <w:szCs w:val="23"/>
                <w:color w:val="auto"/>
              </w:rPr>
            </w:pPr>
          </w:p>
        </w:tc>
        <w:tc>
          <w:tcPr>
            <w:tcW w:w="98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(8,277)</w:t>
            </w:r>
          </w:p>
        </w:tc>
        <w:tc>
          <w:tcPr>
            <w:tcW w:w="180" w:type="dxa"/>
            <w:vAlign w:val="bottom"/>
            <w:tcBorders>
              <w:bottom w:val="single" w:sz="8" w:color="E2EEF6"/>
            </w:tcBorders>
            <w:shd w:val="clear" w:color="auto" w:fill="E2EEF6"/>
          </w:tcPr>
          <w:p>
            <w:pPr>
              <w:spacing w:after="0"/>
              <w:rPr>
                <w:sz w:val="23"/>
                <w:szCs w:val="23"/>
                <w:color w:val="auto"/>
              </w:rPr>
            </w:pPr>
          </w:p>
        </w:tc>
        <w:tc>
          <w:tcPr>
            <w:tcW w:w="12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(9,952)</w:t>
            </w:r>
          </w:p>
        </w:tc>
      </w:tr>
      <w:tr>
        <w:trPr>
          <w:trHeight w:val="277"/>
        </w:trPr>
        <w:tc>
          <w:tcPr>
            <w:tcW w:w="44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E2EEF6"/>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275"/>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Deferred tax assets recognized</w:t>
            </w:r>
          </w:p>
        </w:tc>
        <w:tc>
          <w:tcPr>
            <w:tcW w:w="2800" w:type="dxa"/>
            <w:vAlign w:val="bottom"/>
            <w:tcBorders>
              <w:bottom w:val="single" w:sz="8" w:color="E2EEF6"/>
            </w:tcBorders>
            <w:gridSpan w:val="3"/>
            <w:shd w:val="clear" w:color="auto" w:fill="E2EEF6"/>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2EEF6"/>
              <w:right w:val="single" w:sz="8" w:color="E2EEF6"/>
            </w:tcBorders>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2,250</w:t>
            </w:r>
          </w:p>
        </w:tc>
        <w:tc>
          <w:tcPr>
            <w:tcW w:w="6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3,593</w:t>
            </w:r>
          </w:p>
        </w:tc>
        <w:tc>
          <w:tcPr>
            <w:tcW w:w="220" w:type="dxa"/>
            <w:vAlign w:val="bottom"/>
            <w:tcBorders>
              <w:bottom w:val="single" w:sz="8" w:color="E2EEF6"/>
            </w:tcBorders>
            <w:shd w:val="clear" w:color="auto" w:fill="E2EEF6"/>
          </w:tcPr>
          <w:p>
            <w:pPr>
              <w:spacing w:after="0"/>
              <w:rPr>
                <w:sz w:val="23"/>
                <w:szCs w:val="23"/>
                <w:color w:val="auto"/>
              </w:rPr>
            </w:pPr>
          </w:p>
        </w:tc>
        <w:tc>
          <w:tcPr>
            <w:tcW w:w="1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3,395</w:t>
            </w:r>
          </w:p>
        </w:tc>
      </w:tr>
      <w:tr>
        <w:trPr>
          <w:trHeight w:val="277"/>
        </w:trPr>
        <w:tc>
          <w:tcPr>
            <w:tcW w:w="44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E2EEF6"/>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275"/>
        </w:trPr>
        <w:tc>
          <w:tcPr>
            <w:tcW w:w="44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deferred tax asset / (liability)</w:t>
            </w:r>
          </w:p>
        </w:tc>
        <w:tc>
          <w:tcPr>
            <w:tcW w:w="2800" w:type="dxa"/>
            <w:vAlign w:val="bottom"/>
            <w:tcBorders>
              <w:bottom w:val="single" w:sz="8" w:color="E2EEF6"/>
            </w:tcBorders>
            <w:gridSpan w:val="3"/>
            <w:shd w:val="clear" w:color="auto" w:fill="E2EEF6"/>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2EEF6"/>
              <w:right w:val="single" w:sz="8" w:color="E2EEF6"/>
            </w:tcBorders>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(953)</w:t>
            </w:r>
          </w:p>
        </w:tc>
        <w:tc>
          <w:tcPr>
            <w:tcW w:w="6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(420)</w:t>
            </w:r>
          </w:p>
        </w:tc>
        <w:tc>
          <w:tcPr>
            <w:tcW w:w="1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(1,175)</w:t>
            </w:r>
          </w:p>
        </w:tc>
      </w:tr>
      <w:tr>
        <w:trPr>
          <w:trHeight w:val="711"/>
        </w:trPr>
        <w:tc>
          <w:tcPr>
            <w:tcW w:w="44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jc w:val="right"/>
              <w:ind w:right="654"/>
              <w:spacing w:after="0"/>
              <w:rPr>
                <w:sz w:val="20"/>
                <w:szCs w:val="20"/>
                <w:color w:val="auto"/>
              </w:rPr>
            </w:pPr>
            <w:r>
              <w:rPr>
                <w:rFonts w:ascii="Arial" w:cs="Arial" w:eastAsia="Arial" w:hAnsi="Arial"/>
                <w:sz w:val="14"/>
                <w:szCs w:val="14"/>
                <w:color w:val="auto"/>
              </w:rPr>
              <w:t>74</w:t>
            </w:r>
          </w:p>
        </w:tc>
        <w:tc>
          <w:tcPr>
            <w:tcW w:w="220" w:type="dxa"/>
            <w:vAlign w:val="bottom"/>
            <w:tcBorders>
              <w:top w:val="single" w:sz="8" w:color="E2EEF6"/>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E2EEF6"/>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117"/>
        </w:trPr>
        <w:tc>
          <w:tcPr>
            <w:tcW w:w="44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U.S.$1.545 million of the deferred tax asset of U.S.$3.395 million above is non-current. U.S.$3.684 million of the deferred tax liability of U.S.$4.570 million is non current.</w:t>
      </w:r>
    </w:p>
    <w:p>
      <w:pPr>
        <w:spacing w:after="0" w:line="2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2005, European subsidiaries had operating loss carryforwards for income tax purposes that may be carried forward indefinitely, available to offset against future taxable income, if any, of approximately U.S.$2.85 million</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2005, ICON Laboratory Inc., a U.S. subsidiary had a net operating loss carryforwards for U.S. Federal and State income tax purposes, available to offset against future taxable income if any of approximately U.S.$13.5 million for U.S. Federal and U.S.$14.3 million for State income tax, which expire between 2021 and 2026.</w:t>
      </w:r>
    </w:p>
    <w:p>
      <w:pPr>
        <w:spacing w:after="0" w:line="23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Of the U.S.$13.5 million U.S. Federal and U.S.$14.3 million State net operating losses, approximately U.S.$11.8 million and U.S.$12.6 million respectively will be available for offset against future taxable income, if any, of future accounting periods. The subsidiary’s ability to use the remaining net operating loss carryforward of U.S.$1.7 million for Federal and State taxes is limited to U.S.$113,000 per year due to the subsidiary experiencing a change of ownership in 2000, as defined by Section 382 of the Internal Revenue Code of 1986, as amended.</w:t>
      </w: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2005, Beacon Bioscience Inc., a U.S. subsidiary had a net operating loss carryforwards for U.S. Federal and State income tax purposes, available to offset against future taxable income if any of approximately U.S.$0.6 million for U.S. Federal and U.S.$0.4 million for State income tax, which expire between 2009 and 2025.</w:t>
      </w:r>
    </w:p>
    <w:p>
      <w:pPr>
        <w:spacing w:after="0" w:line="2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valuation allowance is provided when it is more likely than not that some portion or all of the deferred tax assets will not be realized. The Company has provided a valuation allowance at December 31, 2005, of U.S.$9,952,000 and U.S.$8,277,000, U.S.$3,361,000 and U.S.$1,916,000 at May 31, 2005, 2004 and 2003 respectively. This valuation allowance is based on management’s belief that it is more likely than not that the European and US entities’ losses and other deferred tax assets will not be utilized given their history of operating losses. The valuation allowance was U.S.$1.6 million as of June 1, 2002 and increased by U.S.$0.3 million, U.S.$1.4 million, U.S.$4.9 million for the years ended May 31, 2003, 2004 and 2005 respectively and U.S.$1.7 million for the seven months ended December 31, 2005. Subsequent recognized tax benefits relating to the valuation allowance for deferred tax assets in the amount of U.S.$800,000 as of May 31, 2005 will be allocated to goodwill and other non-current intangible assets.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charges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principal items classified as other charges include, asset impairments, computer software write-off and lease termination and exit costs. These charges were expensed to the statement of operations during the year ended May 31, 2005.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380" w:type="dxa"/>
            <w:vAlign w:val="bottom"/>
            <w:shd w:val="clear" w:color="auto" w:fill="E2EEF6"/>
          </w:tcPr>
          <w:p>
            <w:pPr>
              <w:spacing w:after="0"/>
              <w:rPr>
                <w:sz w:val="20"/>
                <w:szCs w:val="20"/>
                <w:color w:val="auto"/>
              </w:rPr>
            </w:pPr>
            <w:r>
              <w:rPr>
                <w:rFonts w:ascii="Arial" w:cs="Arial" w:eastAsia="Arial" w:hAnsi="Arial"/>
                <w:sz w:val="18"/>
                <w:szCs w:val="18"/>
                <w:color w:val="auto"/>
              </w:rPr>
              <w:t>(A)</w:t>
            </w:r>
          </w:p>
        </w:tc>
        <w:tc>
          <w:tcPr>
            <w:tcW w:w="6200" w:type="dxa"/>
            <w:vAlign w:val="bottom"/>
            <w:shd w:val="clear" w:color="auto" w:fill="E2EEF6"/>
          </w:tcPr>
          <w:p>
            <w:pPr>
              <w:ind w:left="140"/>
              <w:spacing w:after="0"/>
              <w:rPr>
                <w:sz w:val="20"/>
                <w:szCs w:val="20"/>
                <w:color w:val="auto"/>
              </w:rPr>
            </w:pPr>
            <w:r>
              <w:rPr>
                <w:rFonts w:ascii="Arial" w:cs="Arial" w:eastAsia="Arial" w:hAnsi="Arial"/>
                <w:sz w:val="18"/>
                <w:szCs w:val="18"/>
                <w:color w:val="auto"/>
              </w:rPr>
              <w:t>Goodwill impairment charge</w:t>
            </w:r>
          </w:p>
        </w:tc>
        <w:tc>
          <w:tcPr>
            <w:tcW w:w="4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6200" w:type="dxa"/>
            <w:vAlign w:val="bottom"/>
          </w:tcPr>
          <w:p>
            <w:pPr>
              <w:ind w:left="140"/>
              <w:spacing w:after="0"/>
              <w:rPr>
                <w:sz w:val="20"/>
                <w:szCs w:val="20"/>
                <w:color w:val="auto"/>
              </w:rPr>
            </w:pPr>
            <w:r>
              <w:rPr>
                <w:rFonts w:ascii="Arial" w:cs="Arial" w:eastAsia="Arial" w:hAnsi="Arial"/>
                <w:sz w:val="18"/>
                <w:szCs w:val="18"/>
                <w:color w:val="auto"/>
              </w:rPr>
              <w:t>Computer software write-off</w:t>
            </w:r>
          </w:p>
        </w:tc>
        <w:tc>
          <w:tcPr>
            <w:tcW w:w="484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16"/>
        </w:trPr>
        <w:tc>
          <w:tcPr>
            <w:tcW w:w="38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(C)</w:t>
            </w:r>
          </w:p>
        </w:tc>
        <w:tc>
          <w:tcPr>
            <w:tcW w:w="6200" w:type="dxa"/>
            <w:vAlign w:val="bottom"/>
            <w:tcBorders>
              <w:bottom w:val="single" w:sz="8" w:color="auto"/>
            </w:tcBorders>
            <w:shd w:val="clear" w:color="auto" w:fill="E2EEF6"/>
          </w:tcPr>
          <w:p>
            <w:pPr>
              <w:ind w:left="140"/>
              <w:spacing w:after="0"/>
              <w:rPr>
                <w:sz w:val="20"/>
                <w:szCs w:val="20"/>
                <w:color w:val="auto"/>
              </w:rPr>
            </w:pPr>
            <w:r>
              <w:rPr>
                <w:rFonts w:ascii="Arial" w:cs="Arial" w:eastAsia="Arial" w:hAnsi="Arial"/>
                <w:sz w:val="18"/>
                <w:szCs w:val="18"/>
                <w:color w:val="auto"/>
              </w:rPr>
              <w:t>Lease termination and exit costs</w:t>
            </w:r>
          </w:p>
        </w:tc>
        <w:tc>
          <w:tcPr>
            <w:tcW w:w="4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3,227</w:t>
            </w:r>
          </w:p>
        </w:tc>
      </w:tr>
      <w:tr>
        <w:trPr>
          <w:trHeight w:val="237"/>
        </w:trPr>
        <w:tc>
          <w:tcPr>
            <w:tcW w:w="3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4840" w:type="dxa"/>
            <w:vAlign w:val="bottom"/>
          </w:tcPr>
          <w:p>
            <w:pPr>
              <w:jc w:val="right"/>
              <w:spacing w:after="0"/>
              <w:rPr>
                <w:sz w:val="20"/>
                <w:szCs w:val="20"/>
                <w:color w:val="auto"/>
              </w:rPr>
            </w:pPr>
            <w:r>
              <w:rPr>
                <w:rFonts w:ascii="Arial" w:cs="Arial" w:eastAsia="Arial" w:hAnsi="Arial"/>
                <w:sz w:val="18"/>
                <w:szCs w:val="18"/>
                <w:color w:val="auto"/>
              </w:rPr>
              <w:t>$11,275</w:t>
            </w:r>
          </w:p>
        </w:tc>
      </w:tr>
    </w:tbl>
    <w:p>
      <w:pPr>
        <w:spacing w:after="0" w:line="296"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Goodwill impairment charge</w:t>
      </w: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SFAS No.142, goodwill and intangible assets with indefinite lives are no longer amortized, but instead are tested for impairment at least annually. Given the pattern of operating losses in recent years, slowdown in growth and future outlook in our central laboratory reporting unit, management determined that the carrying value of the reporting unit exceeded its fair value at February 28, 2005. After allocating the fair value of the reporting unit to all of the assets and liabilities of that unit, management determined that the carrying value of the central laboratory goodwill was impaired. The fair value of the central laboratory segment was determined using discounted cash flows and net realizable values. The central laboratory segment was formed by the combination of our existing central laboratory operation in Dublin, Ireland and by the acquisition in June 2000 of UCT (U.S.) Inc. (“UCT”), a central laboratory company based in New York, USA.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ind w:left="780" w:hanging="772"/>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Computer software write-off</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This charge represents the write off of the carrying value of computer software costs, which did not provide a reasonable economic return.</w:t>
      </w:r>
    </w:p>
    <w:p>
      <w:pPr>
        <w:spacing w:after="0" w:line="320" w:lineRule="exact"/>
        <w:rPr>
          <w:sz w:val="20"/>
          <w:szCs w:val="20"/>
          <w:color w:val="auto"/>
        </w:rPr>
      </w:pPr>
    </w:p>
    <w:p>
      <w:pPr>
        <w:ind w:left="780" w:hanging="772"/>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Lease termination and exit costs</w:t>
      </w:r>
    </w:p>
    <w:p>
      <w:pPr>
        <w:spacing w:after="0" w:line="2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charge represents the lease termination and exit costs associated with the close of a facility in Irvine, California and the termination of two redundant leases in New York following the relocation of the central laboratory. Total costs expected to be incurred in association with these lease termination and exit costs have been accrued. Of the total $1.2 million relates to the central laboratory segment and $2.1 million to the clinical research segment. During the seven months ended December 31, 2005, $2.4 million of this was used and the excess balance of $0.9 million was released to the income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Significant Concentrations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does business with most major international pharmaceutical companies. As at December 31, 2005 the balance for doubtful debts was $670,000 (May 31, 2005: $476,000, May 31, 2004: $355,000). During the period ended December 31, 2005 an additional reserve for doubtful debts of $670,000 was created and $476,000 was used.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2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paid U.S.$15,743,000, U.S.$22,179,000 and U.S.$26,158,000 in rental expense for the fiscal years ended May 31, 2003, 2004 and 2005, respectively and U.S.$14,462,000 for the seven month period ended December 31, 2005. Future minimum rental commitments for operating leases with non-cancelable terms in excess of one year are as follows:</w:t>
      </w:r>
    </w:p>
    <w:p>
      <w:pPr>
        <w:spacing w:after="0" w:line="2"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Minimum rental payments</w:t>
      </w:r>
    </w:p>
    <w:p>
      <w:pPr>
        <w:spacing w:after="0" w:line="18"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E2EEF6"/>
          </w:tcPr>
          <w:p>
            <w:pPr>
              <w:spacing w:after="0"/>
              <w:rPr>
                <w:sz w:val="20"/>
                <w:szCs w:val="20"/>
                <w:color w:val="auto"/>
              </w:rPr>
            </w:pPr>
            <w:r>
              <w:rPr>
                <w:rFonts w:ascii="Arial" w:cs="Arial" w:eastAsia="Arial" w:hAnsi="Arial"/>
                <w:sz w:val="18"/>
                <w:szCs w:val="18"/>
                <w:color w:val="auto"/>
              </w:rPr>
              <w:t>2006</w:t>
            </w:r>
          </w:p>
        </w:tc>
        <w:tc>
          <w:tcPr>
            <w:tcW w:w="6900" w:type="dxa"/>
            <w:vAlign w:val="bottom"/>
            <w:shd w:val="clear" w:color="auto" w:fill="E2EEF6"/>
          </w:tcPr>
          <w:p>
            <w:pPr>
              <w:jc w:val="center"/>
              <w:ind w:left="1110"/>
              <w:spacing w:after="0"/>
              <w:rPr>
                <w:sz w:val="20"/>
                <w:szCs w:val="20"/>
                <w:color w:val="auto"/>
              </w:rPr>
            </w:pPr>
            <w:r>
              <w:rPr>
                <w:rFonts w:ascii="Arial" w:cs="Arial" w:eastAsia="Arial" w:hAnsi="Arial"/>
                <w:sz w:val="18"/>
                <w:szCs w:val="18"/>
                <w:color w:val="auto"/>
                <w:w w:val="89"/>
              </w:rPr>
              <w:t>$21,410</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2007</w:t>
            </w:r>
          </w:p>
        </w:tc>
        <w:tc>
          <w:tcPr>
            <w:tcW w:w="6900" w:type="dxa"/>
            <w:vAlign w:val="bottom"/>
          </w:tcPr>
          <w:p>
            <w:pPr>
              <w:jc w:val="center"/>
              <w:ind w:left="1110"/>
              <w:spacing w:after="0"/>
              <w:rPr>
                <w:sz w:val="20"/>
                <w:szCs w:val="20"/>
                <w:color w:val="auto"/>
              </w:rPr>
            </w:pPr>
            <w:r>
              <w:rPr>
                <w:rFonts w:ascii="Arial" w:cs="Arial" w:eastAsia="Arial" w:hAnsi="Arial"/>
                <w:sz w:val="18"/>
                <w:szCs w:val="18"/>
                <w:color w:val="auto"/>
                <w:w w:val="90"/>
              </w:rPr>
              <w:t>17,779</w:t>
            </w:r>
          </w:p>
        </w:tc>
      </w:tr>
      <w:tr>
        <w:trPr>
          <w:trHeight w:val="216"/>
        </w:trPr>
        <w:tc>
          <w:tcPr>
            <w:tcW w:w="20" w:type="dxa"/>
            <w:vAlign w:val="bottom"/>
          </w:tcPr>
          <w:p>
            <w:pPr>
              <w:spacing w:after="0"/>
              <w:rPr>
                <w:sz w:val="18"/>
                <w:szCs w:val="18"/>
                <w:color w:val="auto"/>
              </w:rPr>
            </w:pPr>
          </w:p>
        </w:tc>
        <w:tc>
          <w:tcPr>
            <w:tcW w:w="4500" w:type="dxa"/>
            <w:vAlign w:val="bottom"/>
            <w:shd w:val="clear" w:color="auto" w:fill="E2EEF6"/>
          </w:tcPr>
          <w:p>
            <w:pPr>
              <w:spacing w:after="0"/>
              <w:rPr>
                <w:sz w:val="20"/>
                <w:szCs w:val="20"/>
                <w:color w:val="auto"/>
              </w:rPr>
            </w:pPr>
            <w:r>
              <w:rPr>
                <w:rFonts w:ascii="Arial" w:cs="Arial" w:eastAsia="Arial" w:hAnsi="Arial"/>
                <w:sz w:val="18"/>
                <w:szCs w:val="18"/>
                <w:color w:val="auto"/>
              </w:rPr>
              <w:t>2008</w:t>
            </w:r>
          </w:p>
        </w:tc>
        <w:tc>
          <w:tcPr>
            <w:tcW w:w="6900" w:type="dxa"/>
            <w:vAlign w:val="bottom"/>
            <w:shd w:val="clear" w:color="auto" w:fill="E2EEF6"/>
          </w:tcPr>
          <w:p>
            <w:pPr>
              <w:jc w:val="center"/>
              <w:ind w:left="1110"/>
              <w:spacing w:after="0"/>
              <w:rPr>
                <w:sz w:val="20"/>
                <w:szCs w:val="20"/>
                <w:color w:val="auto"/>
              </w:rPr>
            </w:pPr>
            <w:r>
              <w:rPr>
                <w:rFonts w:ascii="Arial" w:cs="Arial" w:eastAsia="Arial" w:hAnsi="Arial"/>
                <w:sz w:val="18"/>
                <w:szCs w:val="18"/>
                <w:color w:val="auto"/>
                <w:w w:val="90"/>
              </w:rPr>
              <w:t>15,294</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2009</w:t>
            </w:r>
          </w:p>
        </w:tc>
        <w:tc>
          <w:tcPr>
            <w:tcW w:w="6900" w:type="dxa"/>
            <w:vAlign w:val="bottom"/>
          </w:tcPr>
          <w:p>
            <w:pPr>
              <w:jc w:val="center"/>
              <w:ind w:left="1110"/>
              <w:spacing w:after="0"/>
              <w:rPr>
                <w:sz w:val="20"/>
                <w:szCs w:val="20"/>
                <w:color w:val="auto"/>
              </w:rPr>
            </w:pPr>
            <w:r>
              <w:rPr>
                <w:rFonts w:ascii="Arial" w:cs="Arial" w:eastAsia="Arial" w:hAnsi="Arial"/>
                <w:sz w:val="18"/>
                <w:szCs w:val="18"/>
                <w:color w:val="auto"/>
                <w:w w:val="90"/>
              </w:rPr>
              <w:t>14,403</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2010</w:t>
            </w:r>
          </w:p>
        </w:tc>
        <w:tc>
          <w:tcPr>
            <w:tcW w:w="6900" w:type="dxa"/>
            <w:vAlign w:val="bottom"/>
            <w:tcBorders>
              <w:bottom w:val="single" w:sz="8" w:color="auto"/>
            </w:tcBorders>
            <w:shd w:val="clear" w:color="auto" w:fill="E2EEF6"/>
          </w:tcPr>
          <w:p>
            <w:pPr>
              <w:jc w:val="center"/>
              <w:ind w:left="1110"/>
              <w:spacing w:after="0"/>
              <w:rPr>
                <w:sz w:val="20"/>
                <w:szCs w:val="20"/>
                <w:color w:val="auto"/>
              </w:rPr>
            </w:pPr>
            <w:r>
              <w:rPr>
                <w:rFonts w:ascii="Arial" w:cs="Arial" w:eastAsia="Arial" w:hAnsi="Arial"/>
                <w:sz w:val="18"/>
                <w:szCs w:val="18"/>
                <w:color w:val="auto"/>
                <w:w w:val="90"/>
              </w:rPr>
              <w:t>14,056</w:t>
            </w:r>
          </w:p>
        </w:tc>
      </w:tr>
      <w:tr>
        <w:trPr>
          <w:trHeight w:val="224"/>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6900" w:type="dxa"/>
            <w:vAlign w:val="bottom"/>
          </w:tcPr>
          <w:p>
            <w:pPr>
              <w:jc w:val="center"/>
              <w:ind w:left="1110"/>
              <w:spacing w:after="0"/>
              <w:rPr>
                <w:sz w:val="20"/>
                <w:szCs w:val="20"/>
                <w:color w:val="auto"/>
              </w:rPr>
            </w:pPr>
            <w:r>
              <w:rPr>
                <w:rFonts w:ascii="Arial" w:cs="Arial" w:eastAsia="Arial" w:hAnsi="Arial"/>
                <w:sz w:val="18"/>
                <w:szCs w:val="18"/>
                <w:color w:val="auto"/>
                <w:w w:val="89"/>
              </w:rPr>
              <w:t>$57,736</w:t>
            </w:r>
          </w:p>
        </w:tc>
      </w:tr>
    </w:tbl>
    <w:p>
      <w:pPr>
        <w:spacing w:after="0" w:line="2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has a number of finance leases, primarily over furniture and equipment, that expire over the next four years. Future commitments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60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Lease payments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760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2006</w:t>
            </w:r>
          </w:p>
        </w:tc>
        <w:tc>
          <w:tcPr>
            <w:tcW w:w="7600" w:type="dxa"/>
            <w:vAlign w:val="bottom"/>
            <w:shd w:val="clear" w:color="auto" w:fill="E2EEF6"/>
          </w:tcPr>
          <w:p>
            <w:pPr>
              <w:jc w:val="center"/>
              <w:ind w:left="1792"/>
              <w:spacing w:after="0"/>
              <w:rPr>
                <w:sz w:val="20"/>
                <w:szCs w:val="20"/>
                <w:color w:val="auto"/>
              </w:rPr>
            </w:pPr>
            <w:r>
              <w:rPr>
                <w:rFonts w:ascii="Arial" w:cs="Arial" w:eastAsia="Arial" w:hAnsi="Arial"/>
                <w:sz w:val="18"/>
                <w:szCs w:val="18"/>
                <w:color w:val="auto"/>
                <w:w w:val="89"/>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2007</w:t>
            </w:r>
          </w:p>
        </w:tc>
        <w:tc>
          <w:tcPr>
            <w:tcW w:w="7600" w:type="dxa"/>
            <w:vAlign w:val="bottom"/>
          </w:tcPr>
          <w:p>
            <w:pPr>
              <w:jc w:val="center"/>
              <w:ind w:left="1792"/>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2008</w:t>
            </w:r>
          </w:p>
        </w:tc>
        <w:tc>
          <w:tcPr>
            <w:tcW w:w="7600" w:type="dxa"/>
            <w:vAlign w:val="bottom"/>
            <w:shd w:val="clear" w:color="auto" w:fill="E2EEF6"/>
          </w:tcPr>
          <w:p>
            <w:pPr>
              <w:jc w:val="center"/>
              <w:ind w:left="1812"/>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2009</w:t>
            </w:r>
          </w:p>
        </w:tc>
        <w:tc>
          <w:tcPr>
            <w:tcW w:w="7600" w:type="dxa"/>
            <w:vAlign w:val="bottom"/>
          </w:tcPr>
          <w:p>
            <w:pPr>
              <w:jc w:val="center"/>
              <w:ind w:left="1792"/>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Thereafter</w:t>
            </w:r>
          </w:p>
        </w:tc>
        <w:tc>
          <w:tcPr>
            <w:tcW w:w="7600" w:type="dxa"/>
            <w:vAlign w:val="bottom"/>
            <w:shd w:val="clear" w:color="auto" w:fill="E2EEF6"/>
          </w:tcPr>
          <w:p>
            <w:pPr>
              <w:jc w:val="center"/>
              <w:ind w:left="18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future finance charges</w:t>
            </w:r>
          </w:p>
        </w:tc>
        <w:tc>
          <w:tcPr>
            <w:tcW w:w="7600" w:type="dxa"/>
            <w:vAlign w:val="bottom"/>
            <w:tcBorders>
              <w:bottom w:val="single" w:sz="8" w:color="auto"/>
            </w:tcBorders>
          </w:tcPr>
          <w:p>
            <w:pPr>
              <w:jc w:val="center"/>
              <w:ind w:left="1812"/>
              <w:spacing w:after="0"/>
              <w:rPr>
                <w:sz w:val="20"/>
                <w:szCs w:val="20"/>
                <w:color w:val="auto"/>
              </w:rPr>
            </w:pPr>
            <w:r>
              <w:rPr>
                <w:rFonts w:ascii="Arial" w:cs="Arial" w:eastAsia="Arial" w:hAnsi="Arial"/>
                <w:sz w:val="18"/>
                <w:szCs w:val="18"/>
                <w:color w:val="auto"/>
                <w:w w:val="93"/>
              </w:rPr>
              <w:t>(26)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0" w:type="dxa"/>
            <w:vAlign w:val="bottom"/>
            <w:shd w:val="clear" w:color="auto" w:fill="E2EEF6"/>
          </w:tcPr>
          <w:p>
            <w:pPr>
              <w:spacing w:after="0"/>
              <w:rPr>
                <w:sz w:val="20"/>
                <w:szCs w:val="20"/>
                <w:color w:val="auto"/>
              </w:rPr>
            </w:pPr>
          </w:p>
        </w:tc>
        <w:tc>
          <w:tcPr>
            <w:tcW w:w="76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600" w:type="dxa"/>
            <w:vAlign w:val="bottom"/>
            <w:tcBorders>
              <w:bottom w:val="single" w:sz="8" w:color="auto"/>
            </w:tcBorders>
          </w:tcPr>
          <w:p>
            <w:pPr>
              <w:jc w:val="center"/>
              <w:ind w:left="1792"/>
              <w:spacing w:after="0"/>
              <w:rPr>
                <w:sz w:val="20"/>
                <w:szCs w:val="20"/>
                <w:color w:val="auto"/>
              </w:rPr>
            </w:pPr>
            <w:r>
              <w:rPr>
                <w:rFonts w:ascii="Arial" w:cs="Arial" w:eastAsia="Arial" w:hAnsi="Arial"/>
                <w:sz w:val="18"/>
                <w:szCs w:val="18"/>
                <w:color w:val="auto"/>
                <w:w w:val="89"/>
              </w:rPr>
              <w:t>$340</w:t>
            </w:r>
          </w:p>
        </w:tc>
        <w:tc>
          <w:tcPr>
            <w:tcW w:w="0" w:type="dxa"/>
            <w:vAlign w:val="bottom"/>
          </w:tcPr>
          <w:p>
            <w:pPr>
              <w:spacing w:after="0"/>
              <w:rPr>
                <w:sz w:val="1"/>
                <w:szCs w:val="1"/>
                <w:color w:val="auto"/>
              </w:rPr>
            </w:pPr>
          </w:p>
        </w:tc>
      </w:tr>
      <w:tr>
        <w:trPr>
          <w:trHeight w:val="71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tcPr>
          <w:p>
            <w:pPr>
              <w:jc w:val="right"/>
              <w:ind w:right="5552"/>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8" w:name="page79"/>
    <w:bookmarkEnd w:id="78"/>
    <w:p>
      <w:pPr>
        <w:ind w:right="160"/>
        <w:spacing w:after="0" w:line="277" w:lineRule="auto"/>
        <w:rPr>
          <w:sz w:val="20"/>
          <w:szCs w:val="20"/>
          <w:color w:val="auto"/>
        </w:rPr>
      </w:pPr>
      <w:r>
        <w:rPr>
          <w:rFonts w:ascii="Arial" w:cs="Arial" w:eastAsia="Arial" w:hAnsi="Arial"/>
          <w:sz w:val="18"/>
          <w:szCs w:val="18"/>
          <w:color w:val="auto"/>
        </w:rPr>
        <w:t>The Company made a number of acquisitions in recent years with earn-out provisions built into the purchase contracts, which may require cash payments of U.S.$2,500,000 to be made during the year ended December 31,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 Information</w:t>
      </w:r>
    </w:p>
    <w:p>
      <w:pPr>
        <w:spacing w:after="0" w:line="28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operates predominantly in the contract clinical research industry providing a broad range of clinical research and integrated product development services on a global basis for the pharmaceutical and biotechnology industries. The Company’s also has a central laboratory segment primarily based in New York, USA. This, together with laboratory services based in Dublin, form the central laboratory segment information disclosed below.</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areas of operation outside of Ireland principally include the United Kingdom, United States, Germany, Australia, Argentina, France, Japan, Israel, Singapore, Canada, Sweden, The Netherlands, Latvia, South Africa, India, Hong Kong, Taiwan, Mexico, Brazil, Russia, Hungary, Spain, Thailand, South Korea, Chile and Italy. Segment information for the fiscal years ended May 31, 2003, 2004 and 2005 and the seven month period ended December 31, 2005 is as follows: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40" w:type="dxa"/>
            <w:vAlign w:val="bottom"/>
          </w:tcPr>
          <w:p>
            <w:pPr>
              <w:spacing w:after="0"/>
              <w:rPr>
                <w:sz w:val="21"/>
                <w:szCs w:val="21"/>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2004</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4"/>
          </w:tcPr>
          <w:p>
            <w:pPr>
              <w:ind w:left="680"/>
              <w:spacing w:after="0"/>
              <w:rPr>
                <w:sz w:val="20"/>
                <w:szCs w:val="20"/>
                <w:color w:val="auto"/>
              </w:rPr>
            </w:pPr>
            <w:r>
              <w:rPr>
                <w:rFonts w:ascii="Arial" w:cs="Arial" w:eastAsia="Arial" w:hAnsi="Arial"/>
                <w:sz w:val="18"/>
                <w:szCs w:val="18"/>
                <w:b w:val="1"/>
                <w:bCs w:val="1"/>
                <w:color w:val="auto"/>
                <w:w w:val="93"/>
              </w:rPr>
              <w:t>(in thousands)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680" w:type="dxa"/>
            <w:vAlign w:val="bottom"/>
            <w:gridSpan w:val="2"/>
            <w:shd w:val="clear" w:color="auto" w:fill="E2EEF6"/>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26,293</w:t>
            </w:r>
          </w:p>
        </w:tc>
        <w:tc>
          <w:tcPr>
            <w:tcW w:w="880" w:type="dxa"/>
            <w:vAlign w:val="bottom"/>
            <w:gridSpan w:val="2"/>
            <w:shd w:val="clear" w:color="auto" w:fill="E2EEF6"/>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35,109</w:t>
            </w:r>
          </w:p>
        </w:tc>
        <w:tc>
          <w:tcPr>
            <w:tcW w:w="58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37,242</w:t>
            </w: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19,838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34,727</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65,930</w:t>
            </w:r>
          </w:p>
        </w:tc>
        <w:tc>
          <w:tcPr>
            <w:tcW w:w="5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84,140</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48,206</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158,707</w:t>
            </w:r>
          </w:p>
        </w:tc>
        <w:tc>
          <w:tcPr>
            <w:tcW w:w="18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185,301</w:t>
            </w:r>
          </w:p>
        </w:tc>
        <w:tc>
          <w:tcPr>
            <w:tcW w:w="58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186,919</w:t>
            </w: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118,292</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5,998</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10,583</w:t>
            </w:r>
          </w:p>
        </w:tc>
        <w:tc>
          <w:tcPr>
            <w:tcW w:w="5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18,357</w:t>
            </w:r>
          </w:p>
        </w:tc>
        <w:tc>
          <w:tcPr>
            <w:tcW w:w="6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15,614</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40" w:type="dxa"/>
            <w:vAlign w:val="bottom"/>
            <w:tcBorders>
              <w:top w:val="single" w:sz="8" w:color="auto"/>
            </w:tcBorders>
            <w:shd w:val="clear" w:color="auto" w:fill="E2EEF6"/>
          </w:tcPr>
          <w:p>
            <w:pPr>
              <w:spacing w:after="0"/>
              <w:rPr>
                <w:sz w:val="24"/>
                <w:szCs w:val="24"/>
                <w:color w:val="auto"/>
              </w:rPr>
            </w:pPr>
          </w:p>
        </w:tc>
        <w:tc>
          <w:tcPr>
            <w:tcW w:w="940" w:type="dxa"/>
            <w:vAlign w:val="bottom"/>
            <w:tcBorders>
              <w:top w:val="single" w:sz="8" w:color="auto"/>
            </w:tcBorders>
            <w:shd w:val="clear" w:color="auto" w:fill="E2EEF6"/>
          </w:tcPr>
          <w:p>
            <w:pPr>
              <w:spacing w:after="0"/>
              <w:rPr>
                <w:sz w:val="24"/>
                <w:szCs w:val="24"/>
                <w:color w:val="auto"/>
              </w:rPr>
            </w:pPr>
          </w:p>
        </w:tc>
        <w:tc>
          <w:tcPr>
            <w:tcW w:w="40" w:type="dxa"/>
            <w:vAlign w:val="bottom"/>
            <w:tcBorders>
              <w:top w:val="single" w:sz="8" w:color="E2EEF6"/>
            </w:tcBorders>
            <w:shd w:val="clear" w:color="auto" w:fill="E2EEF6"/>
          </w:tcPr>
          <w:p>
            <w:pPr>
              <w:spacing w:after="0"/>
              <w:rPr>
                <w:sz w:val="24"/>
                <w:szCs w:val="24"/>
                <w:color w:val="auto"/>
              </w:rPr>
            </w:pPr>
          </w:p>
        </w:tc>
        <w:tc>
          <w:tcPr>
            <w:tcW w:w="180" w:type="dxa"/>
            <w:vAlign w:val="bottom"/>
            <w:tcBorders>
              <w:top w:val="single" w:sz="8" w:color="E2EEF6"/>
            </w:tcBorders>
            <w:shd w:val="clear" w:color="auto" w:fill="E2EEF6"/>
          </w:tcPr>
          <w:p>
            <w:pPr>
              <w:spacing w:after="0"/>
              <w:rPr>
                <w:sz w:val="24"/>
                <w:szCs w:val="24"/>
                <w:color w:val="auto"/>
              </w:rPr>
            </w:pPr>
          </w:p>
        </w:tc>
        <w:tc>
          <w:tcPr>
            <w:tcW w:w="700" w:type="dxa"/>
            <w:vAlign w:val="bottom"/>
            <w:tcBorders>
              <w:top w:val="single" w:sz="8" w:color="auto"/>
            </w:tcBorders>
            <w:shd w:val="clear" w:color="auto" w:fill="E2EEF6"/>
          </w:tcPr>
          <w:p>
            <w:pPr>
              <w:spacing w:after="0"/>
              <w:rPr>
                <w:sz w:val="24"/>
                <w:szCs w:val="24"/>
                <w:color w:val="auto"/>
              </w:rPr>
            </w:pPr>
          </w:p>
        </w:tc>
        <w:tc>
          <w:tcPr>
            <w:tcW w:w="68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580" w:type="dxa"/>
            <w:vAlign w:val="bottom"/>
            <w:tcBorders>
              <w:top w:val="single" w:sz="8" w:color="auto"/>
            </w:tcBorders>
            <w:shd w:val="clear" w:color="auto" w:fill="E2EEF6"/>
          </w:tcPr>
          <w:p>
            <w:pPr>
              <w:spacing w:after="0"/>
              <w:rPr>
                <w:sz w:val="24"/>
                <w:szCs w:val="24"/>
                <w:color w:val="auto"/>
              </w:rPr>
            </w:pPr>
          </w:p>
        </w:tc>
        <w:tc>
          <w:tcPr>
            <w:tcW w:w="80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225,725</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296,923</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326,658</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980" w:hanging="240"/>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gridSpan w:val="4"/>
          </w:tcPr>
          <w:p>
            <w:pPr>
              <w:ind w:left="900"/>
              <w:spacing w:after="0"/>
              <w:rPr>
                <w:sz w:val="20"/>
                <w:szCs w:val="20"/>
                <w:color w:val="auto"/>
              </w:rPr>
            </w:pPr>
            <w:r>
              <w:rPr>
                <w:rFonts w:ascii="Arial" w:cs="Arial" w:eastAsia="Arial" w:hAnsi="Arial"/>
                <w:sz w:val="18"/>
                <w:szCs w:val="18"/>
                <w:b w:val="1"/>
                <w:bCs w:val="1"/>
                <w:color w:val="auto"/>
              </w:rPr>
              <w:t>Year Ended</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May 31,</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2004</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680" w:type="dxa"/>
            <w:vAlign w:val="bottom"/>
            <w:gridSpan w:val="2"/>
            <w:shd w:val="clear" w:color="auto" w:fill="E2EEF6"/>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26,168</w:t>
            </w:r>
          </w:p>
        </w:tc>
        <w:tc>
          <w:tcPr>
            <w:tcW w:w="96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26,905</w:t>
            </w:r>
          </w:p>
        </w:tc>
        <w:tc>
          <w:tcPr>
            <w:tcW w:w="58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25,499</w:t>
            </w: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18,190</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Clinical research</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199,557</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270,018</w:t>
            </w:r>
          </w:p>
        </w:tc>
        <w:tc>
          <w:tcPr>
            <w:tcW w:w="5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301,159</w:t>
            </w:r>
          </w:p>
        </w:tc>
        <w:tc>
          <w:tcPr>
            <w:tcW w:w="6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183,760</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40" w:type="dxa"/>
            <w:vAlign w:val="bottom"/>
            <w:tcBorders>
              <w:top w:val="single" w:sz="8" w:color="auto"/>
            </w:tcBorders>
            <w:shd w:val="clear" w:color="auto" w:fill="E2EEF6"/>
          </w:tcPr>
          <w:p>
            <w:pPr>
              <w:spacing w:after="0"/>
              <w:rPr>
                <w:sz w:val="24"/>
                <w:szCs w:val="24"/>
                <w:color w:val="auto"/>
              </w:rPr>
            </w:pPr>
          </w:p>
        </w:tc>
        <w:tc>
          <w:tcPr>
            <w:tcW w:w="940" w:type="dxa"/>
            <w:vAlign w:val="bottom"/>
            <w:tcBorders>
              <w:top w:val="single" w:sz="8" w:color="auto"/>
            </w:tcBorders>
            <w:shd w:val="clear" w:color="auto" w:fill="E2EEF6"/>
          </w:tcPr>
          <w:p>
            <w:pPr>
              <w:spacing w:after="0"/>
              <w:rPr>
                <w:sz w:val="24"/>
                <w:szCs w:val="24"/>
                <w:color w:val="auto"/>
              </w:rPr>
            </w:pPr>
          </w:p>
        </w:tc>
        <w:tc>
          <w:tcPr>
            <w:tcW w:w="60" w:type="dxa"/>
            <w:vAlign w:val="bottom"/>
            <w:tcBorders>
              <w:top w:val="single" w:sz="8" w:color="E2EEF6"/>
            </w:tcBorders>
            <w:shd w:val="clear" w:color="auto" w:fill="E2EEF6"/>
          </w:tcPr>
          <w:p>
            <w:pPr>
              <w:spacing w:after="0"/>
              <w:rPr>
                <w:sz w:val="24"/>
                <w:szCs w:val="24"/>
                <w:color w:val="auto"/>
              </w:rPr>
            </w:pPr>
          </w:p>
        </w:tc>
        <w:tc>
          <w:tcPr>
            <w:tcW w:w="160" w:type="dxa"/>
            <w:vAlign w:val="bottom"/>
            <w:tcBorders>
              <w:top w:val="single" w:sz="8" w:color="E2EEF6"/>
            </w:tcBorders>
            <w:shd w:val="clear" w:color="auto" w:fill="E2EEF6"/>
          </w:tcPr>
          <w:p>
            <w:pPr>
              <w:spacing w:after="0"/>
              <w:rPr>
                <w:sz w:val="24"/>
                <w:szCs w:val="24"/>
                <w:color w:val="auto"/>
              </w:rPr>
            </w:pPr>
          </w:p>
        </w:tc>
        <w:tc>
          <w:tcPr>
            <w:tcW w:w="800" w:type="dxa"/>
            <w:vAlign w:val="bottom"/>
            <w:tcBorders>
              <w:top w:val="single" w:sz="8" w:color="auto"/>
            </w:tcBorders>
            <w:shd w:val="clear" w:color="auto" w:fill="E2EEF6"/>
          </w:tcPr>
          <w:p>
            <w:pPr>
              <w:spacing w:after="0"/>
              <w:rPr>
                <w:sz w:val="24"/>
                <w:szCs w:val="24"/>
                <w:color w:val="auto"/>
              </w:rPr>
            </w:pPr>
          </w:p>
        </w:tc>
        <w:tc>
          <w:tcPr>
            <w:tcW w:w="58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580" w:type="dxa"/>
            <w:vAlign w:val="bottom"/>
            <w:tcBorders>
              <w:top w:val="single" w:sz="8" w:color="auto"/>
            </w:tcBorders>
            <w:shd w:val="clear" w:color="auto" w:fill="E2EEF6"/>
          </w:tcPr>
          <w:p>
            <w:pPr>
              <w:spacing w:after="0"/>
              <w:rPr>
                <w:sz w:val="24"/>
                <w:szCs w:val="24"/>
                <w:color w:val="auto"/>
              </w:rPr>
            </w:pPr>
          </w:p>
        </w:tc>
        <w:tc>
          <w:tcPr>
            <w:tcW w:w="80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225,725</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296,923</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326,658</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201,950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00" w:type="dxa"/>
            <w:vAlign w:val="bottom"/>
            <w:gridSpan w:val="4"/>
          </w:tcPr>
          <w:p>
            <w:pPr>
              <w:ind w:left="860"/>
              <w:spacing w:after="0"/>
              <w:rPr>
                <w:sz w:val="20"/>
                <w:szCs w:val="20"/>
                <w:color w:val="auto"/>
              </w:rPr>
            </w:pPr>
            <w:r>
              <w:rPr>
                <w:rFonts w:ascii="Arial" w:cs="Arial" w:eastAsia="Arial" w:hAnsi="Arial"/>
                <w:sz w:val="18"/>
                <w:szCs w:val="18"/>
                <w:b w:val="1"/>
                <w:bCs w:val="1"/>
                <w:color w:val="auto"/>
              </w:rPr>
              <w:t>May 31,</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2004</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72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6,532</w:t>
            </w:r>
          </w:p>
        </w:tc>
        <w:tc>
          <w:tcPr>
            <w:tcW w:w="900" w:type="dxa"/>
            <w:vAlign w:val="bottom"/>
            <w:gridSpan w:val="2"/>
            <w:shd w:val="clear" w:color="auto" w:fill="E2EEF6"/>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9,363</w:t>
            </w:r>
          </w:p>
        </w:tc>
        <w:tc>
          <w:tcPr>
            <w:tcW w:w="62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6,223</w:t>
            </w: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($8,338)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10,209</w:t>
            </w:r>
          </w:p>
        </w:tc>
        <w:tc>
          <w:tcPr>
            <w:tcW w:w="6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14,033</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10,437</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17,091</w:t>
            </w:r>
          </w:p>
        </w:tc>
        <w:tc>
          <w:tcPr>
            <w:tcW w:w="120" w:type="dxa"/>
            <w:vAlign w:val="bottom"/>
            <w:shd w:val="clear" w:color="auto" w:fill="E2EEF6"/>
          </w:tcPr>
          <w:p>
            <w:pPr>
              <w:spacing w:after="0"/>
              <w:rPr>
                <w:sz w:val="21"/>
                <w:szCs w:val="21"/>
                <w:color w:val="auto"/>
              </w:rPr>
            </w:pPr>
          </w:p>
        </w:tc>
        <w:tc>
          <w:tcPr>
            <w:tcW w:w="78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13,023</w:t>
            </w:r>
          </w:p>
        </w:tc>
        <w:tc>
          <w:tcPr>
            <w:tcW w:w="62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(4,130)</w:t>
            </w: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5,152</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1,788</w:t>
            </w:r>
          </w:p>
        </w:tc>
        <w:tc>
          <w:tcPr>
            <w:tcW w:w="6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2,481</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4,301</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80" w:type="dxa"/>
            <w:vAlign w:val="bottom"/>
            <w:tcBorders>
              <w:top w:val="single" w:sz="8" w:color="auto"/>
            </w:tcBorders>
            <w:shd w:val="clear" w:color="auto" w:fill="E2EEF6"/>
          </w:tcPr>
          <w:p>
            <w:pPr>
              <w:spacing w:after="0"/>
              <w:rPr>
                <w:sz w:val="24"/>
                <w:szCs w:val="24"/>
                <w:color w:val="auto"/>
              </w:rPr>
            </w:pPr>
          </w:p>
        </w:tc>
        <w:tc>
          <w:tcPr>
            <w:tcW w:w="90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780" w:type="dxa"/>
            <w:vAlign w:val="bottom"/>
            <w:tcBorders>
              <w:top w:val="single" w:sz="8" w:color="auto"/>
            </w:tcBorders>
            <w:shd w:val="clear" w:color="auto" w:fill="E2EEF6"/>
          </w:tcPr>
          <w:p>
            <w:pPr>
              <w:spacing w:after="0"/>
              <w:rPr>
                <w:sz w:val="24"/>
                <w:szCs w:val="24"/>
                <w:color w:val="auto"/>
              </w:rPr>
            </w:pPr>
          </w:p>
        </w:tc>
        <w:tc>
          <w:tcPr>
            <w:tcW w:w="60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7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24,929</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34,383</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18,607</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11,552</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 The distribution of income from operations by business segment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gridSpan w:val="4"/>
          </w:tcPr>
          <w:p>
            <w:pPr>
              <w:ind w:left="860"/>
              <w:spacing w:after="0"/>
              <w:rPr>
                <w:sz w:val="20"/>
                <w:szCs w:val="20"/>
                <w:color w:val="auto"/>
              </w:rPr>
            </w:pPr>
            <w:r>
              <w:rPr>
                <w:rFonts w:ascii="Arial" w:cs="Arial" w:eastAsia="Arial" w:hAnsi="Arial"/>
                <w:sz w:val="18"/>
                <w:szCs w:val="18"/>
                <w:b w:val="1"/>
                <w:bCs w:val="1"/>
                <w:color w:val="auto"/>
                <w:w w:val="98"/>
              </w:rPr>
              <w:t>Year Ended</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1"/>
                <w:szCs w:val="21"/>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2004</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gridSpan w:val="4"/>
          </w:tcPr>
          <w:p>
            <w:pPr>
              <w:ind w:left="680"/>
              <w:spacing w:after="0"/>
              <w:rPr>
                <w:sz w:val="20"/>
                <w:szCs w:val="20"/>
                <w:color w:val="auto"/>
              </w:rPr>
            </w:pPr>
            <w:r>
              <w:rPr>
                <w:rFonts w:ascii="Arial" w:cs="Arial" w:eastAsia="Arial" w:hAnsi="Arial"/>
                <w:sz w:val="18"/>
                <w:szCs w:val="18"/>
                <w:b w:val="1"/>
                <w:bCs w:val="1"/>
                <w:color w:val="auto"/>
                <w:w w:val="93"/>
              </w:rPr>
              <w:t>(in thousands)</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72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($3,274)</w:t>
            </w:r>
          </w:p>
        </w:tc>
        <w:tc>
          <w:tcPr>
            <w:tcW w:w="56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($15,284)</w:t>
            </w: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($3,035)</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Clinical research</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24,814</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37,657</w:t>
            </w:r>
          </w:p>
        </w:tc>
        <w:tc>
          <w:tcPr>
            <w:tcW w:w="5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33,891</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14,587</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80" w:type="dxa"/>
            <w:vAlign w:val="bottom"/>
            <w:tcBorders>
              <w:top w:val="single" w:sz="8" w:color="auto"/>
            </w:tcBorders>
            <w:shd w:val="clear" w:color="auto" w:fill="E2EEF6"/>
          </w:tcPr>
          <w:p>
            <w:pPr>
              <w:spacing w:after="0"/>
              <w:rPr>
                <w:sz w:val="24"/>
                <w:szCs w:val="24"/>
                <w:color w:val="auto"/>
              </w:rPr>
            </w:pPr>
          </w:p>
        </w:tc>
        <w:tc>
          <w:tcPr>
            <w:tcW w:w="900" w:type="dxa"/>
            <w:vAlign w:val="bottom"/>
            <w:tcBorders>
              <w:top w:val="single" w:sz="8" w:color="auto"/>
            </w:tcBorders>
            <w:shd w:val="clear" w:color="auto" w:fill="E2EEF6"/>
          </w:tcPr>
          <w:p>
            <w:pPr>
              <w:spacing w:after="0"/>
              <w:rPr>
                <w:sz w:val="24"/>
                <w:szCs w:val="24"/>
                <w:color w:val="auto"/>
              </w:rPr>
            </w:pPr>
          </w:p>
        </w:tc>
        <w:tc>
          <w:tcPr>
            <w:tcW w:w="80" w:type="dxa"/>
            <w:vAlign w:val="bottom"/>
            <w:tcBorders>
              <w:top w:val="single" w:sz="8" w:color="E2EEF6"/>
            </w:tcBorders>
            <w:shd w:val="clear" w:color="auto" w:fill="E2EEF6"/>
          </w:tcPr>
          <w:p>
            <w:pPr>
              <w:spacing w:after="0"/>
              <w:rPr>
                <w:sz w:val="24"/>
                <w:szCs w:val="24"/>
                <w:color w:val="auto"/>
              </w:rPr>
            </w:pPr>
          </w:p>
        </w:tc>
        <w:tc>
          <w:tcPr>
            <w:tcW w:w="140" w:type="dxa"/>
            <w:vAlign w:val="bottom"/>
            <w:tcBorders>
              <w:top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560" w:type="dxa"/>
            <w:vAlign w:val="bottom"/>
            <w:tcBorders>
              <w:top w:val="single" w:sz="8" w:color="auto"/>
            </w:tcBorders>
            <w:shd w:val="clear" w:color="auto" w:fill="E2EEF6"/>
          </w:tcPr>
          <w:p>
            <w:pPr>
              <w:spacing w:after="0"/>
              <w:rPr>
                <w:sz w:val="24"/>
                <w:szCs w:val="24"/>
                <w:color w:val="auto"/>
              </w:rPr>
            </w:pPr>
          </w:p>
        </w:tc>
        <w:tc>
          <w:tcPr>
            <w:tcW w:w="82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180" w:type="dxa"/>
            <w:vAlign w:val="bottom"/>
            <w:tcBorders>
              <w:top w:val="single" w:sz="8" w:color="auto"/>
            </w:tcBorders>
            <w:shd w:val="clear" w:color="auto" w:fill="E2EEF6"/>
          </w:tcPr>
          <w:p>
            <w:pPr>
              <w:spacing w:after="0"/>
              <w:rPr>
                <w:sz w:val="24"/>
                <w:szCs w:val="24"/>
                <w:color w:val="auto"/>
              </w:rPr>
            </w:pPr>
          </w:p>
        </w:tc>
        <w:tc>
          <w:tcPr>
            <w:tcW w:w="118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24,929</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34,383</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11,552</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May 31,</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ind w:left="500"/>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660" w:type="dxa"/>
            <w:vAlign w:val="bottom"/>
            <w:gridSpan w:val="2"/>
            <w:shd w:val="clear" w:color="auto" w:fill="E2EEF6"/>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18,799</w:t>
            </w:r>
          </w:p>
        </w:tc>
        <w:tc>
          <w:tcPr>
            <w:tcW w:w="540" w:type="dxa"/>
            <w:vAlign w:val="bottom"/>
            <w:gridSpan w:val="2"/>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20,471</w:t>
            </w: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22,538</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Rest of Europe</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7,273</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6,669</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15,935</w:t>
            </w:r>
          </w:p>
        </w:tc>
        <w:tc>
          <w:tcPr>
            <w:tcW w:w="1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15,927</w:t>
            </w: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16,720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r>
      <w:tr>
        <w:trPr>
          <w:trHeight w:val="277"/>
        </w:trPr>
        <w:tc>
          <w:tcPr>
            <w:tcW w:w="652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440" w:type="dxa"/>
            <w:vAlign w:val="bottom"/>
            <w:tcBorders>
              <w:top w:val="single" w:sz="8" w:color="auto"/>
            </w:tcBorders>
            <w:shd w:val="clear" w:color="auto" w:fill="E2EEF6"/>
          </w:tcPr>
          <w:p>
            <w:pPr>
              <w:spacing w:after="0"/>
              <w:rPr>
                <w:sz w:val="24"/>
                <w:szCs w:val="24"/>
                <w:color w:val="auto"/>
              </w:rPr>
            </w:pPr>
          </w:p>
        </w:tc>
        <w:tc>
          <w:tcPr>
            <w:tcW w:w="94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42,936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45,286</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47,652</w:t>
            </w: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40" w:type="dxa"/>
            <w:vAlign w:val="bottom"/>
            <w:gridSpan w:val="5"/>
          </w:tcPr>
          <w:p>
            <w:pPr>
              <w:ind w:left="5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660" w:type="dxa"/>
            <w:vAlign w:val="bottom"/>
            <w:gridSpan w:val="2"/>
            <w:shd w:val="clear" w:color="auto" w:fill="E2EEF6"/>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3,989</w:t>
            </w:r>
          </w:p>
        </w:tc>
        <w:tc>
          <w:tcPr>
            <w:tcW w:w="540" w:type="dxa"/>
            <w:vAlign w:val="bottom"/>
            <w:gridSpan w:val="2"/>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E2EEF6"/>
          </w:tcPr>
          <w:p>
            <w:pPr>
              <w:spacing w:after="0"/>
              <w:rPr>
                <w:sz w:val="21"/>
                <w:szCs w:val="21"/>
                <w:color w:val="auto"/>
              </w:rPr>
            </w:pP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3,380</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38,947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42,346</w:t>
            </w: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44,272</w:t>
            </w:r>
          </w:p>
        </w:tc>
      </w:tr>
      <w:tr>
        <w:trPr>
          <w:trHeight w:val="277"/>
        </w:trPr>
        <w:tc>
          <w:tcPr>
            <w:tcW w:w="652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440" w:type="dxa"/>
            <w:vAlign w:val="bottom"/>
            <w:tcBorders>
              <w:top w:val="single" w:sz="8" w:color="auto"/>
            </w:tcBorders>
            <w:shd w:val="clear" w:color="auto" w:fill="E2EEF6"/>
          </w:tcPr>
          <w:p>
            <w:pPr>
              <w:spacing w:after="0"/>
              <w:rPr>
                <w:sz w:val="24"/>
                <w:szCs w:val="24"/>
                <w:color w:val="auto"/>
              </w:rPr>
            </w:pPr>
          </w:p>
        </w:tc>
        <w:tc>
          <w:tcPr>
            <w:tcW w:w="94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200" w:type="dxa"/>
            <w:vAlign w:val="bottom"/>
            <w:tcBorders>
              <w:top w:val="single" w:sz="8" w:color="auto"/>
            </w:tcBorders>
            <w:shd w:val="clear" w:color="auto" w:fill="E2EEF6"/>
          </w:tcPr>
          <w:p>
            <w:pPr>
              <w:spacing w:after="0"/>
              <w:rPr>
                <w:sz w:val="24"/>
                <w:szCs w:val="24"/>
                <w:color w:val="auto"/>
              </w:rPr>
            </w:pPr>
          </w:p>
        </w:tc>
        <w:tc>
          <w:tcPr>
            <w:tcW w:w="116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42,936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45,286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47,652</w:t>
            </w:r>
          </w:p>
        </w:tc>
      </w:tr>
      <w:tr>
        <w:trPr>
          <w:trHeight w:val="20"/>
        </w:trPr>
        <w:tc>
          <w:tcPr>
            <w:tcW w:w="6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40" w:type="dxa"/>
            <w:vAlign w:val="bottom"/>
            <w:gridSpan w:val="6"/>
          </w:tcPr>
          <w:p>
            <w:pPr>
              <w:ind w:left="5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980" w:type="dxa"/>
            <w:vAlign w:val="bottom"/>
            <w:gridSpan w:val="2"/>
            <w:shd w:val="clear" w:color="auto" w:fill="E2EEF6"/>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2,330</w:t>
            </w:r>
          </w:p>
        </w:tc>
        <w:tc>
          <w:tcPr>
            <w:tcW w:w="920" w:type="dxa"/>
            <w:vAlign w:val="bottom"/>
            <w:gridSpan w:val="2"/>
            <w:shd w:val="clear" w:color="auto" w:fill="E2EEF6"/>
          </w:tcPr>
          <w:p>
            <w:pPr>
              <w:jc w:val="right"/>
              <w:ind w:right="55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3,710</w:t>
            </w:r>
          </w:p>
        </w:tc>
        <w:tc>
          <w:tcPr>
            <w:tcW w:w="540" w:type="dxa"/>
            <w:vAlign w:val="bottom"/>
            <w:gridSpan w:val="2"/>
            <w:shd w:val="clear" w:color="auto" w:fill="E2EEF6"/>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5,091</w:t>
            </w: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3,115</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6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3,535</w:t>
            </w:r>
          </w:p>
        </w:tc>
        <w:tc>
          <w:tcPr>
            <w:tcW w:w="180" w:type="dxa"/>
            <w:vAlign w:val="bottom"/>
            <w:tcBorders>
              <w:right w:val="single" w:sz="8" w:color="E2EEF6"/>
            </w:tcBorders>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7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5,271</w:t>
            </w:r>
          </w:p>
        </w:tc>
        <w:tc>
          <w:tcPr>
            <w:tcW w:w="1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5,552</w:t>
            </w: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3,415</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60" w:type="dxa"/>
            <w:vAlign w:val="bottom"/>
            <w:tcBorders>
              <w:top w:val="single" w:sz="8" w:color="E2EEF6"/>
              <w:left w:val="single" w:sz="8" w:color="E2EEF6"/>
            </w:tcBorders>
            <w:shd w:val="clear" w:color="auto" w:fill="E2EEF6"/>
          </w:tcPr>
          <w:p>
            <w:pPr>
              <w:spacing w:after="0"/>
              <w:rPr>
                <w:sz w:val="24"/>
                <w:szCs w:val="24"/>
                <w:color w:val="auto"/>
              </w:rPr>
            </w:pPr>
          </w:p>
        </w:tc>
        <w:tc>
          <w:tcPr>
            <w:tcW w:w="180" w:type="dxa"/>
            <w:vAlign w:val="bottom"/>
            <w:tcBorders>
              <w:top w:val="single" w:sz="8" w:color="E2EEF6"/>
              <w:right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left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7,305</w:t>
            </w:r>
          </w:p>
        </w:tc>
        <w:tc>
          <w:tcPr>
            <w:tcW w:w="92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11,171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13,331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8,094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0"/>
        </w:trPr>
        <w:tc>
          <w:tcPr>
            <w:tcW w:w="7500" w:type="dxa"/>
            <w:vAlign w:val="bottom"/>
            <w:gridSpan w:val="7"/>
          </w:tcPr>
          <w:p>
            <w:pPr>
              <w:ind w:left="740"/>
              <w:spacing w:after="0"/>
              <w:rPr>
                <w:sz w:val="20"/>
                <w:szCs w:val="20"/>
                <w:color w:val="auto"/>
              </w:rPr>
            </w:pPr>
            <w:r>
              <w:rPr>
                <w:rFonts w:ascii="Arial" w:cs="Arial" w:eastAsia="Arial" w:hAnsi="Arial"/>
                <w:sz w:val="18"/>
                <w:szCs w:val="18"/>
                <w:color w:val="auto"/>
                <w:w w:val="95"/>
              </w:rPr>
              <w:t>h) The distribution of depreciation and amortization by business segment was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w:t>
            </w:r>
          </w:p>
        </w:tc>
        <w:tc>
          <w:tcPr>
            <w:tcW w:w="6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4"/>
          </w:tcPr>
          <w:p>
            <w:pPr>
              <w:ind w:left="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980" w:type="dxa"/>
            <w:vAlign w:val="bottom"/>
            <w:gridSpan w:val="2"/>
            <w:shd w:val="clear" w:color="auto" w:fill="E2EEF6"/>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732</w:t>
            </w:r>
          </w:p>
        </w:tc>
        <w:tc>
          <w:tcPr>
            <w:tcW w:w="920" w:type="dxa"/>
            <w:vAlign w:val="bottom"/>
            <w:gridSpan w:val="2"/>
            <w:shd w:val="clear" w:color="auto" w:fill="E2EEF6"/>
          </w:tcPr>
          <w:p>
            <w:pPr>
              <w:jc w:val="right"/>
              <w:ind w:right="55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1,014</w:t>
            </w:r>
          </w:p>
        </w:tc>
        <w:tc>
          <w:tcPr>
            <w:tcW w:w="540" w:type="dxa"/>
            <w:vAlign w:val="bottom"/>
            <w:gridSpan w:val="2"/>
            <w:shd w:val="clear" w:color="auto" w:fill="E2EEF6"/>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995</w:t>
            </w: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687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Clinical research</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6,573</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12,336</w:t>
            </w: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7,407</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60" w:type="dxa"/>
            <w:vAlign w:val="bottom"/>
            <w:tcBorders>
              <w:top w:val="single" w:sz="8" w:color="E2EEF6"/>
              <w:left w:val="single" w:sz="8" w:color="E2EEF6"/>
            </w:tcBorders>
            <w:shd w:val="clear" w:color="auto" w:fill="E2EEF6"/>
          </w:tcPr>
          <w:p>
            <w:pPr>
              <w:spacing w:after="0"/>
              <w:rPr>
                <w:sz w:val="24"/>
                <w:szCs w:val="24"/>
                <w:color w:val="auto"/>
              </w:rPr>
            </w:pPr>
          </w:p>
        </w:tc>
        <w:tc>
          <w:tcPr>
            <w:tcW w:w="180" w:type="dxa"/>
            <w:vAlign w:val="bottom"/>
            <w:tcBorders>
              <w:top w:val="single" w:sz="8" w:color="E2EEF6"/>
              <w:right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left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7,305</w:t>
            </w:r>
          </w:p>
        </w:tc>
        <w:tc>
          <w:tcPr>
            <w:tcW w:w="92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11,171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13,331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8,094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0"/>
        </w:trPr>
        <w:tc>
          <w:tcPr>
            <w:tcW w:w="5900" w:type="dxa"/>
            <w:vAlign w:val="bottom"/>
            <w:gridSpan w:val="3"/>
          </w:tcPr>
          <w:p>
            <w:pPr>
              <w:ind w:left="660"/>
              <w:spacing w:after="0"/>
              <w:rPr>
                <w:sz w:val="20"/>
                <w:szCs w:val="20"/>
                <w:color w:val="auto"/>
              </w:rPr>
            </w:pPr>
            <w:r>
              <w:rPr>
                <w:rFonts w:ascii="Arial" w:cs="Arial" w:eastAsia="Arial" w:hAnsi="Arial"/>
                <w:sz w:val="18"/>
                <w:szCs w:val="18"/>
                <w:color w:val="auto"/>
                <w:w w:val="94"/>
              </w:rPr>
              <w:t>i) The distribution of total assets by geographical area was as follows: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May 31,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May 31,</w:t>
            </w:r>
          </w:p>
        </w:tc>
        <w:tc>
          <w:tcPr>
            <w:tcW w:w="1460" w:type="dxa"/>
            <w:vAlign w:val="bottom"/>
            <w:gridSpan w:val="3"/>
          </w:tcPr>
          <w:p>
            <w:pPr>
              <w:ind w:left="3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3"/>
              </w:rPr>
              <w:t>(in thousands)</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60" w:type="dxa"/>
            <w:vAlign w:val="bottom"/>
            <w:tcBorders>
              <w:left w:val="single" w:sz="8" w:color="E2EEF6"/>
            </w:tcBorders>
            <w:shd w:val="clear" w:color="auto" w:fill="E2EEF6"/>
          </w:tcPr>
          <w:p>
            <w:pPr>
              <w:spacing w:after="0"/>
              <w:rPr>
                <w:sz w:val="21"/>
                <w:szCs w:val="21"/>
                <w:color w:val="auto"/>
              </w:rPr>
            </w:pPr>
          </w:p>
        </w:tc>
        <w:tc>
          <w:tcPr>
            <w:tcW w:w="920" w:type="dxa"/>
            <w:vAlign w:val="bottom"/>
            <w:gridSpan w:val="2"/>
            <w:shd w:val="clear" w:color="auto" w:fill="E2EEF6"/>
          </w:tcPr>
          <w:p>
            <w:pPr>
              <w:jc w:val="right"/>
              <w:ind w:right="577"/>
              <w:spacing w:after="0"/>
              <w:rPr>
                <w:sz w:val="20"/>
                <w:szCs w:val="20"/>
                <w:color w:val="auto"/>
              </w:rPr>
            </w:pPr>
            <w:r>
              <w:rPr>
                <w:rFonts w:ascii="Arial" w:cs="Arial" w:eastAsia="Arial" w:hAnsi="Arial"/>
                <w:sz w:val="18"/>
                <w:szCs w:val="18"/>
                <w:color w:val="auto"/>
              </w:rPr>
              <w:t>$</w:t>
            </w: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76,165</w:t>
            </w:r>
          </w:p>
        </w:tc>
        <w:tc>
          <w:tcPr>
            <w:tcW w:w="120" w:type="dxa"/>
            <w:vAlign w:val="bottom"/>
            <w:tcBorders>
              <w:left w:val="single" w:sz="8" w:color="E2EEF6"/>
            </w:tcBorders>
            <w:shd w:val="clear" w:color="auto" w:fill="E2EEF6"/>
          </w:tcPr>
          <w:p>
            <w:pPr>
              <w:spacing w:after="0"/>
              <w:rPr>
                <w:sz w:val="21"/>
                <w:szCs w:val="21"/>
                <w:color w:val="auto"/>
              </w:rPr>
            </w:pPr>
          </w:p>
        </w:tc>
        <w:tc>
          <w:tcPr>
            <w:tcW w:w="540" w:type="dxa"/>
            <w:vAlign w:val="bottom"/>
            <w:gridSpan w:val="2"/>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109,596</w:t>
            </w:r>
          </w:p>
        </w:tc>
        <w:tc>
          <w:tcPr>
            <w:tcW w:w="2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91,826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79,878</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81,268</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60" w:type="dxa"/>
            <w:vAlign w:val="bottom"/>
            <w:tcBorders>
              <w:left w:val="single" w:sz="8" w:color="E2EEF6"/>
            </w:tcBorders>
            <w:shd w:val="clear" w:color="auto" w:fill="E2EEF6"/>
          </w:tcPr>
          <w:p>
            <w:pPr>
              <w:spacing w:after="0"/>
              <w:rPr>
                <w:sz w:val="21"/>
                <w:szCs w:val="21"/>
                <w:color w:val="auto"/>
              </w:rPr>
            </w:pPr>
          </w:p>
        </w:tc>
        <w:tc>
          <w:tcPr>
            <w:tcW w:w="180" w:type="dxa"/>
            <w:vAlign w:val="bottom"/>
            <w:tcBorders>
              <w:right w:val="single" w:sz="8" w:color="E2EEF6"/>
            </w:tcBorders>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2"/>
              </w:rPr>
              <w:t>141,104</w:t>
            </w:r>
          </w:p>
        </w:tc>
        <w:tc>
          <w:tcPr>
            <w:tcW w:w="12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153,577</w:t>
            </w:r>
          </w:p>
        </w:tc>
        <w:tc>
          <w:tcPr>
            <w:tcW w:w="2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169,799</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6,742</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auto"/>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60" w:type="dxa"/>
            <w:vAlign w:val="bottom"/>
            <w:tcBorders>
              <w:top w:val="single" w:sz="8" w:color="E2EEF6"/>
              <w:left w:val="single" w:sz="8" w:color="E2EEF6"/>
            </w:tcBorders>
            <w:shd w:val="clear" w:color="auto" w:fill="E2EEF6"/>
          </w:tcPr>
          <w:p>
            <w:pPr>
              <w:spacing w:after="0"/>
              <w:rPr>
                <w:sz w:val="24"/>
                <w:szCs w:val="24"/>
                <w:color w:val="auto"/>
              </w:rPr>
            </w:pPr>
          </w:p>
        </w:tc>
        <w:tc>
          <w:tcPr>
            <w:tcW w:w="180" w:type="dxa"/>
            <w:vAlign w:val="bottom"/>
            <w:tcBorders>
              <w:top w:val="single" w:sz="8" w:color="E2EEF6"/>
              <w:right w:val="single" w:sz="8" w:color="E2EEF6"/>
            </w:tcBorders>
            <w:shd w:val="clear" w:color="auto" w:fill="E2EEF6"/>
          </w:tcPr>
          <w:p>
            <w:pPr>
              <w:spacing w:after="0"/>
              <w:rPr>
                <w:sz w:val="24"/>
                <w:szCs w:val="24"/>
                <w:color w:val="auto"/>
              </w:rPr>
            </w:pPr>
          </w:p>
        </w:tc>
        <w:tc>
          <w:tcPr>
            <w:tcW w:w="740" w:type="dxa"/>
            <w:vAlign w:val="bottom"/>
            <w:tcBorders>
              <w:top w:val="single" w:sz="8" w:color="auto"/>
            </w:tcBorders>
            <w:shd w:val="clear" w:color="auto" w:fill="E2EEF6"/>
          </w:tcPr>
          <w:p>
            <w:pPr>
              <w:spacing w:after="0"/>
              <w:rPr>
                <w:sz w:val="24"/>
                <w:szCs w:val="24"/>
                <w:color w:val="auto"/>
              </w:rPr>
            </w:pPr>
          </w:p>
        </w:tc>
        <w:tc>
          <w:tcPr>
            <w:tcW w:w="62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left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640" w:type="dxa"/>
            <w:vAlign w:val="bottom"/>
            <w:tcBorders>
              <w:top w:val="single" w:sz="8" w:color="auto"/>
            </w:tcBorders>
            <w:shd w:val="clear" w:color="auto" w:fill="E2EEF6"/>
          </w:tcPr>
          <w:p>
            <w:pPr>
              <w:spacing w:after="0"/>
              <w:rPr>
                <w:sz w:val="24"/>
                <w:szCs w:val="24"/>
                <w:color w:val="auto"/>
              </w:rPr>
            </w:pPr>
          </w:p>
        </w:tc>
        <w:tc>
          <w:tcPr>
            <w:tcW w:w="72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335,323</w:t>
            </w:r>
          </w:p>
        </w:tc>
        <w:tc>
          <w:tcPr>
            <w:tcW w:w="120" w:type="dxa"/>
            <w:vAlign w:val="bottom"/>
          </w:tcPr>
          <w:p>
            <w:pPr>
              <w:spacing w:after="0"/>
              <w:rPr>
                <w:sz w:val="21"/>
                <w:szCs w:val="21"/>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347,553</w:t>
            </w:r>
          </w:p>
        </w:tc>
        <w:tc>
          <w:tcPr>
            <w:tcW w:w="2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349,635</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The distribution of total assets by business segment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3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3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8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3700" w:type="dxa"/>
            <w:vAlign w:val="bottom"/>
            <w:gridSpan w:val="3"/>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20,343</w:t>
            </w:r>
          </w:p>
        </w:tc>
        <w:tc>
          <w:tcPr>
            <w:tcW w:w="540" w:type="dxa"/>
            <w:vAlign w:val="bottom"/>
            <w:gridSpan w:val="2"/>
            <w:shd w:val="clear" w:color="auto" w:fill="E2EEF6"/>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18,083</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17,150</w:t>
            </w: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Clinical research</w:t>
            </w:r>
          </w:p>
        </w:tc>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314,980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329,470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331,917</w:t>
            </w:r>
          </w:p>
        </w:tc>
      </w:tr>
      <w:tr>
        <w:trPr>
          <w:trHeight w:val="277"/>
        </w:trPr>
        <w:tc>
          <w:tcPr>
            <w:tcW w:w="3480" w:type="dxa"/>
            <w:vAlign w:val="bottom"/>
            <w:tcBorders>
              <w:top w:val="single" w:sz="8" w:color="auto"/>
            </w:tcBorders>
            <w:shd w:val="clear" w:color="auto" w:fill="E2EEF6"/>
          </w:tcPr>
          <w:p>
            <w:pPr>
              <w:spacing w:after="0"/>
              <w:rPr>
                <w:sz w:val="24"/>
                <w:szCs w:val="24"/>
                <w:color w:val="auto"/>
              </w:rPr>
            </w:pPr>
          </w:p>
        </w:tc>
        <w:tc>
          <w:tcPr>
            <w:tcW w:w="304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440" w:type="dxa"/>
            <w:vAlign w:val="bottom"/>
            <w:tcBorders>
              <w:top w:val="single" w:sz="8" w:color="auto"/>
            </w:tcBorders>
            <w:shd w:val="clear" w:color="auto" w:fill="E2EEF6"/>
          </w:tcPr>
          <w:p>
            <w:pPr>
              <w:spacing w:after="0"/>
              <w:rPr>
                <w:sz w:val="24"/>
                <w:szCs w:val="24"/>
                <w:color w:val="auto"/>
              </w:rPr>
            </w:pPr>
          </w:p>
        </w:tc>
        <w:tc>
          <w:tcPr>
            <w:tcW w:w="940" w:type="dxa"/>
            <w:vAlign w:val="bottom"/>
            <w:tcBorders>
              <w:top w:val="single" w:sz="8" w:color="auto"/>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420" w:type="dxa"/>
            <w:vAlign w:val="bottom"/>
            <w:tcBorders>
              <w:top w:val="single" w:sz="8" w:color="auto"/>
            </w:tcBorders>
            <w:shd w:val="clear" w:color="auto" w:fill="E2EEF6"/>
          </w:tcPr>
          <w:p>
            <w:pPr>
              <w:spacing w:after="0"/>
              <w:rPr>
                <w:sz w:val="24"/>
                <w:szCs w:val="24"/>
                <w:color w:val="auto"/>
              </w:rPr>
            </w:pPr>
          </w:p>
        </w:tc>
        <w:tc>
          <w:tcPr>
            <w:tcW w:w="96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200" w:type="dxa"/>
            <w:vAlign w:val="bottom"/>
            <w:tcBorders>
              <w:top w:val="single" w:sz="8" w:color="auto"/>
            </w:tcBorders>
            <w:shd w:val="clear" w:color="auto" w:fill="E2EEF6"/>
          </w:tcPr>
          <w:p>
            <w:pPr>
              <w:spacing w:after="0"/>
              <w:rPr>
                <w:sz w:val="24"/>
                <w:szCs w:val="24"/>
                <w:color w:val="auto"/>
              </w:rPr>
            </w:pPr>
          </w:p>
        </w:tc>
        <w:tc>
          <w:tcPr>
            <w:tcW w:w="116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335,323</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347,553</w:t>
            </w:r>
          </w:p>
        </w:tc>
        <w:tc>
          <w:tcPr>
            <w:tcW w:w="2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349,067</w:t>
            </w:r>
          </w:p>
        </w:tc>
      </w:tr>
      <w:tr>
        <w:trPr>
          <w:trHeight w:val="711"/>
        </w:trPr>
        <w:tc>
          <w:tcPr>
            <w:tcW w:w="348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jc w:val="right"/>
              <w:ind w:right="656"/>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348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1" w:name="page82"/>
    <w:bookmarkEnd w:id="81"/>
    <w:p>
      <w:pPr>
        <w:ind w:left="740"/>
        <w:spacing w:after="0"/>
        <w:rPr>
          <w:sz w:val="20"/>
          <w:szCs w:val="20"/>
          <w:color w:val="auto"/>
        </w:rPr>
      </w:pPr>
      <w:r>
        <w:rPr>
          <w:rFonts w:ascii="Arial" w:cs="Arial" w:eastAsia="Arial" w:hAnsi="Arial"/>
          <w:sz w:val="18"/>
          <w:szCs w:val="18"/>
          <w:color w:val="auto"/>
        </w:rPr>
        <w:t>k) The distribution of capital expenditures by geographical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Year Ended</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5"/>
              </w:rPr>
              <w:t>May 31,</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Ireland</w:t>
            </w:r>
          </w:p>
        </w:tc>
        <w:tc>
          <w:tcPr>
            <w:tcW w:w="72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6,375</w:t>
            </w:r>
          </w:p>
        </w:tc>
        <w:tc>
          <w:tcPr>
            <w:tcW w:w="460" w:type="dxa"/>
            <w:vAlign w:val="bottom"/>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4,812</w:t>
            </w:r>
          </w:p>
        </w:tc>
        <w:tc>
          <w:tcPr>
            <w:tcW w:w="50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6,583</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6,438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Rest of Europe</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2,167</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2,168</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2EEF6"/>
          </w:tcPr>
          <w:p>
            <w:pPr>
              <w:spacing w:after="0"/>
              <w:rPr>
                <w:sz w:val="21"/>
                <w:szCs w:val="21"/>
                <w:color w:val="auto"/>
              </w:rPr>
            </w:pPr>
          </w:p>
        </w:tc>
        <w:tc>
          <w:tcPr>
            <w:tcW w:w="48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5,826</w:t>
            </w:r>
          </w:p>
        </w:tc>
        <w:tc>
          <w:tcPr>
            <w:tcW w:w="50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5,873</w:t>
            </w: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4,197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80" w:type="dxa"/>
            <w:vAlign w:val="bottom"/>
            <w:tcBorders>
              <w:top w:val="single" w:sz="8" w:color="auto"/>
            </w:tcBorders>
            <w:shd w:val="clear" w:color="auto" w:fill="E2EEF6"/>
          </w:tcPr>
          <w:p>
            <w:pPr>
              <w:spacing w:after="0"/>
              <w:rPr>
                <w:sz w:val="24"/>
                <w:szCs w:val="24"/>
                <w:color w:val="auto"/>
              </w:rPr>
            </w:pPr>
          </w:p>
        </w:tc>
        <w:tc>
          <w:tcPr>
            <w:tcW w:w="90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340" w:type="dxa"/>
            <w:vAlign w:val="bottom"/>
            <w:tcBorders>
              <w:top w:val="single" w:sz="8" w:color="auto"/>
            </w:tcBorders>
            <w:shd w:val="clear" w:color="auto" w:fill="E2EEF6"/>
          </w:tcPr>
          <w:p>
            <w:pPr>
              <w:spacing w:after="0"/>
              <w:rPr>
                <w:sz w:val="24"/>
                <w:szCs w:val="24"/>
                <w:color w:val="auto"/>
              </w:rPr>
            </w:pPr>
          </w:p>
        </w:tc>
        <w:tc>
          <w:tcPr>
            <w:tcW w:w="104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500" w:type="dxa"/>
            <w:vAlign w:val="bottom"/>
            <w:tcBorders>
              <w:top w:val="single" w:sz="8" w:color="auto"/>
            </w:tcBorders>
            <w:shd w:val="clear" w:color="auto" w:fill="E2EEF6"/>
          </w:tcPr>
          <w:p>
            <w:pPr>
              <w:spacing w:after="0"/>
              <w:rPr>
                <w:sz w:val="24"/>
                <w:szCs w:val="24"/>
                <w:color w:val="auto"/>
              </w:rPr>
            </w:pPr>
          </w:p>
        </w:tc>
        <w:tc>
          <w:tcPr>
            <w:tcW w:w="88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180" w:type="dxa"/>
            <w:vAlign w:val="bottom"/>
            <w:tcBorders>
              <w:top w:val="single" w:sz="8" w:color="auto"/>
            </w:tcBorders>
            <w:shd w:val="clear" w:color="auto" w:fill="E2EEF6"/>
          </w:tcPr>
          <w:p>
            <w:pPr>
              <w:spacing w:after="0"/>
              <w:rPr>
                <w:sz w:val="24"/>
                <w:szCs w:val="24"/>
                <w:color w:val="auto"/>
              </w:rPr>
            </w:pPr>
          </w:p>
        </w:tc>
        <w:tc>
          <w:tcPr>
            <w:tcW w:w="118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15,993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12,965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11,660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 The distribution of capital expenditures by business segment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2"/>
              </w:rPr>
              <w:t>Year Ended</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5"/>
              </w:rPr>
              <w:t>May 31,</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720" w:type="dxa"/>
            <w:vAlign w:val="bottom"/>
            <w:gridSpan w:val="2"/>
            <w:shd w:val="clear" w:color="auto" w:fill="E2EEF6"/>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1,520</w:t>
            </w:r>
          </w:p>
        </w:tc>
        <w:tc>
          <w:tcPr>
            <w:tcW w:w="3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1,552</w:t>
            </w:r>
          </w:p>
        </w:tc>
        <w:tc>
          <w:tcPr>
            <w:tcW w:w="50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948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Clinical research</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11,413</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14,712</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10,712</w:t>
            </w:r>
          </w:p>
        </w:tc>
      </w:tr>
      <w:tr>
        <w:trPr>
          <w:trHeight w:val="277"/>
        </w:trPr>
        <w:tc>
          <w:tcPr>
            <w:tcW w:w="4920" w:type="dxa"/>
            <w:vAlign w:val="bottom"/>
            <w:tcBorders>
              <w:top w:val="single" w:sz="8" w:color="auto"/>
            </w:tcBorders>
            <w:shd w:val="clear" w:color="auto" w:fill="E2EEF6"/>
          </w:tcPr>
          <w:p>
            <w:pPr>
              <w:spacing w:after="0"/>
              <w:rPr>
                <w:sz w:val="24"/>
                <w:szCs w:val="24"/>
                <w:color w:val="auto"/>
              </w:rPr>
            </w:pPr>
          </w:p>
        </w:tc>
        <w:tc>
          <w:tcPr>
            <w:tcW w:w="240" w:type="dxa"/>
            <w:vAlign w:val="bottom"/>
            <w:tcBorders>
              <w:top w:val="single" w:sz="8" w:color="E2EEF6"/>
            </w:tcBorders>
            <w:shd w:val="clear" w:color="auto" w:fill="E2EEF6"/>
          </w:tcPr>
          <w:p>
            <w:pPr>
              <w:spacing w:after="0"/>
              <w:rPr>
                <w:sz w:val="24"/>
                <w:szCs w:val="24"/>
                <w:color w:val="auto"/>
              </w:rPr>
            </w:pPr>
          </w:p>
        </w:tc>
        <w:tc>
          <w:tcPr>
            <w:tcW w:w="480" w:type="dxa"/>
            <w:vAlign w:val="bottom"/>
            <w:tcBorders>
              <w:top w:val="single" w:sz="8" w:color="auto"/>
            </w:tcBorders>
            <w:shd w:val="clear" w:color="auto" w:fill="E2EEF6"/>
          </w:tcPr>
          <w:p>
            <w:pPr>
              <w:spacing w:after="0"/>
              <w:rPr>
                <w:sz w:val="24"/>
                <w:szCs w:val="24"/>
                <w:color w:val="auto"/>
              </w:rPr>
            </w:pPr>
          </w:p>
        </w:tc>
        <w:tc>
          <w:tcPr>
            <w:tcW w:w="90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c>
          <w:tcPr>
            <w:tcW w:w="120" w:type="dxa"/>
            <w:vAlign w:val="bottom"/>
            <w:tcBorders>
              <w:top w:val="single" w:sz="8" w:color="E2EEF6"/>
            </w:tcBorders>
            <w:shd w:val="clear" w:color="auto" w:fill="E2EEF6"/>
          </w:tcPr>
          <w:p>
            <w:pPr>
              <w:spacing w:after="0"/>
              <w:rPr>
                <w:sz w:val="24"/>
                <w:szCs w:val="24"/>
                <w:color w:val="auto"/>
              </w:rPr>
            </w:pPr>
          </w:p>
        </w:tc>
        <w:tc>
          <w:tcPr>
            <w:tcW w:w="260" w:type="dxa"/>
            <w:vAlign w:val="bottom"/>
            <w:tcBorders>
              <w:top w:val="single" w:sz="8" w:color="auto"/>
            </w:tcBorders>
            <w:shd w:val="clear" w:color="auto" w:fill="E2EEF6"/>
          </w:tcPr>
          <w:p>
            <w:pPr>
              <w:spacing w:after="0"/>
              <w:rPr>
                <w:sz w:val="24"/>
                <w:szCs w:val="24"/>
                <w:color w:val="auto"/>
              </w:rPr>
            </w:pPr>
          </w:p>
        </w:tc>
        <w:tc>
          <w:tcPr>
            <w:tcW w:w="112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500" w:type="dxa"/>
            <w:vAlign w:val="bottom"/>
            <w:tcBorders>
              <w:top w:val="single" w:sz="8" w:color="auto"/>
            </w:tcBorders>
            <w:shd w:val="clear" w:color="auto" w:fill="E2EEF6"/>
          </w:tcPr>
          <w:p>
            <w:pPr>
              <w:spacing w:after="0"/>
              <w:rPr>
                <w:sz w:val="24"/>
                <w:szCs w:val="24"/>
                <w:color w:val="auto"/>
              </w:rPr>
            </w:pPr>
          </w:p>
        </w:tc>
        <w:tc>
          <w:tcPr>
            <w:tcW w:w="88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180" w:type="dxa"/>
            <w:vAlign w:val="bottom"/>
            <w:tcBorders>
              <w:top w:val="single" w:sz="8" w:color="auto"/>
            </w:tcBorders>
            <w:shd w:val="clear" w:color="auto" w:fill="E2EEF6"/>
          </w:tcPr>
          <w:p>
            <w:pPr>
              <w:spacing w:after="0"/>
              <w:rPr>
                <w:sz w:val="24"/>
                <w:szCs w:val="24"/>
                <w:color w:val="auto"/>
              </w:rPr>
            </w:pPr>
          </w:p>
        </w:tc>
        <w:tc>
          <w:tcPr>
            <w:tcW w:w="118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15,993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12,965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11,660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 The following table sets forth the clients which represented 10% or more of the Company's net revenue in each of the periods set out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Seven Months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 Ended</w:t>
            </w:r>
          </w:p>
        </w:tc>
        <w:tc>
          <w:tcPr>
            <w:tcW w:w="130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31,</w:t>
            </w:r>
          </w:p>
        </w:tc>
        <w:tc>
          <w:tcPr>
            <w:tcW w:w="130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3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2EEF6"/>
          </w:tcPr>
          <w:p>
            <w:pPr>
              <w:spacing w:after="0"/>
              <w:rPr>
                <w:sz w:val="20"/>
                <w:szCs w:val="20"/>
                <w:color w:val="auto"/>
              </w:rPr>
            </w:pPr>
            <w:r>
              <w:rPr>
                <w:rFonts w:ascii="Arial" w:cs="Arial" w:eastAsia="Arial" w:hAnsi="Arial"/>
                <w:sz w:val="18"/>
                <w:szCs w:val="18"/>
                <w:color w:val="auto"/>
              </w:rPr>
              <w:t>Client A</w:t>
            </w:r>
          </w:p>
        </w:tc>
        <w:tc>
          <w:tcPr>
            <w:tcW w:w="346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10%</w:t>
            </w:r>
          </w:p>
        </w:tc>
        <w:tc>
          <w:tcPr>
            <w:tcW w:w="176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Client B</w:t>
            </w:r>
          </w:p>
        </w:tc>
        <w:tc>
          <w:tcPr>
            <w:tcW w:w="346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2EEF6"/>
          </w:tcPr>
          <w:p>
            <w:pPr>
              <w:spacing w:after="0"/>
              <w:rPr>
                <w:sz w:val="20"/>
                <w:szCs w:val="20"/>
                <w:color w:val="auto"/>
              </w:rPr>
            </w:pPr>
            <w:r>
              <w:rPr>
                <w:rFonts w:ascii="Arial" w:cs="Arial" w:eastAsia="Arial" w:hAnsi="Arial"/>
                <w:sz w:val="18"/>
                <w:szCs w:val="18"/>
                <w:color w:val="auto"/>
              </w:rPr>
              <w:t>Client C</w:t>
            </w:r>
          </w:p>
        </w:tc>
        <w:tc>
          <w:tcPr>
            <w:tcW w:w="346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11%</w:t>
            </w:r>
          </w:p>
        </w:tc>
        <w:tc>
          <w:tcPr>
            <w:tcW w:w="176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19. Supplemental Disclosure of Cash Flow Information</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Seven Months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Year Ended</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May 31,</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4"/>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Cash paid for interest</w:t>
            </w:r>
          </w:p>
        </w:tc>
        <w:tc>
          <w:tcPr>
            <w:tcW w:w="760" w:type="dxa"/>
            <w:vAlign w:val="bottom"/>
            <w:gridSpan w:val="2"/>
            <w:shd w:val="clear" w:color="auto" w:fill="E2EEF6"/>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279</w:t>
            </w:r>
          </w:p>
        </w:tc>
        <w:tc>
          <w:tcPr>
            <w:tcW w:w="2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202</w:t>
            </w:r>
          </w:p>
        </w:tc>
        <w:tc>
          <w:tcPr>
            <w:tcW w:w="54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w:t>
            </w:r>
          </w:p>
        </w:tc>
      </w:tr>
      <w:tr>
        <w:trPr>
          <w:trHeight w:val="277"/>
        </w:trPr>
        <w:tc>
          <w:tcPr>
            <w:tcW w:w="4920" w:type="dxa"/>
            <w:vAlign w:val="bottom"/>
            <w:tcBorders>
              <w:top w:val="single" w:sz="8" w:color="auto"/>
            </w:tcBorders>
          </w:tcPr>
          <w:p>
            <w:pPr>
              <w:spacing w:after="0"/>
              <w:rPr>
                <w:sz w:val="24"/>
                <w:szCs w:val="24"/>
                <w:color w:val="auto"/>
              </w:rPr>
            </w:pPr>
          </w:p>
        </w:tc>
        <w:tc>
          <w:tcPr>
            <w:tcW w:w="240" w:type="dxa"/>
            <w:vAlign w:val="bottom"/>
            <w:tcBorders>
              <w:top w:val="single" w:sz="8" w:color="E2EEF6"/>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8"/>
                <w:szCs w:val="18"/>
                <w:color w:val="auto"/>
              </w:rPr>
              <w:t>Cash paid for income taxes</w:t>
            </w:r>
          </w:p>
        </w:tc>
        <w:tc>
          <w:tcPr>
            <w:tcW w:w="760" w:type="dxa"/>
            <w:vAlign w:val="bottom"/>
            <w:gridSpan w:val="2"/>
            <w:shd w:val="clear" w:color="auto" w:fill="E2EEF6"/>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7,186</w:t>
            </w:r>
          </w:p>
        </w:tc>
        <w:tc>
          <w:tcPr>
            <w:tcW w:w="2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5,731</w:t>
            </w:r>
          </w:p>
        </w:tc>
        <w:tc>
          <w:tcPr>
            <w:tcW w:w="54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5,290</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4,794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New Accounting Pronouncements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2005, the Financial Accounting Standards Board (FASB) issued FASB Interpretation No. 47. In accordance with FASB Interpretation 47 companies must recognise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company does not expect the impacts of adopting FASB Interpretation No 47 to be material.</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2004, the FASB issued Statement No. 123R, "Share-Based Payment - An Amendment of FASB Statements No. 123 and 95 (“SFAS No.123R”), which is effective for public companies in periods beginning after June 15, 2005. The company will implement the proposed standard on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t>the entity are expected to change significantly as a result of the exchange. We do not expect that the adoption of SFAS No. 153 will have a material impact on our financial position or results of operations.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00" w:lineRule="exact"/>
        <w:rPr>
          <w:sz w:val="20"/>
          <w:szCs w:val="20"/>
          <w:color w:val="auto"/>
        </w:rPr>
      </w:pPr>
    </w:p>
    <w:p>
      <w:pPr>
        <w:spacing w:after="0" w:line="3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6, 2005, Dr. Ronan Lambe and Dr. John Climax gifted 64,000 and 80,000 ADSs, respectively, to Mr. Peter Gray, the Company’s Chief Executive Officer. The Company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no cash flow impact on the Company and created no dilution of ordinary shares outstanding. The fair value of the ADSs on the date of gift was determined by reference to market price.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AGI Therapeutics Limited (“AGI”) is a specialty pharmaceutical company focused on developing drug therapies for gastrointestinal diseases and disorders. ICON is engaged in conducting a series of clinical trials on behalf of AGI. In January 2006, Dr. Ronan Lambe was appointed a non-executive director of AGI and takes up the position of non-executive Chairman from February 2006.</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the Company), to conduct a clinical trial on its behalf. The total potential value of this study is $2.7 million. As at December 31, 2005, Amarin Investment Holding Company Limited (a company controlled by Mr. Thomas Lynch), Sunninghill Limited (a company controlled by Dr. John Climax) and Dr. Ronan Lambe held 9.7 million, 6.3 million and 1.6 million shares respectively in Amarin. These respective holdings equate to approximately 12.0%, 8.0% and 2.0% of Amarin's issued share capital. Thomas Lynch also serves as chairman and non-executive director on the Board of Amarin. During the seven month period to December 31, 2005 the company recognized $0.86m revenue relating to the Amarin Contract. At December 31, 2005, $0.9m was outstanding to be received from Amarin on this trial.</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6, 1998, the Company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the April 21, 2004, Mr. Gray subsequently acquired Clear from Rosa and exercised the Put Option in accordance with the terms of the Option Agreement. On April 22, 2004, pursuant to the Option Agreement, the Company purchased the outstanding share capital in Clear from Mr. Gray, the consideration for the acquisition being the issuance of 54,000 fully paid up ordinary shares in the Company, to Mr. Gray, such a sale being the economic equivalent of Mr. Gray exercising his stock options.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12 of the Securities Exchange Act of 1934, the Registrant certifies that it meets all of the requirements for filing on Form 20-F and has duly caused this transition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ICON public limited company</w:t>
      </w:r>
    </w:p>
    <w:p>
      <w:pPr>
        <w:sectPr>
          <w:pgSz w:w="11900" w:h="16838" w:orient="portrait"/>
          <w:cols w:equalWidth="0" w:num="1">
            <w:col w:w="11180"/>
          </w:cols>
          <w:pgMar w:left="240" w:top="391" w:right="4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4200"/>
        <w:spacing w:after="0"/>
        <w:rPr>
          <w:sz w:val="20"/>
          <w:szCs w:val="20"/>
          <w:color w:val="auto"/>
        </w:rPr>
      </w:pPr>
      <w:r>
        <w:rPr>
          <w:rFonts w:ascii="Arial" w:cs="Arial" w:eastAsia="Arial" w:hAnsi="Arial"/>
          <w:sz w:val="16"/>
          <w:szCs w:val="16"/>
          <w:color w:val="auto"/>
        </w:rPr>
        <w:t>/s/ Ciaran Murray</w:t>
      </w:r>
    </w:p>
    <w:p>
      <w:pPr>
        <w:spacing w:after="0" w:line="200" w:lineRule="exact"/>
        <w:rPr>
          <w:sz w:val="20"/>
          <w:szCs w:val="20"/>
          <w:color w:val="auto"/>
        </w:rPr>
      </w:pPr>
    </w:p>
    <w:p>
      <w:pPr>
        <w:sectPr>
          <w:pgSz w:w="11900" w:h="16838" w:orient="portrait"/>
          <w:cols w:equalWidth="0" w:num="2">
            <w:col w:w="4980" w:space="720"/>
            <w:col w:w="5480"/>
          </w:cols>
          <w:pgMar w:left="240" w:top="391" w:right="4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ectPr>
          <w:pgSz w:w="11900" w:h="16838" w:orient="portrait"/>
          <w:cols w:equalWidth="0" w:num="2">
            <w:col w:w="4980" w:space="720"/>
            <w:col w:w="5480"/>
          </w:cols>
          <w:pgMar w:left="240" w:top="39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91" w:right="47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Peter Gray, certify that:</w:t>
      </w:r>
    </w:p>
    <w:p>
      <w:pPr>
        <w:spacing w:after="0" w:line="279"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transition report on Form 20-F of ICON plc (“the registrant”).</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8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895"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4"/>
        <w:spacing w:after="0" w:line="308" w:lineRule="auto"/>
        <w:tabs>
          <w:tab w:leader="none" w:pos="858"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this report that has materially affected, or is reasonably likely to materially affect, the company’s internal control over financial reporting.</w:t>
      </w:r>
    </w:p>
    <w:p>
      <w:pPr>
        <w:spacing w:after="0" w:line="200" w:lineRule="exact"/>
        <w:rPr>
          <w:rFonts w:ascii="Arial" w:cs="Arial" w:eastAsia="Arial" w:hAnsi="Arial"/>
          <w:sz w:val="17"/>
          <w:szCs w:val="17"/>
          <w:color w:val="auto"/>
        </w:rPr>
      </w:pPr>
    </w:p>
    <w:p>
      <w:pPr>
        <w:ind w:firstLine="8"/>
        <w:spacing w:after="0" w:line="277" w:lineRule="auto"/>
        <w:tabs>
          <w:tab w:leader="none" w:pos="2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4" w:lineRule="exact"/>
        <w:rPr>
          <w:sz w:val="20"/>
          <w:szCs w:val="20"/>
          <w:color w:val="auto"/>
        </w:rPr>
      </w:pPr>
    </w:p>
    <w:p>
      <w:pPr>
        <w:ind w:firstLine="8"/>
        <w:spacing w:after="0" w:line="277" w:lineRule="auto"/>
        <w:tabs>
          <w:tab w:leader="none" w:pos="1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79"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transition report on Form 20-F of ICON plc (“the registrant”).</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85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895"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4"/>
        <w:spacing w:after="0" w:line="308" w:lineRule="auto"/>
        <w:tabs>
          <w:tab w:leader="none" w:pos="858"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this report that has materially affected, or is reasonably likely to materially affect, the company’s internal control over financial reporting.</w:t>
      </w:r>
    </w:p>
    <w:p>
      <w:pPr>
        <w:spacing w:after="0" w:line="200" w:lineRule="exact"/>
        <w:rPr>
          <w:rFonts w:ascii="Arial" w:cs="Arial" w:eastAsia="Arial" w:hAnsi="Arial"/>
          <w:sz w:val="17"/>
          <w:szCs w:val="17"/>
          <w:color w:val="auto"/>
        </w:rPr>
      </w:pPr>
    </w:p>
    <w:p>
      <w:pPr>
        <w:ind w:firstLine="8"/>
        <w:spacing w:after="0" w:line="277" w:lineRule="auto"/>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4" w:lineRule="exact"/>
        <w:rPr>
          <w:sz w:val="20"/>
          <w:szCs w:val="20"/>
          <w:color w:val="auto"/>
        </w:rPr>
      </w:pPr>
    </w:p>
    <w:p>
      <w:pPr>
        <w:ind w:firstLine="8"/>
        <w:spacing w:after="0" w:line="277" w:lineRule="auto"/>
        <w:tabs>
          <w:tab w:leader="none" w:pos="1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Transition Report of ICON plc (the “Company”) on Form 20-F for the period ending December 31, 2005,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235"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Transition Report of ICON plc (the “Company”) on Form 20-F for the period ending December 31, 2005, as filed with the Securities and Exchange Commission on the date hereof (the “Report”), I, Ciaran Murray, Chief Financial Officer of the Company, certify, pursuant to 18 U.S.C. § 1350, as adopted pursuant to § 906 of the Sarbanes-Oxley Act of 2002, that to my knowledge:</w:t>
      </w: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ICONplc and will be retained by ICON plc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x"/>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lvl w:ilvl="1">
      <w:lvlJc w:val="left"/>
      <w:lvlText w:val="(%2)"/>
      <w:numFmt w:val="decimal"/>
      <w:start w:val="4"/>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2"/>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31"/>
    </w:lvl>
  </w:abstractNum>
  <w:abstractNum w:abstractNumId="29">
    <w:nsid w:val="4B588F54"/>
    <w:multiLevelType w:val="hybridMultilevel"/>
    <w:lvl w:ilvl="0">
      <w:lvlJc w:val="left"/>
      <w:lvlText w:val="%1"/>
      <w:numFmt w:val="decimal"/>
      <w:start w:val="3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2"/>
    </w:lvl>
  </w:abstractNum>
  <w:abstractNum w:abstractNumId="32">
    <w:nsid w:val="38437FDB"/>
    <w:multiLevelType w:val="hybridMultilevel"/>
    <w:lvl w:ilvl="0">
      <w:lvlJc w:val="left"/>
      <w:lvlText w:val="(%1)"/>
      <w:numFmt w:val="lowerLetter"/>
      <w:start w:val="3"/>
    </w:lvl>
  </w:abstractNum>
  <w:abstractNum w:abstractNumId="33">
    <w:nsid w:val="7644A45C"/>
    <w:multiLevelType w:val="hybridMultilevel"/>
    <w:lvl w:ilvl="0">
      <w:lvlJc w:val="left"/>
      <w:lvlText w:val="(%1)"/>
      <w:numFmt w:val="lowerLetter"/>
      <w:start w:val="4"/>
    </w:lvl>
  </w:abstractNum>
  <w:abstractNum w:abstractNumId="34">
    <w:nsid w:val="32FFF902"/>
    <w:multiLevelType w:val="hybridMultilevel"/>
    <w:lvl w:ilvl="0">
      <w:lvlJc w:val="left"/>
      <w:lvlText w:val="(%1)"/>
      <w:numFmt w:val="lowerLetter"/>
      <w:start w:val="5"/>
    </w:lvl>
  </w:abstractNum>
  <w:abstractNum w:abstractNumId="35">
    <w:nsid w:val="684A481A"/>
    <w:multiLevelType w:val="hybridMultilevel"/>
    <w:lvl w:ilvl="0">
      <w:lvlJc w:val="left"/>
      <w:lvlText w:val="(%1)"/>
      <w:numFmt w:val="lowerLetter"/>
      <w:start w:val="6"/>
    </w:lvl>
  </w:abstractNum>
  <w:abstractNum w:abstractNumId="36">
    <w:nsid w:val="579478FE"/>
    <w:multiLevelType w:val="hybridMultilevel"/>
    <w:lvl w:ilvl="0">
      <w:lvlJc w:val="left"/>
      <w:lvlText w:val="(%1)"/>
      <w:numFmt w:val="lowerLetter"/>
      <w:start w:val="7"/>
    </w:lvl>
  </w:abstractNum>
  <w:abstractNum w:abstractNumId="37">
    <w:nsid w:val="749ABB43"/>
    <w:multiLevelType w:val="hybridMultilevel"/>
    <w:lvl w:ilvl="0">
      <w:lvlJc w:val="left"/>
      <w:lvlText w:val="(%1)"/>
      <w:numFmt w:val="lowerLetter"/>
      <w:start w:val="8"/>
    </w:lvl>
  </w:abstractNum>
  <w:abstractNum w:abstractNumId="38">
    <w:nsid w:val="3DC240FB"/>
    <w:multiLevelType w:val="hybridMultilevel"/>
    <w:lvl w:ilvl="0">
      <w:lvlJc w:val="left"/>
      <w:lvlText w:val="(%1)"/>
      <w:numFmt w:val="lowerRoman"/>
      <w:start w:val="1"/>
    </w:lvl>
  </w:abstractNum>
  <w:abstractNum w:abstractNumId="39">
    <w:nsid w:val="1BA026FA"/>
    <w:multiLevelType w:val="hybridMultilevel"/>
    <w:lvl w:ilvl="0">
      <w:lvlJc w:val="left"/>
      <w:lvlText w:val="(%1)"/>
      <w:numFmt w:val="lowerLetter"/>
      <w:start w:val="10"/>
    </w:lvl>
  </w:abstractNum>
  <w:abstractNum w:abstractNumId="40">
    <w:nsid w:val="79A1DEAA"/>
    <w:multiLevelType w:val="hybridMultilevel"/>
    <w:lvl w:ilvl="0">
      <w:lvlJc w:val="left"/>
      <w:lvlText w:val="(%1)"/>
      <w:numFmt w:val="lowerLetter"/>
      <w:start w:val="11"/>
    </w:lvl>
  </w:abstractNum>
  <w:abstractNum w:abstractNumId="41">
    <w:nsid w:val="75C6C33A"/>
    <w:multiLevelType w:val="hybridMultilevel"/>
    <w:lvl w:ilvl="0">
      <w:lvlJc w:val="left"/>
      <w:lvlText w:val="(%1)"/>
      <w:numFmt w:val="lowerLetter"/>
      <w:start w:val="12"/>
    </w:lvl>
  </w:abstractNum>
  <w:abstractNum w:abstractNumId="42">
    <w:nsid w:val="12E685FB"/>
    <w:multiLevelType w:val="hybridMultilevel"/>
    <w:lvl w:ilvl="0">
      <w:lvlJc w:val="left"/>
      <w:lvlText w:val="(%1)"/>
      <w:numFmt w:val="lowerLetter"/>
      <w:start w:val="13"/>
    </w:lvl>
  </w:abstractNum>
  <w:abstractNum w:abstractNumId="43">
    <w:nsid w:val="70C6A529"/>
    <w:multiLevelType w:val="hybridMultilevel"/>
    <w:lvl w:ilvl="0">
      <w:lvlJc w:val="left"/>
      <w:lvlText w:val="(%1)"/>
      <w:numFmt w:val="lowerLetter"/>
      <w:start w:val="14"/>
    </w:lvl>
  </w:abstractNum>
  <w:abstractNum w:abstractNumId="44">
    <w:nsid w:val="520EEDD1"/>
    <w:multiLevelType w:val="hybridMultilevel"/>
    <w:lvl w:ilvl="0">
      <w:lvlJc w:val="left"/>
      <w:lvlText w:val="(%1)"/>
      <w:numFmt w:val="lowerLetter"/>
      <w:start w:val="15"/>
    </w:lvl>
  </w:abstractNum>
  <w:abstractNum w:abstractNumId="45">
    <w:nsid w:val="374A3FE6"/>
    <w:multiLevelType w:val="hybridMultilevel"/>
    <w:lvl w:ilvl="0">
      <w:lvlJc w:val="left"/>
      <w:lvlText w:val="(%1)"/>
      <w:numFmt w:val="lowerLetter"/>
      <w:start w:val="16"/>
    </w:lvl>
  </w:abstractNum>
  <w:abstractNum w:abstractNumId="46">
    <w:nsid w:val="4F4EF005"/>
    <w:multiLevelType w:val="hybridMultilevel"/>
    <w:lvl w:ilvl="0">
      <w:lvlJc w:val="left"/>
      <w:lvlText w:val="(%1)"/>
      <w:numFmt w:val="lowerLetter"/>
      <w:start w:val="17"/>
    </w:lvl>
  </w:abstractNum>
  <w:abstractNum w:abstractNumId="47">
    <w:nsid w:val="23F9C13C"/>
    <w:multiLevelType w:val="hybridMultilevel"/>
    <w:lvl w:ilvl="0">
      <w:lvlJc w:val="left"/>
      <w:lvlText w:val="(%1)"/>
      <w:numFmt w:val="lowerLetter"/>
      <w:start w:val="18"/>
    </w:lvl>
  </w:abstractNum>
  <w:abstractNum w:abstractNumId="48">
    <w:nsid w:val="649BB77C"/>
    <w:multiLevelType w:val="hybridMultilevel"/>
    <w:lvl w:ilvl="0">
      <w:lvlJc w:val="left"/>
      <w:lvlText w:val="(%1)"/>
      <w:numFmt w:val="lowerLetter"/>
      <w:start w:val="19"/>
    </w:lvl>
  </w:abstractNum>
  <w:abstractNum w:abstractNumId="49">
    <w:nsid w:val="275AC794"/>
    <w:multiLevelType w:val="hybridMultilevel"/>
    <w:lvl w:ilvl="0">
      <w:lvlJc w:val="left"/>
      <w:lvlText w:val="(%1)"/>
      <w:numFmt w:val="lowerLetter"/>
      <w:start w:val="20"/>
    </w:lvl>
  </w:abstractNum>
  <w:abstractNum w:abstractNumId="50">
    <w:nsid w:val="39386575"/>
    <w:multiLevelType w:val="hybridMultilevel"/>
    <w:lvl w:ilvl="0">
      <w:lvlJc w:val="left"/>
      <w:lvlText w:val="(%1)"/>
      <w:numFmt w:val="lowerLetter"/>
      <w:start w:val="21"/>
    </w:lvl>
  </w:abstractNum>
  <w:abstractNum w:abstractNumId="51">
    <w:nsid w:val="1CF10FD8"/>
    <w:multiLevelType w:val="hybridMultilevel"/>
    <w:lvl w:ilvl="0">
      <w:lvlJc w:val="left"/>
      <w:lvlText w:val="(%1)"/>
      <w:numFmt w:val="upperLetter"/>
      <w:start w:val="1"/>
    </w:lvl>
  </w:abstractNum>
  <w:abstractNum w:abstractNumId="52">
    <w:nsid w:val="180115BE"/>
    <w:multiLevelType w:val="hybridMultilevel"/>
    <w:lvl w:ilvl="0">
      <w:lvlJc w:val="left"/>
      <w:lvlText w:val="(%1)"/>
      <w:numFmt w:val="upperLetter"/>
      <w:start w:val="2"/>
    </w:lvl>
  </w:abstractNum>
  <w:abstractNum w:abstractNumId="53">
    <w:nsid w:val="235BA861"/>
    <w:multiLevelType w:val="hybridMultilevel"/>
    <w:lvl w:ilvl="0">
      <w:lvlJc w:val="left"/>
      <w:lvlText w:val="(%1)"/>
      <w:numFmt w:val="upperLetter"/>
      <w:start w:val="3"/>
    </w:lvl>
  </w:abstractNum>
  <w:abstractNum w:abstractNumId="54">
    <w:nsid w:val="47398C89"/>
    <w:multiLevelType w:val="hybridMultilevel"/>
    <w:lvl w:ilvl="0">
      <w:lvlJc w:val="left"/>
      <w:lvlText w:val="*"/>
      <w:numFmt w:val="bullet"/>
      <w:start w:val="1"/>
    </w:lvl>
    <w:lvl w:ilvl="1">
      <w:lvlJc w:val="left"/>
      <w:lvlText w:val="%2)"/>
      <w:numFmt w:val="lowerLetter"/>
      <w:start w:val="2"/>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2019-12-14T19:53:01Z</dcterms:created>
  <dcterms:modified xsi:type="dcterms:W3CDTF">2019-12-14T19:53:01Z</dcterms:modified>
</cp:coreProperties>
</file>