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of July, 2021</w:t>
      </w:r>
    </w:p>
    <w:p>
      <w:pPr>
        <w:spacing w:after="0" w:line="211" w:lineRule="exact"/>
        <w:rPr>
          <w:sz w:val="24"/>
          <w:szCs w:val="24"/>
          <w:color w:val="auto"/>
        </w:rPr>
      </w:pPr>
    </w:p>
    <w:p>
      <w:pPr>
        <w:ind w:left="4720"/>
        <w:spacing w:after="0"/>
        <w:rPr>
          <w:sz w:val="20"/>
          <w:szCs w:val="20"/>
          <w:color w:val="auto"/>
        </w:rPr>
      </w:pPr>
      <w:r>
        <w:rPr>
          <w:rFonts w:ascii="Arial" w:cs="Arial" w:eastAsia="Arial" w:hAnsi="Arial"/>
          <w:sz w:val="43"/>
          <w:szCs w:val="43"/>
          <w:b w:val="1"/>
          <w:bCs w:val="1"/>
          <w:color w:val="auto"/>
        </w:rPr>
        <w:t>ICON plc</w:t>
      </w:r>
    </w:p>
    <w:p>
      <w:pPr>
        <w:spacing w:after="0" w:line="4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7" w:right="9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ICON plc</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333-133371) of ICON plc and in the prospectus contained therein and in the registration statement on Form S-8 (Registration No.</w:t>
      </w:r>
    </w:p>
    <w:p>
      <w:pPr>
        <w:spacing w:after="0" w:line="25"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color w:val="auto"/>
        </w:rPr>
        <w:t>333-231527)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64"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On July 1, 2021 (the “</w:t>
      </w:r>
      <w:r>
        <w:rPr>
          <w:rFonts w:ascii="Arial" w:cs="Arial" w:eastAsia="Arial" w:hAnsi="Arial"/>
          <w:sz w:val="22"/>
          <w:szCs w:val="22"/>
          <w:b w:val="1"/>
          <w:bCs w:val="1"/>
          <w:color w:val="auto"/>
        </w:rPr>
        <w:t>Closing Date</w:t>
      </w:r>
      <w:r>
        <w:rPr>
          <w:rFonts w:ascii="Arial" w:cs="Arial" w:eastAsia="Arial" w:hAnsi="Arial"/>
          <w:sz w:val="22"/>
          <w:szCs w:val="22"/>
          <w:color w:val="auto"/>
        </w:rPr>
        <w:t>”), ICON plc, a public limited company in Ireland (“</w:t>
      </w:r>
      <w:r>
        <w:rPr>
          <w:rFonts w:ascii="Arial" w:cs="Arial" w:eastAsia="Arial" w:hAnsi="Arial"/>
          <w:sz w:val="22"/>
          <w:szCs w:val="22"/>
          <w:b w:val="1"/>
          <w:bCs w:val="1"/>
          <w:color w:val="auto"/>
        </w:rPr>
        <w:t>ICON</w:t>
      </w:r>
      <w:r>
        <w:rPr>
          <w:rFonts w:ascii="Arial" w:cs="Arial" w:eastAsia="Arial" w:hAnsi="Arial"/>
          <w:sz w:val="22"/>
          <w:szCs w:val="22"/>
          <w:color w:val="auto"/>
        </w:rPr>
        <w:t>”), ICON US Holdings Inc., a Delaware corporation and subsidiary of ICON (“</w:t>
      </w:r>
      <w:r>
        <w:rPr>
          <w:rFonts w:ascii="Arial" w:cs="Arial" w:eastAsia="Arial" w:hAnsi="Arial"/>
          <w:sz w:val="22"/>
          <w:szCs w:val="22"/>
          <w:b w:val="1"/>
          <w:bCs w:val="1"/>
          <w:color w:val="auto"/>
        </w:rPr>
        <w:t>US HoldCo</w:t>
      </w:r>
      <w:r>
        <w:rPr>
          <w:rFonts w:ascii="Arial" w:cs="Arial" w:eastAsia="Arial" w:hAnsi="Arial"/>
          <w:sz w:val="22"/>
          <w:szCs w:val="22"/>
          <w:color w:val="auto"/>
        </w:rPr>
        <w:t>”), Indigo Merger Sub, Inc., a Delaware corporation and subsidiary of ICON and US HoldCo (“</w:t>
      </w:r>
      <w:r>
        <w:rPr>
          <w:rFonts w:ascii="Arial" w:cs="Arial" w:eastAsia="Arial" w:hAnsi="Arial"/>
          <w:sz w:val="22"/>
          <w:szCs w:val="22"/>
          <w:b w:val="1"/>
          <w:bCs w:val="1"/>
          <w:color w:val="auto"/>
        </w:rPr>
        <w:t>Merger Sub</w:t>
      </w:r>
      <w:r>
        <w:rPr>
          <w:rFonts w:ascii="Arial" w:cs="Arial" w:eastAsia="Arial" w:hAnsi="Arial"/>
          <w:sz w:val="22"/>
          <w:szCs w:val="22"/>
          <w:color w:val="auto"/>
        </w:rPr>
        <w:t>”) and PRA Health Sciences, Inc., a Delaware corporation (“</w:t>
      </w:r>
      <w:r>
        <w:rPr>
          <w:rFonts w:ascii="Arial" w:cs="Arial" w:eastAsia="Arial" w:hAnsi="Arial"/>
          <w:sz w:val="22"/>
          <w:szCs w:val="22"/>
          <w:b w:val="1"/>
          <w:bCs w:val="1"/>
          <w:color w:val="auto"/>
        </w:rPr>
        <w:t>PRA</w:t>
      </w:r>
      <w:r>
        <w:rPr>
          <w:rFonts w:ascii="Arial" w:cs="Arial" w:eastAsia="Arial" w:hAnsi="Arial"/>
          <w:sz w:val="22"/>
          <w:szCs w:val="22"/>
          <w:color w:val="auto"/>
        </w:rPr>
        <w:t>”) completed the previously announced merger pursuant to the terms of the Agreement and Plan of Merger (the “</w:t>
      </w:r>
      <w:r>
        <w:rPr>
          <w:rFonts w:ascii="Arial" w:cs="Arial" w:eastAsia="Arial" w:hAnsi="Arial"/>
          <w:sz w:val="22"/>
          <w:szCs w:val="22"/>
          <w:b w:val="1"/>
          <w:bCs w:val="1"/>
          <w:color w:val="auto"/>
        </w:rPr>
        <w:t>Merger</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dated as of February 24, 2021, by and among ICON, US HoldCo, Merger Sub and PRA. Pursuant to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conditions of the Merger Agreement, Merger Sub was merged with and into PRA, with PRA surviving as a subsidiary of ICON and US HoldCo (the “</w:t>
      </w:r>
      <w:r>
        <w:rPr>
          <w:rFonts w:ascii="Arial" w:cs="Arial" w:eastAsia="Arial" w:hAnsi="Arial"/>
          <w:sz w:val="22"/>
          <w:szCs w:val="22"/>
          <w:b w:val="1"/>
          <w:bCs w:val="1"/>
          <w:color w:val="auto"/>
        </w:rPr>
        <w:t>Merger</w:t>
      </w:r>
      <w:r>
        <w:rPr>
          <w:rFonts w:ascii="Arial" w:cs="Arial" w:eastAsia="Arial" w:hAnsi="Arial"/>
          <w:sz w:val="22"/>
          <w:szCs w:val="22"/>
          <w:color w:val="auto"/>
        </w:rPr>
        <w:t>”).</w:t>
      </w:r>
    </w:p>
    <w:p>
      <w:pPr>
        <w:spacing w:after="0" w:line="216"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As a result of the Merger, each share of PRA common stock issued and outstanding immediately prior to the completion of the Merger (other than shares held by any shareholder who properly demands and perfects his, her or its appraisal rights with respect to such shares and treasury shares held by PRA) was cancelled and converted into the right to receive: (i) from ICON, 0.4125 of one ICON ordinary share and (ii) from US Holdco and the surviving corporation $80.00 in cash, without interest.</w:t>
      </w:r>
    </w:p>
    <w:p>
      <w:pPr>
        <w:spacing w:after="0" w:line="170"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Equity awards of PRA that are outstanding prior to the effective time of the Merger were generally treated as follows (subject to the terms and conditions set forth in the Merger Agreement):</w:t>
      </w:r>
    </w:p>
    <w:p>
      <w:pPr>
        <w:spacing w:after="0" w:line="202" w:lineRule="exact"/>
        <w:rPr>
          <w:sz w:val="20"/>
          <w:szCs w:val="20"/>
          <w:color w:val="auto"/>
        </w:rPr>
      </w:pPr>
    </w:p>
    <w:p>
      <w:pPr>
        <w:ind w:right="140" w:firstLine="656"/>
        <w:spacing w:after="0" w:line="238" w:lineRule="auto"/>
        <w:tabs>
          <w:tab w:leader="none" w:pos="1264" w:val="left"/>
        </w:tabs>
        <w:numPr>
          <w:ilvl w:val="0"/>
          <w:numId w:val="1"/>
        </w:numPr>
        <w:rPr>
          <w:rFonts w:ascii="Arial" w:cs="Arial" w:eastAsia="Arial" w:hAnsi="Arial"/>
          <w:sz w:val="22"/>
          <w:szCs w:val="22"/>
          <w:color w:val="auto"/>
        </w:rPr>
      </w:pPr>
      <w:r>
        <w:rPr>
          <w:rFonts w:ascii="Arial" w:cs="Arial" w:eastAsia="Arial" w:hAnsi="Arial"/>
          <w:sz w:val="22"/>
          <w:szCs w:val="22"/>
          <w:color w:val="auto"/>
        </w:rPr>
        <w:t>Each outstanding PRA stock option and restricted stock unit was assumed by ICON on the same terms and conditions (including vesting conditions) and converted to a stock option or restricted stock unit based on ICON ordinary shares with the number of ICON ordinary shares and exercise price in the case of stock options determined at a conversion ratio as set forth under the Merger Agreement; and</w:t>
      </w:r>
    </w:p>
    <w:p>
      <w:pPr>
        <w:spacing w:after="0" w:line="211" w:lineRule="exact"/>
        <w:rPr>
          <w:rFonts w:ascii="Arial" w:cs="Arial" w:eastAsia="Arial" w:hAnsi="Arial"/>
          <w:sz w:val="22"/>
          <w:szCs w:val="22"/>
          <w:color w:val="auto"/>
        </w:rPr>
      </w:pPr>
    </w:p>
    <w:p>
      <w:pPr>
        <w:ind w:right="20" w:firstLine="656"/>
        <w:spacing w:after="0" w:line="250" w:lineRule="auto"/>
        <w:tabs>
          <w:tab w:leader="none" w:pos="1264" w:val="left"/>
        </w:tabs>
        <w:numPr>
          <w:ilvl w:val="0"/>
          <w:numId w:val="1"/>
        </w:numPr>
        <w:rPr>
          <w:rFonts w:ascii="Arial" w:cs="Arial" w:eastAsia="Arial" w:hAnsi="Arial"/>
          <w:sz w:val="22"/>
          <w:szCs w:val="22"/>
          <w:color w:val="auto"/>
        </w:rPr>
      </w:pPr>
      <w:r>
        <w:rPr>
          <w:rFonts w:ascii="Arial" w:cs="Arial" w:eastAsia="Arial" w:hAnsi="Arial"/>
          <w:sz w:val="22"/>
          <w:szCs w:val="22"/>
          <w:color w:val="auto"/>
        </w:rPr>
        <w:t>Each outstanding share of PRA restricted stock was vested at the Closing and was cancelled and converted into the right to receive the per share merger consideration.</w:t>
      </w:r>
    </w:p>
    <w:p>
      <w:pPr>
        <w:spacing w:after="0" w:line="20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On June 15, 2021, the Merger was approved by the ICON shareholders at the ICON Extraordinary General Meeting and the PRA shareholders at the special meeting of its shareholders.</w:t>
      </w:r>
    </w:p>
    <w:p>
      <w:pPr>
        <w:spacing w:after="0" w:line="202"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As a result of the Merger, Colin Shannon who served as PRA Chairman and Chief Executive Officer, and Linda Grais, who also served on the PRA Board, will join ICON’s Board of Directors.</w:t>
      </w:r>
    </w:p>
    <w:p>
      <w:pPr>
        <w:spacing w:after="0" w:line="202" w:lineRule="exact"/>
        <w:rPr>
          <w:sz w:val="20"/>
          <w:szCs w:val="20"/>
          <w:color w:val="auto"/>
        </w:rPr>
      </w:pPr>
    </w:p>
    <w:p>
      <w:pPr>
        <w:ind w:right="220" w:firstLine="698"/>
        <w:spacing w:after="0" w:line="252" w:lineRule="auto"/>
        <w:rPr>
          <w:sz w:val="20"/>
          <w:szCs w:val="20"/>
          <w:color w:val="auto"/>
        </w:rPr>
      </w:pPr>
      <w:r>
        <w:rPr>
          <w:rFonts w:ascii="Arial" w:cs="Arial" w:eastAsia="Arial" w:hAnsi="Arial"/>
          <w:sz w:val="21"/>
          <w:szCs w:val="21"/>
          <w:color w:val="auto"/>
        </w:rPr>
        <w:t>The foregoing description of the Merger and the Merger Agreement, and the related transactions contemplated thereby, does not purport to be complete and is subject to, and qualified in its entirety by reference to, the full text of the Merger Agreement which is attached as Exhibit 2.1 to ICON’s Current Report on Form 6-K filed with the Securities and Exchange Commission (the “</w:t>
      </w:r>
      <w:r>
        <w:rPr>
          <w:rFonts w:ascii="Arial" w:cs="Arial" w:eastAsia="Arial" w:hAnsi="Arial"/>
          <w:sz w:val="21"/>
          <w:szCs w:val="21"/>
          <w:b w:val="1"/>
          <w:bCs w:val="1"/>
          <w:color w:val="auto"/>
        </w:rPr>
        <w:t>SEC</w:t>
      </w:r>
      <w:r>
        <w:rPr>
          <w:rFonts w:ascii="Arial" w:cs="Arial" w:eastAsia="Arial" w:hAnsi="Arial"/>
          <w:sz w:val="21"/>
          <w:szCs w:val="21"/>
          <w:color w:val="auto"/>
        </w:rPr>
        <w:t>”) on February 24, 2021 and incorporated herein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 w:name="page3"/>
    <w:bookmarkEnd w:id="2"/>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Senior Secured Credit Facilities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the Closing Date, ICON Luxembourg, S.À R.L., a société à responsabilité limitée incorporated and existing under</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Luxembourg law, having its registered office at 61, rue de Rollingergrund, L-2440, Luxembourg and registered with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Luxembourg register of commerce and companies (R.C.S. Luxembourg) under number B66588 (the “</w:t>
      </w:r>
      <w:r>
        <w:rPr>
          <w:rFonts w:ascii="Arial" w:cs="Arial" w:eastAsia="Arial" w:hAnsi="Arial"/>
          <w:sz w:val="19"/>
          <w:szCs w:val="19"/>
          <w:b w:val="1"/>
          <w:bCs w:val="1"/>
          <w:color w:val="auto"/>
        </w:rPr>
        <w:t>Lux Borrower</w:t>
      </w:r>
      <w:r>
        <w:rPr>
          <w:rFonts w:ascii="Arial" w:cs="Arial" w:eastAsia="Arial" w:hAnsi="Arial"/>
          <w:sz w:val="19"/>
          <w:szCs w:val="19"/>
          <w:color w:val="auto"/>
        </w:rPr>
        <w:t>”), ICON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Clinical Investments, LLC, a Delaware limited liability company (the “</w:t>
      </w:r>
      <w:r>
        <w:rPr>
          <w:rFonts w:ascii="Arial" w:cs="Arial" w:eastAsia="Arial" w:hAnsi="Arial"/>
          <w:sz w:val="19"/>
          <w:szCs w:val="19"/>
          <w:b w:val="1"/>
          <w:bCs w:val="1"/>
          <w:color w:val="auto"/>
        </w:rPr>
        <w:t>Lux U.S. Subsidiary Borrower</w:t>
      </w:r>
      <w:r>
        <w:rPr>
          <w:rFonts w:ascii="Arial" w:cs="Arial" w:eastAsia="Arial" w:hAnsi="Arial"/>
          <w:sz w:val="19"/>
          <w:szCs w:val="19"/>
          <w:color w:val="auto"/>
        </w:rPr>
        <w:t>”), Merger Sub (prior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consummation of the Merger, the “</w:t>
      </w:r>
      <w:r>
        <w:rPr>
          <w:rFonts w:ascii="Arial" w:cs="Arial" w:eastAsia="Arial" w:hAnsi="Arial"/>
          <w:sz w:val="19"/>
          <w:szCs w:val="19"/>
          <w:b w:val="1"/>
          <w:bCs w:val="1"/>
          <w:color w:val="auto"/>
        </w:rPr>
        <w:t>U.S. Borrower</w:t>
      </w:r>
      <w:r>
        <w:rPr>
          <w:rFonts w:ascii="Arial" w:cs="Arial" w:eastAsia="Arial" w:hAnsi="Arial"/>
          <w:sz w:val="19"/>
          <w:szCs w:val="19"/>
          <w:color w:val="auto"/>
        </w:rPr>
        <w:t>”) (which, after giving effect to the Merger on the Closing Date, shall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succeeded by PRA (following the consummation of the Merger, the “</w:t>
      </w:r>
      <w:r>
        <w:rPr>
          <w:rFonts w:ascii="Arial" w:cs="Arial" w:eastAsia="Arial" w:hAnsi="Arial"/>
          <w:sz w:val="19"/>
          <w:szCs w:val="19"/>
          <w:b w:val="1"/>
          <w:bCs w:val="1"/>
          <w:color w:val="auto"/>
        </w:rPr>
        <w:t>U.S. Borrower</w:t>
      </w:r>
      <w:r>
        <w:rPr>
          <w:rFonts w:ascii="Arial" w:cs="Arial" w:eastAsia="Arial" w:hAnsi="Arial"/>
          <w:sz w:val="19"/>
          <w:szCs w:val="19"/>
          <w:color w:val="auto"/>
        </w:rPr>
        <w:t>”), and ICON entered into a credit agreement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with Citibank, N.A., as administrative agent, Citibank, N.A., London Branch, as collateral agent, the other borrowers party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thereto from time to time, the subsidiary guarantors party thereto from time to time and lenders party thereto from time to time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Credit Agreement</w:t>
      </w:r>
      <w:r>
        <w:rPr>
          <w:rFonts w:ascii="Arial" w:cs="Arial" w:eastAsia="Arial" w:hAnsi="Arial"/>
          <w:sz w:val="19"/>
          <w:szCs w:val="19"/>
          <w:color w:val="auto"/>
        </w:rPr>
        <w:t>”) providing for a senior secured first-lien term loan facility borrowed by the Lux Borrower and the Lux</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U.S. Borrower in an initial aggregate principal amount of $4,415 million (the “</w:t>
      </w:r>
      <w:r>
        <w:rPr>
          <w:rFonts w:ascii="Arial" w:cs="Arial" w:eastAsia="Arial" w:hAnsi="Arial"/>
          <w:sz w:val="19"/>
          <w:szCs w:val="19"/>
          <w:b w:val="1"/>
          <w:bCs w:val="1"/>
          <w:color w:val="auto"/>
        </w:rPr>
        <w:t>Lux Term Loan Facility</w:t>
      </w:r>
      <w:r>
        <w:rPr>
          <w:rFonts w:ascii="Arial" w:cs="Arial" w:eastAsia="Arial" w:hAnsi="Arial"/>
          <w:sz w:val="19"/>
          <w:szCs w:val="19"/>
          <w:color w:val="auto"/>
        </w:rPr>
        <w:t>”), a senior secured first-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lien term loan facility borrowed by the U.S. Borrower in an initial aggregate principal amount of $1,100.0 million (the “</w:t>
      </w:r>
      <w:r>
        <w:rPr>
          <w:rFonts w:ascii="Arial" w:cs="Arial" w:eastAsia="Arial" w:hAnsi="Arial"/>
          <w:sz w:val="21"/>
          <w:szCs w:val="21"/>
          <w:b w:val="1"/>
          <w:bCs w:val="1"/>
          <w:color w:val="auto"/>
        </w:rPr>
        <w:t>U.S.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 Loan Facility</w:t>
      </w:r>
      <w:r>
        <w:rPr>
          <w:rFonts w:ascii="Arial" w:cs="Arial" w:eastAsia="Arial" w:hAnsi="Arial"/>
          <w:sz w:val="19"/>
          <w:szCs w:val="19"/>
          <w:color w:val="auto"/>
        </w:rPr>
        <w:t>” and together with the Lux Term Loan Facility, the “</w:t>
      </w:r>
      <w:r>
        <w:rPr>
          <w:rFonts w:ascii="Arial" w:cs="Arial" w:eastAsia="Arial" w:hAnsi="Arial"/>
          <w:sz w:val="19"/>
          <w:szCs w:val="19"/>
          <w:b w:val="1"/>
          <w:bCs w:val="1"/>
          <w:color w:val="auto"/>
        </w:rPr>
        <w:t>Term Loan Facilities</w:t>
      </w:r>
      <w:r>
        <w:rPr>
          <w:rFonts w:ascii="Arial" w:cs="Arial" w:eastAsia="Arial" w:hAnsi="Arial"/>
          <w:sz w:val="19"/>
          <w:szCs w:val="19"/>
          <w:color w:val="auto"/>
        </w:rPr>
        <w:t>”) and a senior secured first-lien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revolving loan facility available to the Lux Borrower, the U.S. Borrower and certain other subsidiaries of ICON in an initial</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aggregate principal amount of $300 million (the “</w:t>
      </w:r>
      <w:r>
        <w:rPr>
          <w:rFonts w:ascii="Arial" w:cs="Arial" w:eastAsia="Arial" w:hAnsi="Arial"/>
          <w:sz w:val="21"/>
          <w:szCs w:val="21"/>
          <w:b w:val="1"/>
          <w:bCs w:val="1"/>
          <w:color w:val="auto"/>
        </w:rPr>
        <w:t>Revolving Loan Facility</w:t>
      </w:r>
      <w:r>
        <w:rPr>
          <w:rFonts w:ascii="Arial" w:cs="Arial" w:eastAsia="Arial" w:hAnsi="Arial"/>
          <w:sz w:val="21"/>
          <w:szCs w:val="21"/>
          <w:color w:val="auto"/>
        </w:rPr>
        <w:t>” and, together with the Term Loan Facility,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Senior Secured Credit Facilities</w:t>
      </w:r>
      <w:r>
        <w:rPr>
          <w:rFonts w:ascii="Arial" w:cs="Arial" w:eastAsia="Arial" w:hAnsi="Arial"/>
          <w:sz w:val="19"/>
          <w:szCs w:val="19"/>
          <w:color w:val="auto"/>
        </w:rPr>
        <w:t>”). The proceeds of the Term Loan Facilities were used to (x) repay in full (i) PRA’s existing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credit facilities and (ii) Icon Investments Five Unlimited Company’s Series A Notes and Series B Notes outstanding and (y) fund,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 part, the Transaction. The Term Loan Facilities will mature in July 2028 and the Revolving Loan Facility will mature in July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2026. As of the Closing Date, the Revolving Loan Facility was undrawn, other than certain letters of credit issued on the Closing</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Borrowings under the Term Loan Facility amortize in equal quarterly instalments in an amount equal to 1.00% per annum of the principal amount, with the remaining balance due at final maturity. The interest rate margin applicable to borrowings under the Term Loan Facilities will be, at the option of the Applicable Borrower (as defined in the Credit Agreement), either (1) the base rate (as described in the Credit Agreement) plus an applicable margin of 1.50% or (2) LIBOR plus an applicable margin of 2.50%, in each case, with a step down of 0.25% if the First Lien Net Leverage Ratio is equal to or less than 4.00 to 1.00. The Term Loan Facilities are subject to a LIBOR floor of 0.50%.</w:t>
      </w:r>
    </w:p>
    <w:p>
      <w:pPr>
        <w:spacing w:after="0" w:line="204" w:lineRule="exact"/>
        <w:rPr>
          <w:sz w:val="20"/>
          <w:szCs w:val="20"/>
          <w:color w:val="auto"/>
        </w:rPr>
      </w:pPr>
    </w:p>
    <w:p>
      <w:pPr>
        <w:ind w:right="100" w:firstLine="648"/>
        <w:spacing w:after="0" w:line="275" w:lineRule="auto"/>
        <w:rPr>
          <w:sz w:val="20"/>
          <w:szCs w:val="20"/>
          <w:color w:val="auto"/>
        </w:rPr>
      </w:pPr>
      <w:r>
        <w:rPr>
          <w:rFonts w:ascii="Arial" w:cs="Arial" w:eastAsia="Arial" w:hAnsi="Arial"/>
          <w:sz w:val="19"/>
          <w:szCs w:val="19"/>
          <w:color w:val="auto"/>
        </w:rPr>
        <w:t>The interest rate margin applicable to borrowings under the Revolving Loan Facility will be, at the option of the Applicable Borrower, either (1) the base rate plus an applicable margin of 1.00%, 0.60% or 0.25% based on ICON’s current corporate family rating assigned by S&amp;P of BB- (or lower), BB or BB+ (or higher), respectively, or (2) LIBOR plus an applicable margin of 2.00%, 1.60% or 1.25% based on ICON’s current corporate family rating assigned by S&amp;P of BB- (or lower), BB or BB+ (or higher), respectively. The Revolving Loan Facility is subject to a LIBOR floor of 0.00%. In addition, the lenders under the Revolving Loan Facility are entitled to (i) a commitment fee in an amount equal to 35% of the applicable margin for LIBOR loans on the undrawn commitments and (ii) a utilization fee in an amount equal to 0.10%, 0.20% or 0.40%, based on the average utilization of the Revolving Loan Facility, on the amount of the revolving commitments.</w:t>
      </w:r>
    </w:p>
    <w:p>
      <w:pPr>
        <w:spacing w:after="0" w:line="184" w:lineRule="exact"/>
        <w:rPr>
          <w:sz w:val="20"/>
          <w:szCs w:val="20"/>
          <w:color w:val="auto"/>
        </w:rPr>
      </w:pPr>
    </w:p>
    <w:p>
      <w:pPr>
        <w:ind w:right="360" w:firstLine="648"/>
        <w:spacing w:after="0" w:line="236" w:lineRule="auto"/>
        <w:rPr>
          <w:sz w:val="20"/>
          <w:szCs w:val="20"/>
          <w:color w:val="auto"/>
        </w:rPr>
      </w:pPr>
      <w:r>
        <w:rPr>
          <w:rFonts w:ascii="Arial" w:cs="Arial" w:eastAsia="Arial" w:hAnsi="Arial"/>
          <w:sz w:val="22"/>
          <w:szCs w:val="22"/>
          <w:color w:val="auto"/>
        </w:rPr>
        <w:t>The Applicable Borrower may voluntarily prepay loans under the Term Loan Facilities, in whole or in part, subject to minimum amounts, with prior notice but without premium or penalty (other than a 1.00% premium on any prepayment in connection with a repricing transaction (as described in the Credit Agreement) prior to the date that is six months after the Closing Date). The Borrowers will be required to make certain mandatory prepayments of the Term Loan Facilities in certain circumstances.</w:t>
      </w:r>
    </w:p>
    <w:p>
      <w:pPr>
        <w:spacing w:after="0" w:line="214" w:lineRule="exact"/>
        <w:rPr>
          <w:sz w:val="20"/>
          <w:szCs w:val="20"/>
          <w:color w:val="auto"/>
        </w:rPr>
      </w:pPr>
    </w:p>
    <w:p>
      <w:pPr>
        <w:ind w:right="280" w:firstLine="648"/>
        <w:spacing w:after="0" w:line="249" w:lineRule="auto"/>
        <w:rPr>
          <w:sz w:val="20"/>
          <w:szCs w:val="20"/>
          <w:color w:val="auto"/>
        </w:rPr>
      </w:pPr>
      <w:r>
        <w:rPr>
          <w:rFonts w:ascii="Arial" w:cs="Arial" w:eastAsia="Arial" w:hAnsi="Arial"/>
          <w:sz w:val="21"/>
          <w:szCs w:val="21"/>
          <w:color w:val="auto"/>
        </w:rPr>
        <w:t>The Borrowers’ (as defined in the Credit Agreement) obligations under the Senior Secured Credit Facilities are guaranteed by ICON and the Subsidiary Guarantors (as defined in the Credit Agreement).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Notes, subject to other permitted liens.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The Senior Secured Credit Facilities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 In addition, the Revolving Credit Facility contains a financial covenant that requires ICON to maintain a Total Net Leverage Ratio (as defined in the Credit Agreement) of 5.75:1.00 prior to June 30, 2023 and 4.50:1.00 on and after June 30, 2023, subject to a step-down of 0.50:1.00 following a Material Acquisition (as defined in the Credit Agreement), which will be tested at the end of any fiscal quarter only if amounts are drawn under the Revolving Credit Facility (excluding cash collateralized and backstopped letters of credit) in excess of 30% of the Revolving Commitments.</w:t>
      </w:r>
    </w:p>
    <w:p>
      <w:pPr>
        <w:spacing w:after="0" w:line="184" w:lineRule="exact"/>
        <w:rPr>
          <w:sz w:val="20"/>
          <w:szCs w:val="20"/>
          <w:color w:val="auto"/>
        </w:rPr>
      </w:pPr>
    </w:p>
    <w:p>
      <w:pPr>
        <w:ind w:right="360" w:firstLine="648"/>
        <w:spacing w:after="0" w:line="236" w:lineRule="auto"/>
        <w:rPr>
          <w:sz w:val="20"/>
          <w:szCs w:val="20"/>
          <w:color w:val="auto"/>
        </w:rPr>
      </w:pPr>
      <w:r>
        <w:rPr>
          <w:rFonts w:ascii="Arial" w:cs="Arial" w:eastAsia="Arial" w:hAnsi="Arial"/>
          <w:sz w:val="22"/>
          <w:szCs w:val="22"/>
          <w:color w:val="auto"/>
        </w:rPr>
        <w:t>The Senior Secured Credit Facilities provide that, upon the occurrence of certain events of default, the obligations thereunder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214"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The foregoing description of the Senior Secured Credit Facilities do not purport to be complete and is qualified in its entirety by reference to the full text of the Credit Agreement, a copy of which is attached as Exhibit 99.1 to this Current Report on Form 6-K, and is incorporated by reference herein.</w:t>
      </w:r>
    </w:p>
    <w:p>
      <w:pPr>
        <w:sectPr>
          <w:pgSz w:w="11900" w:h="16872" w:orient="portrait"/>
          <w:cols w:equalWidth="0" w:num="1">
            <w:col w:w="11240"/>
          </w:cols>
          <w:pgMar w:left="320" w:top="118" w:right="339" w:bottom="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Senior Secured Notes</w:t>
      </w:r>
    </w:p>
    <w:p>
      <w:pPr>
        <w:spacing w:after="0" w:line="234"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On the Closing Date, Merger Sub issued $500,000,000 in aggregate principal amount of 2.875% Senior Secured Notes due 2026 (the “</w:t>
      </w:r>
      <w:r>
        <w:rPr>
          <w:rFonts w:ascii="Arial" w:cs="Arial" w:eastAsia="Arial" w:hAnsi="Arial"/>
          <w:sz w:val="21"/>
          <w:szCs w:val="21"/>
          <w:b w:val="1"/>
          <w:bCs w:val="1"/>
          <w:color w:val="auto"/>
        </w:rPr>
        <w:t>Notes</w:t>
      </w:r>
      <w:r>
        <w:rPr>
          <w:rFonts w:ascii="Arial" w:cs="Arial" w:eastAsia="Arial" w:hAnsi="Arial"/>
          <w:sz w:val="21"/>
          <w:szCs w:val="21"/>
          <w:color w:val="auto"/>
        </w:rPr>
        <w:t>”) in a private offering (the “</w:t>
      </w:r>
      <w:r>
        <w:rPr>
          <w:rFonts w:ascii="Arial" w:cs="Arial" w:eastAsia="Arial" w:hAnsi="Arial"/>
          <w:sz w:val="21"/>
          <w:szCs w:val="21"/>
          <w:b w:val="1"/>
          <w:bCs w:val="1"/>
          <w:color w:val="auto"/>
        </w:rPr>
        <w:t>Offering</w:t>
      </w:r>
      <w:r>
        <w:rPr>
          <w:rFonts w:ascii="Arial" w:cs="Arial" w:eastAsia="Arial" w:hAnsi="Arial"/>
          <w:sz w:val="21"/>
          <w:szCs w:val="21"/>
          <w:color w:val="auto"/>
        </w:rPr>
        <w:t>”). The Notes will mature on July 15, 2026 and will bear interest at a rate of 2.875%. The Notes were issued pursuant to an indenture, dated as of the Closing Date, by and among Merger Sub, ICON, certain subsidiaries of ICON and certain subsidiaries of PRA, as guarantors (collectively, the “</w:t>
      </w:r>
      <w:r>
        <w:rPr>
          <w:rFonts w:ascii="Arial" w:cs="Arial" w:eastAsia="Arial" w:hAnsi="Arial"/>
          <w:sz w:val="21"/>
          <w:szCs w:val="21"/>
          <w:b w:val="1"/>
          <w:bCs w:val="1"/>
          <w:color w:val="auto"/>
        </w:rPr>
        <w:t>Guarantors</w:t>
      </w:r>
      <w:r>
        <w:rPr>
          <w:rFonts w:ascii="Arial" w:cs="Arial" w:eastAsia="Arial" w:hAnsi="Arial"/>
          <w:sz w:val="21"/>
          <w:szCs w:val="21"/>
          <w:color w:val="auto"/>
        </w:rPr>
        <w:t>”) and Citibank, N.A., as trustee (the “</w:t>
      </w:r>
      <w:r>
        <w:rPr>
          <w:rFonts w:ascii="Arial" w:cs="Arial" w:eastAsia="Arial" w:hAnsi="Arial"/>
          <w:sz w:val="21"/>
          <w:szCs w:val="21"/>
          <w:b w:val="1"/>
          <w:bCs w:val="1"/>
          <w:color w:val="auto"/>
        </w:rPr>
        <w:t>Senior Secured Notes Indenture</w:t>
      </w:r>
      <w:r>
        <w:rPr>
          <w:rFonts w:ascii="Arial" w:cs="Arial" w:eastAsia="Arial" w:hAnsi="Arial"/>
          <w:sz w:val="21"/>
          <w:szCs w:val="21"/>
          <w:color w:val="auto"/>
        </w:rPr>
        <w:t>”). Pursuant to the Senior Secured Notes Indenture, PRA acknowledged its assumption of the rights and obligations of Merger Sub under the indenture and the Notes and the obligations of PRA, including the due and punctual payment of interest on the Notes, will be fully and unconditionally guaranteed, jointly and severally, on a senior secured first lien basis by the Guarantors.</w:t>
      </w:r>
    </w:p>
    <w:p>
      <w:pPr>
        <w:spacing w:after="0" w:line="20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9"/>
          <w:szCs w:val="19"/>
          <w:color w:val="auto"/>
        </w:rPr>
        <w:t>The proceeds from the Offering, together with cash on hand and borrowings made under the Senior Secured Credit Facilities, were used to (i) fund the cash consideration payable by ICON for the Merger, (ii) refinance and repay certain existing indebtedness of ICON, its subsidiaries and PRA (the “</w:t>
      </w:r>
      <w:r>
        <w:rPr>
          <w:rFonts w:ascii="Arial" w:cs="Arial" w:eastAsia="Arial" w:hAnsi="Arial"/>
          <w:sz w:val="19"/>
          <w:szCs w:val="19"/>
          <w:b w:val="1"/>
          <w:bCs w:val="1"/>
          <w:color w:val="auto"/>
        </w:rPr>
        <w:t>Refinancing</w:t>
      </w:r>
      <w:r>
        <w:rPr>
          <w:rFonts w:ascii="Arial" w:cs="Arial" w:eastAsia="Arial" w:hAnsi="Arial"/>
          <w:sz w:val="19"/>
          <w:szCs w:val="19"/>
          <w:color w:val="auto"/>
        </w:rPr>
        <w:t>”) and (iii) pay fees and expenses related to the Merger, the Refinancing and the Offering. Upon the consummation of the Merger, ICON and certain of its direct and indirect subsidiaries agreed to guarantee the Notes on a senior secured basis which also guarantees the Senior Secured Credit Facilities.</w:t>
      </w:r>
    </w:p>
    <w:p>
      <w:pPr>
        <w:spacing w:after="0" w:line="174" w:lineRule="exact"/>
        <w:rPr>
          <w:sz w:val="20"/>
          <w:szCs w:val="20"/>
          <w:color w:val="auto"/>
        </w:rPr>
      </w:pPr>
    </w:p>
    <w:p>
      <w:pPr>
        <w:jc w:val="both"/>
        <w:ind w:right="320" w:firstLine="648"/>
        <w:spacing w:after="0"/>
        <w:rPr>
          <w:sz w:val="20"/>
          <w:szCs w:val="20"/>
          <w:color w:val="auto"/>
        </w:rPr>
      </w:pPr>
      <w:r>
        <w:rPr>
          <w:rFonts w:ascii="Arial" w:cs="Arial" w:eastAsia="Arial" w:hAnsi="Arial"/>
          <w:sz w:val="22"/>
          <w:szCs w:val="22"/>
          <w:color w:val="auto"/>
        </w:rPr>
        <w:t>The foregoing description of the Senior Secured Notes Indenture does not purport to be complete and is qualified in its entirety by reference to the full text of the Senior Secured Notes Indenture, a copy of which is attached as Exhibit 99.2 to this Current Report on Form 6-K, and is incorporated by reference herein.</w:t>
      </w:r>
    </w:p>
    <w:p>
      <w:pPr>
        <w:spacing w:after="0" w:line="213"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In connection with the execution of the Merger Agreement, Citigroup Global Markets Inc. committed to provide to ICON a senior secured revolving credit facility and a senior secured bridge loan facility to finance ICON’s obligations in respect of the transactions contemplated by the Merger Agreement. As a result of the closing of the Senior Secured Credit Facilities and the offering of the Senior Secured Notes, such commitment was extinguished and effectively replaced by such long term financing.</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b w:val="1"/>
          <w:bCs w:val="1"/>
          <w:color w:val="auto"/>
        </w:rPr>
        <w:t>XHIBIT LIST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60" w:type="dxa"/>
            <w:vAlign w:val="bottom"/>
            <w:gridSpan w:val="2"/>
          </w:tcPr>
          <w:p>
            <w:pPr>
              <w:spacing w:after="0" w:line="196" w:lineRule="exact"/>
              <w:rPr>
                <w:sz w:val="20"/>
                <w:szCs w:val="20"/>
                <w:color w:val="auto"/>
              </w:rPr>
            </w:pPr>
            <w:r>
              <w:rPr>
                <w:rFonts w:ascii="Arial" w:cs="Arial" w:eastAsia="Arial" w:hAnsi="Arial"/>
                <w:sz w:val="18"/>
                <w:szCs w:val="18"/>
                <w:color w:val="auto"/>
                <w:w w:val="92"/>
              </w:rPr>
              <w:t>Credit Agreement, dated as of July 1, 2021, by and among ICON Luxembourg, S.À R.L., ICON Clinical Investments, LLC, Indigo Merger</w:t>
            </w:r>
          </w:p>
        </w:tc>
      </w:tr>
      <w:tr>
        <w:trPr>
          <w:trHeight w:val="222"/>
        </w:trPr>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w w:val="96"/>
              </w:rPr>
              <w:t>Sub, Inc. (which, after giving effect to the Merger on the Closing Date, was succeeded by PRA Health Sciences, Inc.), ICON Public</w:t>
            </w:r>
          </w:p>
        </w:tc>
      </w:t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w w:val="93"/>
              </w:rPr>
              <w:t>Limited Company, the other borrowers party thereto from time to time, the subsidiary guarantors party thereto from time to time, lenders</w:t>
            </w:r>
          </w:p>
        </w:tc>
      </w:t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party thereto, Citibank, N.A., as administrative agent, and Citibank, N.A., London Branch, as collateral agent.</w:t>
            </w:r>
          </w:p>
        </w:tc>
      </w:tr>
      <w:tr>
        <w:trPr>
          <w:trHeight w:val="190"/>
        </w:trPr>
        <w:tc>
          <w:tcPr>
            <w:tcW w:w="540" w:type="dxa"/>
            <w:vAlign w:val="bottom"/>
            <w:gridSpan w:val="2"/>
          </w:tcPr>
          <w:p>
            <w:pPr>
              <w:spacing w:after="0" w:line="190" w:lineRule="exact"/>
              <w:rPr>
                <w:rFonts w:ascii="Arial" w:cs="Arial" w:eastAsia="Arial" w:hAnsi="Arial"/>
                <w:sz w:val="18"/>
                <w:szCs w:val="18"/>
                <w:color w:val="0000EE"/>
              </w:rPr>
            </w:pPr>
            <w:hyperlink w:anchor="page222">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320" w:type="dxa"/>
            <w:vAlign w:val="bottom"/>
          </w:tcPr>
          <w:p>
            <w:pPr>
              <w:spacing w:after="0"/>
              <w:rPr>
                <w:sz w:val="16"/>
                <w:szCs w:val="16"/>
                <w:color w:val="auto"/>
              </w:rPr>
            </w:pPr>
          </w:p>
        </w:tc>
        <w:tc>
          <w:tcPr>
            <w:tcW w:w="10380" w:type="dxa"/>
            <w:vAlign w:val="bottom"/>
            <w:gridSpan w:val="3"/>
          </w:tcPr>
          <w:p>
            <w:pPr>
              <w:ind w:left="320"/>
              <w:spacing w:after="0" w:line="190" w:lineRule="exact"/>
              <w:rPr>
                <w:sz w:val="20"/>
                <w:szCs w:val="20"/>
                <w:color w:val="auto"/>
              </w:rPr>
            </w:pPr>
            <w:r>
              <w:rPr>
                <w:rFonts w:ascii="Arial" w:cs="Arial" w:eastAsia="Arial" w:hAnsi="Arial"/>
                <w:sz w:val="18"/>
                <w:szCs w:val="18"/>
                <w:color w:val="auto"/>
                <w:w w:val="92"/>
              </w:rPr>
              <w:t>Indenture, dated as of July 1, 2021, by and among Indigo Merger Sub, Inc., PRA Health Sciences, Inc., the guarantors party thereto and</w:t>
            </w:r>
          </w:p>
        </w:tc>
      </w:tr>
      <w:tr>
        <w:trPr>
          <w:trHeight w:val="222"/>
        </w:trPr>
        <w:tc>
          <w:tcPr>
            <w:tcW w:w="32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Citibank, N.A., London Branch as trustee, notes collateral agent, paying agent, transfer agent and registrar.</w:t>
            </w:r>
          </w:p>
        </w:tc>
      </w:tr>
      <w:tr>
        <w:trPr>
          <w:trHeight w:val="190"/>
        </w:trPr>
        <w:tc>
          <w:tcPr>
            <w:tcW w:w="540" w:type="dxa"/>
            <w:vAlign w:val="bottom"/>
            <w:gridSpan w:val="2"/>
          </w:tcPr>
          <w:p>
            <w:pPr>
              <w:spacing w:after="0" w:line="190" w:lineRule="exact"/>
              <w:rPr>
                <w:rFonts w:ascii="Arial" w:cs="Arial" w:eastAsia="Arial" w:hAnsi="Arial"/>
                <w:sz w:val="18"/>
                <w:szCs w:val="18"/>
                <w:color w:val="0000EE"/>
              </w:rPr>
            </w:pPr>
            <w:hyperlink w:anchor="page441">
              <w:r>
                <w:rPr>
                  <w:rFonts w:ascii="Arial" w:cs="Arial" w:eastAsia="Arial" w:hAnsi="Arial"/>
                  <w:sz w:val="18"/>
                  <w:szCs w:val="18"/>
                  <w:color w:val="0000EE"/>
                </w:rPr>
                <w:t>99.</w:t>
              </w:r>
              <w:r>
                <w:rPr>
                  <w:rFonts w:ascii="Arial" w:cs="Arial" w:eastAsia="Arial" w:hAnsi="Arial"/>
                  <w:sz w:val="18"/>
                  <w:szCs w:val="18"/>
                  <w:u w:val="single" w:color="auto"/>
                  <w:color w:val="0000EE"/>
                </w:rPr>
                <w:t>3</w:t>
              </w:r>
            </w:hyperlink>
          </w:p>
        </w:tc>
        <w:tc>
          <w:tcPr>
            <w:tcW w:w="320" w:type="dxa"/>
            <w:vAlign w:val="bottom"/>
          </w:tcPr>
          <w:p>
            <w:pPr>
              <w:spacing w:after="0"/>
              <w:rPr>
                <w:sz w:val="16"/>
                <w:szCs w:val="16"/>
                <w:color w:val="auto"/>
              </w:rPr>
            </w:pPr>
          </w:p>
        </w:tc>
        <w:tc>
          <w:tcPr>
            <w:tcW w:w="10380" w:type="dxa"/>
            <w:vAlign w:val="bottom"/>
            <w:gridSpan w:val="3"/>
          </w:tcPr>
          <w:p>
            <w:pPr>
              <w:ind w:left="320"/>
              <w:spacing w:after="0" w:line="190" w:lineRule="exact"/>
              <w:rPr>
                <w:sz w:val="20"/>
                <w:szCs w:val="20"/>
                <w:color w:val="auto"/>
              </w:rPr>
            </w:pPr>
            <w:r>
              <w:rPr>
                <w:rFonts w:ascii="Arial" w:cs="Arial" w:eastAsia="Arial" w:hAnsi="Arial"/>
                <w:sz w:val="18"/>
                <w:szCs w:val="18"/>
                <w:color w:val="auto"/>
              </w:rPr>
              <w:t>Press Release, dated July 1, 2021.</w:t>
            </w:r>
          </w:p>
        </w:tc>
      </w:tr>
      <w:tr>
        <w:trPr>
          <w:trHeight w:val="203"/>
        </w:trPr>
        <w:tc>
          <w:tcPr>
            <w:tcW w:w="320" w:type="dxa"/>
            <w:vAlign w:val="bottom"/>
            <w:tcBorders>
              <w:top w:val="single" w:sz="8" w:color="0000EE"/>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2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439"/>
        </w:trPr>
        <w:tc>
          <w:tcPr>
            <w:tcW w:w="5620" w:type="dxa"/>
            <w:vAlign w:val="bottom"/>
            <w:vMerge w:val="restart"/>
          </w:tcPr>
          <w:p>
            <w:pPr>
              <w:spacing w:after="0"/>
              <w:rPr>
                <w:sz w:val="20"/>
                <w:szCs w:val="20"/>
                <w:color w:val="auto"/>
              </w:rPr>
            </w:pPr>
            <w:r>
              <w:rPr>
                <w:rFonts w:ascii="Arial" w:cs="Arial" w:eastAsia="Arial" w:hAnsi="Arial"/>
                <w:sz w:val="18"/>
                <w:szCs w:val="18"/>
                <w:color w:val="auto"/>
              </w:rPr>
              <w:t>Date: July 1,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56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5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July 1, 2021</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ICON LUXEMBOURG, S.À R.L.,</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INDIGO MERGER SUB,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ICON CLINICAL RESEARCH LIMITED,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ICON GLOBAL TREASURY UNLIMITED COMPANY,</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ICON US HOLDINGS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 ICON CLINICAL INVESTMENTS, LLC,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Borrowers</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ICON PUBLIC LIMITED COMPANY,</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Holdings and a Guarantor,</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SUBSIDIARY GUARANTORS PARTY HERETO,</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Subsidiary Guarantors</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Lenders Party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Administrative Agent</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CITIBANK, N.A., LONDON BRANCH,</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CITIGROUP GLOBAL MARKETS INC. and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J.P. MORGAN SECURITIES PLC,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Joint Bookrunners,</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CITIGROUP GLOBAL MARKETS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BANCO SANTANDER S.A.,</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HSBC CONTINENTAL EUROPE SA,</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J.P. MORGAN SECURITIES PLC 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MORGAN STANLEY BANK INTERNATIONAL LIMITED,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588645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49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8160" w:type="dxa"/>
            <w:vAlign w:val="bottom"/>
          </w:tcPr>
          <w:p>
            <w:pPr>
              <w:ind w:left="2540"/>
              <w:spacing w:after="0"/>
              <w:rPr>
                <w:sz w:val="20"/>
                <w:szCs w:val="20"/>
                <w:color w:val="auto"/>
              </w:rPr>
            </w:pPr>
            <w:r>
              <w:rPr>
                <w:rFonts w:ascii="Arial" w:cs="Arial" w:eastAsia="Arial" w:hAnsi="Arial"/>
                <w:sz w:val="18"/>
                <w:szCs w:val="18"/>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8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1.01</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Defined Terms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1.02</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Classification of Loans and Borrowings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1.03</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Terms Generally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1.04</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Accounting Terms; GAAP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1.05</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[Reserved]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1.06</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Special Luxembourg Provisions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1.07</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Certain Conditions, Calculations and Tests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1.08</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Divisions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9"/>
              </w:rPr>
              <w:t>ARTICLE II THE CREDITS</w:t>
            </w:r>
          </w:p>
        </w:tc>
        <w:tc>
          <w:tcPr>
            <w:tcW w:w="8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2.01</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Commitments and Loans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2.02</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Loans and Borrowings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2.03</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Requests for Borrowings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2.04</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Determination of Dollar Amounts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2.05</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Swingline Loans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2.06</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Letters of Credit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2.07</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Funding of Borrowings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2.08</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Elections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2.09</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Termination and Reduction of Commitments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2.10</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 of Loans; Evidence of Debt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2.11</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Prepayment of Loans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2.12</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2.13</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2.14</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Benchmark Replacement Setting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2.15</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Increased Costs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2.16</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Break Funding Payments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2.17</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2.18</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Generally; Allocations of Proceeds; Pro Rata Treatment; Sharing of Set-offs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2.19</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Mitigation Obligations; Replacement of Lenders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2.20</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Incremental Credit Extensions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2.21</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Judgment Currency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2.22</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Extensions of Loans and Commitments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2.23</w:t>
            </w:r>
          </w:p>
        </w:tc>
        <w:tc>
          <w:tcPr>
            <w:tcW w:w="8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541"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360" w:type="dxa"/>
            <w:vAlign w:val="bottom"/>
            <w:gridSpan w:val="2"/>
          </w:tcPr>
          <w:p>
            <w:pPr>
              <w:jc w:val="center"/>
              <w:ind w:right="4080"/>
              <w:spacing w:after="0"/>
              <w:rPr>
                <w:sz w:val="20"/>
                <w:szCs w:val="20"/>
                <w:color w:val="auto"/>
              </w:rPr>
            </w:pPr>
            <w:r>
              <w:rPr>
                <w:rFonts w:ascii="Arial" w:cs="Arial" w:eastAsia="Arial" w:hAnsi="Arial"/>
                <w:sz w:val="18"/>
                <w:szCs w:val="18"/>
                <w:color w:val="auto"/>
                <w:w w:val="90"/>
              </w:rPr>
              <w:t>Table of Contents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(continued)</w:t>
            </w:r>
          </w:p>
        </w:tc>
        <w:tc>
          <w:tcPr>
            <w:tcW w:w="4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2.24</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Refinancing Amendment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2.25</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Illegality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2.26</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Defaulting Lenders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III REPRESENTATIONS AND WARRANTIES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3.01</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Organization; Powers; Subsidiaries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3.02</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Authorization; Enforceability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3.03</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Governmental Approvals; No Conflicts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3.04</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Financial Condition; No Material Adverse Change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3.05</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Properties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3.06</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Litigation, Environmental and Labor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3.07</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Compliance with Laws and Agreements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3.08</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Investment Company Status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3.09</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3.10</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ERISA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3.11</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Disclosure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3.12</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Federal Reserve Regulations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3.13</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Security Interest in Collateral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3.14</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Solvency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3.15</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Compliance with Anti-Corruption Laws and Sanctions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3.16</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No Irish Financial Assistance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3.17</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Luxembourg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3.18</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PATRIOT Act, etc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ARTICLE IV CONDITIONS</w:t>
            </w:r>
          </w:p>
        </w:tc>
        <w:tc>
          <w:tcPr>
            <w:tcW w:w="2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4.01</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Conditions Precedent to the Closing Date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4.02</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Each Credit Event after the Closing Date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V AFFIRMATIVE COVENANTS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5.01</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Financial Statements and Other Information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5.02</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Notices of Material Events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5.03</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Existence; Conduct of Business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5.04</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Payment of Obligations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5.05</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Maintenance of Properties; Insurance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5.06</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Books and Records; Inspection Rights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5.07</w:t>
            </w:r>
          </w:p>
        </w:tc>
        <w:tc>
          <w:tcPr>
            <w:tcW w:w="81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Compliance with Laws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83" w:right="339" w:bottom="0" w:gutter="0" w:footer="0" w:header="0"/>
        </w:sectPr>
      </w:pPr>
    </w:p>
    <w:bookmarkStart w:id="9" w:name="page10"/>
    <w:bookmarkEnd w:id="9"/>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5.08</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5.09</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Subsidiary Guarantors; Pledges; Additional Collateral; Further Assurances; Guarantor Coverage Test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5.10</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Designation of Subsidiaries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5.11</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Maintenance of Ratings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5.12</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Affiliates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5.13</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Fiscal Periods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5.14</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Anti-Terrorism and Anti-Money Laundering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5.15</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Post-Closing Schedule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NEGATIVE COVENANTS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6.01</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Indebtedness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6.02</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Liens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6.03</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Asset Sales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6.04</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Restricted Payments, Investments, Loans, Advances, Guarantees and Acquisitions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6.05</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[Reserved]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6.06</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[Reserved]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6.07</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Dividend and Other Payment Restrictions Affecting Restricted Subsidiaries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6.08</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Amendments to Subordinated Indebtedness and Certain Other Documents, etc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6.09</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Sale and Leaseback Transactions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6.10</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[Reserved]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6.11</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Merger, Consolidation or Sale of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6.12</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Financial Covenant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EVENTS OF DEFAULT AND REMEDIES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7.01</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Events of Default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7.02</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Borrowers’ Right to Cure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8"/>
              </w:rPr>
              <w:t>ARTICLE VIII THE AGENTS</w:t>
            </w:r>
          </w:p>
        </w:tc>
        <w:tc>
          <w:tcPr>
            <w:tcW w:w="80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8.01</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The Agents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8.02</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Erroneous Payments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MISCELLANEOUS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9.01</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Notices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9.02</w:t>
            </w: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Waivers; Enforcement; Amendments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997"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9.03</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 Indemnity; Damage Waiver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9.04</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Successors and Assigns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9.05</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Survival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9.06</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Counterparts; Integration; Effectiveness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9.07</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Severability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9.08</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Right of Setoff</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9.09</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Governing Law; Jurisdiction; Consent to Service of Process; Foreign Process Agent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9.10</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WAIVER OF JURY TRIAL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9.11</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Headings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9.12</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Confidentiality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9.13</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Release of Liens and Guarantees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9.14</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USA PATRIOT Act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9.15</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Appointment for Perfection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9.16</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Fiduciary Relationship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9.17</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Rate Limitation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9.18</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9.19</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Certain ERISA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9.20</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Acknowledgement Regarding Any Supported QFCs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THE GUARANTY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10.01</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Guarantee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10.02</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Obligations Unconditional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10.03</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Reinstatement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10.04</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Certain Additional Waivers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10.05</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Remedies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10.06</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Rights of Contribution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10.07</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Guaranty of Payment; Continuing Guarantee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10.08</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Guarantee Limitations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10.09</w:t>
            </w:r>
          </w:p>
        </w:tc>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Keepwell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260" w:type="dxa"/>
            <w:vAlign w:val="bottom"/>
            <w:gridSpan w:val="3"/>
          </w:tcPr>
          <w:p>
            <w:pPr>
              <w:jc w:val="center"/>
              <w:ind w:right="4890"/>
              <w:spacing w:after="0"/>
              <w:rPr>
                <w:sz w:val="20"/>
                <w:szCs w:val="20"/>
                <w:color w:val="auto"/>
              </w:rPr>
            </w:pPr>
            <w:r>
              <w:rPr>
                <w:rFonts w:ascii="Arial" w:cs="Arial" w:eastAsia="Arial" w:hAnsi="Arial"/>
                <w:sz w:val="18"/>
                <w:szCs w:val="18"/>
                <w:color w:val="auto"/>
                <w:w w:val="90"/>
              </w:rPr>
              <w:t>Table of Contents</w:t>
            </w:r>
          </w:p>
        </w:tc>
      </w:tr>
      <w:tr>
        <w:trPr>
          <w:trHeight w:val="237"/>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(continued)</w:t>
            </w:r>
          </w:p>
        </w:tc>
        <w:tc>
          <w:tcPr>
            <w:tcW w:w="4980" w:type="dxa"/>
            <w:vAlign w:val="bottom"/>
            <w:gridSpan w:val="2"/>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Page</w:t>
            </w:r>
          </w:p>
        </w:tc>
      </w:tr>
      <w:tr>
        <w:trPr>
          <w:trHeight w:val="385"/>
        </w:trPr>
        <w:tc>
          <w:tcPr>
            <w:tcW w:w="138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80" w:type="dxa"/>
            <w:vAlign w:val="bottom"/>
            <w:gridSpan w:val="4"/>
          </w:tcPr>
          <w:p>
            <w:pPr>
              <w:spacing w:after="0" w:line="20" w:lineRule="exact"/>
              <w:rPr>
                <w:sz w:val="1"/>
                <w:szCs w:val="1"/>
                <w:color w:val="auto"/>
              </w:rPr>
            </w:pPr>
          </w:p>
        </w:tc>
      </w:tr>
      <w:tr>
        <w:trPr>
          <w:trHeight w:val="438"/>
        </w:trPr>
        <w:tc>
          <w:tcPr>
            <w:tcW w:w="1380" w:type="dxa"/>
            <w:vAlign w:val="bottom"/>
            <w:gridSpan w:val="3"/>
          </w:tcPr>
          <w:p>
            <w:pPr>
              <w:spacing w:after="0"/>
              <w:rPr>
                <w:sz w:val="20"/>
                <w:szCs w:val="20"/>
                <w:color w:val="auto"/>
              </w:rPr>
            </w:pPr>
            <w:r>
              <w:rPr>
                <w:rFonts w:ascii="Arial" w:cs="Arial" w:eastAsia="Arial" w:hAnsi="Arial"/>
                <w:sz w:val="18"/>
                <w:szCs w:val="18"/>
                <w:color w:val="auto"/>
              </w:rPr>
              <w:t>Schedule 1.01A</w:t>
            </w:r>
          </w:p>
        </w:tc>
        <w:tc>
          <w:tcPr>
            <w:tcW w:w="58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Agreed Guarantee and Security Principles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1.01B</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Existing Investments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1.01C</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Existing Liens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1.01D</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Excluded Subsidiaries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1.01E</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Foreign Security Documents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1.01F</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Subsidiary Guarantors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Commitments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3.01</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Subsidiaries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3.03</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Certain Existing Indebtedness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3.05</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Material Intellectual Property Litigation</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3.06</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Material Litigation</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3.07</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Compliance with Laws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3.10</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Prohibited Transactions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3.13</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Existing Liens to be Released at Closing</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5.15</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Post-Closing Schedule</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58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Existing Indebtedness</w:t>
            </w:r>
          </w:p>
        </w:tc>
      </w:tr>
      <w:tr>
        <w:trPr>
          <w:trHeight w:val="230"/>
        </w:trPr>
        <w:tc>
          <w:tcPr>
            <w:tcW w:w="1380" w:type="dxa"/>
            <w:vAlign w:val="bottom"/>
            <w:gridSpan w:val="3"/>
          </w:tcPr>
          <w:p>
            <w:pPr>
              <w:spacing w:after="0"/>
              <w:rPr>
                <w:sz w:val="20"/>
                <w:szCs w:val="20"/>
                <w:color w:val="auto"/>
              </w:rPr>
            </w:pPr>
            <w:r>
              <w:rPr>
                <w:rFonts w:ascii="Arial" w:cs="Arial" w:eastAsia="Arial" w:hAnsi="Arial"/>
                <w:sz w:val="18"/>
                <w:szCs w:val="18"/>
                <w:color w:val="auto"/>
              </w:rPr>
              <w:t>Schedule 6.07</w:t>
            </w:r>
          </w:p>
        </w:tc>
        <w:tc>
          <w:tcPr>
            <w:tcW w:w="580" w:type="dxa"/>
            <w:vAlign w:val="bottom"/>
          </w:tcPr>
          <w:p>
            <w:pPr>
              <w:spacing w:after="0"/>
              <w:rPr>
                <w:sz w:val="20"/>
                <w:szCs w:val="20"/>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w:t>
            </w:r>
          </w:p>
        </w:tc>
        <w:tc>
          <w:tcPr>
            <w:tcW w:w="8480" w:type="dxa"/>
            <w:vAlign w:val="bottom"/>
            <w:gridSpan w:val="4"/>
          </w:tcPr>
          <w:p>
            <w:pPr>
              <w:ind w:left="400"/>
              <w:spacing w:after="0"/>
              <w:rPr>
                <w:sz w:val="20"/>
                <w:szCs w:val="20"/>
                <w:color w:val="auto"/>
              </w:rPr>
            </w:pPr>
            <w:r>
              <w:rPr>
                <w:rFonts w:ascii="Arial" w:cs="Arial" w:eastAsia="Arial" w:hAnsi="Arial"/>
                <w:sz w:val="18"/>
                <w:szCs w:val="18"/>
                <w:color w:val="auto"/>
              </w:rPr>
              <w:t>Existing Restrictions</w:t>
            </w:r>
          </w:p>
        </w:tc>
      </w:tr>
      <w:tr>
        <w:trPr>
          <w:trHeight w:val="392"/>
        </w:trPr>
        <w:tc>
          <w:tcPr>
            <w:tcW w:w="138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560" w:type="dxa"/>
            <w:vAlign w:val="bottom"/>
            <w:gridSpan w:val="2"/>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Auction Procedures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Solvency Certificate</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Joinder Agreement</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E-1</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First Lien Intercreditor Agreement</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E-2</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First-Second Lien Intercreditor Agreement</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U.S. Security Agreement</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G-1</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G-2</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G-3</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G-4</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Irish Qualifying Lender Confirmation</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Borrowing Request</w:t>
            </w:r>
          </w:p>
        </w:tc>
      </w:tr>
      <w:tr>
        <w:trPr>
          <w:trHeight w:val="230"/>
        </w:trPr>
        <w:tc>
          <w:tcPr>
            <w:tcW w:w="138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gridSpan w:val="5"/>
          </w:tcPr>
          <w:p>
            <w:pPr>
              <w:ind w:left="300"/>
              <w:spacing w:after="0"/>
              <w:rPr>
                <w:sz w:val="20"/>
                <w:szCs w:val="20"/>
                <w:color w:val="auto"/>
              </w:rPr>
            </w:pPr>
            <w:r>
              <w:rPr>
                <w:rFonts w:ascii="Arial" w:cs="Arial" w:eastAsia="Arial" w:hAnsi="Arial"/>
                <w:sz w:val="18"/>
                <w:szCs w:val="18"/>
                <w:color w:val="auto"/>
              </w:rPr>
              <w:t>Form of Perfection Certificate Supplement</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2" w:name="page13"/>
    <w:bookmarkEnd w:id="12"/>
    <w:p>
      <w:pPr>
        <w:jc w:val="both"/>
        <w:ind w:firstLine="1296"/>
        <w:spacing w:after="0" w:line="269" w:lineRule="auto"/>
        <w:rPr>
          <w:sz w:val="20"/>
          <w:szCs w:val="20"/>
          <w:color w:val="auto"/>
        </w:rPr>
      </w:pPr>
      <w:r>
        <w:rPr>
          <w:rFonts w:ascii="Arial" w:cs="Arial" w:eastAsia="Arial" w:hAnsi="Arial"/>
          <w:sz w:val="17"/>
          <w:szCs w:val="17"/>
          <w:color w:val="auto"/>
        </w:rPr>
        <w:t>CREDIT AGREEMENT, dated as of July 1, 2021 (as amended, restated, amended and restated, supplemented or otherwise modified from time to time,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among ICON LUXEMBOURG, S.À R.L., a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xml:space="preserve"> incorporated and existing under Luxembourg law, having its registered office at 61, rue de Rollingergrund, L-2440, Luxembourg and registered with the Luxembourg register of commerce and companies (</w:t>
      </w:r>
      <w:r>
        <w:rPr>
          <w:rFonts w:ascii="Arial" w:cs="Arial" w:eastAsia="Arial" w:hAnsi="Arial"/>
          <w:sz w:val="17"/>
          <w:szCs w:val="17"/>
          <w:i w:val="1"/>
          <w:iCs w:val="1"/>
          <w:color w:val="auto"/>
        </w:rPr>
        <w:t>R.C.S. Luxembourg</w:t>
      </w:r>
      <w:r>
        <w:rPr>
          <w:rFonts w:ascii="Arial" w:cs="Arial" w:eastAsia="Arial" w:hAnsi="Arial"/>
          <w:sz w:val="17"/>
          <w:szCs w:val="17"/>
          <w:color w:val="auto"/>
        </w:rPr>
        <w:t>) under number B66588 (the “</w:t>
      </w:r>
      <w:r>
        <w:rPr>
          <w:rFonts w:ascii="Arial" w:cs="Arial" w:eastAsia="Arial" w:hAnsi="Arial"/>
          <w:sz w:val="17"/>
          <w:szCs w:val="17"/>
          <w:u w:val="single" w:color="auto"/>
          <w:color w:val="auto"/>
        </w:rPr>
        <w:t>Lux Borrower</w:t>
      </w:r>
      <w:r>
        <w:rPr>
          <w:rFonts w:ascii="Arial" w:cs="Arial" w:eastAsia="Arial" w:hAnsi="Arial"/>
          <w:sz w:val="17"/>
          <w:szCs w:val="17"/>
          <w:color w:val="auto"/>
        </w:rPr>
        <w:t>”), ICON Clinical Investments, LLC, a Delaware limited liability company (the “</w:t>
      </w:r>
      <w:r>
        <w:rPr>
          <w:rFonts w:ascii="Arial" w:cs="Arial" w:eastAsia="Arial" w:hAnsi="Arial"/>
          <w:sz w:val="17"/>
          <w:szCs w:val="17"/>
          <w:u w:val="single" w:color="auto"/>
          <w:color w:val="auto"/>
        </w:rPr>
        <w:t>Lux U.S. Subsidiary Borrower</w:t>
      </w:r>
      <w:r>
        <w:rPr>
          <w:rFonts w:ascii="Arial" w:cs="Arial" w:eastAsia="Arial" w:hAnsi="Arial"/>
          <w:sz w:val="17"/>
          <w:szCs w:val="17"/>
          <w:color w:val="auto"/>
        </w:rPr>
        <w:t>”), INDIGO MERGER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and, prior to the consummation of the Acquisition, the “</w:t>
      </w:r>
      <w:r>
        <w:rPr>
          <w:rFonts w:ascii="Arial" w:cs="Arial" w:eastAsia="Arial" w:hAnsi="Arial"/>
          <w:sz w:val="17"/>
          <w:szCs w:val="17"/>
          <w:u w:val="single" w:color="auto"/>
          <w:color w:val="auto"/>
        </w:rPr>
        <w:t>U.S. Borrower</w:t>
      </w:r>
      <w:r>
        <w:rPr>
          <w:rFonts w:ascii="Arial" w:cs="Arial" w:eastAsia="Arial" w:hAnsi="Arial"/>
          <w:sz w:val="17"/>
          <w:szCs w:val="17"/>
          <w:color w:val="auto"/>
        </w:rPr>
        <w:t>”) (which, after giving effect to the Acquisition on the Closing Date, shall be succeeded by PRA Health Sciences, Inc., a Delaware corporation (the “</w:t>
      </w:r>
      <w:r>
        <w:rPr>
          <w:rFonts w:ascii="Arial" w:cs="Arial" w:eastAsia="Arial" w:hAnsi="Arial"/>
          <w:sz w:val="17"/>
          <w:szCs w:val="17"/>
          <w:u w:val="single" w:color="auto"/>
          <w:color w:val="auto"/>
        </w:rPr>
        <w:t>Target</w:t>
      </w:r>
      <w:r>
        <w:rPr>
          <w:rFonts w:ascii="Arial" w:cs="Arial" w:eastAsia="Arial" w:hAnsi="Arial"/>
          <w:sz w:val="17"/>
          <w:szCs w:val="17"/>
          <w:color w:val="auto"/>
        </w:rPr>
        <w:t>” and, following the consummation of the Acquisition, the “</w:t>
      </w:r>
      <w:r>
        <w:rPr>
          <w:rFonts w:ascii="Arial" w:cs="Arial" w:eastAsia="Arial" w:hAnsi="Arial"/>
          <w:sz w:val="17"/>
          <w:szCs w:val="17"/>
          <w:u w:val="single" w:color="auto"/>
          <w:color w:val="auto"/>
        </w:rPr>
        <w:t>U.S. Borrower</w:t>
      </w:r>
      <w:r>
        <w:rPr>
          <w:rFonts w:ascii="Arial" w:cs="Arial" w:eastAsia="Arial" w:hAnsi="Arial"/>
          <w:sz w:val="17"/>
          <w:szCs w:val="17"/>
          <w:color w:val="auto"/>
        </w:rPr>
        <w:t>”), ICON PUBLIC LIMITED COMPANY, an Irish public limited company (“</w:t>
      </w:r>
      <w:r>
        <w:rPr>
          <w:rFonts w:ascii="Arial" w:cs="Arial" w:eastAsia="Arial" w:hAnsi="Arial"/>
          <w:sz w:val="17"/>
          <w:szCs w:val="17"/>
          <w:u w:val="single" w:color="auto"/>
          <w:color w:val="auto"/>
        </w:rPr>
        <w:t>Holdings</w:t>
      </w:r>
      <w:r>
        <w:rPr>
          <w:rFonts w:ascii="Arial" w:cs="Arial" w:eastAsia="Arial" w:hAnsi="Arial"/>
          <w:sz w:val="17"/>
          <w:szCs w:val="17"/>
          <w:color w:val="auto"/>
        </w:rPr>
        <w:t xml:space="preserve">”), the Revolving Borrowers (as such term is defined in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each Additional Borrower, the Subsidiary Guarantors (as such term is defined in </w:t>
      </w:r>
      <w:r>
        <w:rPr>
          <w:rFonts w:ascii="Arial" w:cs="Arial" w:eastAsia="Arial" w:hAnsi="Arial"/>
          <w:sz w:val="17"/>
          <w:szCs w:val="17"/>
          <w:u w:val="single" w:color="auto"/>
          <w:color w:val="auto"/>
        </w:rPr>
        <w:t>Article I</w:t>
      </w:r>
      <w:r>
        <w:rPr>
          <w:rFonts w:ascii="Arial" w:cs="Arial" w:eastAsia="Arial" w:hAnsi="Arial"/>
          <w:sz w:val="17"/>
          <w:szCs w:val="17"/>
          <w:color w:val="auto"/>
        </w:rPr>
        <w:t>) party hereto, the LENDERS from time to time party hereto, CITIBANK, N.A., as Administrative Agent, and CITIBANK, N.A., LONDON BRANCH, as Collateral Agent.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a Loan, or the Loans comprising such Borrowing, bearing interest at a rate determined by reference to the Alternate Base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Accepting Term Lender</w:t>
      </w:r>
      <w:r>
        <w:rPr>
          <w:rFonts w:ascii="Arial" w:cs="Arial" w:eastAsia="Arial" w:hAnsi="Arial"/>
          <w:sz w:val="18"/>
          <w:szCs w:val="18"/>
          <w:color w:val="auto"/>
        </w:rPr>
        <w:t>” has the meaning assigned to such term in Section 2.11(e).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ACH Indebtedness</w:t>
      </w:r>
      <w:r>
        <w:rPr>
          <w:rFonts w:ascii="Arial" w:cs="Arial" w:eastAsia="Arial" w:hAnsi="Arial"/>
          <w:sz w:val="18"/>
          <w:szCs w:val="18"/>
          <w:color w:val="auto"/>
        </w:rPr>
        <w:t>” means Indebtedness incurred in the ordinary course of business arising in connection with any automated clearinghouse transfers of funds or other payment processing service.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the merger of Merger Sub with and into the Target, with the Target as the surviving corporation, as provided for in the Acquisition Agreement and the related transactions.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means the Agreement and Plan of Merger dated as of February 24, 2021 among Holdings, U.S. Holdco, Merger Sub and the Target (including, without limitation, all exhibits, schedules and disclosure letters thereto), as the same may be altered, amended, changed, supplemented or with any provision or condition therein waived.</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 Representations</w:t>
      </w:r>
      <w:r>
        <w:rPr>
          <w:rFonts w:ascii="Arial" w:cs="Arial" w:eastAsia="Arial" w:hAnsi="Arial"/>
          <w:sz w:val="18"/>
          <w:szCs w:val="18"/>
          <w:color w:val="auto"/>
        </w:rPr>
        <w:t>” means such representations and warranties made by or with respect to the Target and its subsidiaries in the Acquisition Agreement as are material to the interests of the Lenders, but only to the extent that Holdings (or its applicable subsidiaries) have the right (taking into account any applicable cure periods) to terminate its obligation to consummate the Acquisition under the Acquisition Agreement or the right not to consummate the Acquisition pursuant to the Acquisition Agreement as a result of a breach of such representations and warranties, in each case in accordance with the terms thereof.</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Documents</w:t>
      </w:r>
      <w:r>
        <w:rPr>
          <w:rFonts w:ascii="Arial" w:cs="Arial" w:eastAsia="Arial" w:hAnsi="Arial"/>
          <w:sz w:val="18"/>
          <w:szCs w:val="18"/>
          <w:color w:val="auto"/>
        </w:rPr>
        <w:t>” means the Acquisition Agreement and any other documents executed or issued, or to be executed or issued, by or on behalf of the Target and/or the U.S. Borrower in respect of the Acquisition (but excluding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 w:name="page14"/>
    <w:bookmarkEnd w:id="13"/>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Borrower</w:t>
      </w:r>
      <w:r>
        <w:rPr>
          <w:rFonts w:ascii="Arial" w:cs="Arial" w:eastAsia="Arial" w:hAnsi="Arial"/>
          <w:sz w:val="17"/>
          <w:szCs w:val="17"/>
          <w:color w:val="auto"/>
        </w:rPr>
        <w:t xml:space="preserve">” means any one or more Restricted Subsidiaries that is or becomes a Subsidiary Guarantor designated by Holdings as a borrower of any Incremental Loans hereunder, Revolving Loans or Other Refinancing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only Restricted Subsidiaries organized under the laws of Ireland, Luxembourg, England and Wales and/or a jurisdiction located in the United States may be designated by Holdings as Additional Borrowers;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Additional Borrower shall have satisfied the requirements set forth in Section 4.01(c), and for such purposes, any reference to the Closing Date in such Section 4.01(c) shall be deemed to be a reference to the date on which such Subsidiary Guarantor becomes an Additional Borrower. For the avoidance of doubt, any Restricted Subsidiary designated as an Additional Borrower shall cease to be an “Additional Borrower” upon the repayment of all Loans (or, in the case of an Additional Borrower that is a Revolving Borrower, the repayment of all Loans and termination of all Revolving Commitments) in respect of which such Restricted Subsidiary was designated as an “Additional Borrower” and shall be deemed to be a Guarantor.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EURIBOR Rate</w:t>
      </w:r>
      <w:r>
        <w:rPr>
          <w:rFonts w:ascii="Arial" w:cs="Arial" w:eastAsia="Arial" w:hAnsi="Arial"/>
          <w:sz w:val="18"/>
          <w:szCs w:val="18"/>
          <w:color w:val="auto"/>
        </w:rPr>
        <w:t xml:space="preserve">” means, with respect to any Eurocurrency Borrowing denominated in euros, for any Interest Period, an interest rate per annum (rounded upwards, if necessary, to the next 1/16 of 1%) equal to the sum of (a) the EURIBOR Rate for such Interest Period multiplied by (b) the Statutory Reserve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Revolving Loans, such rate shall not be less than zero.</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means, with respect to any Eurocurrency Borrowing denominated in any Agreed Currency other than euros, for any Interest Period, an interest rate per annum (rounded upwards, if necessary, to the next 1/16 of 1%) equal to the sum of (a) the LIBO Rate for such Interest Period multiplied by (b) the Statutory Reserve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with respect to Revolving Loans, such rate shall not be less than zero and (ii) with respect to the Initial Term Loans, such rate shall not be less than 0.50%.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Citibank, N.A., in its capacity as administrative agent for the Lenders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assigned to such term in Section 9.01(c).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has the meaning assigned to such term in Section 8.01.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(i) Dollars, (ii) euro (solely with respect to Revolving Loans and Letters of Credit), (iii) Pounds Sterling (solely with respect to Revolving Loans and Letters of Credit) and (iv) any other Foreign Currency agreed to by the Administrative Agent, each of the Lenders and each Issuing Bank of the applicable Class of Loans.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Guarantee and Security Principles</w:t>
      </w:r>
      <w:r>
        <w:rPr>
          <w:rFonts w:ascii="Arial" w:cs="Arial" w:eastAsia="Arial" w:hAnsi="Arial"/>
          <w:sz w:val="18"/>
          <w:szCs w:val="18"/>
          <w:color w:val="auto"/>
        </w:rPr>
        <w:t xml:space="preserve">” means the Agreed Guarantee and Security Principles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For the avoidance of doubt, the Agreed Guarantee and Security Principles shall only apply to Guarantees proposed to be granted by, assets of, and Equity Interests in, Holdings and the Foreign Subsidiaries.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per annum equal to the greatest of (a) the Eurocurrency Rate for a one month Interest Period on such day (or if such day is not a Business Day, the immediately preceding Business Day) plus 1%, (b) the Prime Rate in effect on such day, (c) the Federal Funds Effective Rate in effect on such day plus ½ of 1% and (d) 1%;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the Eurocurrency Rate for any day shall be based on the rate appearing on the applicable Bloomberg screen page (or on any successor or substitute page of such page) at approximately 11:00 a.m. London time on such day. Any change in the Alternate Base Rate due to a change in the Prime Rate, the Federal Funds Effective Rate or the Eurocurrency Rate shall be effective from and including the effective date of such change in the Prime Rate, the Federal Funds Effective Rate or the Eurocurrency Rate, respectively.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Currencies</w:t>
      </w:r>
      <w:r>
        <w:rPr>
          <w:rFonts w:ascii="Arial" w:cs="Arial" w:eastAsia="Arial" w:hAnsi="Arial"/>
          <w:sz w:val="18"/>
          <w:szCs w:val="18"/>
          <w:color w:val="auto"/>
        </w:rPr>
        <w:t>” means all Agreed Currencies other than Dollars.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Currency Benchmark Replacement</w:t>
      </w:r>
      <w:r>
        <w:rPr>
          <w:rFonts w:ascii="Arial" w:cs="Arial" w:eastAsia="Arial" w:hAnsi="Arial"/>
          <w:sz w:val="17"/>
          <w:szCs w:val="17"/>
          <w:color w:val="auto"/>
        </w:rPr>
        <w:t>” shall mean, with respect to any Eurocurrency Loan denominated in an Alternate Currency or any RFR Loan, the sum of: (a) the alternate benchmark rate (which may be an Alternate Currency SOFR-Based Rate) that has been selected by the Administrative Agent and Holdings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applicable Eurocurrency Rate or Daily Simple RFR for syndicated credit facilities denominated in such Alternate Currency at such time and (b) the Alternate Currency Benchmark Replacement Adjustment.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respect to Eurocurrency Loans denominated in an Alternate Currency and RFR Loans, if the Alternate Currency Benchmark Replacement would be less than the “floor”, if any, provided in this Agreement initially (as of the execution of this Agreement, the modification, amendment or removal of this Agreement or otherwise) with respect to Eurocurrency Loans denominated in such Alternate Currency or RFR Loans, the Alternate Currency Benchmark Replacement with respect to such Alternate Currency will be deemed to be the “floor” for the purposes of this Agreement and the other Loan Documents.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Currency Benchmark Replacement Adjustment</w:t>
      </w:r>
      <w:r>
        <w:rPr>
          <w:rFonts w:ascii="Arial" w:cs="Arial" w:eastAsia="Arial" w:hAnsi="Arial"/>
          <w:sz w:val="16"/>
          <w:szCs w:val="16"/>
          <w:color w:val="auto"/>
        </w:rPr>
        <w:t>” shall mean, with respect to any replacement of applicable Eurocurrency Rate or Daily Simple RFR with an Alternate Currency Unadjusted Benchmark Replacement for any applicable Interest Period, the spread adjustment, or method for calculating or determining such spread adjustment, (which may be a positive or negative value or zero) that has been selected by the Administrative Agent and Holdings giving due consideration to (i) any selection or recommendation of a spread adjustment, or method for calculating or determining such spread adjustment, for the replacement of the applicable Eurocurrency Rate or Daily Simple RFR with the applicable Alternate Currency Unadjusted Benchmark Replacement by the Relevant Governmental Body or (ii) any evolving or then-prevailing market convention for determining a spread adjustment, or method for calculating or determining such spread adjustment, for the replacement of the applicable Eurocurrency Rate or Daily Simple RFR with the applicable Alternate Currency Unadjusted Benchmark Replacement for syndicated credit facilities at such time.</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Currency Benchmark Replacement Conforming Changes</w:t>
      </w:r>
      <w:r>
        <w:rPr>
          <w:rFonts w:ascii="Arial" w:cs="Arial" w:eastAsia="Arial" w:hAnsi="Arial"/>
          <w:sz w:val="17"/>
          <w:szCs w:val="17"/>
          <w:color w:val="auto"/>
        </w:rPr>
        <w:t>” shall mean, with respect to any Alternate Currency Benchmark Replacement, any technical, administrative or operational changes (including changes to the definition of “Interest Period,” timing and frequency of determining rates and making payments of interest and other administrative matters) that the Administrative Agent, in consultation with Holdings, decides may be appropriate to reflect the adoption and implementation of such Alternate Currency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Alternate Currency Benchmark Replacement exists, in such other manner of administration as the Administrative Agent, in consultation with Holdings, decides is reasonably necessary in connection with the administration of this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Currency Benchmark Replacement Date</w:t>
      </w:r>
      <w:r>
        <w:rPr>
          <w:rFonts w:ascii="Arial" w:cs="Arial" w:eastAsia="Arial" w:hAnsi="Arial"/>
          <w:sz w:val="17"/>
          <w:szCs w:val="17"/>
          <w:color w:val="auto"/>
        </w:rPr>
        <w:t>” shall mean the earlier to occur of the following events with respect to the applicable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Eurocurrency Rate or Daily Simple RFR:</w:t>
      </w:r>
    </w:p>
    <w:p>
      <w:pPr>
        <w:spacing w:after="0" w:line="211" w:lineRule="exact"/>
        <w:rPr>
          <w:sz w:val="20"/>
          <w:szCs w:val="20"/>
          <w:color w:val="auto"/>
        </w:rPr>
      </w:pPr>
    </w:p>
    <w:p>
      <w:pPr>
        <w:jc w:val="both"/>
        <w:ind w:firstLine="656"/>
        <w:spacing w:after="0" w:line="286" w:lineRule="auto"/>
        <w:tabs>
          <w:tab w:leader="none" w:pos="1263"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“Alternate Currency Benchmark Transition Event,” the later of (a) the date of the public statement or publication of information referenced therein and (b) the date on which the administrator of the applicable Eurocurrency Rate or Daily Simple RFR permanently or indefinitely ceases to provide the applicable Eurocurrency Rate or Daily Simple RFR; or</w:t>
      </w:r>
    </w:p>
    <w:p>
      <w:pPr>
        <w:spacing w:after="0" w:line="165" w:lineRule="exact"/>
        <w:rPr>
          <w:rFonts w:ascii="Arial" w:cs="Arial" w:eastAsia="Arial" w:hAnsi="Arial"/>
          <w:sz w:val="17"/>
          <w:szCs w:val="17"/>
          <w:color w:val="auto"/>
        </w:rPr>
      </w:pPr>
    </w:p>
    <w:p>
      <w:pPr>
        <w:ind w:firstLine="656"/>
        <w:spacing w:after="0" w:line="277" w:lineRule="auto"/>
        <w:tabs>
          <w:tab w:leader="none" w:pos="144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clause (3) of the definition of “Alternate Currency Benchmark Transition Event,” the date of the public statement or publication of information referenced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Currency Benchmark Transition Event</w:t>
      </w:r>
      <w:r>
        <w:rPr>
          <w:rFonts w:ascii="Arial" w:cs="Arial" w:eastAsia="Arial" w:hAnsi="Arial"/>
          <w:sz w:val="16"/>
          <w:szCs w:val="16"/>
          <w:color w:val="auto"/>
        </w:rPr>
        <w:t>” shall mean the occurrence of one or more of the following events with respect to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Eurocurrency Rate or Daily Simple RFR:</w:t>
      </w:r>
    </w:p>
    <w:p>
      <w:pPr>
        <w:spacing w:after="0" w:line="211" w:lineRule="exact"/>
        <w:rPr>
          <w:sz w:val="20"/>
          <w:szCs w:val="20"/>
          <w:color w:val="auto"/>
        </w:rPr>
      </w:pPr>
    </w:p>
    <w:p>
      <w:pPr>
        <w:jc w:val="both"/>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the applicable Eurocurrency Rate or Daily Simple RFR announcing that such administrator has ceased or will cease to provide the applicable Eurocurrency Rate or Daily Simple RFR,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the applicable Eurocurrency Rate or Daily Simple RFR;</w:t>
      </w:r>
    </w:p>
    <w:p>
      <w:pPr>
        <w:spacing w:after="0" w:line="186"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the applicable Eurocurrency Rate or Daily Simple RFR, the U.S. Federal Reserve System, an insolvency official with jurisdiction over the administrator for the applicable Eurocurrency Rate or Daily Simple RFR, a resolution authority with jurisdiction over the administrator for the applicable Eurocurrency Rate or Daily Simple RFR or a court or an entity with similar insolvency or resolution authority over the administrator for the applicable Eurocurrency Rate or Daily Simple RFR, which states that the administrator of the applicable Eurocurrency Rate or Daily Simple RFR has ceased or will cease to provide the applicable Eurocurrency Rate or Daily Simple RFR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the applicable Eurocurrency Rate or Daily Simple RFR; or</w:t>
      </w:r>
    </w:p>
    <w:p>
      <w:pPr>
        <w:spacing w:after="0" w:line="19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the applicable Eurocurrency Rate or Daily Simple RFR announcing that the applicable Eurocurrency Rate or Daily Simple RFR is no longer representative.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Currency Benchmark Transition Start Date</w:t>
      </w:r>
      <w:r>
        <w:rPr>
          <w:rFonts w:ascii="Arial" w:cs="Arial" w:eastAsia="Arial" w:hAnsi="Arial"/>
          <w:sz w:val="16"/>
          <w:szCs w:val="16"/>
          <w:color w:val="auto"/>
        </w:rPr>
        <w:t>” shall mean (a) in the case of an Alternate Currency Benchmark Transition Event, the earlier of (i) the applicable Alternate Currency Benchmark Replacement Date and (ii) if such Alternate Currency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Alternate Currency Early Opt-in Election, the date specified by the Administrative Agent or the Required Lenders, as applicable, by notice to the Borrower, the Administrative Agent (in the case of such notice by the Required Lenders) and the Lenders.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Benchmark Unavailability Period</w:t>
      </w:r>
      <w:r>
        <w:rPr>
          <w:rFonts w:ascii="Arial" w:cs="Arial" w:eastAsia="Arial" w:hAnsi="Arial"/>
          <w:sz w:val="18"/>
          <w:szCs w:val="18"/>
          <w:color w:val="auto"/>
        </w:rPr>
        <w:t>” shall mean, if an Alternate Currency Benchmark Transition Event and its related Alternate Currency Benchmark Replacement Date have occurred with respect to the applicable Eurocurrency Rate or Daily Simple RFR and solely to the extent that the applicable Eurocurrency Rate or Daily Simple RFR has not been replaced with an Alternate Currency Benchmark Replacement, the period (x) beginning at the time that such Alternate Currency Benchmark Replacement Date has occurred if, at such time, no Alternate Currency Benchmark Replacement has replaced the applicable Eurocurrency Rate or Daily Simple RFR for all purposes hereunder in accordance with Section 2.14 and (y) ending at the time that an Alternate Currency Benchmark Replacement has replaced the applicable Eurocurrency Rate or Daily Simple RFR for all purposes hereunder pursuant to Section 2.14.</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Compounded SOFR</w:t>
      </w:r>
      <w:r>
        <w:rPr>
          <w:rFonts w:ascii="Arial" w:cs="Arial" w:eastAsia="Arial" w:hAnsi="Arial"/>
          <w:sz w:val="18"/>
          <w:szCs w:val="18"/>
          <w:color w:val="auto"/>
        </w:rPr>
        <w:t>” shall mean the compounded average of Alternate Currency SOFR for the applicable Alternate Currency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87"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rate, or methodology for this rate, and conventions for this rate selected or recommended by the Relevant Governmental Body for determining compounded Alternate Currency SOFR;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and to the extent that, the Administrative Agent determines that Alternate Currency Compounded SOFR cannot be determined in accordance with clause (1) above, then the rate, or methodology for this rate, and conventions for this rate that the Administrative Agent determines are substantially consistent with prevailing market convention for determining Alternate Currency Compounded SOFR for syndicated credit facilities at such time (as a result of amendment or as originally executed);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Administrative Agent decides that any such rate, methodology or convention determined in accordance with clause (1) or clause (2) is not administratively feasible for the Administrative Agent, then Alternate Currency Compounded SOFR will be deemed unable to be determined for purposes of the definition of “Alternate Currency Benchmark Replacement.”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Corresponding Tenor</w:t>
      </w:r>
      <w:r>
        <w:rPr>
          <w:rFonts w:ascii="Arial" w:cs="Arial" w:eastAsia="Arial" w:hAnsi="Arial"/>
          <w:sz w:val="18"/>
          <w:szCs w:val="18"/>
          <w:color w:val="auto"/>
        </w:rPr>
        <w:t>” with respect to an Alternate Currency Benchmark Replacement means a tenor (including overnight) having approximately the same length (disregarding business day adjustment) as the applicable tenor for the applicable Interest Period with respect to the applicable Eurocurrency Rate or Daily Simple RFR.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Daily Simple SOFR</w:t>
      </w:r>
      <w:r>
        <w:rPr>
          <w:rFonts w:ascii="Arial" w:cs="Arial" w:eastAsia="Arial" w:hAnsi="Arial"/>
          <w:sz w:val="18"/>
          <w:szCs w:val="18"/>
          <w:color w:val="auto"/>
        </w:rPr>
        <w:t xml:space="preserve">” shall mean, for any day, Alternate Currency SOFR, with the conventions for this rate (which may include a lookback) being established by the Administrative Agent in accordance with the conventions for this rate selected or recommended by the Relevant Governmental Body for determining “Alternate Currency Daily Simple SOFR” for syndicated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Early Opt-in Election</w:t>
      </w:r>
      <w:r>
        <w:rPr>
          <w:rFonts w:ascii="Arial" w:cs="Arial" w:eastAsia="Arial" w:hAnsi="Arial"/>
          <w:sz w:val="18"/>
          <w:szCs w:val="18"/>
          <w:color w:val="auto"/>
        </w:rPr>
        <w:t>” shall mean the occurrence of:</w:t>
      </w:r>
    </w:p>
    <w:p>
      <w:pPr>
        <w:spacing w:after="0" w:line="225" w:lineRule="exact"/>
        <w:rPr>
          <w:sz w:val="20"/>
          <w:szCs w:val="20"/>
          <w:color w:val="auto"/>
        </w:rPr>
      </w:pPr>
    </w:p>
    <w:p>
      <w:pPr>
        <w:jc w:val="both"/>
        <w:ind w:left="980" w:hanging="324"/>
        <w:spacing w:after="0" w:line="30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a determination by the Administrative Agent or (ii) a notification by the Required Lenders to the Administrative Agent (with a copy to the Borrower) that the Required Lenders have determined that syndicated credit facilities denominated in the applicable Alternate Currency being executed at such time, or that include language similar to that contained in Section 2.14, are being executed or amended, as applicable, to incorporate or adopt a new benchmark interest rate to replace the applicable Eurocurrency Rate or Daily Simple RFR, and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jc w:val="both"/>
        <w:ind w:left="980" w:hanging="324"/>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 the election by the Administrative Agent or (ii) the election by the Required Lenders to declare that an Alternate Currency Early Opt-in Election has occurred and the provision, as applicable, by the Administrative Agent of written notice of such election to Holdings and the Lenders or by the Required Lenders of written notice of such election to the Administrative Agent and Holdings.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Currency Equivalent</w:t>
      </w:r>
      <w:r>
        <w:rPr>
          <w:rFonts w:ascii="Arial" w:cs="Arial" w:eastAsia="Arial" w:hAnsi="Arial"/>
          <w:sz w:val="17"/>
          <w:szCs w:val="17"/>
          <w:color w:val="auto"/>
        </w:rPr>
        <w:t>” shall mean, at any time, with respect to any amount denominated in Dollars, the Equivalent Amount thereof in the applicable Alternate Currency as determined by the Administrative Agent or the applicable Issuing Bank, as the case may be, at such time on the basis of the spot rate (determined in respect of the most recent Computation Date) for the purchase of such Alternate Currency with Dollars.</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Currency SOFR</w:t>
      </w:r>
      <w:r>
        <w:rPr>
          <w:rFonts w:ascii="Arial" w:cs="Arial" w:eastAsia="Arial" w:hAnsi="Arial"/>
          <w:sz w:val="16"/>
          <w:szCs w:val="16"/>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SOFR-Based Rate</w:t>
      </w:r>
      <w:r>
        <w:rPr>
          <w:rFonts w:ascii="Arial" w:cs="Arial" w:eastAsia="Arial" w:hAnsi="Arial"/>
          <w:sz w:val="18"/>
          <w:szCs w:val="18"/>
          <w:color w:val="auto"/>
        </w:rPr>
        <w:t>” shall mean Alternate Currency SOFR, Alternate Currency Daily Simple SOFR, Alternate Currency Compounded SOFR or Alternate Currency Term SOFR.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Term SOFR</w:t>
      </w:r>
      <w:r>
        <w:rPr>
          <w:rFonts w:ascii="Arial" w:cs="Arial" w:eastAsia="Arial" w:hAnsi="Arial"/>
          <w:sz w:val="18"/>
          <w:szCs w:val="18"/>
          <w:color w:val="auto"/>
        </w:rPr>
        <w:t>” shall mean the forward-looking term rate based on Alternate Currency SOFR that has been selected or recommended by the Relevant Governmental Body.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Unadjusted Benchmark Replacement</w:t>
      </w:r>
      <w:r>
        <w:rPr>
          <w:rFonts w:ascii="Arial" w:cs="Arial" w:eastAsia="Arial" w:hAnsi="Arial"/>
          <w:sz w:val="18"/>
          <w:szCs w:val="18"/>
          <w:color w:val="auto"/>
        </w:rPr>
        <w:t>” shall mean the Alternate Currency Benchmark Replacement excluding the Alternate Currency Benchmark Replacement Adjustment.</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Incremental Facility Indebtedness</w:t>
      </w:r>
      <w:r>
        <w:rPr>
          <w:rFonts w:ascii="Arial" w:cs="Arial" w:eastAsia="Arial" w:hAnsi="Arial"/>
          <w:sz w:val="16"/>
          <w:szCs w:val="16"/>
          <w:color w:val="auto"/>
        </w:rPr>
        <w:t xml:space="preserve">” means any Indebtedness incurred after the Closing Date by any Loan Party (and may in any case be co-borrowed or co-issued by any other Loan Party on a joint and several basis) in the form of one or more series of senior secured notes or loans or unsecured notes or loans that are issued or made in lieu of the Incremental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such Indebtedness is secured, such Indebtedness is secured by all or a portion of the Collateral on a pari passu or junior basis with the Obligations and is not secured by any property or assets of Holdings or any Restricted Subsidiary other than the Collateral, (ii) such Indebtedness does not mature prior to the Latest Maturity Date at the time such Indebtedness is incurred or have a Weighted Average Life to Maturity that is shorter than the remaining Weighted Average Life to Maturity of the Term Loans maturing on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(ii) shall not apply to (x) Term A Facilities and (y) customary “bridge loan” facilities with a tenor of no longer than one year (provided that such facilities automatically convert or exchange into long-term debt otherwise meeting the requirements of this clause (ii)), (iii) such Indebtedness is not guaranteed by any of Holdings’ Restricted Subsidiaries other than the Loan Parties, (iv) if such Indebtedness is secured, a Designated Representative acting on behalf of the holders of such Indebtedness shall have become party to or otherwise subject to the provisions of a First Lien Intercreditor Agreement or a First-Second Lien Intercreditor Agreement,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such intercreditor agreement is then in effect, then Holdings, the Borrowers, the Subsidiary Guarantors, the Administrative Agent, the Collateral Agent and the Designated Representative for such Indebtedness shall have executed and delivered a First Lien Intercreditor Agreement or a First-Second Lien Intercreditor Agreement, as applicable, (v) such Indebtedness shall contain covenants and events of default that are either (x) no more restrictive (taken as a whole) to Holdings and its Restricted Subsidiaries than those included in this Agreement in all material respects as determined by Holdings in good faith or (y) are on market terms at the time of issuance, as determined by Holdings in good faith, which terms shall also be implemented for the benefit of the Initial Term Loans and the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in the form of Term A Facilities or Revolving Commitments may contain one or more financial maintenance covenants (and related events of default) irrespective of whether or not such covenants (and related events of default) are included in this Agreement for the benefit of the Term Loans (but such covenants shall be included for the benefit of the other Revolving Commitments), (vi) to the extent such Alternative Incremental Facility Indebtedness is incurred prior to the date that is 24 months after the Closing Date and is comprised of term loans funded in Dollars that are secured pari passu with the Obligations, the provisions set forth in Section 2.20(b)(A)(iv) shall apply as if such Alternative Incremental Facility Indebtedness had been incurred as Incremental Term Loans under Section 2.20 and (vii) such Alternative Incremental Facility Indebtedness may participate on a pro rata basis or a less than pro rata basis (but not a greater than pro rata basis) than the Initial Term Loans in mandatory prepayments pursuant to Sections 2.11(c)(i) and (c)(iii) under this Agreement (or offers to purchase in circumstances similar to those described in Section 2.11(c)(i) and (c)(iii);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the terms and conditions applicable to such Indebtedness may provide for any additional or different covenants or events of default that are applicable only during periods after the Latest Maturity Date that is in effect on the date such Indebtedness is issued, incurred or obtained, include Permitted Conversion Provisions and require the repurchase or repayment upon a change of control, fundamental change, delisting or similar events. Alternative Incremental Facility Indebtedness will include any Registered Equivalent Notes issued in exchange therefor.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Holdings or its Subsidiaries from time to time concerning or relating to bribery or corruption.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Borrower</w:t>
      </w:r>
      <w:r>
        <w:rPr>
          <w:rFonts w:ascii="Arial" w:cs="Arial" w:eastAsia="Arial" w:hAnsi="Arial"/>
          <w:sz w:val="18"/>
          <w:szCs w:val="18"/>
          <w:color w:val="auto"/>
        </w:rPr>
        <w:t>” means, (a) with respect to the Lux Term Loans, the Lux Borrower and the Lux U.S. Subsidiary Borrower, (b) with respect to the U.S. Term Loans, the U.S. Borrower, (c) with respect to any Revolving Loan, the Revolving Borrower to which such Revolving Loan was made, (d) with respect to any Swingline Loan, the Revolving Borrower to which such Swingline Loan was made, and (e) with respect to any Incremental Loan or any Other Refinancing Loan, the Borrower or Borrowers to which such Loan is made.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Lender</w:t>
      </w:r>
      <w:r>
        <w:rPr>
          <w:rFonts w:ascii="Arial" w:cs="Arial" w:eastAsia="Arial" w:hAnsi="Arial"/>
          <w:sz w:val="18"/>
          <w:szCs w:val="18"/>
          <w:color w:val="auto"/>
        </w:rPr>
        <w:t>” has the meaning assigned to such term in Section 2.06(d).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for any day,</w:t>
      </w:r>
    </w:p>
    <w:p>
      <w:pPr>
        <w:spacing w:after="0" w:line="225" w:lineRule="exact"/>
        <w:rPr>
          <w:sz w:val="20"/>
          <w:szCs w:val="20"/>
          <w:color w:val="auto"/>
        </w:rPr>
      </w:pPr>
    </w:p>
    <w:p>
      <w:pPr>
        <w:jc w:val="both"/>
        <w:ind w:firstLine="656"/>
        <w:spacing w:after="0" w:line="279" w:lineRule="auto"/>
        <w:tabs>
          <w:tab w:leader="none" w:pos="868"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the Initial Term Loans, (x) from the Closing Date until the first Business Day following delivery of the Compliance Certificate for the first fiscal quarter ending after the Closing Date pursuant to Section 5.01(c), (a) for any Eurocurrency Initial Term Loan, 2.50% per annum and (b) for any ABR Initial Term Loan, 1.50% per annum and (y) thereafter, the following percentages per annum, based upon the First Lien Net Leverage Ratio as specified in the most recent Compliance Certificate received by the Administrative Agent pursuant to Section 5.01(c):</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00" w:type="dxa"/>
            <w:vAlign w:val="bottom"/>
            <w:tcBorders>
              <w:top w:val="single" w:sz="8" w:color="auto"/>
              <w:lef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4"/>
          </w:tcPr>
          <w:p>
            <w:pPr>
              <w:jc w:val="center"/>
              <w:ind w:right="500"/>
              <w:spacing w:after="0" w:line="189" w:lineRule="exact"/>
              <w:rPr>
                <w:sz w:val="20"/>
                <w:szCs w:val="20"/>
                <w:color w:val="auto"/>
              </w:rPr>
            </w:pPr>
            <w:r>
              <w:rPr>
                <w:rFonts w:ascii="Arial" w:cs="Arial" w:eastAsia="Arial" w:hAnsi="Arial"/>
                <w:sz w:val="18"/>
                <w:szCs w:val="18"/>
                <w:color w:val="auto"/>
                <w:w w:val="91"/>
              </w:rPr>
              <w:t>First Lien Net Leverage</w:t>
            </w:r>
          </w:p>
        </w:tc>
        <w:tc>
          <w:tcPr>
            <w:tcW w:w="1000" w:type="dxa"/>
            <w:vAlign w:val="bottom"/>
            <w:tcBorders>
              <w:top w:val="single" w:sz="8" w:color="auto"/>
            </w:tcBorders>
          </w:tcPr>
          <w:p>
            <w:pPr>
              <w:spacing w:after="0"/>
              <w:rPr>
                <w:sz w:val="16"/>
                <w:szCs w:val="16"/>
                <w:color w:val="auto"/>
              </w:rPr>
            </w:pPr>
          </w:p>
        </w:tc>
        <w:tc>
          <w:tcPr>
            <w:tcW w:w="3380" w:type="dxa"/>
            <w:vAlign w:val="bottom"/>
            <w:tcBorders>
              <w:top w:val="single" w:sz="8" w:color="auto"/>
              <w:right w:val="single" w:sz="8" w:color="auto"/>
            </w:tcBorders>
            <w:gridSpan w:val="2"/>
          </w:tcPr>
          <w:p>
            <w:pPr>
              <w:jc w:val="center"/>
              <w:ind w:right="1020"/>
              <w:spacing w:after="0" w:line="189" w:lineRule="exact"/>
              <w:rPr>
                <w:sz w:val="20"/>
                <w:szCs w:val="20"/>
                <w:color w:val="auto"/>
              </w:rPr>
            </w:pPr>
            <w:r>
              <w:rPr>
                <w:rFonts w:ascii="Arial" w:cs="Arial" w:eastAsia="Arial" w:hAnsi="Arial"/>
                <w:sz w:val="18"/>
                <w:szCs w:val="18"/>
                <w:color w:val="auto"/>
                <w:w w:val="92"/>
              </w:rPr>
              <w:t>Eurocurrency Initial Term Loans</w:t>
            </w:r>
          </w:p>
        </w:tc>
        <w:tc>
          <w:tcPr>
            <w:tcW w:w="1180" w:type="dxa"/>
            <w:vAlign w:val="bottom"/>
            <w:tcBorders>
              <w:top w:val="single" w:sz="8" w:color="auto"/>
            </w:tcBorders>
          </w:tcPr>
          <w:p>
            <w:pPr>
              <w:spacing w:after="0"/>
              <w:rPr>
                <w:sz w:val="16"/>
                <w:szCs w:val="16"/>
                <w:color w:val="auto"/>
              </w:rPr>
            </w:pPr>
          </w:p>
        </w:tc>
        <w:tc>
          <w:tcPr>
            <w:tcW w:w="2960" w:type="dxa"/>
            <w:vAlign w:val="bottom"/>
            <w:tcBorders>
              <w:top w:val="single" w:sz="8" w:color="auto"/>
              <w:right w:val="single" w:sz="8" w:color="auto"/>
            </w:tcBorders>
            <w:gridSpan w:val="2"/>
          </w:tcPr>
          <w:p>
            <w:pPr>
              <w:jc w:val="center"/>
              <w:ind w:right="1200"/>
              <w:spacing w:after="0" w:line="189" w:lineRule="exact"/>
              <w:rPr>
                <w:sz w:val="20"/>
                <w:szCs w:val="20"/>
                <w:color w:val="auto"/>
              </w:rPr>
            </w:pPr>
            <w:r>
              <w:rPr>
                <w:rFonts w:ascii="Arial" w:cs="Arial" w:eastAsia="Arial" w:hAnsi="Arial"/>
                <w:sz w:val="18"/>
                <w:szCs w:val="18"/>
                <w:color w:val="auto"/>
                <w:w w:val="95"/>
              </w:rPr>
              <w:t>ABR Initial Term Loans</w:t>
            </w:r>
          </w:p>
        </w:tc>
      </w:tr>
      <w:tr>
        <w:trPr>
          <w:trHeight w:val="196"/>
        </w:trPr>
        <w:tc>
          <w:tcPr>
            <w:tcW w:w="500" w:type="dxa"/>
            <w:vAlign w:val="bottom"/>
            <w:tcBorders>
              <w:left w:val="single" w:sz="8" w:color="auto"/>
            </w:tcBorders>
          </w:tcPr>
          <w:p>
            <w:pPr>
              <w:spacing w:after="0"/>
              <w:rPr>
                <w:sz w:val="17"/>
                <w:szCs w:val="17"/>
                <w:color w:val="auto"/>
              </w:rPr>
            </w:pPr>
          </w:p>
        </w:tc>
        <w:tc>
          <w:tcPr>
            <w:tcW w:w="172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Ratio</w:t>
            </w:r>
          </w:p>
        </w:tc>
        <w:tc>
          <w:tcPr>
            <w:tcW w:w="50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101"/>
        </w:trPr>
        <w:tc>
          <w:tcPr>
            <w:tcW w:w="500" w:type="dxa"/>
            <w:vAlign w:val="bottom"/>
            <w:tcBorders>
              <w:left w:val="single" w:sz="8" w:color="auto"/>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r>
      <w:tr>
        <w:trPr>
          <w:trHeight w:val="224"/>
        </w:trPr>
        <w:tc>
          <w:tcPr>
            <w:tcW w:w="500" w:type="dxa"/>
            <w:vAlign w:val="bottom"/>
            <w:tcBorders>
              <w:left w:val="single" w:sz="8" w:color="auto"/>
            </w:tcBorders>
          </w:tcPr>
          <w:p>
            <w:pPr>
              <w:spacing w:after="0"/>
              <w:rPr>
                <w:sz w:val="19"/>
                <w:szCs w:val="19"/>
                <w:color w:val="auto"/>
              </w:rPr>
            </w:pPr>
          </w:p>
        </w:tc>
        <w:tc>
          <w:tcPr>
            <w:tcW w:w="2220" w:type="dxa"/>
            <w:vAlign w:val="bottom"/>
            <w:tcBorders>
              <w:right w:val="single" w:sz="8" w:color="auto"/>
            </w:tcBorders>
            <w:gridSpan w:val="4"/>
          </w:tcPr>
          <w:p>
            <w:pPr>
              <w:jc w:val="center"/>
              <w:ind w:right="500"/>
              <w:spacing w:after="0"/>
              <w:rPr>
                <w:sz w:val="20"/>
                <w:szCs w:val="20"/>
                <w:color w:val="auto"/>
              </w:rPr>
            </w:pPr>
            <w:r>
              <w:rPr>
                <w:rFonts w:ascii="Arial" w:cs="Arial" w:eastAsia="Arial" w:hAnsi="Arial"/>
                <w:sz w:val="18"/>
                <w:szCs w:val="18"/>
                <w:color w:val="auto"/>
                <w:w w:val="90"/>
              </w:rPr>
              <w:t>&gt; 4.00 to 1.00</w:t>
            </w:r>
          </w:p>
        </w:tc>
        <w:tc>
          <w:tcPr>
            <w:tcW w:w="3360" w:type="dxa"/>
            <w:vAlign w:val="bottom"/>
            <w:gridSpan w:val="2"/>
          </w:tcPr>
          <w:p>
            <w:pPr>
              <w:jc w:val="center"/>
              <w:ind w:left="910"/>
              <w:spacing w:after="0"/>
              <w:rPr>
                <w:sz w:val="20"/>
                <w:szCs w:val="20"/>
                <w:color w:val="auto"/>
              </w:rPr>
            </w:pPr>
            <w:r>
              <w:rPr>
                <w:rFonts w:ascii="Arial" w:cs="Arial" w:eastAsia="Arial" w:hAnsi="Arial"/>
                <w:sz w:val="18"/>
                <w:szCs w:val="18"/>
                <w:color w:val="auto"/>
                <w:w w:val="93"/>
              </w:rPr>
              <w:t>2.50%</w:t>
            </w:r>
          </w:p>
        </w:tc>
        <w:tc>
          <w:tcPr>
            <w:tcW w:w="1020" w:type="dxa"/>
            <w:vAlign w:val="bottom"/>
            <w:tcBorders>
              <w:right w:val="single" w:sz="8" w:color="auto"/>
            </w:tcBorders>
          </w:tcPr>
          <w:p>
            <w:pPr>
              <w:spacing w:after="0"/>
              <w:rPr>
                <w:sz w:val="19"/>
                <w:szCs w:val="19"/>
                <w:color w:val="auto"/>
              </w:rPr>
            </w:pPr>
          </w:p>
        </w:tc>
        <w:tc>
          <w:tcPr>
            <w:tcW w:w="2940" w:type="dxa"/>
            <w:vAlign w:val="bottom"/>
            <w:gridSpan w:val="2"/>
          </w:tcPr>
          <w:p>
            <w:pPr>
              <w:jc w:val="center"/>
              <w:ind w:left="1090"/>
              <w:spacing w:after="0"/>
              <w:rPr>
                <w:sz w:val="20"/>
                <w:szCs w:val="20"/>
                <w:color w:val="auto"/>
              </w:rPr>
            </w:pPr>
            <w:r>
              <w:rPr>
                <w:rFonts w:ascii="Arial" w:cs="Arial" w:eastAsia="Arial" w:hAnsi="Arial"/>
                <w:sz w:val="18"/>
                <w:szCs w:val="18"/>
                <w:color w:val="auto"/>
                <w:w w:val="93"/>
              </w:rPr>
              <w:t>1.50%</w:t>
            </w:r>
          </w:p>
        </w:tc>
        <w:tc>
          <w:tcPr>
            <w:tcW w:w="1200" w:type="dxa"/>
            <w:vAlign w:val="bottom"/>
            <w:tcBorders>
              <w:right w:val="single" w:sz="8" w:color="auto"/>
            </w:tcBorders>
          </w:tcPr>
          <w:p>
            <w:pPr>
              <w:spacing w:after="0"/>
              <w:rPr>
                <w:sz w:val="19"/>
                <w:szCs w:val="19"/>
                <w:color w:val="auto"/>
              </w:rPr>
            </w:pPr>
          </w:p>
        </w:tc>
      </w:tr>
      <w:tr>
        <w:trPr>
          <w:trHeight w:val="67"/>
        </w:trPr>
        <w:tc>
          <w:tcPr>
            <w:tcW w:w="500" w:type="dxa"/>
            <w:vAlign w:val="bottom"/>
            <w:tcBorders>
              <w:left w:val="single" w:sz="8" w:color="auto"/>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4"/>
        </w:trPr>
        <w:tc>
          <w:tcPr>
            <w:tcW w:w="500" w:type="dxa"/>
            <w:vAlign w:val="bottom"/>
            <w:tcBorders>
              <w:left w:val="single" w:sz="8" w:color="auto"/>
            </w:tcBorders>
          </w:tcPr>
          <w:p>
            <w:pPr>
              <w:spacing w:after="0"/>
              <w:rPr>
                <w:sz w:val="19"/>
                <w:szCs w:val="19"/>
                <w:color w:val="auto"/>
              </w:rPr>
            </w:pPr>
          </w:p>
        </w:tc>
        <w:tc>
          <w:tcPr>
            <w:tcW w:w="2220" w:type="dxa"/>
            <w:vAlign w:val="bottom"/>
            <w:tcBorders>
              <w:right w:val="single" w:sz="8" w:color="auto"/>
            </w:tcBorders>
            <w:gridSpan w:val="4"/>
          </w:tcPr>
          <w:p>
            <w:pPr>
              <w:jc w:val="center"/>
              <w:ind w:right="500"/>
              <w:spacing w:after="0"/>
              <w:rPr>
                <w:sz w:val="20"/>
                <w:szCs w:val="20"/>
                <w:color w:val="auto"/>
              </w:rPr>
            </w:pPr>
            <w:r>
              <w:rPr>
                <w:rFonts w:ascii="Arial" w:cs="Arial" w:eastAsia="Arial" w:hAnsi="Arial"/>
                <w:sz w:val="18"/>
                <w:szCs w:val="18"/>
                <w:color w:val="auto"/>
                <w:w w:val="90"/>
              </w:rPr>
              <w:t>≤ 4.00 to 1.00</w:t>
            </w:r>
          </w:p>
        </w:tc>
        <w:tc>
          <w:tcPr>
            <w:tcW w:w="3360" w:type="dxa"/>
            <w:vAlign w:val="bottom"/>
            <w:gridSpan w:val="2"/>
          </w:tcPr>
          <w:p>
            <w:pPr>
              <w:jc w:val="center"/>
              <w:ind w:left="910"/>
              <w:spacing w:after="0"/>
              <w:rPr>
                <w:sz w:val="20"/>
                <w:szCs w:val="20"/>
                <w:color w:val="auto"/>
              </w:rPr>
            </w:pPr>
            <w:r>
              <w:rPr>
                <w:rFonts w:ascii="Arial" w:cs="Arial" w:eastAsia="Arial" w:hAnsi="Arial"/>
                <w:sz w:val="18"/>
                <w:szCs w:val="18"/>
                <w:color w:val="auto"/>
                <w:w w:val="93"/>
              </w:rPr>
              <w:t>2.25%</w:t>
            </w:r>
          </w:p>
        </w:tc>
        <w:tc>
          <w:tcPr>
            <w:tcW w:w="1020" w:type="dxa"/>
            <w:vAlign w:val="bottom"/>
            <w:tcBorders>
              <w:right w:val="single" w:sz="8" w:color="auto"/>
            </w:tcBorders>
          </w:tcPr>
          <w:p>
            <w:pPr>
              <w:spacing w:after="0"/>
              <w:rPr>
                <w:sz w:val="19"/>
                <w:szCs w:val="19"/>
                <w:color w:val="auto"/>
              </w:rPr>
            </w:pPr>
          </w:p>
        </w:tc>
        <w:tc>
          <w:tcPr>
            <w:tcW w:w="2940" w:type="dxa"/>
            <w:vAlign w:val="bottom"/>
            <w:gridSpan w:val="2"/>
          </w:tcPr>
          <w:p>
            <w:pPr>
              <w:jc w:val="center"/>
              <w:ind w:left="1090"/>
              <w:spacing w:after="0"/>
              <w:rPr>
                <w:sz w:val="20"/>
                <w:szCs w:val="20"/>
                <w:color w:val="auto"/>
              </w:rPr>
            </w:pPr>
            <w:r>
              <w:rPr>
                <w:rFonts w:ascii="Arial" w:cs="Arial" w:eastAsia="Arial" w:hAnsi="Arial"/>
                <w:sz w:val="18"/>
                <w:szCs w:val="18"/>
                <w:color w:val="auto"/>
                <w:w w:val="93"/>
              </w:rPr>
              <w:t>1.25%</w:t>
            </w:r>
          </w:p>
        </w:tc>
        <w:tc>
          <w:tcPr>
            <w:tcW w:w="1200" w:type="dxa"/>
            <w:vAlign w:val="bottom"/>
            <w:tcBorders>
              <w:right w:val="single" w:sz="8" w:color="auto"/>
            </w:tcBorders>
          </w:tcPr>
          <w:p>
            <w:pPr>
              <w:spacing w:after="0"/>
              <w:rPr>
                <w:sz w:val="19"/>
                <w:szCs w:val="19"/>
                <w:color w:val="auto"/>
              </w:rPr>
            </w:pPr>
          </w:p>
        </w:tc>
      </w:tr>
      <w:tr>
        <w:trPr>
          <w:trHeight w:val="67"/>
        </w:trPr>
        <w:tc>
          <w:tcPr>
            <w:tcW w:w="500" w:type="dxa"/>
            <w:vAlign w:val="bottom"/>
            <w:tcBorders>
              <w:left w:val="single" w:sz="8" w:color="auto"/>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662"/>
        </w:trPr>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7</w:t>
            </w:r>
          </w:p>
        </w:tc>
        <w:tc>
          <w:tcPr>
            <w:tcW w:w="10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19" w:name="page20"/>
    <w:bookmarkEnd w:id="19"/>
    <w:p>
      <w:pPr>
        <w:ind w:firstLine="656"/>
        <w:spacing w:after="0" w:line="277" w:lineRule="auto"/>
        <w:tabs>
          <w:tab w:leader="none" w:pos="933"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(a) any Eurocurrency Initial Revolving Loan or RFR Initial Revolving Loan and (b) any ABR Initial Revolving Loan, the following percentages per annum based on the current corporate family rating assigned by S&amp;P to Holdings: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40" w:type="dxa"/>
            <w:vAlign w:val="bottom"/>
            <w:tcBorders>
              <w:top w:val="single" w:sz="8" w:color="auto"/>
              <w:left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4380" w:type="dxa"/>
            <w:vAlign w:val="bottom"/>
            <w:tcBorders>
              <w:top w:val="single" w:sz="8" w:color="auto"/>
              <w:right w:val="single" w:sz="8" w:color="auto"/>
            </w:tcBorders>
            <w:gridSpan w:val="5"/>
          </w:tcPr>
          <w:p>
            <w:pPr>
              <w:jc w:val="center"/>
              <w:ind w:right="20"/>
              <w:spacing w:after="0" w:line="189" w:lineRule="exact"/>
              <w:rPr>
                <w:sz w:val="20"/>
                <w:szCs w:val="20"/>
                <w:color w:val="auto"/>
              </w:rPr>
            </w:pPr>
            <w:r>
              <w:rPr>
                <w:rFonts w:ascii="Arial" w:cs="Arial" w:eastAsia="Arial" w:hAnsi="Arial"/>
                <w:sz w:val="18"/>
                <w:szCs w:val="18"/>
                <w:color w:val="auto"/>
                <w:w w:val="93"/>
              </w:rPr>
              <w:t>Eurocurrency Initial Revolving Loans</w:t>
            </w:r>
          </w:p>
        </w:tc>
        <w:tc>
          <w:tcPr>
            <w:tcW w:w="100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r>
      <w:tr>
        <w:trPr>
          <w:trHeight w:val="196"/>
        </w:trPr>
        <w:tc>
          <w:tcPr>
            <w:tcW w:w="940" w:type="dxa"/>
            <w:vAlign w:val="bottom"/>
            <w:tcBorders>
              <w:left w:val="single" w:sz="8" w:color="auto"/>
            </w:tcBorders>
          </w:tcPr>
          <w:p>
            <w:pPr>
              <w:spacing w:after="0"/>
              <w:rPr>
                <w:sz w:val="17"/>
                <w:szCs w:val="17"/>
                <w:color w:val="auto"/>
              </w:rPr>
            </w:pPr>
          </w:p>
        </w:tc>
        <w:tc>
          <w:tcPr>
            <w:tcW w:w="1780" w:type="dxa"/>
            <w:vAlign w:val="bottom"/>
            <w:tcBorders>
              <w:right w:val="single" w:sz="8" w:color="auto"/>
            </w:tcBorders>
            <w:gridSpan w:val="2"/>
          </w:tcPr>
          <w:p>
            <w:pPr>
              <w:jc w:val="center"/>
              <w:ind w:right="920"/>
              <w:spacing w:after="0" w:line="196" w:lineRule="exact"/>
              <w:rPr>
                <w:sz w:val="20"/>
                <w:szCs w:val="20"/>
                <w:color w:val="auto"/>
              </w:rPr>
            </w:pPr>
            <w:r>
              <w:rPr>
                <w:rFonts w:ascii="Arial" w:cs="Arial" w:eastAsia="Arial" w:hAnsi="Arial"/>
                <w:sz w:val="18"/>
                <w:szCs w:val="18"/>
                <w:color w:val="auto"/>
                <w:w w:val="92"/>
              </w:rPr>
              <w:t>S&amp;P Rating</w:t>
            </w:r>
          </w:p>
        </w:tc>
        <w:tc>
          <w:tcPr>
            <w:tcW w:w="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gridSpan w:val="2"/>
          </w:tcPr>
          <w:p>
            <w:pPr>
              <w:jc w:val="center"/>
              <w:ind w:right="160"/>
              <w:spacing w:after="0" w:line="196" w:lineRule="exact"/>
              <w:rPr>
                <w:sz w:val="20"/>
                <w:szCs w:val="20"/>
                <w:color w:val="auto"/>
              </w:rPr>
            </w:pPr>
            <w:r>
              <w:rPr>
                <w:rFonts w:ascii="Arial" w:cs="Arial" w:eastAsia="Arial" w:hAnsi="Arial"/>
                <w:sz w:val="18"/>
                <w:szCs w:val="18"/>
                <w:color w:val="auto"/>
                <w:w w:val="93"/>
              </w:rPr>
              <w:t>and RFR Initial Revolving Loans</w:t>
            </w:r>
          </w:p>
        </w:tc>
        <w:tc>
          <w:tcPr>
            <w:tcW w:w="84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3140" w:type="dxa"/>
            <w:vAlign w:val="bottom"/>
            <w:tcBorders>
              <w:right w:val="single" w:sz="8" w:color="auto"/>
            </w:tcBorders>
            <w:gridSpan w:val="2"/>
          </w:tcPr>
          <w:p>
            <w:pPr>
              <w:jc w:val="center"/>
              <w:ind w:right="1020"/>
              <w:spacing w:after="0" w:line="196" w:lineRule="exact"/>
              <w:rPr>
                <w:sz w:val="20"/>
                <w:szCs w:val="20"/>
                <w:color w:val="auto"/>
              </w:rPr>
            </w:pPr>
            <w:r>
              <w:rPr>
                <w:rFonts w:ascii="Arial" w:cs="Arial" w:eastAsia="Arial" w:hAnsi="Arial"/>
                <w:sz w:val="18"/>
                <w:szCs w:val="18"/>
                <w:color w:val="auto"/>
                <w:w w:val="95"/>
              </w:rPr>
              <w:t>ABR Initial Revolving Loans</w:t>
            </w:r>
          </w:p>
        </w:tc>
      </w:tr>
      <w:tr>
        <w:trPr>
          <w:trHeight w:val="102"/>
        </w:trPr>
        <w:tc>
          <w:tcPr>
            <w:tcW w:w="940" w:type="dxa"/>
            <w:vAlign w:val="bottom"/>
            <w:tcBorders>
              <w:left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0" w:type="dxa"/>
            <w:vAlign w:val="bottom"/>
            <w:tcBorders>
              <w:top w:val="single" w:sz="8" w:color="auto"/>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120" w:type="dxa"/>
            <w:vAlign w:val="bottom"/>
            <w:tcBorders>
              <w:top w:val="single" w:sz="8" w:color="auto"/>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r>
      <w:tr>
        <w:trPr>
          <w:trHeight w:val="224"/>
        </w:trPr>
        <w:tc>
          <w:tcPr>
            <w:tcW w:w="2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BB+ (or higher)</w:t>
            </w:r>
          </w:p>
        </w:tc>
        <w:tc>
          <w:tcPr>
            <w:tcW w:w="3380" w:type="dxa"/>
            <w:vAlign w:val="bottom"/>
            <w:gridSpan w:val="3"/>
          </w:tcPr>
          <w:p>
            <w:pPr>
              <w:jc w:val="center"/>
              <w:ind w:left="890"/>
              <w:spacing w:after="0"/>
              <w:rPr>
                <w:sz w:val="20"/>
                <w:szCs w:val="20"/>
                <w:color w:val="auto"/>
              </w:rPr>
            </w:pPr>
            <w:r>
              <w:rPr>
                <w:rFonts w:ascii="Arial" w:cs="Arial" w:eastAsia="Arial" w:hAnsi="Arial"/>
                <w:sz w:val="18"/>
                <w:szCs w:val="18"/>
                <w:color w:val="auto"/>
                <w:w w:val="93"/>
              </w:rPr>
              <w:t>1.25%</w:t>
            </w: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120" w:type="dxa"/>
            <w:vAlign w:val="bottom"/>
            <w:gridSpan w:val="2"/>
          </w:tcPr>
          <w:p>
            <w:pPr>
              <w:jc w:val="center"/>
              <w:ind w:left="910"/>
              <w:spacing w:after="0"/>
              <w:rPr>
                <w:sz w:val="20"/>
                <w:szCs w:val="20"/>
                <w:color w:val="auto"/>
              </w:rPr>
            </w:pPr>
            <w:r>
              <w:rPr>
                <w:rFonts w:ascii="Arial" w:cs="Arial" w:eastAsia="Arial" w:hAnsi="Arial"/>
                <w:sz w:val="18"/>
                <w:szCs w:val="18"/>
                <w:color w:val="auto"/>
                <w:w w:val="93"/>
              </w:rPr>
              <w:t>0.25%</w:t>
            </w:r>
          </w:p>
        </w:tc>
        <w:tc>
          <w:tcPr>
            <w:tcW w:w="1020" w:type="dxa"/>
            <w:vAlign w:val="bottom"/>
            <w:tcBorders>
              <w:right w:val="single" w:sz="8" w:color="auto"/>
            </w:tcBorders>
          </w:tcPr>
          <w:p>
            <w:pPr>
              <w:spacing w:after="0"/>
              <w:rPr>
                <w:sz w:val="19"/>
                <w:szCs w:val="19"/>
                <w:color w:val="auto"/>
              </w:rPr>
            </w:pPr>
          </w:p>
        </w:tc>
      </w:tr>
      <w:tr>
        <w:trPr>
          <w:trHeight w:val="67"/>
        </w:trPr>
        <w:tc>
          <w:tcPr>
            <w:tcW w:w="940" w:type="dxa"/>
            <w:vAlign w:val="bottom"/>
            <w:tcBorders>
              <w:left w:val="single" w:sz="8" w:color="auto"/>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24"/>
        </w:trPr>
        <w:tc>
          <w:tcPr>
            <w:tcW w:w="940" w:type="dxa"/>
            <w:vAlign w:val="bottom"/>
            <w:tcBorders>
              <w:left w:val="single" w:sz="8" w:color="auto"/>
            </w:tcBorders>
          </w:tcPr>
          <w:p>
            <w:pPr>
              <w:spacing w:after="0"/>
              <w:rPr>
                <w:sz w:val="19"/>
                <w:szCs w:val="19"/>
                <w:color w:val="auto"/>
              </w:rPr>
            </w:pPr>
          </w:p>
        </w:tc>
        <w:tc>
          <w:tcPr>
            <w:tcW w:w="17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9"/>
              </w:rPr>
              <w:t>BB</w:t>
            </w:r>
          </w:p>
        </w:tc>
        <w:tc>
          <w:tcPr>
            <w:tcW w:w="3380" w:type="dxa"/>
            <w:vAlign w:val="bottom"/>
            <w:gridSpan w:val="3"/>
          </w:tcPr>
          <w:p>
            <w:pPr>
              <w:jc w:val="center"/>
              <w:ind w:left="890"/>
              <w:spacing w:after="0"/>
              <w:rPr>
                <w:sz w:val="20"/>
                <w:szCs w:val="20"/>
                <w:color w:val="auto"/>
              </w:rPr>
            </w:pPr>
            <w:r>
              <w:rPr>
                <w:rFonts w:ascii="Arial" w:cs="Arial" w:eastAsia="Arial" w:hAnsi="Arial"/>
                <w:sz w:val="18"/>
                <w:szCs w:val="18"/>
                <w:color w:val="auto"/>
                <w:w w:val="93"/>
              </w:rPr>
              <w:t>1.60%</w:t>
            </w: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120" w:type="dxa"/>
            <w:vAlign w:val="bottom"/>
            <w:gridSpan w:val="2"/>
          </w:tcPr>
          <w:p>
            <w:pPr>
              <w:jc w:val="center"/>
              <w:ind w:left="910"/>
              <w:spacing w:after="0"/>
              <w:rPr>
                <w:sz w:val="20"/>
                <w:szCs w:val="20"/>
                <w:color w:val="auto"/>
              </w:rPr>
            </w:pPr>
            <w:r>
              <w:rPr>
                <w:rFonts w:ascii="Arial" w:cs="Arial" w:eastAsia="Arial" w:hAnsi="Arial"/>
                <w:sz w:val="18"/>
                <w:szCs w:val="18"/>
                <w:color w:val="auto"/>
                <w:w w:val="93"/>
              </w:rPr>
              <w:t>0.60%</w:t>
            </w:r>
          </w:p>
        </w:tc>
        <w:tc>
          <w:tcPr>
            <w:tcW w:w="1020" w:type="dxa"/>
            <w:vAlign w:val="bottom"/>
            <w:tcBorders>
              <w:right w:val="single" w:sz="8" w:color="auto"/>
            </w:tcBorders>
          </w:tcPr>
          <w:p>
            <w:pPr>
              <w:spacing w:after="0"/>
              <w:rPr>
                <w:sz w:val="19"/>
                <w:szCs w:val="19"/>
                <w:color w:val="auto"/>
              </w:rPr>
            </w:pPr>
          </w:p>
        </w:tc>
      </w:tr>
      <w:tr>
        <w:trPr>
          <w:trHeight w:val="67"/>
        </w:trPr>
        <w:tc>
          <w:tcPr>
            <w:tcW w:w="940" w:type="dxa"/>
            <w:vAlign w:val="bottom"/>
            <w:tcBorders>
              <w:left w:val="single" w:sz="8" w:color="auto"/>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24"/>
        </w:trPr>
        <w:tc>
          <w:tcPr>
            <w:tcW w:w="2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BB- (or lower)</w:t>
            </w:r>
          </w:p>
        </w:tc>
        <w:tc>
          <w:tcPr>
            <w:tcW w:w="3380" w:type="dxa"/>
            <w:vAlign w:val="bottom"/>
            <w:gridSpan w:val="3"/>
          </w:tcPr>
          <w:p>
            <w:pPr>
              <w:jc w:val="center"/>
              <w:ind w:left="890"/>
              <w:spacing w:after="0"/>
              <w:rPr>
                <w:sz w:val="20"/>
                <w:szCs w:val="20"/>
                <w:color w:val="auto"/>
              </w:rPr>
            </w:pPr>
            <w:r>
              <w:rPr>
                <w:rFonts w:ascii="Arial" w:cs="Arial" w:eastAsia="Arial" w:hAnsi="Arial"/>
                <w:sz w:val="18"/>
                <w:szCs w:val="18"/>
                <w:color w:val="auto"/>
                <w:w w:val="93"/>
              </w:rPr>
              <w:t>2.00%</w:t>
            </w: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120" w:type="dxa"/>
            <w:vAlign w:val="bottom"/>
            <w:gridSpan w:val="2"/>
          </w:tcPr>
          <w:p>
            <w:pPr>
              <w:jc w:val="center"/>
              <w:ind w:left="910"/>
              <w:spacing w:after="0"/>
              <w:rPr>
                <w:sz w:val="20"/>
                <w:szCs w:val="20"/>
                <w:color w:val="auto"/>
              </w:rPr>
            </w:pPr>
            <w:r>
              <w:rPr>
                <w:rFonts w:ascii="Arial" w:cs="Arial" w:eastAsia="Arial" w:hAnsi="Arial"/>
                <w:sz w:val="18"/>
                <w:szCs w:val="18"/>
                <w:color w:val="auto"/>
                <w:w w:val="93"/>
              </w:rPr>
              <w:t>1.00%</w:t>
            </w:r>
          </w:p>
        </w:tc>
        <w:tc>
          <w:tcPr>
            <w:tcW w:w="1020" w:type="dxa"/>
            <w:vAlign w:val="bottom"/>
            <w:tcBorders>
              <w:right w:val="single" w:sz="8" w:color="auto"/>
            </w:tcBorders>
          </w:tcPr>
          <w:p>
            <w:pPr>
              <w:spacing w:after="0"/>
              <w:rPr>
                <w:sz w:val="19"/>
                <w:szCs w:val="19"/>
                <w:color w:val="auto"/>
              </w:rPr>
            </w:pPr>
          </w:p>
        </w:tc>
      </w:tr>
      <w:tr>
        <w:trPr>
          <w:trHeight w:val="67"/>
        </w:trPr>
        <w:tc>
          <w:tcPr>
            <w:tcW w:w="940" w:type="dxa"/>
            <w:vAlign w:val="bottom"/>
            <w:tcBorders>
              <w:left w:val="single" w:sz="8" w:color="auto"/>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firstLine="656"/>
        <w:spacing w:after="0" w:line="277" w:lineRule="auto"/>
        <w:tabs>
          <w:tab w:leader="none" w:pos="979"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any other Loan, as specified in the applicable Extension Amendment (to the extent such Extension Amendment specifies a different rate from the rate then applicable to the Loans being so extended), Incremental Amendment or Refinancing Amendment.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increase or decrease in the Applicable Margin under clause (i) above resulting from a change in the First Lien Net Leverage Ratio shall become effective as of the first Business Day after the date on which a Compliance Certificate is delivered pursuant to Section 5.01(c). Any increase or decrease in the Applicable Margin under clause (ii) above resulting from a change in Holdings’ corporate family rating from S&amp;P shall become effective as of the first Business Day following the date on which a notice of a change in rating has been delivered by Holdings pursuant to Section 5.01(g).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(a) with respect to any Revolving Lender in respect of a Revolving Credit Event, its Revolving Percentage and</w:t>
      </w:r>
    </w:p>
    <w:p>
      <w:pPr>
        <w:spacing w:after="0" w:line="46" w:lineRule="exact"/>
        <w:rPr>
          <w:sz w:val="20"/>
          <w:szCs w:val="20"/>
          <w:color w:val="auto"/>
        </w:rPr>
      </w:pPr>
    </w:p>
    <w:p>
      <w:pPr>
        <w:jc w:val="both"/>
        <w:ind w:firstLine="8"/>
        <w:spacing w:after="0" w:line="251" w:lineRule="auto"/>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any Term Lender, a percentage equal to a fraction the numerator of which is the outstanding principal amount of such Lender’s Term Loans and the denominator of which is the aggregate outstanding amount of the Term Loans of all Term Lenders. When references herein to the “Applicable Percentage” refer to the aggregate outstandings hereunder, the Applicable Percentage of each Lender shall be determined in a manner consistent with the foregoing, but taking into account all of their relevant Revolving Commitments (or related Revolving Credit Exposures) and outstanding Term Loans hereunder. In making the foregoing determinations, if any of the relevant amounts are denominated in a currency other than Dollars, the Dollar Amounts thereof (as determined by the Administrative Agent in good faith) shall be utilized. If the context indicates that the “Applicable Percentage” is to be determined for a relevant Class or Tranche, then only the respective Class or Tranche shall be included as otherwise provided above in determining the relevant Applicable Percentages.</w:t>
      </w:r>
    </w:p>
    <w:p>
      <w:pPr>
        <w:spacing w:after="0" w:line="19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Utilization Fee Rate</w:t>
      </w:r>
      <w:r>
        <w:rPr>
          <w:rFonts w:ascii="Arial" w:cs="Arial" w:eastAsia="Arial" w:hAnsi="Arial"/>
          <w:sz w:val="18"/>
          <w:szCs w:val="18"/>
          <w:color w:val="auto"/>
        </w:rPr>
        <w:t>” means on any date, with respect to the Revolving Commitments, the applicable rate per annum set forth below based upon the Average Revolving Utilization:</w:t>
      </w:r>
    </w:p>
    <w:p>
      <w:pPr>
        <w:spacing w:after="0" w:line="165" w:lineRule="exact"/>
        <w:rPr>
          <w:sz w:val="20"/>
          <w:szCs w:val="20"/>
          <w:color w:val="auto"/>
        </w:rPr>
      </w:pPr>
    </w:p>
    <w:tbl>
      <w:tblPr>
        <w:tblLayout w:type="fixed"/>
        <w:tblInd w:w="670" w:type="dxa"/>
        <w:tblCellMar>
          <w:top w:w="0" w:type="dxa"/>
          <w:left w:w="0" w:type="dxa"/>
          <w:bottom w:w="0" w:type="dxa"/>
          <w:right w:w="0" w:type="dxa"/>
        </w:tblCellMar>
      </w:tblPr>
      <w:tr>
        <w:trPr>
          <w:trHeight w:val="211"/>
        </w:trPr>
        <w:tc>
          <w:tcPr>
            <w:tcW w:w="272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3020" w:type="dxa"/>
            <w:vAlign w:val="bottom"/>
            <w:tcBorders>
              <w:top w:val="single" w:sz="8" w:color="auto"/>
              <w:right w:val="single" w:sz="8" w:color="auto"/>
            </w:tcBorders>
            <w:shd w:val="clear" w:color="auto" w:fill="D9D9D9"/>
          </w:tcPr>
          <w:p>
            <w:pPr>
              <w:jc w:val="center"/>
              <w:ind w:left="10"/>
              <w:spacing w:after="0"/>
              <w:rPr>
                <w:sz w:val="20"/>
                <w:szCs w:val="20"/>
                <w:color w:val="auto"/>
              </w:rPr>
            </w:pPr>
            <w:r>
              <w:rPr>
                <w:rFonts w:ascii="Arial" w:cs="Arial" w:eastAsia="Arial" w:hAnsi="Arial"/>
                <w:sz w:val="18"/>
                <w:szCs w:val="18"/>
                <w:b w:val="1"/>
                <w:bCs w:val="1"/>
                <w:color w:val="auto"/>
                <w:w w:val="88"/>
              </w:rPr>
              <w:t>Average Revolving</w:t>
            </w:r>
          </w:p>
        </w:tc>
        <w:tc>
          <w:tcPr>
            <w:tcW w:w="2680" w:type="dxa"/>
            <w:vAlign w:val="bottom"/>
            <w:tcBorders>
              <w:top w:val="single" w:sz="8" w:color="auto"/>
              <w:right w:val="single" w:sz="8" w:color="auto"/>
            </w:tcBorders>
            <w:shd w:val="clear" w:color="auto" w:fill="D9D9D9"/>
          </w:tcPr>
          <w:p>
            <w:pPr>
              <w:ind w:left="340"/>
              <w:spacing w:after="0"/>
              <w:rPr>
                <w:sz w:val="20"/>
                <w:szCs w:val="20"/>
                <w:color w:val="auto"/>
              </w:rPr>
            </w:pPr>
            <w:r>
              <w:rPr>
                <w:rFonts w:ascii="Arial" w:cs="Arial" w:eastAsia="Arial" w:hAnsi="Arial"/>
                <w:sz w:val="18"/>
                <w:szCs w:val="18"/>
                <w:b w:val="1"/>
                <w:bCs w:val="1"/>
                <w:color w:val="auto"/>
              </w:rPr>
              <w:t>Applicable Utilization Fee</w:t>
            </w:r>
          </w:p>
        </w:tc>
      </w:tr>
      <w:tr>
        <w:trPr>
          <w:trHeight w:val="234"/>
        </w:trPr>
        <w:tc>
          <w:tcPr>
            <w:tcW w:w="27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Level</w:t>
            </w:r>
          </w:p>
        </w:tc>
        <w:tc>
          <w:tcPr>
            <w:tcW w:w="3020" w:type="dxa"/>
            <w:vAlign w:val="bottom"/>
            <w:tcBorders>
              <w:right w:val="single" w:sz="8" w:color="auto"/>
            </w:tcBorders>
            <w:shd w:val="clear" w:color="auto" w:fill="D9D9D9"/>
          </w:tcPr>
          <w:p>
            <w:pPr>
              <w:jc w:val="center"/>
              <w:ind w:left="10"/>
              <w:spacing w:after="0"/>
              <w:rPr>
                <w:sz w:val="20"/>
                <w:szCs w:val="20"/>
                <w:color w:val="auto"/>
              </w:rPr>
            </w:pPr>
            <w:r>
              <w:rPr>
                <w:rFonts w:ascii="Arial" w:cs="Arial" w:eastAsia="Arial" w:hAnsi="Arial"/>
                <w:sz w:val="18"/>
                <w:szCs w:val="18"/>
                <w:b w:val="1"/>
                <w:bCs w:val="1"/>
                <w:color w:val="auto"/>
                <w:w w:val="92"/>
              </w:rPr>
              <w:t>Utilization</w:t>
            </w:r>
          </w:p>
        </w:tc>
        <w:tc>
          <w:tcPr>
            <w:tcW w:w="2680" w:type="dxa"/>
            <w:vAlign w:val="bottom"/>
            <w:tcBorders>
              <w:right w:val="single" w:sz="8" w:color="auto"/>
            </w:tcBorders>
            <w:shd w:val="clear" w:color="auto" w:fill="D9D9D9"/>
          </w:tcPr>
          <w:p>
            <w:pPr>
              <w:ind w:left="1160"/>
              <w:spacing w:after="0"/>
              <w:rPr>
                <w:sz w:val="20"/>
                <w:szCs w:val="20"/>
                <w:color w:val="auto"/>
              </w:rPr>
            </w:pPr>
            <w:r>
              <w:rPr>
                <w:rFonts w:ascii="Arial" w:cs="Arial" w:eastAsia="Arial" w:hAnsi="Arial"/>
                <w:sz w:val="18"/>
                <w:szCs w:val="18"/>
                <w:b w:val="1"/>
                <w:bCs w:val="1"/>
                <w:color w:val="auto"/>
              </w:rPr>
              <w:t>Rate</w:t>
            </w:r>
          </w:p>
        </w:tc>
      </w:tr>
      <w:tr>
        <w:trPr>
          <w:trHeight w:val="81"/>
        </w:trPr>
        <w:tc>
          <w:tcPr>
            <w:tcW w:w="272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020" w:type="dxa"/>
            <w:vAlign w:val="bottom"/>
            <w:tcBorders>
              <w:bottom w:val="single" w:sz="8" w:color="auto"/>
              <w:right w:val="single" w:sz="8" w:color="auto"/>
            </w:tcBorders>
            <w:shd w:val="clear" w:color="auto" w:fill="D9D9D9"/>
          </w:tcPr>
          <w:p>
            <w:pPr>
              <w:spacing w:after="0"/>
              <w:rPr>
                <w:sz w:val="7"/>
                <w:szCs w:val="7"/>
                <w:color w:val="auto"/>
              </w:rPr>
            </w:pPr>
          </w:p>
        </w:tc>
        <w:tc>
          <w:tcPr>
            <w:tcW w:w="2680" w:type="dxa"/>
            <w:vAlign w:val="bottom"/>
            <w:tcBorders>
              <w:bottom w:val="single" w:sz="8" w:color="auto"/>
              <w:right w:val="single" w:sz="8" w:color="auto"/>
            </w:tcBorders>
            <w:shd w:val="clear" w:color="auto" w:fill="D9D9D9"/>
          </w:tcPr>
          <w:p>
            <w:pPr>
              <w:spacing w:after="0"/>
              <w:rPr>
                <w:sz w:val="7"/>
                <w:szCs w:val="7"/>
                <w:color w:val="auto"/>
              </w:rPr>
            </w:pPr>
          </w:p>
        </w:tc>
      </w:tr>
      <w:tr>
        <w:trPr>
          <w:trHeight w:val="224"/>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302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&lt; 33.34%</w:t>
            </w:r>
          </w:p>
        </w:tc>
        <w:tc>
          <w:tcPr>
            <w:tcW w:w="26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0.10%</w:t>
            </w:r>
          </w:p>
        </w:tc>
      </w:tr>
      <w:tr>
        <w:trPr>
          <w:trHeight w:val="67"/>
        </w:trPr>
        <w:tc>
          <w:tcPr>
            <w:tcW w:w="2720" w:type="dxa"/>
            <w:vAlign w:val="bottom"/>
            <w:tcBorders>
              <w:left w:val="single" w:sz="8" w:color="auto"/>
              <w:bottom w:val="single" w:sz="8" w:color="auto"/>
              <w:right w:val="single" w:sz="8" w:color="auto"/>
            </w:tcBorders>
          </w:tcPr>
          <w:p>
            <w:pPr>
              <w:spacing w:after="0"/>
              <w:rPr>
                <w:sz w:val="5"/>
                <w:szCs w:val="5"/>
                <w:color w:val="auto"/>
              </w:rPr>
            </w:pPr>
          </w:p>
        </w:tc>
        <w:tc>
          <w:tcPr>
            <w:tcW w:w="302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r>
        <w:trPr>
          <w:trHeight w:val="224"/>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302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2"/>
              </w:rPr>
              <w:t>≥ 33.34% but ≤ 66.66%</w:t>
            </w:r>
          </w:p>
        </w:tc>
        <w:tc>
          <w:tcPr>
            <w:tcW w:w="26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0.20%</w:t>
            </w:r>
          </w:p>
        </w:tc>
      </w:tr>
      <w:tr>
        <w:trPr>
          <w:trHeight w:val="67"/>
        </w:trPr>
        <w:tc>
          <w:tcPr>
            <w:tcW w:w="2720" w:type="dxa"/>
            <w:vAlign w:val="bottom"/>
            <w:tcBorders>
              <w:left w:val="single" w:sz="8" w:color="auto"/>
              <w:bottom w:val="single" w:sz="8" w:color="auto"/>
              <w:right w:val="single" w:sz="8" w:color="auto"/>
            </w:tcBorders>
          </w:tcPr>
          <w:p>
            <w:pPr>
              <w:spacing w:after="0"/>
              <w:rPr>
                <w:sz w:val="5"/>
                <w:szCs w:val="5"/>
                <w:color w:val="auto"/>
              </w:rPr>
            </w:pPr>
          </w:p>
        </w:tc>
        <w:tc>
          <w:tcPr>
            <w:tcW w:w="302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r>
        <w:trPr>
          <w:trHeight w:val="224"/>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302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&gt; 66.66%</w:t>
            </w:r>
          </w:p>
        </w:tc>
        <w:tc>
          <w:tcPr>
            <w:tcW w:w="26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0.40%</w:t>
            </w:r>
          </w:p>
        </w:tc>
      </w:tr>
      <w:tr>
        <w:trPr>
          <w:trHeight w:val="67"/>
        </w:trPr>
        <w:tc>
          <w:tcPr>
            <w:tcW w:w="2720" w:type="dxa"/>
            <w:vAlign w:val="bottom"/>
            <w:tcBorders>
              <w:left w:val="single" w:sz="8" w:color="auto"/>
              <w:bottom w:val="single" w:sz="8" w:color="auto"/>
              <w:right w:val="single" w:sz="8" w:color="auto"/>
            </w:tcBorders>
          </w:tcPr>
          <w:p>
            <w:pPr>
              <w:spacing w:after="0"/>
              <w:rPr>
                <w:sz w:val="5"/>
                <w:szCs w:val="5"/>
                <w:color w:val="auto"/>
              </w:rPr>
            </w:pPr>
          </w:p>
        </w:tc>
        <w:tc>
          <w:tcPr>
            <w:tcW w:w="302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9.04(b).</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means any Disposition (or series of related Dispositions) by Holdings or any Restricted Subsidiary of:</w:t>
      </w:r>
    </w:p>
    <w:p>
      <w:pPr>
        <w:spacing w:after="0" w:line="225" w:lineRule="exact"/>
        <w:rPr>
          <w:sz w:val="20"/>
          <w:szCs w:val="20"/>
          <w:color w:val="auto"/>
        </w:rPr>
      </w:pPr>
    </w:p>
    <w:p>
      <w:pPr>
        <w:ind w:left="660" w:right="20" w:firstLine="644"/>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shares of Equity Interests of a Restricted Subsidiary (other than directors’ qualifying shares or shares required by applicable law to be held by a Person other than Holdings or a Restricted Subsidiary);</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or substantially all the assets of any division or line of business of Holdings or any Restricted Subsidiary; or</w:t>
      </w:r>
    </w:p>
    <w:p>
      <w:pPr>
        <w:spacing w:after="0" w:line="225" w:lineRule="exact"/>
        <w:rPr>
          <w:rFonts w:ascii="Arial" w:cs="Arial" w:eastAsia="Arial" w:hAnsi="Arial"/>
          <w:sz w:val="18"/>
          <w:szCs w:val="18"/>
          <w:color w:val="auto"/>
        </w:rPr>
      </w:pPr>
    </w:p>
    <w:p>
      <w:pPr>
        <w:ind w:left="660" w:firstLine="644"/>
        <w:spacing w:after="0" w:line="277" w:lineRule="auto"/>
        <w:tabs>
          <w:tab w:leader="none" w:pos="2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assets of Holdings or any Restricted Subsidiary outside of the ordinary course of business of Holdings or such Restricted Subsidiary,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than, in the case of clauses (1), (2) and (3) above:</w:t>
      </w:r>
    </w:p>
    <w:p>
      <w:pPr>
        <w:spacing w:after="0" w:line="225" w:lineRule="exact"/>
        <w:rPr>
          <w:sz w:val="20"/>
          <w:szCs w:val="20"/>
          <w:color w:val="auto"/>
        </w:rPr>
      </w:pPr>
    </w:p>
    <w:p>
      <w:pPr>
        <w:ind w:left="2860" w:hanging="908"/>
        <w:spacing w:after="0"/>
        <w:tabs>
          <w:tab w:leader="none" w:pos="2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Disposition by a Restricted Subsidiary to Holdings or by Holdings or a Restricted Subsidiary to a Restricted</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jc w:val="both"/>
        <w:ind w:left="1300" w:firstLine="652"/>
        <w:spacing w:after="0" w:line="263" w:lineRule="auto"/>
        <w:tabs>
          <w:tab w:leader="none" w:pos="26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Section 6.03 only, a Disposition that constitutes a Restricted Payment (or would constitute a Restricted Payment but for the exclusions from the definition thereof) that is not prohibited by Section 6.04 or that constitutes a Permitted Investment;</w:t>
      </w:r>
    </w:p>
    <w:p>
      <w:pPr>
        <w:spacing w:after="0" w:line="183" w:lineRule="exact"/>
        <w:rPr>
          <w:rFonts w:ascii="Arial" w:cs="Arial" w:eastAsia="Arial" w:hAnsi="Arial"/>
          <w:sz w:val="18"/>
          <w:szCs w:val="18"/>
          <w:color w:val="auto"/>
        </w:rPr>
      </w:pPr>
    </w:p>
    <w:p>
      <w:pPr>
        <w:ind w:left="1300" w:firstLine="652"/>
        <w:spacing w:after="0" w:line="277" w:lineRule="auto"/>
        <w:tabs>
          <w:tab w:leader="none" w:pos="27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Disposition of all or substantially all the assets of Holdings and its Restricted Subsidiaries, taken as a whole, in accordance with Section 6.11 or any disposition that constitutes a Change of Control pursuant to this Agreement;</w:t>
      </w:r>
    </w:p>
    <w:p>
      <w:pPr>
        <w:spacing w:after="0" w:line="170" w:lineRule="exact"/>
        <w:rPr>
          <w:rFonts w:ascii="Arial" w:cs="Arial" w:eastAsia="Arial" w:hAnsi="Arial"/>
          <w:sz w:val="18"/>
          <w:szCs w:val="18"/>
          <w:color w:val="auto"/>
        </w:rPr>
      </w:pPr>
    </w:p>
    <w:p>
      <w:pPr>
        <w:ind w:left="1300" w:firstLine="652"/>
        <w:spacing w:after="0" w:line="277" w:lineRule="auto"/>
        <w:tabs>
          <w:tab w:leader="none" w:pos="2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Disposition of assets with a fair market value of less than or equal to $30,000,000 (as determined in good faith by Holdings or its Subsidiaries, as applicable) in any single transaction or series of related transactions;</w:t>
      </w:r>
    </w:p>
    <w:p>
      <w:pPr>
        <w:spacing w:after="0" w:line="170" w:lineRule="exact"/>
        <w:rPr>
          <w:rFonts w:ascii="Arial" w:cs="Arial" w:eastAsia="Arial" w:hAnsi="Arial"/>
          <w:sz w:val="18"/>
          <w:szCs w:val="18"/>
          <w:color w:val="auto"/>
        </w:rPr>
      </w:pPr>
    </w:p>
    <w:p>
      <w:pPr>
        <w:ind w:left="1300" w:firstLine="652"/>
        <w:spacing w:after="0" w:line="342" w:lineRule="auto"/>
        <w:tabs>
          <w:tab w:leader="none" w:pos="27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Dispositions of damaged, expired, short-dated, worn-out or obsolete equipment or assets in the ordinary course of business that, in Holdings’ reasonable judgment, are no longer either used or useful in the business of Holdings or its Subsidiaries;</w:t>
      </w:r>
    </w:p>
    <w:p>
      <w:pPr>
        <w:spacing w:after="0" w:line="123" w:lineRule="exact"/>
        <w:rPr>
          <w:rFonts w:ascii="Arial" w:cs="Arial" w:eastAsia="Arial" w:hAnsi="Arial"/>
          <w:sz w:val="16"/>
          <w:szCs w:val="16"/>
          <w:color w:val="auto"/>
        </w:rPr>
      </w:pPr>
    </w:p>
    <w:p>
      <w:pPr>
        <w:ind w:left="1300" w:firstLine="652"/>
        <w:spacing w:after="0" w:line="277" w:lineRule="auto"/>
        <w:tabs>
          <w:tab w:leader="none" w:pos="27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non-exclusive license or sublicense of intellectual property or other general intangibles and licenses, leases or subleases of other property, in each case, in the ordinary course of business;</w:t>
      </w:r>
    </w:p>
    <w:p>
      <w:pPr>
        <w:spacing w:after="0" w:line="170" w:lineRule="exact"/>
        <w:rPr>
          <w:rFonts w:ascii="Arial" w:cs="Arial" w:eastAsia="Arial" w:hAnsi="Arial"/>
          <w:sz w:val="18"/>
          <w:szCs w:val="18"/>
          <w:color w:val="auto"/>
        </w:rPr>
      </w:pPr>
    </w:p>
    <w:p>
      <w:pPr>
        <w:ind w:left="2580" w:hanging="628"/>
        <w:spacing w:after="0"/>
        <w:tabs>
          <w:tab w:leader="none" w:pos="2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00" w:firstLine="652"/>
        <w:spacing w:after="0" w:line="277" w:lineRule="auto"/>
        <w:tabs>
          <w:tab w:leader="none" w:pos="25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any exchange of like property (excluding any boot thereon) for use in a Permitted Business;</w:t>
      </w:r>
    </w:p>
    <w:p>
      <w:pPr>
        <w:spacing w:after="0" w:line="170" w:lineRule="exact"/>
        <w:rPr>
          <w:rFonts w:ascii="Arial" w:cs="Arial" w:eastAsia="Arial" w:hAnsi="Arial"/>
          <w:sz w:val="18"/>
          <w:szCs w:val="18"/>
          <w:color w:val="auto"/>
        </w:rPr>
      </w:pPr>
    </w:p>
    <w:p>
      <w:pPr>
        <w:ind w:left="2620" w:hanging="668"/>
        <w:spacing w:after="0"/>
        <w:tabs>
          <w:tab w:leader="none" w:pos="2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issuance or sale of Equity Interests in, or Indebtedness or other securities of, an Unrestricted Subsidiary;</w:t>
      </w:r>
    </w:p>
    <w:p>
      <w:pPr>
        <w:spacing w:after="0" w:line="236" w:lineRule="exact"/>
        <w:rPr>
          <w:rFonts w:ascii="Arial" w:cs="Arial" w:eastAsia="Arial" w:hAnsi="Arial"/>
          <w:sz w:val="17"/>
          <w:szCs w:val="17"/>
          <w:color w:val="auto"/>
        </w:rPr>
      </w:pPr>
    </w:p>
    <w:p>
      <w:pPr>
        <w:ind w:left="2620" w:hanging="668"/>
        <w:spacing w:after="0"/>
        <w:tabs>
          <w:tab w:leader="none" w:pos="2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issuance or sale by any Restricted Subsidiary of Equity Interests to Holdings or another Restricted Subsidiary;</w:t>
      </w:r>
    </w:p>
    <w:p>
      <w:pPr>
        <w:spacing w:after="0" w:line="236" w:lineRule="exact"/>
        <w:rPr>
          <w:rFonts w:ascii="Arial" w:cs="Arial" w:eastAsia="Arial" w:hAnsi="Arial"/>
          <w:sz w:val="17"/>
          <w:szCs w:val="17"/>
          <w:color w:val="auto"/>
        </w:rPr>
      </w:pPr>
    </w:p>
    <w:p>
      <w:pPr>
        <w:ind w:left="2900" w:hanging="948"/>
        <w:spacing w:after="0"/>
        <w:tabs>
          <w:tab w:leader="none" w:pos="2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foreclosures, condemnation, expropriation or any similar action on assets of Holdings or any of its Restricted</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ind w:left="180" w:right="20" w:firstLine="652"/>
        <w:spacing w:after="0" w:line="277" w:lineRule="auto"/>
        <w:tabs>
          <w:tab w:leader="none" w:pos="16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sale or discount of inventory, accounts receivable or notes receivable in the ordinary course of business or the conversion of accounts receivable to notes receivable;</w:t>
      </w:r>
    </w:p>
    <w:p>
      <w:pPr>
        <w:spacing w:after="0" w:line="170" w:lineRule="exact"/>
        <w:rPr>
          <w:rFonts w:ascii="Arial" w:cs="Arial" w:eastAsia="Arial" w:hAnsi="Arial"/>
          <w:sz w:val="18"/>
          <w:szCs w:val="18"/>
          <w:color w:val="auto"/>
        </w:rPr>
      </w:pPr>
    </w:p>
    <w:p>
      <w:pPr>
        <w:ind w:left="180" w:right="20" w:firstLine="652"/>
        <w:spacing w:after="0" w:line="277" w:lineRule="auto"/>
        <w:tabs>
          <w:tab w:leader="none" w:pos="15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surrender or waiver of contract rights or the settlement, release or surrender of contract rights or other litigation claims in the ordinary course of business;</w:t>
      </w:r>
    </w:p>
    <w:p>
      <w:pPr>
        <w:spacing w:after="0" w:line="170" w:lineRule="exact"/>
        <w:rPr>
          <w:rFonts w:ascii="Arial" w:cs="Arial" w:eastAsia="Arial" w:hAnsi="Arial"/>
          <w:sz w:val="18"/>
          <w:szCs w:val="18"/>
          <w:color w:val="auto"/>
        </w:rPr>
      </w:pPr>
    </w:p>
    <w:p>
      <w:pPr>
        <w:ind w:left="180" w:firstLine="652"/>
        <w:spacing w:after="0" w:line="277" w:lineRule="auto"/>
        <w:tabs>
          <w:tab w:leader="none" w:pos="14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unwinding, settlement or termination of any obligations under or in respect of any Swap Agreements (including any Permitted Equity Derivatives, Permitted Hedging Obligations and Swap Obligations);</w:t>
      </w:r>
    </w:p>
    <w:p>
      <w:pPr>
        <w:spacing w:after="0" w:line="170" w:lineRule="exact"/>
        <w:rPr>
          <w:rFonts w:ascii="Arial" w:cs="Arial" w:eastAsia="Arial" w:hAnsi="Arial"/>
          <w:sz w:val="18"/>
          <w:szCs w:val="18"/>
          <w:color w:val="auto"/>
        </w:rPr>
      </w:pPr>
    </w:p>
    <w:p>
      <w:pPr>
        <w:jc w:val="both"/>
        <w:ind w:left="180" w:firstLine="652"/>
        <w:spacing w:after="0" w:line="263" w:lineRule="auto"/>
        <w:tabs>
          <w:tab w:leader="none" w:pos="15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Dispositions of Investments in joint ventures made in the ordinary course of business or to the extent required by, or made pursuant to, buy/sell arrangements between the joint venture parties set forth in joint venture arrangements and similar binding arrangements;</w:t>
      </w:r>
    </w:p>
    <w:p>
      <w:pPr>
        <w:spacing w:after="0" w:line="183" w:lineRule="exact"/>
        <w:rPr>
          <w:rFonts w:ascii="Arial" w:cs="Arial" w:eastAsia="Arial" w:hAnsi="Arial"/>
          <w:sz w:val="18"/>
          <w:szCs w:val="18"/>
          <w:color w:val="auto"/>
        </w:rPr>
      </w:pPr>
    </w:p>
    <w:p>
      <w:pPr>
        <w:jc w:val="both"/>
        <w:ind w:left="180" w:firstLine="652"/>
        <w:spacing w:after="0" w:line="263" w:lineRule="auto"/>
        <w:tabs>
          <w:tab w:leader="none" w:pos="16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lapse or abandonment of intellectual property rights in the ordinary course of business, or which are not, individually or in the aggregate, useful or material to the conduct of the business of Holdings and its Restricted Subsidiaries taken as a whole;</w:t>
      </w:r>
    </w:p>
    <w:p>
      <w:pPr>
        <w:spacing w:after="0" w:line="183" w:lineRule="exact"/>
        <w:rPr>
          <w:rFonts w:ascii="Arial" w:cs="Arial" w:eastAsia="Arial" w:hAnsi="Arial"/>
          <w:sz w:val="18"/>
          <w:szCs w:val="18"/>
          <w:color w:val="auto"/>
        </w:rPr>
      </w:pPr>
    </w:p>
    <w:p>
      <w:pPr>
        <w:ind w:left="1460" w:hanging="62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Dispositions of cash or Cash Equivalents;</w:t>
      </w:r>
    </w:p>
    <w:p>
      <w:pPr>
        <w:spacing w:after="0" w:line="225" w:lineRule="exact"/>
        <w:rPr>
          <w:rFonts w:ascii="Arial" w:cs="Arial" w:eastAsia="Arial" w:hAnsi="Arial"/>
          <w:sz w:val="18"/>
          <w:szCs w:val="18"/>
          <w:color w:val="auto"/>
        </w:rPr>
      </w:pPr>
    </w:p>
    <w:p>
      <w:pPr>
        <w:ind w:left="1460" w:hanging="62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Disposition in connection with a co-development or collaboration agreement;</w:t>
      </w:r>
    </w:p>
    <w:p>
      <w:pPr>
        <w:spacing w:after="0" w:line="225" w:lineRule="exact"/>
        <w:rPr>
          <w:rFonts w:ascii="Arial" w:cs="Arial" w:eastAsia="Arial" w:hAnsi="Arial"/>
          <w:sz w:val="18"/>
          <w:szCs w:val="18"/>
          <w:color w:val="auto"/>
        </w:rPr>
      </w:pPr>
    </w:p>
    <w:p>
      <w:pPr>
        <w:ind w:left="1500" w:hanging="668"/>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creation of a Permitted Lien (but not the sale or other disposition of the property subject to such Lien);</w:t>
      </w:r>
    </w:p>
    <w:p>
      <w:pPr>
        <w:spacing w:after="0" w:line="225" w:lineRule="exact"/>
        <w:rPr>
          <w:rFonts w:ascii="Arial" w:cs="Arial" w:eastAsia="Arial" w:hAnsi="Arial"/>
          <w:sz w:val="18"/>
          <w:szCs w:val="18"/>
          <w:color w:val="auto"/>
        </w:rPr>
      </w:pPr>
    </w:p>
    <w:p>
      <w:pPr>
        <w:jc w:val="both"/>
        <w:ind w:left="180" w:firstLine="652"/>
        <w:spacing w:after="0" w:line="257" w:lineRule="auto"/>
        <w:tabs>
          <w:tab w:leader="none" w:pos="17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Dispositions of Equity Interests in any Subsidiary prior to the time such Subsidiary becomes a wholly-owned Subsidiary, in each case pursuant to any stock appreciation rights plans, equity incentive or achievement plans or any similar plans or the exercise of warrants, options or other securities convertible into or exchangeable for the Equity Interests of such Subsidiary, so long as such rights, plans, warrants, options or other securities were not entered into or issued in connection with or in contemplation of such person becoming a Subsidiary;</w:t>
      </w:r>
    </w:p>
    <w:p>
      <w:pPr>
        <w:spacing w:after="0" w:line="187" w:lineRule="exact"/>
        <w:rPr>
          <w:rFonts w:ascii="Arial" w:cs="Arial" w:eastAsia="Arial" w:hAnsi="Arial"/>
          <w:sz w:val="18"/>
          <w:szCs w:val="18"/>
          <w:color w:val="auto"/>
        </w:rPr>
      </w:pPr>
    </w:p>
    <w:p>
      <w:pPr>
        <w:ind w:left="180" w:firstLine="652"/>
        <w:spacing w:after="0" w:line="277" w:lineRule="auto"/>
        <w:tabs>
          <w:tab w:leader="none" w:pos="15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sale, assignment or other transfer of Securitization Assets in connection with a Qualified Securitization Financing or a Qualified Receivables Factoring;</w:t>
      </w:r>
    </w:p>
    <w:p>
      <w:pPr>
        <w:spacing w:after="0" w:line="170" w:lineRule="exact"/>
        <w:rPr>
          <w:rFonts w:ascii="Arial" w:cs="Arial" w:eastAsia="Arial" w:hAnsi="Arial"/>
          <w:sz w:val="18"/>
          <w:szCs w:val="18"/>
          <w:color w:val="auto"/>
        </w:rPr>
      </w:pPr>
    </w:p>
    <w:p>
      <w:pPr>
        <w:jc w:val="both"/>
        <w:ind w:left="180" w:firstLine="652"/>
        <w:spacing w:after="0" w:line="263" w:lineRule="auto"/>
        <w:tabs>
          <w:tab w:leader="none" w:pos="15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Dispositions of Investments made in Drug Development Funds not exceeding, for any individual or series of related Dispositions, the greater of $120,000,000 and 10% of Consolidated EBITDA for the Test Period most recently ended on or prior to the date of such Disposition(s);</w:t>
      </w:r>
    </w:p>
    <w:p>
      <w:pPr>
        <w:spacing w:after="0" w:line="183" w:lineRule="exact"/>
        <w:rPr>
          <w:rFonts w:ascii="Arial" w:cs="Arial" w:eastAsia="Arial" w:hAnsi="Arial"/>
          <w:sz w:val="18"/>
          <w:szCs w:val="18"/>
          <w:color w:val="auto"/>
        </w:rPr>
      </w:pPr>
    </w:p>
    <w:p>
      <w:pPr>
        <w:ind w:left="180" w:right="20" w:firstLine="652"/>
        <w:spacing w:after="0" w:line="277" w:lineRule="auto"/>
        <w:tabs>
          <w:tab w:leader="none" w:pos="15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Sale and Leaseback Transaction provided that the Capital Lease Obligations arising in connection therewith would be permitted under Section 6.01;</w:t>
      </w:r>
    </w:p>
    <w:p>
      <w:pPr>
        <w:spacing w:after="0" w:line="170" w:lineRule="exact"/>
        <w:rPr>
          <w:rFonts w:ascii="Arial" w:cs="Arial" w:eastAsia="Arial" w:hAnsi="Arial"/>
          <w:sz w:val="18"/>
          <w:szCs w:val="18"/>
          <w:color w:val="auto"/>
        </w:rPr>
      </w:pPr>
    </w:p>
    <w:p>
      <w:pPr>
        <w:ind w:left="1460" w:hanging="62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discounting of customer invoices in the ordinary course of business;</w:t>
      </w:r>
    </w:p>
    <w:p>
      <w:pPr>
        <w:spacing w:after="0" w:line="225" w:lineRule="exact"/>
        <w:rPr>
          <w:rFonts w:ascii="Arial" w:cs="Arial" w:eastAsia="Arial" w:hAnsi="Arial"/>
          <w:sz w:val="18"/>
          <w:szCs w:val="18"/>
          <w:color w:val="auto"/>
        </w:rPr>
      </w:pPr>
    </w:p>
    <w:p>
      <w:pPr>
        <w:ind w:left="1440" w:hanging="608"/>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22" w:name="page23"/>
    <w:bookmarkEnd w:id="22"/>
    <w:p>
      <w:pPr>
        <w:ind w:left="1300" w:firstLine="652"/>
        <w:spacing w:after="0" w:line="277" w:lineRule="auto"/>
        <w:tabs>
          <w:tab w:leader="none" w:pos="26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Disposition of any assets made to obtain the approval of any applicable antitrust authority in connection with any acquisition or other Investment not prohibited by this Agreement;</w:t>
      </w:r>
    </w:p>
    <w:p>
      <w:pPr>
        <w:spacing w:after="0" w:line="170" w:lineRule="exact"/>
        <w:rPr>
          <w:rFonts w:ascii="Arial" w:cs="Arial" w:eastAsia="Arial" w:hAnsi="Arial"/>
          <w:sz w:val="18"/>
          <w:szCs w:val="18"/>
          <w:color w:val="auto"/>
        </w:rPr>
      </w:pPr>
    </w:p>
    <w:p>
      <w:pPr>
        <w:ind w:left="2580" w:hanging="628"/>
        <w:spacing w:after="0"/>
        <w:tabs>
          <w:tab w:leader="none" w:pos="2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Sale and Leaseback Transaction related to the Headquarters;</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issuance of directors’ qualifying shares and shares issued to foreign nationals as required by applicable law;</w:t>
      </w:r>
    </w:p>
    <w:p>
      <w:pPr>
        <w:spacing w:after="0" w:line="236" w:lineRule="exact"/>
        <w:rPr>
          <w:rFonts w:ascii="Arial" w:cs="Arial" w:eastAsia="Arial" w:hAnsi="Arial"/>
          <w:sz w:val="17"/>
          <w:szCs w:val="17"/>
          <w:color w:val="auto"/>
        </w:rPr>
      </w:pPr>
    </w:p>
    <w:p>
      <w:pPr>
        <w:jc w:val="both"/>
        <w:ind w:left="1300" w:firstLine="652"/>
        <w:spacing w:after="0" w:line="263" w:lineRule="auto"/>
        <w:tabs>
          <w:tab w:leader="none" w:pos="27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that is promptly purchased or (ii) the proceeds of such Asset Sale are promptly applied to the purchase price of such replacement property (which replacement property is actually promptly purchased); and</w:t>
      </w:r>
    </w:p>
    <w:p>
      <w:pPr>
        <w:spacing w:after="0" w:line="183" w:lineRule="exact"/>
        <w:rPr>
          <w:rFonts w:ascii="Arial" w:cs="Arial" w:eastAsia="Arial" w:hAnsi="Arial"/>
          <w:sz w:val="18"/>
          <w:szCs w:val="18"/>
          <w:color w:val="auto"/>
        </w:rPr>
      </w:pPr>
    </w:p>
    <w:p>
      <w:pPr>
        <w:ind w:left="1300" w:right="20" w:firstLine="652"/>
        <w:spacing w:after="0" w:line="277" w:lineRule="auto"/>
        <w:tabs>
          <w:tab w:leader="none" w:pos="27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Dispositions that otherwise constitute a Permitted Investment or otherwise constitute a Restricted Payment permitted by Section 6.04 or a Permitted Lien.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Auction Manager</w:t>
      </w:r>
      <w:r>
        <w:rPr>
          <w:rFonts w:ascii="Arial" w:cs="Arial" w:eastAsia="Arial" w:hAnsi="Arial"/>
          <w:sz w:val="18"/>
          <w:szCs w:val="18"/>
          <w:color w:val="auto"/>
        </w:rPr>
        <w:t>” has the meaning assigned to such term in Section 2.23(a).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Auction Procedures</w:t>
      </w:r>
      <w:r>
        <w:rPr>
          <w:rFonts w:ascii="Arial" w:cs="Arial" w:eastAsia="Arial" w:hAnsi="Arial"/>
          <w:sz w:val="18"/>
          <w:szCs w:val="18"/>
          <w:color w:val="auto"/>
        </w:rPr>
        <w:t xml:space="preserve">” means the auction procedures with respect to Purchase Offers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 Renewal Letter of Credit</w:t>
      </w:r>
      <w:r>
        <w:rPr>
          <w:rFonts w:ascii="Arial" w:cs="Arial" w:eastAsia="Arial" w:hAnsi="Arial"/>
          <w:sz w:val="18"/>
          <w:szCs w:val="18"/>
          <w:color w:val="auto"/>
        </w:rPr>
        <w:t>” has the meaning assigned to such term in Section 2.06(c).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with respect to any Tranche of Revolving Commitments, the period from and including the Closing Date to but excluding the earlier of the Maturity Date with respect to the Revolving Commitments of such Tranche and the date of termination of all of the Revolving Commitments of such Tranche.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Revolving Commitment</w:t>
      </w:r>
      <w:r>
        <w:rPr>
          <w:rFonts w:ascii="Arial" w:cs="Arial" w:eastAsia="Arial" w:hAnsi="Arial"/>
          <w:sz w:val="17"/>
          <w:szCs w:val="17"/>
          <w:color w:val="auto"/>
        </w:rPr>
        <w:t>” means, at any time with respect to any Lender, the Revolving Commitments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Revolving Utilization</w:t>
      </w:r>
      <w:r>
        <w:rPr>
          <w:rFonts w:ascii="Arial" w:cs="Arial" w:eastAsia="Arial" w:hAnsi="Arial"/>
          <w:sz w:val="18"/>
          <w:szCs w:val="18"/>
          <w:color w:val="auto"/>
        </w:rPr>
        <w:t>” means, on the last day of each fiscal quarter, the percentage equal to a fraction the numerator of which is the average daily outstanding principal amount of all Revolving Loans and the total LC Exposure during such fiscal quarter and the denominator of which is the aggregate Revolving Commitments of all Revolving Lenders.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means Title 11 of the United States Code entitled “Bankruptcy”, as now or hereafter in effect, and any successor thereto.</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 Laws</w:t>
      </w:r>
      <w:r>
        <w:rPr>
          <w:rFonts w:ascii="Arial" w:cs="Arial" w:eastAsia="Arial" w:hAnsi="Arial"/>
          <w:sz w:val="16"/>
          <w:szCs w:val="16"/>
          <w:color w:val="auto"/>
        </w:rPr>
        <w:t>” means all laws, rules, regulations, codes, ordinances, or binding orders, decrees, judgments, injunctions, notices or agreements issued, promulgated or entered into by any Governmental Authority, relating to Plans, Multiemployer Plans, Non-U.S. Plans and Irish Pension Schemes, including without limitation, ERISA and any other comparable law, rule or regulation relating to Non-U.S. Plans and Irish Pension Schemes.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w:t>
      </w:r>
    </w:p>
    <w:p>
      <w:pPr>
        <w:spacing w:after="0" w:line="225" w:lineRule="exact"/>
        <w:rPr>
          <w:sz w:val="20"/>
          <w:szCs w:val="20"/>
          <w:color w:val="auto"/>
        </w:rPr>
      </w:pPr>
    </w:p>
    <w:p>
      <w:pPr>
        <w:ind w:left="1980" w:hanging="676"/>
        <w:spacing w:after="0"/>
        <w:tabs>
          <w:tab w:leader="none" w:pos="1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such board;</w:t>
      </w:r>
    </w:p>
    <w:p>
      <w:pPr>
        <w:spacing w:after="0" w:line="210" w:lineRule="exact"/>
        <w:rPr>
          <w:rFonts w:ascii="Arial" w:cs="Arial" w:eastAsia="Arial" w:hAnsi="Arial"/>
          <w:sz w:val="16"/>
          <w:szCs w:val="16"/>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660" w:firstLine="644"/>
        <w:spacing w:after="0" w:line="277" w:lineRule="auto"/>
        <w:tabs>
          <w:tab w:leader="none" w:pos="21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 limited liability company managed by the member or members, the managing member or members or any controlling committee of managing members thereof;</w:t>
      </w:r>
    </w:p>
    <w:p>
      <w:pPr>
        <w:spacing w:after="0" w:line="170" w:lineRule="exact"/>
        <w:rPr>
          <w:rFonts w:ascii="Arial" w:cs="Arial" w:eastAsia="Arial" w:hAnsi="Arial"/>
          <w:sz w:val="18"/>
          <w:szCs w:val="18"/>
          <w:color w:val="auto"/>
        </w:rPr>
      </w:pPr>
    </w:p>
    <w:p>
      <w:pPr>
        <w:ind w:left="660" w:firstLine="644"/>
        <w:spacing w:after="0" w:line="277" w:lineRule="auto"/>
        <w:tabs>
          <w:tab w:leader="none" w:pos="20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 limited liability company managed by a manager or managers, the manager or managers and any controlling committee of managers;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assigned to such term in the final paragraph of Section 5.01.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collectively, the Lux Borrower, the U.S. Borrower, each Revolving Borrower, the Lux U.S. Subsidiary Borrower and each Additional Borrower.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Class, Type and currency made, converted or continued on the same date and, in the case of Eurocurrency Loans or RFR Loans meeting the foregoing requirements under this clause (a), as to which a single Interest Period is in effect, (b) Term Loans of the same Class and Type made on the same date and, in the case of Eurocurrency Loans or RFR Loans meeting the foregoing requirements under this clause (b), as to which a single Interest Period is in effect or (c) a Swingline Loan.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Applicable Borrower for a Borrowing, in substantially the form of Exhibit I hereto, in accordance with Section 2.03.</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that is not a Saturday, Sunday or other day on which commercial banks in New York City or London, United Kingdom or, if such day relates to the payment of any obligation or the performance of any covenant, duty or obligation of (x) a Borrower organized in Luxembourg or (y) a Borrower incorporated in Ireland, are authorized or required by law to remain closed;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 used in connection with a Eurocurrency Loan or RFR Loan,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also exclude any day on which banks are not open for dealings in the relevant Agreed Currency in the London interbank market or the principal financial center of the country of such Agreed Currency (and, if the Borrowings or LC Disbursements which are the subject of a borrowing, drawing, payment, reimbursement or rate selection are denominated in euros, the term “Business Day” shall also exclude any day on which the TARGET payment system is not open for the settlement of payments in euro).</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obligations of any person that are or would be characterized as operating lease obligations in accordance with GAAP on December 31, 2015 (whether or not such operating lease obligations were in effect on such date) shall continue to be accounted for as operating lease obligations (and not as Capital Lease Obligations) for purposes of this Agreement regardless of any change in GAAP following December 31, 2015 that would otherwise require such obligations to be recharacterized (on a prospective or retroactive basis or otherwise) as Capital Lease Obligations.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Markets Indebtedness</w:t>
      </w:r>
      <w:r>
        <w:rPr>
          <w:rFonts w:ascii="Arial" w:cs="Arial" w:eastAsia="Arial" w:hAnsi="Arial"/>
          <w:sz w:val="18"/>
          <w:szCs w:val="18"/>
          <w:color w:val="auto"/>
        </w:rPr>
        <w:t>” means (i) any Indebtedness consisting of bonds, debentures, Notes or other similar debt securities issued in (a) a public offering registered under the Securities Act or (b) a private placement to institutional investors that is resold in accordance with Rule 144A or Regulation S of the Securities Act, whether or not it includes registration rights entitling the holders of such debt securities to registration thereof with the SEC and (ii) any Indebtedness consisting of term loan facilities.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means, for any period, the aggregate of all expenditures (whether paid in cash or accrued as liabilities) by Holdings and the Restricted Subsidiaries during such period in respect of licensed or purchased software or internally developed software and software enhancements that, in conformity with GAAP, are or are required to be reflected as capitalized costs on the consolidated balance sheet of Holdings and the Restricted Subsidiaries.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Collateralized</w:t>
      </w:r>
      <w:r>
        <w:rPr>
          <w:rFonts w:ascii="Arial" w:cs="Arial" w:eastAsia="Arial" w:hAnsi="Arial"/>
          <w:sz w:val="18"/>
          <w:szCs w:val="18"/>
          <w:color w:val="auto"/>
        </w:rPr>
        <w:t>” means, with respect to any Letter of Credit, as of any date, that the Applicable Borrower shall have deposited in the LC Collateral Account, in the name of the Administrative Agent and for the benefit of the Lenders, an amount in cash equal to 102% of the LC Exposure as of such date plus any accrued and unpaid interest thereon pursuant to such documentation and arrangements as are reasonably satisfactory to the Administrative Agent. “Cash Collateralize” shall have the correlative meaning.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jc w:val="both"/>
        <w:ind w:firstLine="644"/>
        <w:spacing w:after="0" w:line="259" w:lineRule="auto"/>
        <w:tabs>
          <w:tab w:leader="none" w:pos="13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United States dollars, Canadian dollars, euro, Pounds Sterling, Yen, Swiss Francs or any national currency of any member state of the European Union, (ii) with respect to Holdings or any Restricted Subsidiary, the national currency of the jurisdiction in which such Person is organized or domiciled, and (iii) any other foreign currency held by Holdings and the Restricted Subsidiaries in the ordinary course of business;</w:t>
      </w:r>
    </w:p>
    <w:p>
      <w:pPr>
        <w:spacing w:after="0" w:line="186" w:lineRule="exact"/>
        <w:rPr>
          <w:rFonts w:ascii="Arial" w:cs="Arial" w:eastAsia="Arial" w:hAnsi="Arial"/>
          <w:sz w:val="18"/>
          <w:szCs w:val="18"/>
          <w:color w:val="auto"/>
        </w:rPr>
      </w:pPr>
    </w:p>
    <w:p>
      <w:pPr>
        <w:jc w:val="both"/>
        <w:ind w:firstLine="644"/>
        <w:spacing w:after="0" w:line="311" w:lineRule="auto"/>
        <w:tabs>
          <w:tab w:leader="none" w:pos="13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direct obligations of, or obligations the principal of and interest on which are unconditionally guaranteed by, the United States of America or a member state of the European Union (or by any agency thereof to the extent such obligations are backed by the full faith and credit of the United States of America or such member state), in each case maturing within eighteen months from the date of acquisition thereof;</w:t>
      </w:r>
    </w:p>
    <w:p>
      <w:pPr>
        <w:spacing w:after="0" w:line="148" w:lineRule="exact"/>
        <w:rPr>
          <w:rFonts w:ascii="Arial" w:cs="Arial" w:eastAsia="Arial" w:hAnsi="Arial"/>
          <w:sz w:val="16"/>
          <w:szCs w:val="16"/>
          <w:color w:val="auto"/>
        </w:rPr>
      </w:pPr>
    </w:p>
    <w:p>
      <w:pPr>
        <w:ind w:firstLine="644"/>
        <w:spacing w:after="0" w:line="277" w:lineRule="auto"/>
        <w:tabs>
          <w:tab w:leader="none" w:pos="14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70" w:lineRule="exact"/>
        <w:rPr>
          <w:rFonts w:ascii="Arial" w:cs="Arial" w:eastAsia="Arial" w:hAnsi="Arial"/>
          <w:sz w:val="18"/>
          <w:szCs w:val="18"/>
          <w:color w:val="auto"/>
        </w:rPr>
      </w:pPr>
    </w:p>
    <w:p>
      <w:pPr>
        <w:jc w:val="both"/>
        <w:ind w:firstLine="644"/>
        <w:spacing w:after="0" w:line="259" w:lineRule="auto"/>
        <w:tabs>
          <w:tab w:leader="none" w:pos="13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$250,000,000 in the case of U.S. banks and $250,000,000 (or the foreign currency equivalent as of the date of determination) in the case of non-U.S. banks;</w:t>
      </w:r>
    </w:p>
    <w:p>
      <w:pPr>
        <w:spacing w:after="0" w:line="186" w:lineRule="exact"/>
        <w:rPr>
          <w:rFonts w:ascii="Arial" w:cs="Arial" w:eastAsia="Arial" w:hAnsi="Arial"/>
          <w:sz w:val="18"/>
          <w:szCs w:val="18"/>
          <w:color w:val="auto"/>
        </w:rPr>
      </w:pPr>
    </w:p>
    <w:p>
      <w:pPr>
        <w:ind w:right="20" w:firstLine="644"/>
        <w:spacing w:after="0" w:line="277" w:lineRule="auto"/>
        <w:tabs>
          <w:tab w:leader="none" w:pos="1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thirty (30) days for securities described in clauses (b) and (d) above and entered into with a financial institution satisfying the criteria described in clause (d) above;</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183" w:lineRule="exact"/>
        <w:rPr>
          <w:rFonts w:ascii="Arial" w:cs="Arial" w:eastAsia="Arial" w:hAnsi="Arial"/>
          <w:sz w:val="18"/>
          <w:szCs w:val="18"/>
          <w:color w:val="auto"/>
        </w:rPr>
      </w:pPr>
    </w:p>
    <w:p>
      <w:pPr>
        <w:jc w:val="both"/>
        <w:ind w:firstLine="644"/>
        <w:spacing w:after="0" w:line="286" w:lineRule="auto"/>
        <w:tabs>
          <w:tab w:leader="none" w:pos="13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Investments with average maturities of 24 months or less from the date of acquisition in money market funds and similar liquid funds rated AA- (or the equivalent thereof) or better by S&amp;P or Aa3 (or the equivalent thereof) or better by Moody’s (or, if at any time neither Moody’s nor S&amp;P shall be rating such obligations, an equivalent rating from another nationally recognized statistical rating agency);</w:t>
      </w:r>
    </w:p>
    <w:p>
      <w:pPr>
        <w:spacing w:after="0" w:line="165" w:lineRule="exact"/>
        <w:rPr>
          <w:rFonts w:ascii="Arial" w:cs="Arial" w:eastAsia="Arial" w:hAnsi="Arial"/>
          <w:sz w:val="17"/>
          <w:szCs w:val="17"/>
          <w:color w:val="auto"/>
        </w:rPr>
      </w:pPr>
    </w:p>
    <w:p>
      <w:pPr>
        <w:jc w:val="both"/>
        <w:ind w:firstLine="644"/>
        <w:spacing w:after="0" w:line="257"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issued or fully guaranteed by any state, commonwealth or territory of the United States of America or by any political subdivision (including any municipality) or taxing authority of any such state, commonwealth or territory, the securities of which state, commonwealth, territory, political subdivision or taxing authority (as the case may be) are rated at least “A” (or A-1, SP1 or other then equivalent grade) by S&amp;P or at least “A1” (or “Prime-1” or MIG-1 or other then equivalent grade) by Moody’s as of the date of acquisition and, in each case, with a maturity of not more than two years from the date of acquisition thereof;</w:t>
      </w:r>
    </w:p>
    <w:p>
      <w:pPr>
        <w:spacing w:after="0" w:line="187" w:lineRule="exact"/>
        <w:rPr>
          <w:rFonts w:ascii="Arial" w:cs="Arial" w:eastAsia="Arial" w:hAnsi="Arial"/>
          <w:sz w:val="18"/>
          <w:szCs w:val="18"/>
          <w:color w:val="auto"/>
        </w:rPr>
      </w:pPr>
    </w:p>
    <w:p>
      <w:pPr>
        <w:ind w:left="1380" w:hanging="736"/>
        <w:spacing w:after="0"/>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investment funds investing substantially all of their assets in securities of the types described in clauses (a) through (h) above;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firstLine="644"/>
        <w:spacing w:after="0" w:line="263" w:lineRule="auto"/>
        <w:tabs>
          <w:tab w:leader="none" w:pos="14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any Holdings or Foreign Subsidiary, other short-term investments that are analogous to the foregoing, are of comparable credit quality and are customarily used by companies in the jurisdiction of Holdings or such Foreign Subsidiary for cash management purposes.</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26" w:name="page27"/>
    <w:bookmarkEnd w:id="26"/>
    <w:p>
      <w:pPr>
        <w:jc w:val="both"/>
        <w:ind w:firstLine="648"/>
        <w:spacing w:after="0" w:line="263" w:lineRule="auto"/>
        <w:rPr>
          <w:sz w:val="20"/>
          <w:szCs w:val="20"/>
          <w:color w:val="auto"/>
        </w:rPr>
      </w:pPr>
      <w:r>
        <w:rPr>
          <w:rFonts w:ascii="Arial" w:cs="Arial" w:eastAsia="Arial" w:hAnsi="Arial"/>
          <w:sz w:val="18"/>
          <w:szCs w:val="18"/>
          <w:color w:val="auto"/>
        </w:rPr>
        <w:t xml:space="preserve">Notwithstanding the foregoing, Cash Equivalents shall include amounts denominated in currencies other than those set forth in clause (a)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are converted into any currency listed in clause (a) above as promptly as practicable and in any event within ten business days following the receipt of such amounts.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depository, overdraft, netting, foreign exchange facilities, credit or debit card, electronic funds transfer and other cash management arrangements.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“Cash Management Bank</w:t>
      </w:r>
      <w:r>
        <w:rPr>
          <w:rFonts w:ascii="Arial" w:cs="Arial" w:eastAsia="Arial" w:hAnsi="Arial"/>
          <w:sz w:val="17"/>
          <w:szCs w:val="17"/>
          <w:color w:val="auto"/>
        </w:rPr>
        <w:t xml:space="preserve">” means any Person (A) that is a Lender, an Agent or a Lead Arranger (or an Affiliate of a Lender, an Agent or a Lead Arranger) and any Person who was a Lender, an Agent or a Lead Arranger (or any Affiliate of a Lender, an Agent or a Lead Arranger) at the time it entered into a Cash Management Agreement, in each case, in its capacity as a party to such Cash Management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Person is (or was, at the time it entered into a Cash Management Agreement) an Affiliate of a Lender, an Agent or a Lead Arranger (other than any such Person that is an Affiliate of Citibank, N.A.), such person shall deliver to the Administrative Agent a letter agreement pursuant to which such person (i) appoints the Collateral Agent as its agent under the applicable Loan Documents and (ii) agrees to be bound by the provisions of Article VIII, Sections 9.03 and 9.09 and Section 10 of the U.S. Security Agreement as if it were a Lender or (B) that is designated in writing by Holdings to the Administrative Agent as a “Cash Management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Person is not a Lender, Agent or Lead Arranger, such Person executes and delivers to the Administrative Agent and Holdings a letter agreement in form and substance reasonably acceptable to the Administrative agent and Holdings pursuant to which such Person (i) appoints the Collateral Agent as its agent under the applicable Loan Documents and (ii) agrees to be bound by the provisions of Article VIII, Sections 9.03 and 9.09 hereof and Section 10 of the U.S. Security Agreement as if it were a Lender.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w:t>
      </w:r>
      <w:r>
        <w:rPr>
          <w:rFonts w:ascii="Arial" w:cs="Arial" w:eastAsia="Arial" w:hAnsi="Arial"/>
          <w:sz w:val="18"/>
          <w:szCs w:val="18"/>
          <w:color w:val="auto"/>
        </w:rPr>
        <w:t>” means the Bank of England’s Bank Rate as published by the Bank of England from time to time.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Adjustment</w:t>
      </w:r>
      <w:r>
        <w:rPr>
          <w:rFonts w:ascii="Arial" w:cs="Arial" w:eastAsia="Arial" w:hAnsi="Arial"/>
          <w:sz w:val="18"/>
          <w:szCs w:val="18"/>
          <w:color w:val="auto"/>
        </w:rPr>
        <w:t>” means, in relation to the Central Bank Rate prevailing at close of business on any RFR Business Day, the 20% trimmed arithmetic mean (calculated by the Administrative Agent) of the Central Bank Rate Spreads for the 5 most immediately preceding RFR Business Days for which the RFR is available.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Spread</w:t>
      </w:r>
      <w:r>
        <w:rPr>
          <w:rFonts w:ascii="Arial" w:cs="Arial" w:eastAsia="Arial" w:hAnsi="Arial"/>
          <w:sz w:val="18"/>
          <w:szCs w:val="18"/>
          <w:color w:val="auto"/>
        </w:rPr>
        <w:t>” means, in relation to any RFR Business Day, the difference (expressed as a percentage rate per annum) calculated by the Administrative Agent of (x) the RFR for such RFR Business Day and (y) the Central Bank Rate prevailing at close of business on such RFR Business Day.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Closing Date,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shall be deemed to be a “Change in Law” regardless of the date enacted, adopted, issued or implemented and (ii) all reports, notes, guidelines, rules, requests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7" w:name="page28"/>
    <w:bookmarkEnd w:id="27"/>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 the acquisition of beneficial ownership, directly or indirectly, by any Person or group (within the meaning of the Securities Exchange Act of 1934 and the rules of the SEC thereunder as in effect on the Closing Date), of Equity Interests representing more than 50% of the aggregate ordinary voting power represented by the issued and outstanding Equity Interests of Holdings; (b) the occurrence of a change of control, or other similar provision, as defined in any agreement or instrument evidencing any Material Indebtedness triggering a default or mandatory prepayment, which default or mandatory prepayment has not been waived in writing (other than Indebtedness subject to repayment on the Closing Date in connection with the Transactions); or (c) any Borrower ceasing to be either a direct or indirect wholly-owned subsidiary of Holdings. For the avoidance of doubt, none of the Transactions shall be deemed a Change of Control so long as, after giving effect thereto, clauses (a) through (c) above are complied with.</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a transaction will not be deemed to constitute a Change of Control if (x) Holdings becomes a direct or indirect wholly-owned Subsidiary of a holding company and (y)(i) the direct or indirect holders of the Voting Stock of such holding company immediately following that transaction are substantially the same as the holders of Holdings’ issued and outstanding Equity Interests immediately prior to that transaction or (ii) immediately following that transaction no Person (other than a holding company satisfying the requirements of this sentence) is the beneficial owner, directly or indirectly, of more than 50% of the Voting Stock of such holding company.</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xml:space="preserve">”, when used in reference to (a) any Loan or Borrowing, refers to whether such Loan, or the Loans comprising such Borrowing, are Loans of a particular Tranche;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Loans within a Tranche having different Maturity Dates, Applicable Margins, currency of denomination (except pursuant to a Class of revolving commitments allowing extensions of credit thereunder in multiple currencies), repayments or other terms shall be regarded as separate Classes of Loans and Borrowings for purposes of this Agreement, (b) any Commitment, refers to whether such Commitment is a Commitment of a particular Tranche;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Commitments within a Tranche having different Maturity Dates, Applicable Margins, currency of denomination (except pursuant to a Class of revolving commitments allowing extensions of credit thereunder in multiple currencies), repayments or other terms shall be regarded as separate Classes of Commitments for purposes of this Agreement and (c) any Lender, refers to whether such Lender is a Lender of a particular Tranche;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Lender holding Loans or Commitments within a Tranche having different Maturity Dates, Applicable Margins, currency of denomination (except pursuant to a Class of revolving commitments allowing extensions of credit thereunder in multiple currencies), repayments or other terms shall be regarded as a Lender with respect to separate Classes of Loans and/or Commitments (as applicable) for purposes of this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July 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from time to time (unless otherwise provided herein).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means any and all property owned, leased or operated by a Loan Party on which Liens are purported to be granted pursuant to the Collateral Documents as security for the Secured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Collateral shall exclude Excluded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Citibank, N.A., London Branch in its capacity as collateral agent for the Secured Parties.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U.S. Security Agreement, each Foreign Security Document and all other agreements, instruments and documents executed in connection with this Agreement that are intended to create or evidence Liens to secure the Secured Obligations, and shall also include, without limitation, all other security agreements, pledge agreements, deeds of trust, intercreditor agreements, collateral assignments and any agreements entered into for the purposes of perfection, now, or hereafter executed by Holdings or any of its Restricted Subsidiaries and delivered to the Collateral Agent.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each Lender, such Lender’s Revolving Commitment, Term Loan Commitment, Extended Revolving Commitment, Other Refinancing Commitment and Incremental Commitment.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Act</w:t>
      </w:r>
      <w:r>
        <w:rPr>
          <w:rFonts w:ascii="Arial" w:cs="Arial" w:eastAsia="Arial" w:hAnsi="Arial"/>
          <w:sz w:val="18"/>
          <w:szCs w:val="18"/>
          <w:color w:val="auto"/>
        </w:rPr>
        <w:t>” means the Companies Act 2014 of Ireland.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has the meaning assigned to such term in clause (c) of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shall have the meaning assigned to such term in Section 2.04.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Expense</w:t>
      </w:r>
      <w:r>
        <w:rPr>
          <w:rFonts w:ascii="Arial" w:cs="Arial" w:eastAsia="Arial" w:hAnsi="Arial"/>
          <w:sz w:val="18"/>
          <w:szCs w:val="18"/>
          <w:color w:val="auto"/>
        </w:rPr>
        <w:t>” means with respect to any period, the total amount of depreciation and amortization expense, including any amortization of deferred financing fees, accretion of royalty liabilities, amortization in relation to terminated Swap Obligations and amortization of intangibles, including, but not limited to, goodwill, of the Group for such period on a consolidated basis and otherwise determined in accordance with GAAP.</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Test Period, Consolidated Net Income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and, other than clauses (vii) and (viii), solely to the extent deducted (and not otherwise excluded) in determining Consolidated Net Income,</w:t>
      </w:r>
    </w:p>
    <w:p>
      <w:pPr>
        <w:spacing w:after="0" w:line="170" w:lineRule="exact"/>
        <w:rPr>
          <w:sz w:val="20"/>
          <w:szCs w:val="20"/>
          <w:color w:val="auto"/>
        </w:rPr>
      </w:pPr>
    </w:p>
    <w:p>
      <w:pPr>
        <w:ind w:left="2580" w:hanging="628"/>
        <w:spacing w:after="0"/>
        <w:tabs>
          <w:tab w:leader="none" w:pos="2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 for Taxes paid or accrued, to the extent accounted for as Income Taxes under GAAP,</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5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interest expense and charges and deferred financing fees, losses on hedging obligations or other derivative instruments entered into for the purpose of hedging interest rate risk, net of gains on such hedging obligations, and costs of surety bonds in connection with financing activities,</w:t>
      </w:r>
    </w:p>
    <w:p>
      <w:pPr>
        <w:spacing w:after="0" w:line="183" w:lineRule="exact"/>
        <w:rPr>
          <w:rFonts w:ascii="Arial" w:cs="Arial" w:eastAsia="Arial" w:hAnsi="Arial"/>
          <w:sz w:val="18"/>
          <w:szCs w:val="18"/>
          <w:color w:val="auto"/>
        </w:rPr>
      </w:pPr>
    </w:p>
    <w:p>
      <w:pPr>
        <w:ind w:left="2580" w:hanging="628"/>
        <w:spacing w:after="0"/>
        <w:tabs>
          <w:tab w:leader="none" w:pos="2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Depreciation and Amortization Expense,</w:t>
      </w:r>
    </w:p>
    <w:p>
      <w:pPr>
        <w:spacing w:after="0" w:line="225" w:lineRule="exact"/>
        <w:rPr>
          <w:rFonts w:ascii="Arial" w:cs="Arial" w:eastAsia="Arial" w:hAnsi="Arial"/>
          <w:sz w:val="18"/>
          <w:szCs w:val="18"/>
          <w:color w:val="auto"/>
        </w:rPr>
      </w:pPr>
    </w:p>
    <w:p>
      <w:pPr>
        <w:ind w:left="1300" w:firstLine="652"/>
        <w:spacing w:after="0" w:line="277" w:lineRule="auto"/>
        <w:tabs>
          <w:tab w:leader="none" w:pos="26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non-cash charges recorded in respect of purchase accounting and non-cash exchange, translation or performance losses relating to any foreign currency hedging transactions or currency fluctuations,</w:t>
      </w:r>
    </w:p>
    <w:p>
      <w:pPr>
        <w:spacing w:after="0" w:line="170" w:lineRule="exact"/>
        <w:rPr>
          <w:rFonts w:ascii="Arial" w:cs="Arial" w:eastAsia="Arial" w:hAnsi="Arial"/>
          <w:sz w:val="18"/>
          <w:szCs w:val="18"/>
          <w:color w:val="auto"/>
        </w:rPr>
      </w:pPr>
    </w:p>
    <w:p>
      <w:pPr>
        <w:jc w:val="both"/>
        <w:ind w:left="1300" w:firstLine="652"/>
        <w:spacing w:after="0" w:line="273" w:lineRule="auto"/>
        <w:tabs>
          <w:tab w:leader="none" w:pos="26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any other non-cash charges, expenses or losses, including, without limitation, (x) any non-cash compensation expense, non-cash translation loss and non-cash expense relating to the vesting of warrants and (y) pursuant to any management equity plan or stock plan or pursuant to Statement of Financial Accounting Standards 158 (codified under Accounting Standards Codification 715);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accruals or reserves for potential cash items in any future period may or may not (at the election of Holdings) be added back in such period and, to the extent added back, the cash payment in respect of such accrual or reserve in a future period shall be subtracted from Consolidated EBITDA in such future period,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ind w:left="1460" w:hanging="628"/>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with respect to casualty events,</w:t>
      </w:r>
    </w:p>
    <w:p>
      <w:pPr>
        <w:spacing w:after="0" w:line="225" w:lineRule="exact"/>
        <w:rPr>
          <w:rFonts w:ascii="Arial" w:cs="Arial" w:eastAsia="Arial" w:hAnsi="Arial"/>
          <w:sz w:val="18"/>
          <w:szCs w:val="18"/>
          <w:color w:val="auto"/>
        </w:rPr>
      </w:pPr>
    </w:p>
    <w:p>
      <w:pPr>
        <w:jc w:val="both"/>
        <w:ind w:left="180" w:firstLine="652"/>
        <w:spacing w:after="0" w:line="286" w:lineRule="auto"/>
        <w:tabs>
          <w:tab w:leader="none" w:pos="14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amount of Run-rate cost savings, synergies and operating expense reductions projected by Holdings to be realized as a result of any Transactions, any Permitted Acquisition, any other Investment, dispositions, divestitures, restructurings, operating improvements, cost savings initiatives and other similar initiatives projected by Holdings in good faith to result from actions taken, committed to be taken or with respect to which substantial steps have been taken or are expected in good faith to be taken, other than in the case of the Transactions, within 24 months of such transaction, initiative or event, in each case, calculated as though such cost savings, synergies and operating expense reductions had been realized on the first day of the applicable Test Period and net of the amount of actual benefits received during such period from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(A) such cost savings and synergies are factually supportable in the good faith judgment of Holdings and (B) no cost savings or synergies shall be added pursuant to this clause (vii) to the extent duplicative of any expenses or charges otherwise added to Consolidated EBITDA or Consolidated Net Income, whether through a pro forma adjustment or otherwise, for such period (the “</w:t>
      </w:r>
      <w:r>
        <w:rPr>
          <w:rFonts w:ascii="Arial" w:cs="Arial" w:eastAsia="Arial" w:hAnsi="Arial"/>
          <w:sz w:val="16"/>
          <w:szCs w:val="16"/>
          <w:u w:val="single" w:color="auto"/>
          <w:color w:val="auto"/>
        </w:rPr>
        <w:t>Pro Forma Synergies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(1) the aggregate amount of any adjustments under this clause (vii) permitted to be made in respect of the Transactions when calculating Consolidated EBITDA for any Test Period ending after the second anniversary of the Closing Date shall not exceed the greater of (x) $150,000,000 and (y) the amount of such adjustments made in respect of the Transactions pursuant to this clause (vii) prior to such date and (2) the aggregate amount of any adjustments made pursuant to this clause (vii) for any period shall not exceed in the aggregate 25% of Consolidated EBITDA for such period (before giving effect to any such adjustments),</w:t>
      </w:r>
    </w:p>
    <w:p>
      <w:pPr>
        <w:spacing w:after="0" w:line="167" w:lineRule="exact"/>
        <w:rPr>
          <w:rFonts w:ascii="Arial" w:cs="Arial" w:eastAsia="Arial" w:hAnsi="Arial"/>
          <w:sz w:val="16"/>
          <w:szCs w:val="16"/>
          <w:color w:val="auto"/>
        </w:rPr>
      </w:pPr>
    </w:p>
    <w:p>
      <w:pPr>
        <w:jc w:val="both"/>
        <w:ind w:left="180" w:firstLine="652"/>
        <w:spacing w:after="0" w:line="279" w:lineRule="auto"/>
        <w:tabs>
          <w:tab w:leader="none" w:pos="155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to the extent covered by insurance and actually reimbursed within 365 days of the first date of determination by Holdings that there exists reasonable evidence that such amount will in fact be reimbursed by the insurer, expenses with respect to liability or casualty or business interruption and (ii) to the extent actually reimbursed, expenses incurred to the extent covered by indemnification provisions in any agreement in connection with any acquisition permitted under this Agreement,</w:t>
      </w:r>
    </w:p>
    <w:p>
      <w:pPr>
        <w:spacing w:after="0" w:line="171" w:lineRule="exact"/>
        <w:rPr>
          <w:rFonts w:ascii="Arial" w:cs="Arial" w:eastAsia="Arial" w:hAnsi="Arial"/>
          <w:sz w:val="17"/>
          <w:szCs w:val="17"/>
          <w:color w:val="auto"/>
        </w:rPr>
      </w:pPr>
    </w:p>
    <w:p>
      <w:pPr>
        <w:ind w:left="180" w:right="20" w:firstLine="652"/>
        <w:spacing w:after="0" w:line="308" w:lineRule="auto"/>
        <w:tabs>
          <w:tab w:leader="none" w:pos="1663"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cash charges and legal expenses in connection with litigation to the extent not constituting an extraordinary, non-recurring or unusual loss, charge or expense in an aggregate amount for any Test Period not to exceed $5 million,</w:t>
      </w:r>
    </w:p>
    <w:p>
      <w:pPr>
        <w:spacing w:after="0" w:line="146" w:lineRule="exact"/>
        <w:rPr>
          <w:rFonts w:ascii="Arial" w:cs="Arial" w:eastAsia="Arial" w:hAnsi="Arial"/>
          <w:sz w:val="17"/>
          <w:szCs w:val="17"/>
          <w:color w:val="auto"/>
        </w:rPr>
      </w:pPr>
    </w:p>
    <w:p>
      <w:pPr>
        <w:ind w:left="1500" w:hanging="668"/>
        <w:spacing w:after="0"/>
        <w:tabs>
          <w:tab w:leader="none" w:pos="1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reserves taken during such period on account of contingent cash payments that may be required in future periods,</w:t>
      </w:r>
    </w:p>
    <w:p>
      <w:pPr>
        <w:spacing w:after="0" w:line="248" w:lineRule="exact"/>
        <w:rPr>
          <w:rFonts w:ascii="Arial" w:cs="Arial" w:eastAsia="Arial" w:hAnsi="Arial"/>
          <w:sz w:val="16"/>
          <w:szCs w:val="16"/>
          <w:color w:val="auto"/>
        </w:rPr>
      </w:pPr>
    </w:p>
    <w:p>
      <w:pPr>
        <w:ind w:left="1500" w:hanging="668"/>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80" w:firstLine="652"/>
        <w:spacing w:after="0" w:line="342" w:lineRule="auto"/>
        <w:tabs>
          <w:tab w:leader="none" w:pos="15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 of any minority interest expense consisting of Subsidiary income attributable to minority equity interests of third parties in any non-wholly-owned Subsidiary deducted (and not added back) in such period in calculating Consolidated Net Income,</w:t>
      </w: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30" w:name="page31"/>
    <w:bookmarkEnd w:id="30"/>
    <w:p>
      <w:pPr>
        <w:jc w:val="both"/>
        <w:ind w:left="180" w:firstLine="652"/>
        <w:spacing w:after="0" w:line="263" w:lineRule="auto"/>
        <w:tabs>
          <w:tab w:leader="none" w:pos="15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loss or discount on sales of receivables, Securitization Assets and related assets to any Securitization Subsidiary in connection with a Qualified Securitization Financing or to any other Person in connection with a Qualified Receivables Factoring,</w:t>
      </w:r>
    </w:p>
    <w:p>
      <w:pPr>
        <w:spacing w:after="0" w:line="183" w:lineRule="exact"/>
        <w:rPr>
          <w:rFonts w:ascii="Arial" w:cs="Arial" w:eastAsia="Arial" w:hAnsi="Arial"/>
          <w:sz w:val="18"/>
          <w:szCs w:val="18"/>
          <w:color w:val="auto"/>
        </w:rPr>
      </w:pPr>
    </w:p>
    <w:p>
      <w:pPr>
        <w:jc w:val="both"/>
        <w:ind w:left="180" w:firstLine="652"/>
        <w:spacing w:after="0" w:line="268" w:lineRule="auto"/>
        <w:tabs>
          <w:tab w:leader="none" w:pos="1506"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restructuring costs (including in connection with any tax related restructuring), integration costs, retention, recruiting, relocation and signing or completion bonuses and expenses, stock option and other equity-based compensation expenses and the amount of payments made to option holders in connection with, or as a result of, any distribution being made to shareholders, severance costs, systems establishment costs, costs relating to entry into a new market or to exiting a market, costs associated with office and facility openings, pre-openings, closings, expansions and consolidations (including but not limited to termination costs, moving costs and legal costs), new operation costs, unused warehouse space costs, new contract or corporate development costs, software and other intellectual property development costs, project start-up costs, costs relating to early termination of rights fee arrangements, consulting fees, curtailments or modifications to pension and post-retirement employee benefits and any costs attributable to the undertaking and/or implementation of new initiatives, business optimization activities, cost savings initiatives, cost rationalization programs, operating expense reductions, synergies and/or similar initiatives or programs (including, without limitation, in connection with the Transactions or any inventory optimization program, integration, restructuring or transition, any reconstruction, decommissioning, recommissioning or reconfiguration of fixed assets for alternative uses, any facility opening and/or pre-opening, any implementation of operational and reporting systems and technology initiatives (including any expense relating to the implementation of enhanced accounting or IT functions or new system designs)), any employee ramp-up charges or any charges related to underutilized personnel (including duplicative personnel),</w:t>
      </w:r>
    </w:p>
    <w:p>
      <w:pPr>
        <w:spacing w:after="0" w:line="181" w:lineRule="exact"/>
        <w:rPr>
          <w:rFonts w:ascii="Arial" w:cs="Arial" w:eastAsia="Arial" w:hAnsi="Arial"/>
          <w:sz w:val="17"/>
          <w:szCs w:val="17"/>
          <w:color w:val="auto"/>
        </w:rPr>
      </w:pPr>
    </w:p>
    <w:p>
      <w:pPr>
        <w:ind w:left="1480" w:hanging="648"/>
        <w:spacing w:after="0"/>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extraordinary, unusual, special, exceptional or non-recurring charges, expenses or losses (as determined by Holdings in</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good faith),</w:t>
      </w:r>
    </w:p>
    <w:p>
      <w:pPr>
        <w:spacing w:after="0" w:line="210" w:lineRule="exact"/>
        <w:rPr>
          <w:rFonts w:ascii="Arial" w:cs="Arial" w:eastAsia="Arial" w:hAnsi="Arial"/>
          <w:sz w:val="16"/>
          <w:szCs w:val="16"/>
          <w:color w:val="auto"/>
        </w:rPr>
      </w:pPr>
    </w:p>
    <w:p>
      <w:pPr>
        <w:ind w:left="1460" w:hanging="628"/>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add backs and other adjustments consistent with Regulation S-X,</w:t>
      </w:r>
    </w:p>
    <w:p>
      <w:pPr>
        <w:spacing w:after="0" w:line="225" w:lineRule="exact"/>
        <w:rPr>
          <w:rFonts w:ascii="Arial" w:cs="Arial" w:eastAsia="Arial" w:hAnsi="Arial"/>
          <w:sz w:val="18"/>
          <w:szCs w:val="18"/>
          <w:color w:val="auto"/>
        </w:rPr>
      </w:pPr>
    </w:p>
    <w:p>
      <w:pPr>
        <w:jc w:val="both"/>
        <w:ind w:left="180" w:firstLine="652"/>
        <w:spacing w:after="0" w:line="255" w:lineRule="auto"/>
        <w:tabs>
          <w:tab w:leader="none" w:pos="15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costs and expenses (including, without limitation, premium) incurred in connection with the Transactions and other transaction fees, costs, accruals and expenses (including rationalization, legal, tax and other costs and expenses) incurred in connection with any acquisition, investment, dividend, restricted payment, disposition, recapitalization, merger, consolidation or amalgamation, issuance, exchange or repayment of Indebtedness, option buyouts, refinancing, amendments or other modifications of debt instruments, early extinguishment of debt, hedging agreements or other derivative instruments (in each case whether or not such transaction was successfully completed),</w:t>
      </w:r>
    </w:p>
    <w:p>
      <w:pPr>
        <w:spacing w:after="0" w:line="192" w:lineRule="exact"/>
        <w:rPr>
          <w:rFonts w:ascii="Arial" w:cs="Arial" w:eastAsia="Arial" w:hAnsi="Arial"/>
          <w:sz w:val="18"/>
          <w:szCs w:val="18"/>
          <w:color w:val="auto"/>
        </w:rPr>
      </w:pPr>
    </w:p>
    <w:p>
      <w:pPr>
        <w:jc w:val="both"/>
        <w:ind w:left="180" w:firstLine="652"/>
        <w:spacing w:after="0" w:line="255" w:lineRule="auto"/>
        <w:tabs>
          <w:tab w:leader="none" w:pos="16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without limiting the generality of clause (v) above, any costs or expense incurred by Holdings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Holdings or net cash proceeds of an issuance of Equity Interests of Holdings (other than Disqualified Equity Interests) solely to the extent that such net cash proceeds are excluded from the calculation set forth in Section 6.04(a)(ii)(C),</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31" w:name="page32"/>
    <w:bookmarkEnd w:id="31"/>
    <w:p>
      <w:pPr>
        <w:jc w:val="both"/>
        <w:ind w:left="1300" w:firstLine="652"/>
        <w:spacing w:after="0" w:line="254" w:lineRule="auto"/>
        <w:tabs>
          <w:tab w:leader="none" w:pos="27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without limiting the generality of clause (v) above, the amount of expenses relating to payments made to option, phantom equity or profits interest holders of Holdings or any of its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 — Stock Compensation (formerly Financial Accounting Standards Board Statement No. 123 (Revised 2004)), and</w:t>
      </w:r>
    </w:p>
    <w:p>
      <w:pPr>
        <w:spacing w:after="0" w:line="191" w:lineRule="exact"/>
        <w:rPr>
          <w:rFonts w:ascii="Arial" w:cs="Arial" w:eastAsia="Arial" w:hAnsi="Arial"/>
          <w:sz w:val="18"/>
          <w:szCs w:val="18"/>
          <w:color w:val="auto"/>
        </w:rPr>
      </w:pPr>
    </w:p>
    <w:p>
      <w:pPr>
        <w:jc w:val="both"/>
        <w:ind w:left="1300" w:firstLine="652"/>
        <w:spacing w:after="0" w:line="301" w:lineRule="auto"/>
        <w:tabs>
          <w:tab w:leader="none" w:pos="26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715—Compensation—Retirement Benefits and any other items of a similar nature to the extent deducted (and not added back) in calculating Consolidated Net Income,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to the extent included in Consolidated Net Income and without duplication,</w:t>
      </w:r>
    </w:p>
    <w:p>
      <w:pPr>
        <w:spacing w:after="0" w:line="225" w:lineRule="exact"/>
        <w:rPr>
          <w:sz w:val="20"/>
          <w:szCs w:val="20"/>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unusual, infrequent or extraordinary income or gains, and</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2078"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any other non-cash income (except to the extent representing an accrual for future cash income);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non-cash gains are deducted pursuant to this clause (2)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w:t>
      </w:r>
    </w:p>
    <w:p>
      <w:pPr>
        <w:spacing w:after="0" w:line="17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all calculated for Holdings and its Restricted Subsidiaries in accordance with GAAP (to the extent applicable)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included in Consolidated Net Income, (A) currency translation gains and losses shall be excluded in determining Consolidated EBITDA (including the net loss or gain resulting from swap agreements for currency exchange risk) and (B) any adjustments resulting from the application of Statement of Financial Accounting Standards 133 (codified under Accounting Standards Codification 815) shall be excluded in determining Consolidated EBITDA.</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avoidance of doubt, the foregoing additions to, and subtractions from, Consolidated EBITDA shall not give effect to any items attributable to the Unrestricted Subsidiaries, other than as set forth in the last sentence of Section 1.04(a). For the purposes of calculating Consolidated EBITDA for any Test Period, if during such Test Period or after such Test Period but prior to the applicable date of determination, Holdings or any Restricted Subsidiary shall have made any Specified Transaction, converted any Restricted Subsidiary into an Unrestricted Subsidiary, or converted any Unrestricted Subsidiary into a Restricted Subsidiary, Consolidated EBITDA shall be calculated for such Test Period after giving effect thereto on a Pro Forma Basis in accordance with Section 1.07, as if such Specified Transaction or conversion, and any related incurrence or repayment of Indebtedness, occurred on the first day of such Test Period. If since the beginning of such Test Period any Person (that subsequently became a Restricted Subsidiary or was merged with or into Holdings or any Restricted Subsidiary since the beginning of such period but prior to the end of such Test Period) shall have made any Specified Transaction or such conversions that would have required adjustment pursuant to this definition, then the Consolidated EBITDA shall be calculated on a Pro Forma Basis in accordance with Section 1.07 for such period as if such Specified Transaction or conversion had occurred on the first day of such Test Period.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reference to any period, the sum, without duplication, of the interest expense paid in cash of the Group calculated on a consolidated basis for such period in accordance with GAAP, including, without limitation, interest expense under Capital Lease Obligations that is treated as interest in accordance with GAAP, imputed interest with respect to Attributable Debt and net payments, if any, pursuant to interest rate Permitted Hedging Obligations, but excluding any (i) non-cash interest expense attributable to the movement in mark-to-market valuation of Permitted Hedging Obligations or other derivative instruments pursuant to Statement of Financial Accounting Standards No. 133 (codified under Accounting Standards Codification 815), (ii) non-cash interest expense attributable to the amortization of gains or losses resulting from the termination of Permitted Hedging Obligations prior to or reasonably contemporaneously with the Closing Date, (iii) amortization of deferred financing fees, (iv) expensing of commitment, bridge or other financing fees and (v) interest expense arising out of the amortization of debt discount under Accounting Standards Codification 470-20; less interest income of the Group for such period (including income pursuant to any Permitted Hedging Obligations).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with reference to any period, the net income (or loss) of the Group calculated in accordance with GAAP on a consolidated basis (without duplication)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w:t>
      </w:r>
    </w:p>
    <w:p>
      <w:pPr>
        <w:spacing w:after="0" w:line="170" w:lineRule="exact"/>
        <w:rPr>
          <w:sz w:val="20"/>
          <w:szCs w:val="20"/>
          <w:color w:val="auto"/>
        </w:rPr>
      </w:pPr>
    </w:p>
    <w:p>
      <w:pPr>
        <w:jc w:val="both"/>
        <w:ind w:left="660" w:firstLine="644"/>
        <w:spacing w:after="0" w:line="263" w:lineRule="auto"/>
        <w:tabs>
          <w:tab w:leader="none" w:pos="20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income (or loss) of any Person other than Holdings or a Restricted Subsidiary, but any such income so excluded may be included in such period or any later period to the extent of any cash dividends or distributions actually paid in the relevant period to Holdings or any Restricted Subsidiary of Holdings,</w:t>
      </w:r>
    </w:p>
    <w:p>
      <w:pPr>
        <w:spacing w:after="0" w:line="183" w:lineRule="exact"/>
        <w:rPr>
          <w:rFonts w:ascii="Arial" w:cs="Arial" w:eastAsia="Arial" w:hAnsi="Arial"/>
          <w:sz w:val="18"/>
          <w:szCs w:val="18"/>
          <w:color w:val="auto"/>
        </w:rPr>
      </w:pPr>
    </w:p>
    <w:p>
      <w:pPr>
        <w:jc w:val="both"/>
        <w:ind w:left="660" w:firstLine="644"/>
        <w:spacing w:after="0" w:line="271" w:lineRule="auto"/>
        <w:tabs>
          <w:tab w:leader="none" w:pos="21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solely for the purpose of determining the amount available for Restricted Payments under </w:t>
      </w:r>
      <w:r>
        <w:rPr>
          <w:rFonts w:ascii="Arial" w:cs="Arial" w:eastAsia="Arial" w:hAnsi="Arial"/>
          <w:sz w:val="17"/>
          <w:szCs w:val="17"/>
          <w:u w:val="single" w:color="auto"/>
          <w:color w:val="auto"/>
        </w:rPr>
        <w:t>Section 6.04(a)(ii)(A)</w:t>
      </w:r>
      <w:r>
        <w:rPr>
          <w:rFonts w:ascii="Arial" w:cs="Arial" w:eastAsia="Arial" w:hAnsi="Arial"/>
          <w:sz w:val="17"/>
          <w:szCs w:val="17"/>
          <w:color w:val="auto"/>
        </w:rPr>
        <w:t xml:space="preserve"> and for the purpose of determining the amount of Excess Cash Flow, the income of, and any amounts referred to in clause (a) of this proviso paid to, any Subsidiary (other than a Guarantor) to the extent that, on the date of determination, the declaration or payment of cash dividends or other cash distributions by such Subsidiary of that income is not at the time permitted by applicable law or any agreement or instrument applicable to such Subsidiary, unless such restriction with respect to the payment of cash dividends or other cash distributions has been legally waived or otherwise released;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thereof in respect of such period, to the extent not already included therein,</w:t>
      </w:r>
    </w:p>
    <w:p>
      <w:pPr>
        <w:spacing w:after="0" w:line="178" w:lineRule="exact"/>
        <w:rPr>
          <w:rFonts w:ascii="Arial" w:cs="Arial" w:eastAsia="Arial" w:hAnsi="Arial"/>
          <w:sz w:val="17"/>
          <w:szCs w:val="17"/>
          <w:color w:val="auto"/>
        </w:rPr>
      </w:pPr>
    </w:p>
    <w:p>
      <w:pPr>
        <w:jc w:val="both"/>
        <w:ind w:left="660" w:firstLine="644"/>
        <w:spacing w:after="0" w:line="273" w:lineRule="auto"/>
        <w:tabs>
          <w:tab w:leader="none" w:pos="2043"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fees, costs and expenses (including, without limitation, any premium) directly incurred or paid during such period, or any amortization thereof for such period, in connection with (x) the Transactions, (y) any other Permitted Acquisition or other acquisition not prohibited under this Agreement, and, to the extent permitted hereunder, any other Investments and any Dispositions, and (z) to the extent permitted hereunder, issuances or incurrence of Indebtedness, issuances of Equity Interests or refinancing transactions and modifications of instruments of Indebtedness (in each case, including any such transaction consummated prior to the Closing Date, and any such transaction undertaken but not completed) and any charges or non-recurring costs incurred during such period as a result of such transaction,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jc w:val="both"/>
        <w:ind w:firstLine="644"/>
        <w:spacing w:after="0" w:line="279" w:lineRule="auto"/>
        <w:tabs>
          <w:tab w:leader="none" w:pos="13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 the option of Holdings, the effects of discontinued operations (but if such operations are classified as discontinued due to the fact that they are subject to an agreement to dispose of such operations or in contemplation of the same, or are otherwise classified as “held for sale” under GAAP, only when and to the extent such operations are actually disposed of) and any net after-tax gains or losses from asset dispositions (other than in the ordinary course of business (as determined by Holdings in good faith)),</w:t>
      </w:r>
    </w:p>
    <w:p>
      <w:pPr>
        <w:spacing w:after="0" w:line="171" w:lineRule="exact"/>
        <w:rPr>
          <w:rFonts w:ascii="Arial" w:cs="Arial" w:eastAsia="Arial" w:hAnsi="Arial"/>
          <w:sz w:val="17"/>
          <w:szCs w:val="17"/>
          <w:color w:val="auto"/>
        </w:rPr>
      </w:pPr>
    </w:p>
    <w:p>
      <w:pPr>
        <w:ind w:left="1300" w:hanging="656"/>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non-cash amounts included in Consolidated Interest Expense,</w:t>
      </w:r>
    </w:p>
    <w:p>
      <w:pPr>
        <w:spacing w:after="0" w:line="225" w:lineRule="exact"/>
        <w:rPr>
          <w:rFonts w:ascii="Arial" w:cs="Arial" w:eastAsia="Arial" w:hAnsi="Arial"/>
          <w:sz w:val="18"/>
          <w:szCs w:val="18"/>
          <w:color w:val="auto"/>
        </w:rPr>
      </w:pPr>
    </w:p>
    <w:p>
      <w:pPr>
        <w:ind w:left="1360" w:hanging="716"/>
        <w:spacing w:after="0"/>
        <w:tabs>
          <w:tab w:leader="none" w:pos="1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non-cash compensation expense incurred with any issuance of equity interests to an employee of such Person or any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10" w:lineRule="exact"/>
        <w:rPr>
          <w:rFonts w:ascii="Arial" w:cs="Arial" w:eastAsia="Arial" w:hAnsi="Arial"/>
          <w:sz w:val="16"/>
          <w:szCs w:val="16"/>
          <w:color w:val="auto"/>
        </w:rPr>
      </w:pPr>
    </w:p>
    <w:p>
      <w:pPr>
        <w:ind w:firstLine="644"/>
        <w:spacing w:after="0" w:line="277" w:lineRule="auto"/>
        <w:tabs>
          <w:tab w:leader="none" w:pos="13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income (loss) for such period attributable to the early extinguishment of Indebtedness, together with any related provision for Taxes on any such income,</w:t>
      </w:r>
    </w:p>
    <w:p>
      <w:pPr>
        <w:spacing w:after="0" w:line="170" w:lineRule="exact"/>
        <w:rPr>
          <w:rFonts w:ascii="Arial" w:cs="Arial" w:eastAsia="Arial" w:hAnsi="Arial"/>
          <w:sz w:val="18"/>
          <w:szCs w:val="18"/>
          <w:color w:val="auto"/>
        </w:rPr>
      </w:pPr>
    </w:p>
    <w:p>
      <w:pPr>
        <w:ind w:left="1300" w:hanging="656"/>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gain or loss realized as a result of the cumulative effect of a change in accounting principles,</w:t>
      </w:r>
    </w:p>
    <w:p>
      <w:pPr>
        <w:spacing w:after="0" w:line="225" w:lineRule="exact"/>
        <w:rPr>
          <w:rFonts w:ascii="Arial" w:cs="Arial" w:eastAsia="Arial" w:hAnsi="Arial"/>
          <w:sz w:val="18"/>
          <w:szCs w:val="18"/>
          <w:color w:val="auto"/>
        </w:rPr>
      </w:pPr>
    </w:p>
    <w:p>
      <w:pPr>
        <w:jc w:val="both"/>
        <w:ind w:firstLine="644"/>
        <w:spacing w:after="0" w:line="263" w:lineRule="auto"/>
        <w:tabs>
          <w:tab w:leader="none" w:pos="13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gains or losses resulting from any reappraisal, revaluation or write-up or write-down of assets or liabilities (including any gains and losses attributable to movement in the mark-to-market valuation of any convertible indebtedness, any related call options or warrant transactions and any other derivatives and Deferred Acquisition Consideration),</w:t>
      </w:r>
    </w:p>
    <w:p>
      <w:pPr>
        <w:spacing w:after="0" w:line="183" w:lineRule="exact"/>
        <w:rPr>
          <w:rFonts w:ascii="Arial" w:cs="Arial" w:eastAsia="Arial" w:hAnsi="Arial"/>
          <w:sz w:val="18"/>
          <w:szCs w:val="18"/>
          <w:color w:val="auto"/>
        </w:rPr>
      </w:pPr>
    </w:p>
    <w:p>
      <w:pPr>
        <w:ind w:left="1300" w:hanging="656"/>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non-cash charges recorded in respect of intangible assets, including goodwill,</w:t>
      </w:r>
    </w:p>
    <w:p>
      <w:pPr>
        <w:spacing w:after="0" w:line="225" w:lineRule="exact"/>
        <w:rPr>
          <w:rFonts w:ascii="Arial" w:cs="Arial" w:eastAsia="Arial" w:hAnsi="Arial"/>
          <w:sz w:val="18"/>
          <w:szCs w:val="18"/>
          <w:color w:val="auto"/>
        </w:rPr>
      </w:pPr>
    </w:p>
    <w:p>
      <w:pPr>
        <w:ind w:firstLine="644"/>
        <w:spacing w:after="0" w:line="342" w:lineRule="auto"/>
        <w:tabs>
          <w:tab w:leader="none" w:pos="143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any purchase allocation accounting adjustments in respect of any acquisition consummated prior to the Closing Date, the Transactions and any acquisition permitted under this Agreement, and the amortization or write-off of any amounts in respect thereof,</w:t>
      </w:r>
    </w:p>
    <w:p>
      <w:pPr>
        <w:spacing w:after="0" w:line="123" w:lineRule="exact"/>
        <w:rPr>
          <w:rFonts w:ascii="Arial" w:cs="Arial" w:eastAsia="Arial" w:hAnsi="Arial"/>
          <w:sz w:val="16"/>
          <w:szCs w:val="16"/>
          <w:color w:val="auto"/>
        </w:rPr>
      </w:pPr>
    </w:p>
    <w:p>
      <w:pPr>
        <w:jc w:val="both"/>
        <w:ind w:firstLine="644"/>
        <w:spacing w:after="0" w:line="270" w:lineRule="auto"/>
        <w:tabs>
          <w:tab w:leader="none" w:pos="14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unusual, infrequent or extraordinary loss or charge and any restructuring charges or reserves, including write-downs and write-offs, any costs incurred in connection with the Transactions, Permitted Investments and Dispositions, costs related to the closure, consolidation and integration of facilities, information technology infrastructure and legal entities, and severance and retention bonuses, any charges to establish accruals and reserves or to make payments associated with the reassessment or realignment of the business and operations of Holdings and its Subsidiaries (including, without limitation, the sale or closing of facilities, severance, stay bonuses and curtailments or modifications to pension and post-retirement employee benefit plans, asset impairments or asset disposals (including leased facilities), charges for purchase and lease commitments, start-up costs for new facilities, reserves for excess, obsolete or unbalanced inventories, relocation costs which are not otherwise capitalized, and any related promotional costs of exiting products or product lines, start up, transition, integration and other restructuring and business optimization costs,</w:t>
      </w:r>
    </w:p>
    <w:p>
      <w:pPr>
        <w:spacing w:after="0" w:line="180" w:lineRule="exact"/>
        <w:rPr>
          <w:rFonts w:ascii="Arial" w:cs="Arial" w:eastAsia="Arial" w:hAnsi="Arial"/>
          <w:sz w:val="17"/>
          <w:szCs w:val="17"/>
          <w:color w:val="auto"/>
        </w:rPr>
      </w:pPr>
    </w:p>
    <w:p>
      <w:pPr>
        <w:ind w:left="1300" w:hanging="656"/>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amortization of debt discount under Accounting Standards Codification 470-20,</w:t>
      </w:r>
    </w:p>
    <w:p>
      <w:pPr>
        <w:spacing w:after="0" w:line="225" w:lineRule="exact"/>
        <w:rPr>
          <w:rFonts w:ascii="Arial" w:cs="Arial" w:eastAsia="Arial" w:hAnsi="Arial"/>
          <w:sz w:val="18"/>
          <w:szCs w:val="18"/>
          <w:color w:val="auto"/>
        </w:rPr>
      </w:pPr>
    </w:p>
    <w:p>
      <w:pPr>
        <w:ind w:left="1300" w:hanging="656"/>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non-cash foreign translation gains and losses including, without limitation, in respect of Swap Agreements,</w:t>
      </w:r>
    </w:p>
    <w:p>
      <w:pPr>
        <w:spacing w:after="0" w:line="225" w:lineRule="exact"/>
        <w:rPr>
          <w:rFonts w:ascii="Arial" w:cs="Arial" w:eastAsia="Arial" w:hAnsi="Arial"/>
          <w:sz w:val="18"/>
          <w:szCs w:val="18"/>
          <w:color w:val="auto"/>
        </w:rPr>
      </w:pPr>
    </w:p>
    <w:p>
      <w:pPr>
        <w:jc w:val="both"/>
        <w:ind w:firstLine="644"/>
        <w:spacing w:after="0" w:line="263" w:lineRule="auto"/>
        <w:tabs>
          <w:tab w:leader="none" w:pos="14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accruals and reserves (including contingent liabilities) that are established or adjusted within twelve months after the Closing Date that are so required to be established as a result of the Transactions or other Permitted Acquisitions in accordance with GAAP, or changes as a result of adoption of modification of accounting policies, and</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34" w:name="page35"/>
    <w:bookmarkEnd w:id="34"/>
    <w:p>
      <w:pPr>
        <w:ind w:left="660" w:right="20" w:firstLine="644"/>
        <w:spacing w:after="0" w:line="277" w:lineRule="auto"/>
        <w:tabs>
          <w:tab w:leader="none" w:pos="207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Indebtedness</w:t>
      </w:r>
      <w:r>
        <w:rPr>
          <w:rFonts w:ascii="Arial" w:cs="Arial" w:eastAsia="Arial" w:hAnsi="Arial"/>
          <w:sz w:val="17"/>
          <w:szCs w:val="17"/>
          <w:color w:val="auto"/>
        </w:rPr>
        <w:t>” means at any time the sum, without duplication, of the aggregate Indebtedness of Holdings and its Restricted Subsidiaries consisting of obligations for borrowed money, Capital Lease Obligations and purchase money debt obligations and obligations evidenced by bonds, debentures, notes or similar instruments (other than Indebtedness with respect to Cash Management Agreements, Swap Agreements and intercompany Indebtedness), in each case that is of a type that would be reflected on a consolidated balance sheet of Holdings prepared as of such time in accordance with GAAP. For the avoidance of doubt and notwithstanding anything to the contrary contained above, Consolidated Total Indebtedness excludes (x) all Indebtedness incurred under a Qualified Securitization Financing or a Qualified Receivables Factoring and (y) letters of credit other than to the extent drawn and not reimbursed after two (2) Business Days.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means, as at any date of determination, the excess of Current Assets over Current Liabilities.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Affiliate</w:t>
      </w:r>
      <w:r>
        <w:rPr>
          <w:rFonts w:ascii="Arial" w:cs="Arial" w:eastAsia="Arial" w:hAnsi="Arial"/>
          <w:sz w:val="18"/>
          <w:szCs w:val="18"/>
          <w:color w:val="auto"/>
        </w:rPr>
        <w:t>” has the meaning assigned to such term in Section 3.15.</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Debt Security</w:t>
      </w:r>
      <w:r>
        <w:rPr>
          <w:rFonts w:ascii="Arial" w:cs="Arial" w:eastAsia="Arial" w:hAnsi="Arial"/>
          <w:sz w:val="16"/>
          <w:szCs w:val="16"/>
          <w:color w:val="auto"/>
        </w:rPr>
        <w:t>” means debt securities or other Indebtedness, the terms of which provide for conversion into, or exchange for, Equity Interests (other than Disqualified Equity Interests) of Holdings, cash in lieu thereof or a combination of Equity Interests and cash in lieu thereof.</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Jurisdiction</w:t>
      </w:r>
      <w:r>
        <w:rPr>
          <w:rFonts w:ascii="Arial" w:cs="Arial" w:eastAsia="Arial" w:hAnsi="Arial"/>
          <w:sz w:val="18"/>
          <w:szCs w:val="18"/>
          <w:color w:val="auto"/>
        </w:rPr>
        <w:t>” mean each of the United States (including any state or subdivision thereof), Luxembourg, Ireland and any other jurisdiction designated by Holdings and approved by the Administrative Agent, acting reasonably and in good faith.</w:t>
      </w:r>
    </w:p>
    <w:p>
      <w:pPr>
        <w:spacing w:after="0" w:line="17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Refinancing Indebtedness</w:t>
      </w:r>
      <w:r>
        <w:rPr>
          <w:rFonts w:ascii="Arial" w:cs="Arial" w:eastAsia="Arial" w:hAnsi="Arial"/>
          <w:sz w:val="16"/>
          <w:szCs w:val="16"/>
          <w:color w:val="auto"/>
        </w:rPr>
        <w:t>” means any (a) Permitted Pari Passu Secured Refinancing Debt, (b) Permitted Junior Secured Refinancing Debt, (c) Permitted Unsecured Refinancing Debt or (d) Indebtedness incurred pursuant to a Refinancing Amendment, in each case, issued, incurred or otherwise obtained (including by means of the extension or renewal of existing Indebtedness) in exchange for, or to extend, renew, replace or refinance, in whole or part, existing Loans and Commitments (including any successive Credit Agreement Refinancing Indebtedness) (“</w:t>
      </w:r>
      <w:r>
        <w:rPr>
          <w:rFonts w:ascii="Arial" w:cs="Arial" w:eastAsia="Arial" w:hAnsi="Arial"/>
          <w:sz w:val="16"/>
          <w:szCs w:val="16"/>
          <w:u w:val="single" w:color="auto"/>
          <w:color w:val="auto"/>
        </w:rPr>
        <w:t>Refinanced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exchanging, extending, renewing, replacing or refinancing Indebtedness (including, if such Indebtedness includes any Other Refinancing Revolving Commitments, the unused portion of such Other Refinancing Revolving Commitments) is in an original aggregate principal amount not greater than the aggregate principal amount of the Refinanced Debt (and, in the case of Refinanced Debt consisting, in whole or in part, of unused Revolving Commitments, Incremental Revolving Commitments, Extended Revolving Commitments or Other Refinancing Revolving Commitments, the amount thereof) plus unpaid accrued interest and premium (including tender premium) thereon, any committed and undrawn amounts associated with, upfront fees and original issue discount (“</w:t>
      </w:r>
      <w:r>
        <w:rPr>
          <w:rFonts w:ascii="Arial" w:cs="Arial" w:eastAsia="Arial" w:hAnsi="Arial"/>
          <w:sz w:val="16"/>
          <w:szCs w:val="16"/>
          <w:u w:val="single" w:color="auto"/>
          <w:color w:val="auto"/>
        </w:rPr>
        <w:t>OID</w:t>
      </w:r>
      <w:r>
        <w:rPr>
          <w:rFonts w:ascii="Arial" w:cs="Arial" w:eastAsia="Arial" w:hAnsi="Arial"/>
          <w:sz w:val="16"/>
          <w:szCs w:val="16"/>
          <w:color w:val="auto"/>
        </w:rPr>
        <w:t xml:space="preserve">”) on, and underwriting discounts, fees, commissions and expenses incurred in connection with, such exchanging, extending, renewing, replacing or refinancing Indebtedness, (ii) such Indebtedness has a final maturity date equal to or later than, and, except in the case of Other Refinancing Revolving Commitments, a Weighted Average Life to Maturity equal to or greater than, the Refinanced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(ii) shall not apply to (x) Permitted Pari Passu Secured Refinancing Debt in the form of Term A Facilities and (y) customary “bridge loan” facilities with a tenor of no longer than one year (provided that such facilities automatically convert or exchange into long-term debt otherwise meeting the requirements of this clause (ii)), (iii) such Indebtedness shall contain covenants and events of default that are either (x) no more restrictive (taken as a whole) to Holdings and its Restricted Subsidiaries than those included in this Agreement in all material respects as determined by Holdings in good faith or</w:t>
      </w:r>
    </w:p>
    <w:p>
      <w:pPr>
        <w:spacing w:after="0" w:line="11" w:lineRule="exact"/>
        <w:rPr>
          <w:sz w:val="20"/>
          <w:szCs w:val="20"/>
          <w:color w:val="auto"/>
        </w:rPr>
      </w:pPr>
    </w:p>
    <w:p>
      <w:pPr>
        <w:jc w:val="both"/>
        <w:ind w:firstLine="8"/>
        <w:spacing w:after="0" w:line="268" w:lineRule="auto"/>
        <w:tabs>
          <w:tab w:leader="none" w:pos="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are on market terms at the time of issuance, as determined by Holdings in good faith, which terms shall also be implemented for the benefit of the Initial Term Loans and the Revolving Loans; provided that Credit Agreement Refinancing Indebtedness in the form of Term A Facilities or revolving facilities may contain one or more financial maintenance covenants (and related events of default) irrespective of whether or not such covenants (and related events of default) are included in this Agreement for the benefit of the Term Loans (but such covenants shall be included for the benefit of the other Revolving Commitments), (iv) such Credit Agreement Refinancing Indebtedness may participate on a pro rata basis or a less than pro rata basis (but not a greater than pro rata basis) than the Initial Term Loans in mandatory prepayments under this Agreement and (v) such Refinanced Debt shall be repaid, defeased or satisfied and discharged, and all accrued interest, fees and premiums (if any) in connection therewith shall be paid, on the date such Credit Agreement Refinancing Indebtedness is issued, incurred or obtained.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means a Borrowing, the issuance, extension or increase in amount of a Letter of Credit, an LC Disbursement or any of the foregoing.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xml:space="preserve">” means, as to any Lender at any time, the sum of (a) such Lender’s Revolving Credit Exposure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an amount equal to the aggregate principal amount of its Term Loans outstanding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has the meaning assigned to such term in Section 7.02(a).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Expiration Date</w:t>
      </w:r>
      <w:r>
        <w:rPr>
          <w:rFonts w:ascii="Arial" w:cs="Arial" w:eastAsia="Arial" w:hAnsi="Arial"/>
          <w:sz w:val="18"/>
          <w:szCs w:val="18"/>
          <w:color w:val="auto"/>
        </w:rPr>
        <w:t>” has the meaning assigned to such term in Section 7.02(a).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Assets</w:t>
      </w:r>
      <w:r>
        <w:rPr>
          <w:rFonts w:ascii="Arial" w:cs="Arial" w:eastAsia="Arial" w:hAnsi="Arial"/>
          <w:sz w:val="17"/>
          <w:szCs w:val="17"/>
          <w:color w:val="auto"/>
        </w:rPr>
        <w:t>” means, at any time, the consolidated current assets (other than cash and Cash Equivalents, the current portion of current and deferred Taxes, permitted loans made to third parties, assets held for sale, available for sale Investments, pension assets, deferred bank and financing fees and derivative financial instruments including any Swap Agreements) of Holdings and its Restricted Subsidiaries.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Liabilities</w:t>
      </w:r>
      <w:r>
        <w:rPr>
          <w:rFonts w:ascii="Arial" w:cs="Arial" w:eastAsia="Arial" w:hAnsi="Arial"/>
          <w:sz w:val="17"/>
          <w:szCs w:val="17"/>
          <w:color w:val="auto"/>
        </w:rPr>
        <w:t>” means, at any time, the consolidated current liabilities of Holdings and its Restricted Subsidiaries at such time, but excluding, without duplication, (a) the current portion of any long-term Indebtedness or any Swap Agreements, (b) outstanding revolving loans and undrawn letters of credit, (c) the current portion of interest expense, (d) the current portion of any Capital Lease Obligations, (e) the current portion of current and deferred Taxes, (f) liabilities in respect of unpaid earn-outs, (g) the current portion of any other long-term liabilities, (h) accruals relating to restructuring reserves, (i) liabilities in respect of funds of third parties on deposit with Holdings and its Restricted Subsidiaries, (j) deferred revenue arising from cash receipts and (k) advances and deposits from customers accounted for as unearned income.</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RFR</w:t>
      </w:r>
      <w:r>
        <w:rPr>
          <w:rFonts w:ascii="Arial" w:cs="Arial" w:eastAsia="Arial" w:hAnsi="Arial"/>
          <w:sz w:val="16"/>
          <w:szCs w:val="16"/>
          <w:color w:val="auto"/>
        </w:rPr>
        <w:t>” means, for any day (an “</w:t>
      </w:r>
      <w:r>
        <w:rPr>
          <w:rFonts w:ascii="Arial" w:cs="Arial" w:eastAsia="Arial" w:hAnsi="Arial"/>
          <w:sz w:val="16"/>
          <w:szCs w:val="16"/>
          <w:u w:val="single" w:color="auto"/>
          <w:color w:val="auto"/>
        </w:rPr>
        <w:t>RFR Interest Day</w:t>
      </w:r>
      <w:r>
        <w:rPr>
          <w:rFonts w:ascii="Arial" w:cs="Arial" w:eastAsia="Arial" w:hAnsi="Arial"/>
          <w:sz w:val="16"/>
          <w:szCs w:val="16"/>
          <w:color w:val="auto"/>
        </w:rPr>
        <w:t>”), an interest rate per annum equal to (x) SONIA for the day that is 5 RFR Business Days prior to (i) if such RFR Interest Day is an RFR Business Day, such RFR Interest Day or (ii) if such RFR Interest Day is not an RFR Business Day, the RFR Business Day immediately preceding such RFR Interest Day (such RFR Business Day determined pursuant to each of subclauses</w:t>
      </w:r>
    </w:p>
    <w:p>
      <w:pPr>
        <w:spacing w:after="0" w:line="2" w:lineRule="exact"/>
        <w:rPr>
          <w:sz w:val="20"/>
          <w:szCs w:val="20"/>
          <w:color w:val="auto"/>
        </w:rPr>
      </w:pPr>
    </w:p>
    <w:p>
      <w:pPr>
        <w:jc w:val="both"/>
        <w:ind w:firstLine="8"/>
        <w:spacing w:after="0" w:line="270" w:lineRule="auto"/>
        <w:tabs>
          <w:tab w:leader="none" w:pos="2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and (ii), the “</w:t>
      </w:r>
      <w:r>
        <w:rPr>
          <w:rFonts w:ascii="Arial" w:cs="Arial" w:eastAsia="Arial" w:hAnsi="Arial"/>
          <w:sz w:val="17"/>
          <w:szCs w:val="17"/>
          <w:u w:val="single" w:color="auto"/>
          <w:color w:val="auto"/>
        </w:rPr>
        <w:t>RFR Lookback Day</w:t>
      </w:r>
      <w:r>
        <w:rPr>
          <w:rFonts w:ascii="Arial" w:cs="Arial" w:eastAsia="Arial" w:hAnsi="Arial"/>
          <w:sz w:val="17"/>
          <w:szCs w:val="17"/>
          <w:color w:val="auto"/>
        </w:rPr>
        <w:t xml:space="preserve">”), (y) if SONIA is not available for the RFR Lookback Day determined pursuant to clause (x) above, the Daily Simple RFR for such RFR Lookback Day shall be the percentage rate per annum which is the aggregate of (I) the Central Bank Rate for such RFR Lookback Day and (II) the applicable Central Bank Rate Adjustment or (z) if clause (y) applies but the Central Bank Rate for the applicable RFR Lookback Day is not available, the Daily Simple RFR for such RFR Lookback Day shall be the percentage rate per annum which is the aggregate of (I) the most recent Central Bank Rate for an RFR Business Day which is no more than five RFR Business Days before that RFR Lookback Day and (II) the applicable Central Bank Rate Adjustment;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Revolving Loans, such rate shall not be less than zero.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examinership or similar debtor relief laws of the United States or other applicable jurisdictions from time to time in effect and affecting the rights of creditors generally.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Declined Prepayment Amount</w:t>
      </w:r>
      <w:r>
        <w:rPr>
          <w:rFonts w:ascii="Arial" w:cs="Arial" w:eastAsia="Arial" w:hAnsi="Arial"/>
          <w:sz w:val="18"/>
          <w:szCs w:val="18"/>
          <w:color w:val="auto"/>
        </w:rPr>
        <w:t>” has the meaning assigned to such term in Section 2.11(e).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Declining Term Lender</w:t>
      </w:r>
      <w:r>
        <w:rPr>
          <w:rFonts w:ascii="Arial" w:cs="Arial" w:eastAsia="Arial" w:hAnsi="Arial"/>
          <w:sz w:val="18"/>
          <w:szCs w:val="18"/>
          <w:color w:val="auto"/>
        </w:rPr>
        <w:t>” has the meaning assigned to such term in Section 2.11(e).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subject to Section 2.26, any Lender that (a) has failed within two (2) Business Days of the date required to be funded or paid, to (i) fund all or any portion of its Loans, (ii) fund all or any portion of its participations in Letters of Credit or Swingline Loans or (iii) pay over to any Secured Party any other amount required to be paid by it hereunder, unless, in the case of clause (i) above, such Lender notifies the Administrative Agent and the Applicable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Applicable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Applicable Borrower, to confirm in writing to the Administrative Agent and the Applicable Borrower that it will comply with its prospective funding obligations hereunder (provided that such Lender shall cease to be a Defaulting Lender pursuant to this clause (c) upon receipt of such written confirmation by the Administrative Agent and the Applicable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2.26) upon delivery of written notice of such determination to the Applicable Borrower and each Lender.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Acquisition Consideration</w:t>
      </w:r>
      <w:r>
        <w:rPr>
          <w:rFonts w:ascii="Arial" w:cs="Arial" w:eastAsia="Arial" w:hAnsi="Arial"/>
          <w:sz w:val="18"/>
          <w:szCs w:val="18"/>
          <w:color w:val="auto"/>
        </w:rPr>
        <w:t>” means any purchase price adjustments, contingent or other deferred payment payments of a similar nature (including any non-compete payments and consulting payments) made in connection with any Permitted Acquisition or other acquisition permitted under this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xml:space="preserve">” means the fair market value of non-cash consideration received by Holdings or a Restricted Subsidiary in connection with a Disposition pursuant to Section 6.03(a) that is designated as Designated Non-Cash Consideration pursuant to a certificate of Holdings, setting forth the basis of such valuation (which amount will be reduced by the fair market value of the portion of the non-cash consideration converted to cash or Cash Equivalents within one hundred eighty (180) days following the consummation of the applicable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consideration once converted to cash and/or Cash Equivalents, shall be deemed to constitute Net Proceeds received on the date such applicable Designated Non-Cash Consideration was converted to cash and/or Cash Equivalents and shall be subject to Section 2.11(c)(i)).</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Representative</w:t>
      </w:r>
      <w:r>
        <w:rPr>
          <w:rFonts w:ascii="Arial" w:cs="Arial" w:eastAsia="Arial" w:hAnsi="Arial"/>
          <w:sz w:val="18"/>
          <w:szCs w:val="18"/>
          <w:color w:val="auto"/>
        </w:rPr>
        <w:t>” means, with respect to any series of Alternative Incremental Facility Indebtedness, Permitted Pari Passu Secured Refinancing Debt, Permitted Junior Secured Refinancing Debt or Ratio Debt, the trustee, administrative agent, collateral agent, security agent or similar agent hereunder or under the agreement pursuant to which such Indebtedness is issued, incurred or otherwise obtained, as the case may be, and each of their successors in such capacities.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means a sale, transfer, lease, disposition or exclusive license, including any “Disposition” by means of a merger, consolidation or similar transaction. “Dispose” and “Disposed” as to any assets subject to a Disposition shall have a corollary meaning.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Consideration</w:t>
      </w:r>
      <w:r>
        <w:rPr>
          <w:rFonts w:ascii="Arial" w:cs="Arial" w:eastAsia="Arial" w:hAnsi="Arial"/>
          <w:sz w:val="18"/>
          <w:szCs w:val="18"/>
          <w:color w:val="auto"/>
        </w:rPr>
        <w:t>” means for any Disposition, the aggregate fair market value of any assets sold, transferred, leased, licensed or otherwise disposed 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4" w:lineRule="exact"/>
        <w:rPr>
          <w:sz w:val="20"/>
          <w:szCs w:val="20"/>
          <w:color w:val="auto"/>
        </w:rPr>
      </w:pPr>
    </w:p>
    <w:p>
      <w:pPr>
        <w:jc w:val="both"/>
        <w:ind w:left="660" w:firstLine="644"/>
        <w:spacing w:after="0" w:line="263"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matures or is mandatorily redeemable (other than solely for Equity Interests in such Person or of Holdings that do not constitute Disqualified Equity Interests and cash in lieu of fractional shares of such Equity Interests), whether pursuant to a sinking fund obligation or otherwise;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1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convertible or exchangeable at the option of the holder thereof for Indebtedness or Equity Interests (other than solely for Equity Interests in such Person or of Holdings that do not constitute Disqualified Equity Interests and cash in lieu of fractional shares of such Equity Interests); or</w:t>
      </w:r>
    </w:p>
    <w:p>
      <w:pPr>
        <w:spacing w:after="0" w:line="183" w:lineRule="exact"/>
        <w:rPr>
          <w:rFonts w:ascii="Arial" w:cs="Arial" w:eastAsia="Arial" w:hAnsi="Arial"/>
          <w:sz w:val="18"/>
          <w:szCs w:val="18"/>
          <w:color w:val="auto"/>
        </w:rPr>
      </w:pPr>
    </w:p>
    <w:p>
      <w:pPr>
        <w:jc w:val="both"/>
        <w:ind w:left="660" w:firstLine="644"/>
        <w:spacing w:after="0" w:line="301" w:lineRule="auto"/>
        <w:tabs>
          <w:tab w:leader="none" w:pos="199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is or may be redeemable (other than solely for Equity Interests in such Person or of Holdings that do not constitute Disqualified Equity Interests and cash in lieu of fractional shares of such Equity Interests) or is or may be required to be repurchased by such Person or any of its Affiliates (other than, at the option of such Person, solely for Equity Interests in such Person or of Holdings that do not constitute Disqualified Equity Interests and cash in lieu of fractional shares of such Equity Interests), in whole or in part, at the option of the holder thereof;</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each case, on or prior to the date that occurs 91 days after the Latest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Equity Interests that would not constitute Disqualified Equity Interest but for provisions thereof giving holders thereof the right to require such Person to purchase or redeem such Equity Interests upon the occurrence of an “asset sale,” “fundamental change” or “change of control” occurring prior to the date that is 91 days after the Latest Maturity Date shall not constitute Disqualified Equity Interest if the “asset sale,” “fundamental change” or “change of control” provisions applicable to such Equity Interests are not more favorable to the holders of such Equity Interests than Section 6.03 and the provisions relating to a Change of Control contained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Equity Interests is issued to any plan for the benefit of directors, managers, employees or consultants of Holdings or its Subsidiaries or by any such plan to such directors, managers, employees or consultants, such Equity Interests shall not constitute Disqualified Equity Interest solely because it may be required to be repurchased by Holdings or its Subsidiaries in order to satisfy applicable statutory or regulatory obligations or as a result of such employee’s, director’s, officer’s, management member’s or consultant’s termination, death or disability.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 w:name="page39"/>
    <w:bookmarkEnd w:id="38"/>
    <w:p>
      <w:pPr>
        <w:jc w:val="both"/>
        <w:ind w:firstLine="648"/>
        <w:spacing w:after="0" w:line="275" w:lineRule="auto"/>
        <w:rPr>
          <w:sz w:val="20"/>
          <w:szCs w:val="20"/>
          <w:color w:val="auto"/>
        </w:rPr>
      </w:pPr>
      <w:r>
        <w:rPr>
          <w:rFonts w:ascii="Arial" w:cs="Arial" w:eastAsia="Arial" w:hAnsi="Arial"/>
          <w:sz w:val="17"/>
          <w:szCs w:val="17"/>
          <w:color w:val="auto"/>
        </w:rPr>
        <w:t xml:space="preserve">The amount of any Disqualified Equity Interest that does not have a fixed redemption, repayment or repurchase price will be calculated in accordance with the terms of such Disqualified Equity Interest as if such Disqualified Equity Interest were redeemed, repaid or repurchased by the issuer thereof on any date on which the amount of such Disqualified Equity Interest is to be determined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Disqualified Equity Interest could not be required to be repurchased by the issuer thereof at the time of such determination, the repurchase price will be the book value of such Disqualified Equity Interest as reflected in the most recent financial statements of such Person.</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Lender</w:t>
      </w:r>
      <w:r>
        <w:rPr>
          <w:rFonts w:ascii="Arial" w:cs="Arial" w:eastAsia="Arial" w:hAnsi="Arial"/>
          <w:sz w:val="17"/>
          <w:szCs w:val="17"/>
          <w:color w:val="auto"/>
        </w:rPr>
        <w:t xml:space="preserve">” means (a) certain banks, financial institutions and other institutional lenders that have been specified by Holdings in writing to Citi prior to March 18, 2021, (b) any of Holdings, the Target’s or their respective Subsidiaries’ competitors that have been specified to (i) the Lead Arrangers by Holdings in writing before the Closing Date or (ii) to the Administrative Agent by Holdings in writing after the Closing Date at any time and from time to time and (c) in the case of each of clauses (a) and (b), any of their respective affiliates (other than any bona fide debt funds) that are either (x) identified in writing to the Lead Arrangers or, after the Closing Date, the Administrative Agent by Holdings from time to time or (y) clearly identifiable as affiliates of such persons on the basis of such affiliate’s name;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provisions shall not apply retroactively to disqualify any person if such person shall have become a Lender or participant prior to such person’s designation as a Disqualified Lender, but shall disqualify such person from taking any further assignment, transfer, allocation or participation after such designation.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of any currency at any date means (i) the amount of such currency if such currency is Dollars or (ii) the equivalent in such currency of Dollars if such currency is a Foreign Currency, calculated on the basis of the Exchange Rate for such currency, on or as of the most recent Computation Date provided for in Section 2.04.</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shall mean, at any time, (a) with respect to any amount denominated in Dollars, such amount, and (b) with respect to any amount denominated in any Alternate Currency, the Equivalent Amount thereof in Dollars as determined by the Administrative Agent or relevant Issuing Bank, as applicable, at such time on the basis of the spot rate (determined in respect of the most recent Computation Date or other applicable date of determination) for the purchase of Dollars with such Alternate Currency.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 Subsidiary organized under the laws of the United States, any state thereof or the District of Columbia.</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Drug Development Fund</w:t>
      </w:r>
      <w:r>
        <w:rPr>
          <w:rFonts w:ascii="Arial" w:cs="Arial" w:eastAsia="Arial" w:hAnsi="Arial"/>
          <w:sz w:val="17"/>
          <w:szCs w:val="17"/>
          <w:color w:val="auto"/>
        </w:rPr>
        <w:t>” means a fund, the primary business purpose of which is to invest in the development of pharmaceutical products or investigational medicinal products or devices, in which Holdings or any of its Restricted Subsidiaries owns a minority of the Equity Interests.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Payment Amount</w:t>
      </w:r>
      <w:r>
        <w:rPr>
          <w:rFonts w:ascii="Arial" w:cs="Arial" w:eastAsia="Arial" w:hAnsi="Arial"/>
          <w:sz w:val="18"/>
          <w:szCs w:val="18"/>
          <w:color w:val="auto"/>
        </w:rPr>
        <w:t>” has the meaning assigned to such term in Section 2.11(c)(iii).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the Commodity Exchange Act and the regulations thereunder.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Yield</w:t>
      </w:r>
      <w:r>
        <w:rPr>
          <w:rFonts w:ascii="Arial" w:cs="Arial" w:eastAsia="Arial" w:hAnsi="Arial"/>
          <w:sz w:val="18"/>
          <w:szCs w:val="18"/>
          <w:color w:val="auto"/>
        </w:rPr>
        <w:t>” means, as to any Loans of any Class, the effective yield on such Loans as determined by Holdings in good faith, taking into account the applicable interest rate margins, any interest rate floors or similar devices, all recurring fees and other fees, including upfront or similar fees or original issue discount (amortized over the shorter of (x) the Weighted Average Life to Maturity of such Loans and (y) the four years following the date of incurrence thereof) payable generally to Lenders making such Loans, but excluding (i) any arrangement, structuring, commitment, ticking, underwriting or similar fees or other fees payable in connection therewith that are not generally shared with the Lenders thereunder and (ii) any customary consent fees paid generally to consenting Lenders.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Transferee</w:t>
      </w:r>
      <w:r>
        <w:rPr>
          <w:rFonts w:ascii="Arial" w:cs="Arial" w:eastAsia="Arial" w:hAnsi="Arial"/>
          <w:sz w:val="18"/>
          <w:szCs w:val="18"/>
          <w:color w:val="auto"/>
        </w:rPr>
        <w:t>” means an “accredited investor” (as defined in regulation D of the Securities Act) that (w) is not a natural person, (x) is not a Defaulting Lender, in each case at the time of the respective assignment or participation to such Person, (y) has provided any documentation required pursuant to the provisions of Section 2.17 and (z) is not a Disqualified Lender.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Event</w:t>
      </w:r>
      <w:r>
        <w:rPr>
          <w:rFonts w:ascii="Arial" w:cs="Arial" w:eastAsia="Arial" w:hAnsi="Arial"/>
          <w:sz w:val="18"/>
          <w:szCs w:val="18"/>
          <w:color w:val="auto"/>
        </w:rPr>
        <w:t>” has the meaning assigned to such term in Schedule 1.01A.</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applicable laws, rules, regulations, codes, ordinances, or binding orders, decrees, judgments, injunctions, notices or agreements issued, promulgated or entered into by any Governmental Authority, relating to pollution or protection of the environment, including management or reclamation of natural resources, and the management, Release or threatened Release of any Hazardous Material or to occupational health and safety matters, as such occupational health and safety matters relate to exposure or handling of Hazardous Materials.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directly or indirectly resulting from or based upon (a) violation of any Environmental Law, (b) the generation, use, handling, transportation, storage or treatment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shares (</w:t>
      </w:r>
      <w:r>
        <w:rPr>
          <w:rFonts w:ascii="Arial" w:cs="Arial" w:eastAsia="Arial" w:hAnsi="Arial"/>
          <w:sz w:val="18"/>
          <w:szCs w:val="18"/>
          <w:i w:val="1"/>
          <w:iCs w:val="1"/>
          <w:color w:val="auto"/>
        </w:rPr>
        <w:t>parts sociales</w:t>
      </w:r>
      <w:r>
        <w:rPr>
          <w:rFonts w:ascii="Arial" w:cs="Arial" w:eastAsia="Arial" w:hAnsi="Arial"/>
          <w:sz w:val="18"/>
          <w:szCs w:val="18"/>
          <w:color w:val="auto"/>
        </w:rPr>
        <w:t xml:space="preserve">) in a Luxembourg private limited liability company, beneficial interests in a trust or other equity ownership interests in a Person, and any warrants, options or other rights entitling the holder thereof to purchase or acquire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“Equity Interests” shall not include Convertible Debt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 Amount</w:t>
      </w:r>
      <w:r>
        <w:rPr>
          <w:rFonts w:ascii="Arial" w:cs="Arial" w:eastAsia="Arial" w:hAnsi="Arial"/>
          <w:sz w:val="18"/>
          <w:szCs w:val="18"/>
          <w:color w:val="auto"/>
        </w:rPr>
        <w:t>” of any currency with respect to any amount of Dollars at any date shall mean the equivalent in such currency of such amount of Dollars, calculated on the basis of the Exchange Rate for such other currency at 11:00 a.m., London time, on the date on or as of which such amount is to be determined.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Holdings,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failure to satisfy the minimum funding standard under Section 412 of the Code or Section 302 of ERISA, whether or not waived; (c) the filing pursuant to Section 412(c) of the Code or Section 302(c) of ERISA of an application for a waiver of the minimum funding standard with respect to any Plan; (d) the incurrence by Holdings or any of its ERISA Affiliates of any liability under Title IV of ERISA with respect to the termination of any Plan other than any PBGC premiums due but not delinquent under Section 4007 of ERISA; (e) a determination that any Plan is, or is reasonably expected to be, considered an at-risk plan within the meaning of Section 430 of the Code or Section 303 of ERISA; (f) the receipt by Holdings or any ERISA Affiliate from the PBGC or a plan administrator of any written notice relating to an intention to terminate any Plan or Plans or to appoint a trustee to administer any Plan; (g) the incurrence by Holdings or any of its ERISA Affiliates of any liability with respect to the withdrawal or partial withdrawal of Holdings or any of its ERISA Affiliates from any Multiemployer Plan; (h) the receipt by Holdings or any ERISA Affiliate of any notice that a Multiemployer Plan is, or is expected to be insolvent within the meaning of Title IV of ERISA; or (i) the receipt by Holdings or any ERISA Affiliate of any notice that a Multiemployer Plan is in endangered or critical status under Section 432 of the Code or Section 305 of ERISA;</w:t>
      </w:r>
    </w:p>
    <w:p>
      <w:pPr>
        <w:spacing w:after="0" w:line="4" w:lineRule="exact"/>
        <w:rPr>
          <w:sz w:val="20"/>
          <w:szCs w:val="20"/>
          <w:color w:val="auto"/>
        </w:rPr>
      </w:pPr>
    </w:p>
    <w:p>
      <w:pPr>
        <w:jc w:val="both"/>
        <w:ind w:firstLine="8"/>
        <w:spacing w:after="0" w:line="284" w:lineRule="auto"/>
        <w:tabs>
          <w:tab w:leader="none" w:pos="22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occurrence of any event which triggers the full or partial wind up of any occupational pension scheme (within the meaning of section 2 of the Irish Pensions Act 1990 (as amended) (the “</w:t>
      </w:r>
      <w:r>
        <w:rPr>
          <w:rFonts w:ascii="Arial" w:cs="Arial" w:eastAsia="Arial" w:hAnsi="Arial"/>
          <w:sz w:val="16"/>
          <w:szCs w:val="16"/>
          <w:u w:val="single" w:color="auto"/>
          <w:color w:val="auto"/>
        </w:rPr>
        <w:t>Pensions Act</w:t>
      </w:r>
      <w:r>
        <w:rPr>
          <w:rFonts w:ascii="Arial" w:cs="Arial" w:eastAsia="Arial" w:hAnsi="Arial"/>
          <w:sz w:val="16"/>
          <w:szCs w:val="16"/>
          <w:color w:val="auto"/>
        </w:rPr>
        <w:t>”)) sponsored by Holdings or its Subsidiaries (an “</w:t>
      </w:r>
      <w:r>
        <w:rPr>
          <w:rFonts w:ascii="Arial" w:cs="Arial" w:eastAsia="Arial" w:hAnsi="Arial"/>
          <w:sz w:val="16"/>
          <w:szCs w:val="16"/>
          <w:u w:val="single" w:color="auto"/>
          <w:color w:val="auto"/>
        </w:rPr>
        <w:t>Irish Pension Scheme</w:t>
      </w:r>
      <w:r>
        <w:rPr>
          <w:rFonts w:ascii="Arial" w:cs="Arial" w:eastAsia="Arial" w:hAnsi="Arial"/>
          <w:sz w:val="16"/>
          <w:szCs w:val="16"/>
          <w:color w:val="auto"/>
        </w:rPr>
        <w:t>”); (k) the failure by an Irish Pension Scheme to meet the funding standard prescribed by Part IV of the Pensions Act as at a date in relation to which the trustees of the Irish Pension Scheme are required to cause an actuarial funding certificate to be prepared in accordance with the Pensions Act; (l) where any funding proposal (within the meaning of section 49 of the Pensions Act) which has been put in place to address a deficit within an Irish Pension Scheme goes off track (within the meaning of the Irish Pensions Authority’s prescribed guidance under section 49 of the Pensions Act, “the Irish Pensions Authority” being the body established under Part II of the Pensions Act); (m) where a prosecution for an offence is brought under section 3 of the Pensions Act against the sponsoring employer or trustees concerning an Irish Pension Scheme or where the Irish Pensions Authority brings proceedings before the Irish High Court concerning an Irish Pension Scheme under Part IX of the Pensions Act; (n) where the Irish Pensions Authority commences an investigation of or appoints an authorised officer over an Irish Pension Scheme in accordance with its powers under Part II of the Pensions Act, or where the Irish Pensions Authority issues to the trustees of an Irish Pension Scheme an advisory notice (within the meaning of section 26M of the Pensions Act) or a notice to trustees to provide an external report (within the meaning of section 26N of the Pensions Act); (o) where the Irish Financial Services and Pensions Ombudsman (being the person appointed as the “Ombudsman” under section 8(1)(a) of the Financial Services and Pensions Ombudsman Act 2017 (as amended)) either makes a determination against or brings enforcement proceedings against the sponsoring employer or the trustees concerning an Irish Pension Scheme; (p) where any arbitration proceedings or proceedings before the Irish High Court are initiated relating to a dispute between the sponsoring employer and/or the trustees and/or members (whether potential or actual) and/or beneficiaries (whether potential or actual) of an Irish Pension Scheme; or (q) the failure by Holdings or its Subsidiaries to remit contributions to an Irish Pension Scheme within the prescribed period set out in section 58A of the Pensions Act or failure by Holdings or its Subsidiaries to pay any other contributions to an Irish Pension Scheme which may be required under the terms of the Irish Pensions Scheme within a reasonable period after the due date for payment of such contributions.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has the meaning assigned to it in Section 8.02(a).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has the meaning assigned to it in Section 8.02(d).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Impacted Class</w:t>
      </w:r>
      <w:r>
        <w:rPr>
          <w:rFonts w:ascii="Arial" w:cs="Arial" w:eastAsia="Arial" w:hAnsi="Arial"/>
          <w:sz w:val="18"/>
          <w:szCs w:val="18"/>
          <w:color w:val="auto"/>
        </w:rPr>
        <w:t>” has the meaning assigned to it in Section 8.02(d).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has the meaning assigned to it in Section 8.02(d).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Subrogation Rights</w:t>
      </w:r>
      <w:r>
        <w:rPr>
          <w:rFonts w:ascii="Arial" w:cs="Arial" w:eastAsia="Arial" w:hAnsi="Arial"/>
          <w:sz w:val="18"/>
          <w:szCs w:val="18"/>
          <w:color w:val="auto"/>
        </w:rPr>
        <w:t>” has the meaning assigned to it in Section 8.02(d).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w:t>
      </w:r>
      <w:r>
        <w:rPr>
          <w:rFonts w:ascii="Arial" w:cs="Arial" w:eastAsia="Arial" w:hAnsi="Arial"/>
          <w:sz w:val="18"/>
          <w:szCs w:val="18"/>
          <w:color w:val="auto"/>
        </w:rPr>
        <w:t>” means the European Union.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EURIBOR Rate</w:t>
      </w:r>
      <w:r>
        <w:rPr>
          <w:rFonts w:ascii="Arial" w:cs="Arial" w:eastAsia="Arial" w:hAnsi="Arial"/>
          <w:sz w:val="17"/>
          <w:szCs w:val="17"/>
          <w:color w:val="auto"/>
        </w:rPr>
        <w:t>” means, for any Interest Period when used in reference to any Loan or Borrowing denominated in euros, (a) the rate of interest (rounded upwards, if necessary, to the nearest 1/100th) appearing on the applicable Bloomberg screen (or on any successor or substitute page of such service, or any successor to such service as determined by Administrative Agent) (the “</w:t>
      </w:r>
      <w:r>
        <w:rPr>
          <w:rFonts w:ascii="Arial" w:cs="Arial" w:eastAsia="Arial" w:hAnsi="Arial"/>
          <w:sz w:val="17"/>
          <w:szCs w:val="17"/>
          <w:u w:val="single" w:color="auto"/>
          <w:color w:val="auto"/>
        </w:rPr>
        <w:t>EURIBOR Screen Rate</w:t>
      </w:r>
      <w:r>
        <w:rPr>
          <w:rFonts w:ascii="Arial" w:cs="Arial" w:eastAsia="Arial" w:hAnsi="Arial"/>
          <w:sz w:val="17"/>
          <w:szCs w:val="17"/>
          <w:color w:val="auto"/>
        </w:rPr>
        <w:t xml:space="preserve">”) as the Euro interbank offered rate for deposits in Euros for a term comparable to such Interest Period, at approximately 11:00 a.m. (Brussels time) on the date which is two Business Days prior to the commencement of such Interest Period (but if more than one rate is specified on such page, the rate will be an arithmetic average of all such rates) and (b) if such rate is not available at such time for any reason, then the “EURIBOR Rate” for such Interest Period shall be the interest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reasonably determined by the Administrative Agent in good faith to be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at which deposits in euros for delivery on the first day of such Interest Period in immediately available funds in the approximate amount of the Eurocurrency Rate Loan being made, continued or converted by the Administrative Agent and with a term equivalent to such Interest Period would be offered to the Administrative Agent by major banks in the London or other offshore interbank market for Euros at their request at approximately 11:00 a.m. (Brussels time) two Business Days prior to the commencement of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 interest rate is not ascertainable pursuant to the foregoing provisions of this definition, “EURIBOR Rate” shall be the interest rate per annum equal to the Interpolated Screen Rate.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Screen Rate</w:t>
      </w:r>
      <w:r>
        <w:rPr>
          <w:rFonts w:ascii="Arial" w:cs="Arial" w:eastAsia="Arial" w:hAnsi="Arial"/>
          <w:sz w:val="18"/>
          <w:szCs w:val="18"/>
          <w:color w:val="auto"/>
        </w:rPr>
        <w:t>” has the meaning assigned to such term in the definition of “EURIBOR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and/or “</w:t>
      </w:r>
      <w:r>
        <w:rPr>
          <w:rFonts w:ascii="Arial" w:cs="Arial" w:eastAsia="Arial" w:hAnsi="Arial"/>
          <w:sz w:val="18"/>
          <w:szCs w:val="18"/>
          <w:u w:val="single" w:color="auto"/>
          <w:color w:val="auto"/>
        </w:rPr>
        <w:t>EUR</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 currency, means an Agreed Currency, and when used in reference to any Loan or Borrowing, means that such Loan, or the Loans comprising such Borrowing, bears interest at a rate determined by reference to the Eurocurrency Rate (other than any ABR Loan or ABR Borrowing).</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Payment Office</w:t>
      </w:r>
      <w:r>
        <w:rPr>
          <w:rFonts w:ascii="Arial" w:cs="Arial" w:eastAsia="Arial" w:hAnsi="Arial"/>
          <w:sz w:val="17"/>
          <w:szCs w:val="17"/>
          <w:color w:val="auto"/>
        </w:rPr>
        <w:t>” of the Administrative Agent means, for each Foreign Currency, the office, branch, affiliate or correspondent bank of the Administrative Agent for such currency as specified from time to time by the Administrative Agent to Holdings and each Lender.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(a) in the case of Loans denominated in an Agreed Currency other than euros and Pounds Sterling, the Adjusted LIBO Rate or (b) in the case of Loans denominated in euros, the Adjusted EURIBOR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Section 7.01.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period, an amount equal to the excess of:</w:t>
      </w:r>
    </w:p>
    <w:p>
      <w:pPr>
        <w:spacing w:after="0" w:line="22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Net Income of the Group for such period;</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 amount equal to the amount of all non-cash charges (including depreciation and amortization) to the extent deducted in arriving at such Consolidated Net Income, but excluding any such non-cash charges representing an accrual or reserve for potential cash items in any future period and excluding amortization of a prepaid cash item that was paid in a prior period; and</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2023"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decreases in Consolidated Working Capital for such period (measured as the decrease, if any, of Consolidated Working Capital at the beginning of such Excess Cash Flow Period compared to Consolidated Working Capital at the end of such Excess Cash Flow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decreases arising from acquisitions or dispositions by Holdings and its Restricted Subsidiaries completed during such period and the effect of reclassification during such period of current assets to long-term assets and current liabilities to long-term liabilities shall be excluded; over</w:t>
      </w:r>
    </w:p>
    <w:p>
      <w:pPr>
        <w:spacing w:after="0" w:line="187" w:lineRule="exact"/>
        <w:rPr>
          <w:rFonts w:ascii="Arial" w:cs="Arial" w:eastAsia="Arial" w:hAnsi="Arial"/>
          <w:sz w:val="18"/>
          <w:szCs w:val="18"/>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0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 amount equal to the amount of all non-cash credits included in arriving at such Consolidated Net Income (but excluding any non-cash credit to the extent representing the reversal of an accrual or reserve described in clause (a)(ii) above) and cash charges, expenses and losses excluded by virtue of clauses (a) through (p) of the definition of “Consolidated Net Income;”</w:t>
      </w:r>
    </w:p>
    <w:p>
      <w:pPr>
        <w:spacing w:after="0" w:line="183" w:lineRule="exact"/>
        <w:rPr>
          <w:rFonts w:ascii="Arial" w:cs="Arial" w:eastAsia="Arial" w:hAnsi="Arial"/>
          <w:sz w:val="18"/>
          <w:szCs w:val="18"/>
          <w:color w:val="auto"/>
        </w:rPr>
      </w:pPr>
    </w:p>
    <w:p>
      <w:pPr>
        <w:jc w:val="both"/>
        <w:ind w:left="660" w:firstLine="644"/>
        <w:spacing w:after="0" w:line="287" w:lineRule="auto"/>
        <w:tabs>
          <w:tab w:leader="none" w:pos="2045" w:val="left"/>
        </w:tabs>
        <w:numPr>
          <w:ilvl w:val="1"/>
          <w:numId w:val="30"/>
        </w:numPr>
        <w:rPr>
          <w:rFonts w:ascii="Arial" w:cs="Arial" w:eastAsia="Arial" w:hAnsi="Arial"/>
          <w:sz w:val="16"/>
          <w:szCs w:val="16"/>
          <w:color w:val="auto"/>
        </w:rPr>
      </w:pPr>
      <w:r>
        <w:rPr>
          <w:rFonts w:ascii="Arial" w:cs="Arial" w:eastAsia="Arial" w:hAnsi="Arial"/>
          <w:sz w:val="16"/>
          <w:szCs w:val="16"/>
          <w:color w:val="auto"/>
        </w:rPr>
        <w:t>without duplication of amounts deducted pursuant to this clause (ii) in prior fiscal years, the aggregate amount of all principal payments of Indebtedness of Holdings and its Restricted Subsidiaries (including (A) the principal component of payments in respect of Capital Lease Obligations and (B) the amount of any scheduled repayment of Term Loans pursuant to Section 2.10 and mandatory prepayment of Term Loans pursuant to Section 2.11 to the extent required due to a Disposition or casualty event that resulted in an increase to such Consolidated Net Income and not in excess of the amount of such increase, but excluding (W) all other prepayments of Term Loans (other than prepayments referred to in clause (B) above)), (X) all prepayments of Revolving Loans and Swingline Loans, except to the extent there is an equivalent permanent reduction in commitments thereunder, (Y) all prepayments in respect of any other revolving credit facility, except to the extent there is an equivalent permanent reduction in commitments thereunder and (Z) payments of any Subordinated Indebtedness (except to the extent permitted to be paid pursuant to Section 6.04) made during such period and, at the election of Holdings, made after such period but prior to the date of the applicable Excess Cash Flow payment, in each case of clauses (A) and (B) above, except to the extent financed with the proceeds of other long term Indebtedness of Holdings or its Restricted Subsidiaries (other than revolving Indebtedness));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ind w:left="660" w:firstLine="644"/>
        <w:spacing w:after="0" w:line="308" w:lineRule="auto"/>
        <w:tabs>
          <w:tab w:leader="none" w:pos="21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amount equal to the aggregate net non-cash gain on dispositions by Holdings and its Restricted Subsidiaries during such period (other than dispositions in the ordinary course of business) to the extent included in arriving at such Consolidated Net Income;</w:t>
      </w:r>
    </w:p>
    <w:p>
      <w:pPr>
        <w:spacing w:after="0" w:line="146" w:lineRule="exact"/>
        <w:rPr>
          <w:rFonts w:ascii="Arial" w:cs="Arial" w:eastAsia="Arial" w:hAnsi="Arial"/>
          <w:sz w:val="17"/>
          <w:szCs w:val="17"/>
          <w:color w:val="auto"/>
        </w:rPr>
      </w:pPr>
    </w:p>
    <w:p>
      <w:pPr>
        <w:jc w:val="both"/>
        <w:ind w:left="660" w:firstLine="644"/>
        <w:spacing w:after="0" w:line="257" w:lineRule="auto"/>
        <w:tabs>
          <w:tab w:leader="none" w:pos="19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increases in Consolidated Working Capital for such period (measured as the increase, if any, of Consolidated Working Capital at the beginning of such Excess Cash Flow Period compared to Consolidated Working Capital at the end of such Excess Cash Flow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(x) any such increases arising from acquisitions or dispositions by Holdings and its Restricted Subsidiaries completed during such period and the effect of reclassification during such period of current assets to long-term assets and current liabilities to long-term liabilities shall be excluded;</w:t>
      </w:r>
    </w:p>
    <w:p>
      <w:pPr>
        <w:spacing w:after="0" w:line="187" w:lineRule="exact"/>
        <w:rPr>
          <w:rFonts w:ascii="Arial" w:cs="Arial" w:eastAsia="Arial" w:hAnsi="Arial"/>
          <w:sz w:val="18"/>
          <w:szCs w:val="18"/>
          <w:color w:val="auto"/>
        </w:rPr>
      </w:pPr>
    </w:p>
    <w:p>
      <w:pPr>
        <w:jc w:val="both"/>
        <w:ind w:left="660" w:firstLine="644"/>
        <w:spacing w:after="0" w:line="259" w:lineRule="auto"/>
        <w:tabs>
          <w:tab w:leader="none" w:pos="19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payments by Holdings and its Restricted Subsidiaries during such period in respect of long-term liabilities of Holdings and its Restricted Subsidiaries (other than Indebtedness) to the extent such payments are not expensed during such period or are not deducted in calculating Consolidated Net Income, except to the extent financed with the proceeds of long-term Indebtedness of Holdings or its Restricted Subsidiaries (other than revolving Indebtedness);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without duplication of amounts deducted under Sections 2.11(c)(iii)(b)(3), (4) and (5), the aggregate amount of expenditures actually made by Holdings and its Restricted Subsidiaries from internally generated cash flow of Holdings and its Restricted Subsidiaries in cash during such period (including expenditures for the payment of financing fees) to the extent that such expenditures are not expensed during such period or are not deducted (or were excluded) in calculating Consolidated Net Income;</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20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amount of any premium, make-whole or penalty payments actually paid in cash by Holdings and its Restricted Subsidiaries during such period that are made in connection with any prepayment of Indebtedness to the extent such payments are not expensed during such period or are not deducted in calculating Consolidated Net Income;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1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cash Taxes paid or payable in respect of the period which have been accrued at the end of the period under GAAP, together with any increase in reserves which have been set aside (without duplication) in such period, to the extent they exceed the amount of tax expense deducted in determining Consolidated Net Income for such period;</w:t>
      </w:r>
    </w:p>
    <w:p>
      <w:pPr>
        <w:spacing w:after="0" w:line="183" w:lineRule="exact"/>
        <w:rPr>
          <w:rFonts w:ascii="Arial" w:cs="Arial" w:eastAsia="Arial" w:hAnsi="Arial"/>
          <w:sz w:val="18"/>
          <w:szCs w:val="18"/>
          <w:color w:val="auto"/>
        </w:rPr>
      </w:pPr>
    </w:p>
    <w:p>
      <w:pPr>
        <w:ind w:left="660" w:firstLine="644"/>
        <w:spacing w:after="0" w:line="277" w:lineRule="auto"/>
        <w:tabs>
          <w:tab w:leader="none" w:pos="226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expenditures in respect of Swap Agreements during such fiscal year to the extent not deducted in arriving at such Consolidated Net Income;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0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Restricted Payments pursuant to clauses (i), (iv), (v), (vi), (xiv), (xviii), (xxii) and (xxvii) of Section 6.04(b) paid in cash during such period, in each case, to the extent such Restricted Payments were financed with internally generated cash flow of Holdings and its Restricted Subsidiaries.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herein, for purposes of calculating “Excess Cash Flow”, Consolidated Net Income shall not be calculated on a Pro Forma Basis and for the avoidance of doubt, the Consolidated Net Income of a Person acquired in any Permitted Acquisition or other acquisition during an Excess Cash Flow Period shall be included in such calculation for such Excess Cash Flow Period only from and after the date of the consummation of such Permitted Acquisition or similar acquisition.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 Period</w:t>
      </w:r>
      <w:r>
        <w:rPr>
          <w:rFonts w:ascii="Arial" w:cs="Arial" w:eastAsia="Arial" w:hAnsi="Arial"/>
          <w:sz w:val="18"/>
          <w:szCs w:val="18"/>
          <w:color w:val="auto"/>
        </w:rPr>
        <w:t>” means each fiscal year of Holdings commencing with the fiscal year ended December 31,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4" w:name="page45"/>
    <w:bookmarkEnd w:id="44"/>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xml:space="preserve">” means, on any day, with respect to any Foreign Currency, the rate at which such Foreign Currency may be exchanged into Dollars, as set forth at approximately 11:00 a.m., Local Time, on such date on the applicable Bloomberg screen page for such Foreign Currency. In the event that such rate does not appear on any Bloomberg screen page, the Exchange Rate with respect to such Foreign Currency shall be determined by reference to such other publicly available service for displaying exchange rates as may be reasonably selected by the Administrative Agent or, in the event no such service is selected, such Exchange Rate shall instead be calculated on the basis of the arithmetical mean of the buy and sell spot rates of exchange of the Administrative Agent for such Foreign Currency on the London market at 11:00 a.m., Local Time, on such date for the purchase of Dollars with such Foreign Currency, for delivery two (2) Business Days later;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the time of any such determination, for any reason, no such spot rate is being quoted, the Administrative Agent, after consultation with Holdings, may use any reasonable method it deems appropriate to determine such rate, and such determination shall be conclusive absent manifest error.</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Accounts</w:t>
      </w:r>
      <w:r>
        <w:rPr>
          <w:rFonts w:ascii="Arial" w:cs="Arial" w:eastAsia="Arial" w:hAnsi="Arial"/>
          <w:sz w:val="17"/>
          <w:szCs w:val="17"/>
          <w:color w:val="auto"/>
        </w:rPr>
        <w:t>” means (i) accounts used exclusively for payroll, (ii) accounts used exclusively for payroll taxes and/or withheld income taxes, (iii) accounts used exclusively for employee wage and benefit payments, (iv) escrow accounts and trust accounts, in each case entered into in the ordinary course of business and consistent with prudent business practice conduct where the applicable Loan Party holds the funds exclusively for the benefit of one or more unaffiliated third parties, (v) accounts exclusively used to secure letters of credit, bank guarantees, obligations under Cash Management Agreements and obligations under Swap Agreements, in each case, to the extent constituting Permitted Liens and (vi) accounts exclusively used to hold deposits from customers that are required pursuant to agreements with such customers to be held in a segregated account that, pursuant to such agreements, is not permitted to be subject to a Lien securing the Obligations.</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means (i) any fee-owned real property and any leasehold interests in real property (other than the Headquarters); (ii) motor vehicles and other assets subject to certificates of title; (iii) pledges and security interests prohibited by applicable law, rule or regulation (including any requirement to obtain the consent of any governmental authority or third party) after giving effect to the applicable anti-assignment provisions of the Uniform Commercial Code or similar provisions under applicable law and other than proceeds and receivables thereof the assignment of which is expressly deemed effective under the Uniform Commercial Code or other applicable law notwithstanding such prohibition (iv) Margin Stock and Equity Interests in any Person other than wholly-owned Subsidiaries, to the extent a pledge of such Equity Interests is prohibited by the Organizational Documents, or agreements with other equity holders, of such equity; (v) voting Equity Interests in any Restricted Subsidiary of any U.S. Corporate Subsidiary that is a CFC or FSHCO to the extent such Equity Interest exceeds 65% of the outstanding voting Equity Interests of such CFC or FSHCO; (vi) assets to the extent a security interest in such assets could reasonably result in a material adverse Tax consequence to Holdings or any of its Restricted Subsidiaries (including as a result of the operation of Section 956 of the Code or any similar law or regulation in any applicable jurisdiction) as reasonably determined by the Borrowers in consultation with the Administrative Agent; (vii) any lease, license or other agreement and any property subject to a permitted purchase money security interest or similar permitted arrangement or Lien permitted by clauses (4), (5), (7) (solely in respect of Liens referenced in clauses (4), (5) and (11) of the definition of “Permitted Liens”), (9) (with respect to cash collateral or deposits), (11), (16), (19), (22) (with respect to cash collateral or deposits with a value not in excess of $50,000,000), (27) and (34) of the definition of “Permitted Liens” to the extent that a grant of a security interest therein would violate or invalidate such lease, license, contract, property right or agreement or purchase money arrangement or the documents governing such Permitted Lien or create a right of termination in favor of any other party thereto (other than a Loan Party), in each case (other than with respect to property subject to such purchase money interests or similar arrangements or Lien permitted by clauses (4), (5), (7) (solely in respect of Liens referenced in clauses (4), (5) and (11) of the definition of “Permitted Liens”) or (11) of the definition of “Permitted Liens”), after giving effect to the applicable anti-assignment provisions of the Uniform Commercial Code or similar provisions under applicable law other than proceeds and receivables thereof and only so long as the applicable provision giving rise to such violation or invalidity or such right of termination was not incurred in anticipation of this Agreement;</w:t>
      </w:r>
    </w:p>
    <w:p>
      <w:pPr>
        <w:spacing w:after="0" w:line="11" w:lineRule="exact"/>
        <w:rPr>
          <w:sz w:val="20"/>
          <w:szCs w:val="20"/>
          <w:color w:val="auto"/>
        </w:rPr>
      </w:pPr>
    </w:p>
    <w:p>
      <w:pPr>
        <w:jc w:val="both"/>
        <w:ind w:firstLine="8"/>
        <w:spacing w:after="0" w:line="266" w:lineRule="auto"/>
        <w:tabs>
          <w:tab w:leader="none" w:pos="44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those assets as to which the Administrative Agent and the Borrowers reasonably agree that the cost (including, without limitation, costs of notarization, taxes, stamp duties, registration or other applicable fees), consequences or burden of obtaining such a security interest or perfection thereof are excessive in relation to the benefit to the Lenders of the security to be afforded thereby; (ix) any of the capital stock of Restricted Subsidiaries not owned directly by a Loan Party; (x)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UCC or similar provisions under applicable law, and other than proceeds and receivables thereof, the assignment of which is expressly deemed effective under the Uniform Commercial Code or other applicable law notwithstanding such prohibition (xi) any assets to the extent expressly excluded pursuant to the Agreed Guarantee and Security Principles; (xii) any “intent-to-use” applications for trademarks or service marks filed in the United States Patent and Trademark Office (“PTO”), or any successor office thereto or any successor office thereto, prior to the filing and acceptance of a “Statement of Use” or “Amendment to Allege Use” with respect thereto, only to the extent, if any, that, and solely during the period, if any, in which, the grant of a security interest therein would impair the validity or enforceability of such intent-to-use application or any registration that issues from such intent-to-use application under applicable federal Law; (xiii) any Excluded Accounts; (xiv) letter-of-credit rights (except to the extent a security interest therein can be perfected by the filing of UCC financing statements or similar filings under applicable law) (it being understood that no actions shall be required to perfect a security interest in letter of credit rights, other than the filing of a Uniform Commercial Code financing statement or applicable filings under applicable law); (xv) any commercial tort claim with a value not in excess of $10,000,000; (xvi) [reserved]; (xvii) [reserved]; (xviii) Equity Interests in Unrestricted Subsidiaries; and (xiv) Equity Interests in Securitization Subsidiaries, to the extent a pledge of such Equity Interests is prohibited by the applicable Qualified Securitization Financing and Securitization Assets sold or pledged pursuant to a Qualified Securitization Financing or a Qualified Receivables Factoring. In addition notwithstanding anything to the contrary herein or in any Loan Documents, the following assets shall not be required to be subject to a fixed charge in Ireland: (a) all plant and equipment, in each case, located in Ireland and (b) customer contracts or other agreements with third parties (including, without limitation, distribution agreements, license agreements or similar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Headquarters shall be subject to a fixed charge in Ireland.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5" w:name="page46"/>
    <w:bookmarkEnd w:id="45"/>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any Foreign Subsidiary of any U.S. Corporate Subsidiary and, in the case of any such Foreign Subsidiary that is a CFC, any Subsidiary of such CFC;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(a) shall not apply at any time after the Closing Date to any entity that is a Restricted Subsidiary of Holdings on the Closing Date unless this clause (a) applied to such entity on the Closing Date, (b) any Domestic Subsidiary of any U.S. Corporate Subsidiary that has no material assets other than equity interests and/or indebtedness of one or more (1) Foreign Subsidiaries of any U.S. Corporate Subsidiary that are excluded under clause (a) or (2) entities described in clause (b)(1) (a “</w:t>
      </w:r>
      <w:r>
        <w:rPr>
          <w:rFonts w:ascii="Arial" w:cs="Arial" w:eastAsia="Arial" w:hAnsi="Arial"/>
          <w:sz w:val="16"/>
          <w:szCs w:val="16"/>
          <w:u w:val="single" w:color="auto"/>
          <w:color w:val="auto"/>
        </w:rPr>
        <w:t>FSHCO</w:t>
      </w:r>
      <w:r>
        <w:rPr>
          <w:rFonts w:ascii="Arial" w:cs="Arial" w:eastAsia="Arial" w:hAnsi="Arial"/>
          <w:sz w:val="16"/>
          <w:szCs w:val="16"/>
          <w:color w:val="auto"/>
        </w:rPr>
        <w:t>”), (c) any Subsidiary that is prohibited or restricted by applicable law, rule or regulation or by any contractual obligation existing on the Closing Date or at the time of acquisition thereof after the Closing Date and not in contemplation thereof, in each case, from guaranteeing the Loans or which would require governmental (including regulatory) consent, approval, license or authorization to provide a guarantee unless such consent, approval, license or authorization has been received or a Subsidiary a guarantee from which could reasonably result in a material adverse Tax consequence to Holdings or any of its Subsidiaries (including as a result of the operation of Section 956 of the Code or any similar law or regulation in any applicable jurisdiction) as reasonably determined by the Borrowers, in consultation with the Administrative Agent, (d) not-for-profit Subsidiaries, if any, (e) certain special purpose entities, (f) captive insurance companies, if any, (g) any Subsidiary where the Administrative Agent and the Borrowers agree the cost, consequences or burden of obtaining a guarantee by such Subsidiary would be excessive in light of the practical benefit to the Lenders afforded thereby, (h) each Subsidiary listed on Schedule 1.01D hereto, (i) any non-wholly-owned Subsidiaries, (j) at the option of Holdings, any Subsidiary that is not a Material Subsidiary and (k) any Securitization Subsidiary.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6" w:name="page47"/>
    <w:bookmarkEnd w:id="46"/>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any payments made to the Administrative Agent, any Lender or any other recipient of any payment to be made by or on account of any obligation of any Loan Party under any Loan Document, (a) Taxes imposed on (or measured by) net income, franchise or similar Taxes, and branch profits Taxes (in each case, however denominated), in each case imposed by the jurisdiction under the laws of which such recipient is organized, or in which it carries on a trade or business or is deemed to be a resident for tax purposes, or in which its principal office is located or, in the case of any Lender, in which its applicable lending office is located or as a result of any other present or former connection between such recipient and the jurisdiction (other than a connection arising solely as a result of it having executed, delivered, become a party to, performed its obligations under, received payments under, received or perfected a security interest under, engaged in any other transaction pursuant to or enforced any Loan Document), (b) in the case of a Lender, any U.S. federal withholding Tax that is imposed on amounts payable to or for the account of such Lender with respect to an applicable interest in a Loan, Letter of Credit or Commitment pursuant to a Legal Requirement in effect on the date on which (i) such Lender acquires such interest in the Loan, Letter of Credit or Commitment (other than pursuant to an assignment request by Holdings under Section 2.19(b)) or (ii) such Lender changes its lending office, except in each case to the extent that, pursuant to Section 2.17(a), amounts with respect to such Taxes were payable either to such Lender's assignor immediately before such Lender acquired such applicable interest in the applicable Loan, Letter of Credit or Commitment or to such Lender immediately before it changed its lending office, (c) any Taxes attributable to such Person's failure to comply with Section 2.17(e) or (h), (d) any Tax that is imposed pursuant to FATCA, (e) in the case of a Revolving Lender, solely with respect to any Revolving Loan, Extended Revolving Loan or Incremental Revolving Loan, in each case, extended to a Revolving Borrower that is tax resident in the Republic of Ireland, any Irish Tax that would not have been imposed (i) if the Revolving Lender had been an Irish Qualifying Lender but on that date the Revolving Lender is not or has ceased to be an Irish Qualifying Lender other than as a result of any change after the date it became a Revolving Lender under this Agreement in (or in the interpretation, administration or application of) any law or Treaty or any law or published practice or concession of any relevant tax authority or (ii) where the relevant Revolving Lender is an Irish Qualifying Lender solely on account of being an Irish Treaty Lender and that Lender has not complied with its obligations under Section 2.17(e), (f)(i) any Luxembourg withholding tax due under the so-called Luxembourg Relibi Law dated 23 December 2005 by the Grand-Duchy of Luxembourg and (ii) Luxembourg registration duties (</w:t>
      </w:r>
      <w:r>
        <w:rPr>
          <w:rFonts w:ascii="Arial" w:cs="Arial" w:eastAsia="Arial" w:hAnsi="Arial"/>
          <w:sz w:val="16"/>
          <w:szCs w:val="16"/>
          <w:i w:val="1"/>
          <w:iCs w:val="1"/>
          <w:color w:val="auto"/>
        </w:rPr>
        <w:t>droits d’enregistrement</w:t>
      </w:r>
      <w:r>
        <w:rPr>
          <w:rFonts w:ascii="Arial" w:cs="Arial" w:eastAsia="Arial" w:hAnsi="Arial"/>
          <w:sz w:val="16"/>
          <w:szCs w:val="16"/>
          <w:color w:val="auto"/>
        </w:rPr>
        <w:t>) payable due to a registration, submission or filing by the Administrative Agent, a Lender or an Issuing Bank of any Loan Document, except if such registration, submission or filing is required to maintain, establish, enforce or preserve the rights of the Administrative Agent, a Lender or an Issuing Bank under such Loan Document, and (g) any U.S. federal backup withholding tax imposed under Section 3406 of the Code (or any successor provision). For the avoidance of doubt, (1) for purposes of this definition of “Excluded Taxes,” the terms “Lender” and “Revolving Lender” shall include any Issuing Bank and any Swingline Lender and (2) for purposes of clause (e) of this definition of “Excluded Taxes,” the term “Revolving Loan” shall include any Letter of Credit and any Swingline Loan.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 No. 13224</w:t>
      </w:r>
      <w:r>
        <w:rPr>
          <w:rFonts w:ascii="Arial" w:cs="Arial" w:eastAsia="Arial" w:hAnsi="Arial"/>
          <w:sz w:val="18"/>
          <w:szCs w:val="18"/>
          <w:color w:val="auto"/>
        </w:rPr>
        <w:t>” shall mean the Executive Order No. 13224 on Terrorist Financing, effective September 24, 2001, as the same as been, or shall hereafter be, renewed, extended, amended or replaced.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Credit Agreement</w:t>
      </w:r>
      <w:r>
        <w:rPr>
          <w:rFonts w:ascii="Arial" w:cs="Arial" w:eastAsia="Arial" w:hAnsi="Arial"/>
          <w:sz w:val="18"/>
          <w:szCs w:val="18"/>
          <w:color w:val="auto"/>
        </w:rPr>
        <w:t>” means the Multicurrency Revolving Facility Agreement, dated as of March 12, 2018, by and among Icon Public Limited Company, Icon Investments Five Unlimited Company, Santander UK PLC, as agent, and the lenders party thereto (as amended, restated, amended and restated, supplemented or otherwise modified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Commitments</w:t>
      </w:r>
      <w:r>
        <w:rPr>
          <w:rFonts w:ascii="Arial" w:cs="Arial" w:eastAsia="Arial" w:hAnsi="Arial"/>
          <w:sz w:val="18"/>
          <w:szCs w:val="18"/>
          <w:color w:val="auto"/>
        </w:rPr>
        <w:t>” means the Extended Term Loan Commitments and the Extended Revolving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Loan</w:t>
      </w:r>
      <w:r>
        <w:rPr>
          <w:rFonts w:ascii="Arial" w:cs="Arial" w:eastAsia="Arial" w:hAnsi="Arial"/>
          <w:sz w:val="18"/>
          <w:szCs w:val="18"/>
          <w:color w:val="auto"/>
        </w:rPr>
        <w:t>” means the Extended Term Loans and the Extended Revolving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w:t>
      </w:r>
      <w:r>
        <w:rPr>
          <w:rFonts w:ascii="Arial" w:cs="Arial" w:eastAsia="Arial" w:hAnsi="Arial"/>
          <w:sz w:val="18"/>
          <w:szCs w:val="18"/>
          <w:color w:val="auto"/>
        </w:rPr>
        <w:t>” shall have the meaning given to such term in Section 2.22(a)(iii).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Loans</w:t>
      </w:r>
      <w:r>
        <w:rPr>
          <w:rFonts w:ascii="Arial" w:cs="Arial" w:eastAsia="Arial" w:hAnsi="Arial"/>
          <w:sz w:val="18"/>
          <w:szCs w:val="18"/>
          <w:color w:val="auto"/>
        </w:rPr>
        <w:t>” means Revolving Loans made by one or more Lenders to the Borrowers pursuant to Section 2.22.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w:t>
      </w:r>
      <w:r>
        <w:rPr>
          <w:rFonts w:ascii="Arial" w:cs="Arial" w:eastAsia="Arial" w:hAnsi="Arial"/>
          <w:sz w:val="18"/>
          <w:szCs w:val="18"/>
          <w:color w:val="auto"/>
        </w:rPr>
        <w:t>” shall have the meaning given to such term in Section 2.22(a)(ii).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 Commitment</w:t>
      </w:r>
      <w:r>
        <w:rPr>
          <w:rFonts w:ascii="Arial" w:cs="Arial" w:eastAsia="Arial" w:hAnsi="Arial"/>
          <w:sz w:val="18"/>
          <w:szCs w:val="18"/>
          <w:color w:val="auto"/>
        </w:rPr>
        <w:t>” means the commitment of any Lender, established pursuant to Section 2.22, to make Extended Term Loans to the Applicable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Revolving Lender</w:t>
      </w:r>
      <w:r>
        <w:rPr>
          <w:rFonts w:ascii="Arial" w:cs="Arial" w:eastAsia="Arial" w:hAnsi="Arial"/>
          <w:sz w:val="18"/>
          <w:szCs w:val="18"/>
          <w:color w:val="auto"/>
        </w:rPr>
        <w:t>” shall have the meaning given to such term in Section 2.22(a)(iii).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shall have the meaning given to such term in Section 2.22(a).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Amendment</w:t>
      </w:r>
      <w:r>
        <w:rPr>
          <w:rFonts w:ascii="Arial" w:cs="Arial" w:eastAsia="Arial" w:hAnsi="Arial"/>
          <w:sz w:val="18"/>
          <w:szCs w:val="18"/>
          <w:color w:val="auto"/>
        </w:rPr>
        <w:t>” means any amendment entered into pursuant to Section 2.22(c).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shall have the meaning given to such term in Section 2.22(a).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Office</w:t>
      </w:r>
      <w:r>
        <w:rPr>
          <w:rFonts w:ascii="Arial" w:cs="Arial" w:eastAsia="Arial" w:hAnsi="Arial"/>
          <w:sz w:val="18"/>
          <w:szCs w:val="18"/>
          <w:color w:val="auto"/>
        </w:rPr>
        <w:t>” means the office or offices through which the Lender will perform its obligations under this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current Section 1471(b)(1)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8" w:name="page49"/>
    <w:bookmarkEnd w:id="48"/>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w:t>
      </w:r>
      <w:r>
        <w:rPr>
          <w:rFonts w:ascii="Arial" w:cs="Arial" w:eastAsia="Arial" w:hAnsi="Arial"/>
          <w:sz w:val="18"/>
          <w:szCs w:val="18"/>
          <w:color w:val="auto"/>
        </w:rPr>
        <w:t>” means the covenant specified in Section 6.12(a).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Cross Default</w:t>
      </w:r>
      <w:r>
        <w:rPr>
          <w:rFonts w:ascii="Arial" w:cs="Arial" w:eastAsia="Arial" w:hAnsi="Arial"/>
          <w:sz w:val="18"/>
          <w:szCs w:val="18"/>
          <w:color w:val="auto"/>
        </w:rPr>
        <w:t>” shall have the meaning given to such term in Section 7.01(d).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shall have the meaning given to such term in Section 7.01(d).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Material Acquisition</w:t>
      </w:r>
      <w:r>
        <w:rPr>
          <w:rFonts w:ascii="Arial" w:cs="Arial" w:eastAsia="Arial" w:hAnsi="Arial"/>
          <w:sz w:val="18"/>
          <w:szCs w:val="18"/>
          <w:color w:val="auto"/>
        </w:rPr>
        <w:t>” shall mean an acquisition (or series of related acquisitions (being acquisitions which form part of the same overall sale and purchase transaction)) within the six month period prior to the relevant Test Period by any member of the Group where the aggregate consideration of such acquisition or related acquisitions is greater than $50.0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Holdings.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Intercreditor Agreement</w:t>
      </w:r>
      <w:r>
        <w:rPr>
          <w:rFonts w:ascii="Arial" w:cs="Arial" w:eastAsia="Arial" w:hAnsi="Arial"/>
          <w:sz w:val="17"/>
          <w:szCs w:val="17"/>
          <w:color w:val="auto"/>
        </w:rPr>
        <w:t xml:space="preserve">” means a “pari passu” Intercreditor Agreement, among the Collateral Agent, the Administrative Agent and one or more Designated Representatives for holders of Indebtedness that is secured by Collateral on a basis pari passu with the Liens securing the Obligations, in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or any other form approved by Holdings, the Administrative Agent and the Collateral Agent.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Net Leverage Ratio</w:t>
      </w:r>
      <w:r>
        <w:rPr>
          <w:rFonts w:ascii="Arial" w:cs="Arial" w:eastAsia="Arial" w:hAnsi="Arial"/>
          <w:sz w:val="18"/>
          <w:szCs w:val="18"/>
          <w:color w:val="auto"/>
        </w:rPr>
        <w:t>” means, with respect to any Test Period, the ratio of (i) Consolidated Total Indebtedness secured by a Lien on the Collateral that ranks pari passu with the Liens on the Collateral securing the Obligations, net of Unrestricted Cash, as of the last day of such Test Period, to (ii) Consolidated EBITDA for such Test Period.</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First-Second Lien Intercreditor Agreement</w:t>
      </w:r>
      <w:r>
        <w:rPr>
          <w:rFonts w:ascii="Arial" w:cs="Arial" w:eastAsia="Arial" w:hAnsi="Arial"/>
          <w:sz w:val="17"/>
          <w:szCs w:val="17"/>
          <w:color w:val="auto"/>
        </w:rPr>
        <w:t xml:space="preserve">” means a “junior lien” Intercreditor Agreement, among the Collateral Agent, the Administrative Agent and one or more Designated Representatives for holders of Indebtedness that is secured by Liens on the Collateral that are junior to the Liens securing the Obligations, in the form of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or any other form approved by Holdings, the Administrative Agent and the Collateral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Amounts</w:t>
      </w:r>
      <w:r>
        <w:rPr>
          <w:rFonts w:ascii="Arial" w:cs="Arial" w:eastAsia="Arial" w:hAnsi="Arial"/>
          <w:sz w:val="18"/>
          <w:szCs w:val="18"/>
          <w:color w:val="auto"/>
        </w:rPr>
        <w:t>” shall have the meaning assigned to such term in Section 1.07(g).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means, for any Test Period, the ratio of Consolidated EBITDA of the Group to Fixed Charges of the Group.</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xml:space="preserve">” means, with respect to any Person for any Test Period, the sum, without duplication, of: (a) Consolidated Interest Expense for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amount of all dividend payments on any series of Preferred Equity or Disqualified Equity Interests of Holdings or any Restricted Subsidiary (other than dividends paid or accrued in Equity Interests of Holdings (other than Disqualified Equity Interests) or dividends paid or accrued to Holdings or any Restricted Subsidiary) paid in cash during such period (without duplication).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Incremental Amount</w:t>
      </w:r>
      <w:r>
        <w:rPr>
          <w:rFonts w:ascii="Arial" w:cs="Arial" w:eastAsia="Arial" w:hAnsi="Arial"/>
          <w:sz w:val="18"/>
          <w:szCs w:val="18"/>
          <w:color w:val="auto"/>
        </w:rPr>
        <w:t>” shall have the meaning given to such term in Section 2.20(d).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Currencies</w:t>
      </w:r>
      <w:r>
        <w:rPr>
          <w:rFonts w:ascii="Arial" w:cs="Arial" w:eastAsia="Arial" w:hAnsi="Arial"/>
          <w:sz w:val="18"/>
          <w:szCs w:val="18"/>
          <w:color w:val="auto"/>
        </w:rPr>
        <w:t>” means Agreed Currencies other than Dollars.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LC Exposure</w:t>
      </w:r>
      <w:r>
        <w:rPr>
          <w:rFonts w:ascii="Arial" w:cs="Arial" w:eastAsia="Arial" w:hAnsi="Arial"/>
          <w:sz w:val="18"/>
          <w:szCs w:val="18"/>
          <w:color w:val="auto"/>
        </w:rPr>
        <w:t xml:space="preserve">” means, at any time, the sum of (a) the Dollar Amount of the aggregate undrawn and unexpired amount of all outstanding Foreign Currency Letters of Credit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aggregate Dollar Amount of all LC Disbursements in respect of Foreign Currency Letters of Credit that have not yet been reimbursed at such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Letter of Credit</w:t>
      </w:r>
      <w:r>
        <w:rPr>
          <w:rFonts w:ascii="Arial" w:cs="Arial" w:eastAsia="Arial" w:hAnsi="Arial"/>
          <w:sz w:val="18"/>
          <w:szCs w:val="18"/>
          <w:color w:val="auto"/>
        </w:rPr>
        <w:t>” means a Letter of Credit denominated in a Foreign Currency.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Loan Parties</w:t>
      </w:r>
      <w:r>
        <w:rPr>
          <w:rFonts w:ascii="Arial" w:cs="Arial" w:eastAsia="Arial" w:hAnsi="Arial"/>
          <w:sz w:val="18"/>
          <w:szCs w:val="18"/>
          <w:color w:val="auto"/>
        </w:rPr>
        <w:t>” means Holdings, Lux Borrower and each Foreign Subsidiary that is a Borrower or a Subsidiary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Security Documents</w:t>
      </w:r>
      <w:r>
        <w:rPr>
          <w:rFonts w:ascii="Arial" w:cs="Arial" w:eastAsia="Arial" w:hAnsi="Arial"/>
          <w:sz w:val="18"/>
          <w:szCs w:val="18"/>
          <w:color w:val="auto"/>
        </w:rPr>
        <w:t xml:space="preserve">” means each security document set forth on </w:t>
      </w:r>
      <w:r>
        <w:rPr>
          <w:rFonts w:ascii="Arial" w:cs="Arial" w:eastAsia="Arial" w:hAnsi="Arial"/>
          <w:sz w:val="18"/>
          <w:szCs w:val="18"/>
          <w:u w:val="single" w:color="auto"/>
          <w:color w:val="auto"/>
        </w:rPr>
        <w:t>Schedule 1.01E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Guarantor</w:t>
      </w:r>
      <w:r>
        <w:rPr>
          <w:rFonts w:ascii="Arial" w:cs="Arial" w:eastAsia="Arial" w:hAnsi="Arial"/>
          <w:sz w:val="18"/>
          <w:szCs w:val="18"/>
          <w:color w:val="auto"/>
        </w:rPr>
        <w:t>” means any Subsidiary Guarantor which is a Foreign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has the meaning assigned to such term in the definition of “Excluded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Holdings and its Restricted Subsidiaries.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(or as set forth in Section 10.08 hereto, as applicable),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Holdings in good faith.</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0" w:name="page51"/>
    <w:bookmarkEnd w:id="5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each Borrower (with respect to the primary obligations of each other Loan Party), Holdings and the other Subsidiary Guarantors.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Coverage Test</w:t>
      </w:r>
      <w:r>
        <w:rPr>
          <w:rFonts w:ascii="Arial" w:cs="Arial" w:eastAsia="Arial" w:hAnsi="Arial"/>
          <w:sz w:val="18"/>
          <w:szCs w:val="18"/>
          <w:color w:val="auto"/>
        </w:rPr>
        <w:t xml:space="preserve">” means confirmation that (by reference to the latest annual audited financial statements delivered to the Administrative Agent pursuant to Section 5.01(a)): (1) the Consolidated EBITDA of the Borrowers and Guarantors equals or exceeds 80.0% of Consolidated EBITDA (in each case, calculated prior to making pro forma adjustments (including clause (vii) of the definition of “Consolidated EBITDA”), except that pro forma effect shall be given to the Acquisition (other than any pro forma adjustments with respect thereto pursuant to clause (vii) of the definition of “Consolidated EBITDA”) of the Group or (2) if the test set out in clause (1) cannot be satisfied on the first Guarantor Coverage Test Date after the Closing Date, the aggregate assets of Borrowers and Guarantors equals or exceeds 80.0% of the Total Assets of the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calculating the Guarantor Coverage test:</w:t>
      </w:r>
    </w:p>
    <w:p>
      <w:pPr>
        <w:spacing w:after="0" w:line="195" w:lineRule="exact"/>
        <w:rPr>
          <w:sz w:val="20"/>
          <w:szCs w:val="20"/>
          <w:color w:val="auto"/>
        </w:rPr>
      </w:pPr>
    </w:p>
    <w:p>
      <w:pPr>
        <w:ind w:left="1960" w:hanging="656"/>
        <w:spacing w:after="0"/>
        <w:tabs>
          <w:tab w:leader="none" w:pos="1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to the extent any Borrower or Guarantor generates negative EBITDA, such Borrower or Guarantor shall be deemed to have zero</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EBITDA, for the purpose of calculating the numerator of the Guarantor Coverage Test, and</w:t>
      </w:r>
    </w:p>
    <w:p>
      <w:pPr>
        <w:spacing w:after="0" w:line="210" w:lineRule="exact"/>
        <w:rPr>
          <w:rFonts w:ascii="Arial" w:cs="Arial" w:eastAsia="Arial" w:hAnsi="Arial"/>
          <w:sz w:val="18"/>
          <w:szCs w:val="18"/>
          <w:color w:val="auto"/>
        </w:rPr>
      </w:pPr>
    </w:p>
    <w:p>
      <w:pPr>
        <w:jc w:val="both"/>
        <w:ind w:left="660" w:firstLine="644"/>
        <w:spacing w:after="0" w:line="296" w:lineRule="auto"/>
        <w:tabs>
          <w:tab w:leader="none" w:pos="2103" w:val="left"/>
        </w:tabs>
        <w:numPr>
          <w:ilvl w:val="1"/>
          <w:numId w:val="34"/>
        </w:numPr>
        <w:rPr>
          <w:rFonts w:ascii="Arial" w:cs="Arial" w:eastAsia="Arial" w:hAnsi="Arial"/>
          <w:sz w:val="16"/>
          <w:szCs w:val="16"/>
          <w:color w:val="auto"/>
        </w:rPr>
      </w:pPr>
      <w:r>
        <w:rPr>
          <w:rFonts w:ascii="Arial" w:cs="Arial" w:eastAsia="Arial" w:hAnsi="Arial"/>
          <w:sz w:val="16"/>
          <w:szCs w:val="16"/>
          <w:color w:val="auto"/>
        </w:rPr>
        <w:t>unless otherwise elected by Holdings, to the extent that any Subsidiary of Holdings (w) is an Unrestricted Subsidiary, (x) is incorporated or organized under the laws of Russia, Ukraine, China, India or France, (y) is otherwise not required to (or is unable to) become a Guarantor under clause (c), (d), (e), (f), (h) or (i) of “Excluded Subsidiaries” above or under the Agreed Guarantee and Security Principles or (z) the Consolidated EBITDA of such Subsidiary is less than 1.0% of Consolidated EBITDA of the Group, such Subsidiaries shall be deemed to have zero (0) EBITDA and zero (0) assets for the purpose of calculating the denominator of the Guarantor Coverage Test.</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Coverage Test Date</w:t>
      </w:r>
      <w:r>
        <w:rPr>
          <w:rFonts w:ascii="Arial" w:cs="Arial" w:eastAsia="Arial" w:hAnsi="Arial"/>
          <w:sz w:val="18"/>
          <w:szCs w:val="18"/>
          <w:color w:val="auto"/>
        </w:rPr>
        <w:t>” shall mean the date of delivery of each Compliance Certificate with respect to annual financial statements required to be delivered pursuant to Section 5.01(a) in respect of each fiscal year ending after the Closing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the Guarantee set forth in Article X.</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similar nature regulated pursuant to any, or which may give rise to liability under, Environmental Law.</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Headquarters</w:t>
      </w:r>
      <w:r>
        <w:rPr>
          <w:rFonts w:ascii="Arial" w:cs="Arial" w:eastAsia="Arial" w:hAnsi="Arial"/>
          <w:sz w:val="18"/>
          <w:szCs w:val="18"/>
          <w:color w:val="auto"/>
        </w:rPr>
        <w:t>” means the corporate headquarters of Holdings as of the Closing Date, located in Dublin, Ireland.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1" w:name="page52"/>
    <w:bookmarkEnd w:id="51"/>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Bank</w:t>
      </w:r>
      <w:r>
        <w:rPr>
          <w:rFonts w:ascii="Arial" w:cs="Arial" w:eastAsia="Arial" w:hAnsi="Arial"/>
          <w:sz w:val="16"/>
          <w:szCs w:val="16"/>
          <w:color w:val="auto"/>
        </w:rPr>
        <w:t xml:space="preserve">” means each counterparty to a Swap Agreement that is (A) a Lender, an Agent or a Lead Arranger (or an Affiliate of a Lender, an Agent or a Lead Arranger) and each other Person if, at the date of entering into such Swap Agreement, such Person was a Lender, an Agent or a Lead Arranger (or an Affiliate of a Lender, an Agent or a Lead Arranger);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Person is not a Lender, an Agent or a Lead Arranger (other than any such Person that is an Affiliate of Citibank, N.A.), such Person delivers to the Administrative Agent a letter agreement pursuant to which such Person</w:t>
      </w:r>
    </w:p>
    <w:p>
      <w:pPr>
        <w:spacing w:after="0" w:line="1" w:lineRule="exact"/>
        <w:rPr>
          <w:sz w:val="20"/>
          <w:szCs w:val="20"/>
          <w:color w:val="auto"/>
        </w:rPr>
      </w:pPr>
    </w:p>
    <w:p>
      <w:pPr>
        <w:jc w:val="both"/>
        <w:ind w:firstLine="8"/>
        <w:spacing w:after="0" w:line="270" w:lineRule="auto"/>
        <w:tabs>
          <w:tab w:leader="none" w:pos="223"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appoints the Collateral Agent as its agent under the applicable Loan Documents and (ii) agrees to be bound by the provisions of Article VIII, Sections 9.03 and 9.09 and Section 10 of the U.S. Security Agreement as if it were a Lender or (B) that is designated in writing by Holdings to the Administrative Agent as a “Hedge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Person is not a Lender, Agent or Lead Arranger, such Person executes and delivers to the Administrative Agent and Holdings a letter agreement in form and substance reasonably acceptable to the Administrative agent and Holdings pursuant to which such Person (i) appoints the Collateral Agent as its agent under the applicable Loan Documents and (ii) agrees to be bound by the provisions of Article VIII, Sections 9.03 and 9.09 hereof and Section 10 of the U.S. Security Agreement as if it were a Lender.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has the meaning assigned to such term in Section 1.04(a).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IGPHS</w:t>
      </w:r>
      <w:r>
        <w:rPr>
          <w:rFonts w:ascii="Arial" w:cs="Arial" w:eastAsia="Arial" w:hAnsi="Arial"/>
          <w:sz w:val="18"/>
          <w:szCs w:val="18"/>
          <w:color w:val="auto"/>
        </w:rPr>
        <w:t>” means ICON Government and Public Health Solutions,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means an Incremental Amendment among the Applicable Borrower, any Additional Borrower, the Administrative Agent and one or more Incremental Term Lenders, Incremental Term Lenders and/or Incremental Revolving Lenders, as applicable, entered into pursuant to Section 2.20.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Commitments</w:t>
      </w:r>
      <w:r>
        <w:rPr>
          <w:rFonts w:ascii="Arial" w:cs="Arial" w:eastAsia="Arial" w:hAnsi="Arial"/>
          <w:sz w:val="17"/>
          <w:szCs w:val="17"/>
          <w:color w:val="auto"/>
        </w:rPr>
        <w:t>” means the Incremental Term Loan Commitments and the Incremental Revolving Commitments, collectively.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means an Incremental Term Lender or an Incremental Revolving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means the Incremental Term Loans and the Incremental Revolving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Revolving Lender</w:t>
      </w:r>
      <w:r>
        <w:rPr>
          <w:rFonts w:ascii="Arial" w:cs="Arial" w:eastAsia="Arial" w:hAnsi="Arial"/>
          <w:sz w:val="17"/>
          <w:szCs w:val="17"/>
          <w:color w:val="auto"/>
        </w:rPr>
        <w:t>” means a Lender with an Incremental Revolving Commitment or an outstanding Incremental Revolving Loan.</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Loans</w:t>
      </w:r>
      <w:r>
        <w:rPr>
          <w:rFonts w:ascii="Arial" w:cs="Arial" w:eastAsia="Arial" w:hAnsi="Arial"/>
          <w:sz w:val="18"/>
          <w:szCs w:val="18"/>
          <w:color w:val="auto"/>
        </w:rPr>
        <w:t>” means revolving loans made by one or more lenders to one or more Borrowers pursuant to such lenders’ Incremental Revolving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means a Lender with an Incremental Term Loan Commitment or an outstanding Incremental Term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means Term Loans made by one or more Term Lenders to any Borrower pursuant to such Term Lenders’ Incremental Term Loan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Incurrence-Based Amounts</w:t>
      </w:r>
      <w:r>
        <w:rPr>
          <w:rFonts w:ascii="Arial" w:cs="Arial" w:eastAsia="Arial" w:hAnsi="Arial"/>
          <w:sz w:val="18"/>
          <w:szCs w:val="18"/>
          <w:color w:val="auto"/>
        </w:rPr>
        <w:t>” shall have the meaning given to such term in Section 1.07(g).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Incurrence-Based Incremental Amount</w:t>
      </w:r>
      <w:r>
        <w:rPr>
          <w:rFonts w:ascii="Arial" w:cs="Arial" w:eastAsia="Arial" w:hAnsi="Arial"/>
          <w:sz w:val="18"/>
          <w:szCs w:val="18"/>
          <w:color w:val="auto"/>
        </w:rPr>
        <w:t>” has the meaning assigned to such term in Section 2.20(d).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means, without duplication, (a) the principal component of all obligations of such Person for borrowed money,</w:t>
      </w:r>
    </w:p>
    <w:p>
      <w:pPr>
        <w:spacing w:after="0" w:line="35" w:lineRule="exact"/>
        <w:rPr>
          <w:sz w:val="20"/>
          <w:szCs w:val="20"/>
          <w:color w:val="auto"/>
        </w:rPr>
      </w:pPr>
    </w:p>
    <w:p>
      <w:pPr>
        <w:jc w:val="both"/>
        <w:ind w:firstLine="8"/>
        <w:spacing w:after="0" w:line="284" w:lineRule="auto"/>
        <w:tabs>
          <w:tab w:leader="none" w:pos="277"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principal component of all obligations of such Person evidenced by bonds, debentures, notes or similar instruments, (c) all obligations of such Person under conditional sale or other title retention agreements relating to property acquired by such Person (excluding trade accounts payable and accrued expenses arising in the ordinary course of business and licenses entered into in the ordinary course of business), (d) the principal component of all obligations of such Person in respect of the deferred purchase price of property or services if and to the extent such obligation would appear as a liability upon the balance sheet of the specified Person in accordance with GAAP (including payments or other arrangements representing acquisition consideration, in each case entered into in connection with an acquisition, but excluding (i) accounts payable, accrued interest or other liability to trade creditors incurred in the ordinary course of business, (ii) deferred revenue, deferred compensation and severance, pension, health and welfare retirement and equivalent benefits to current or former employees, directors or managers of such Person and its Subsidiaries, and (iii) any Deferred Acquisition Consideration), (e) all Capital Lease Obligations of such Person, (f) all obligations, contingent or otherwise, of such Person as an account party in respect of letters of credit and letters of guaranty, (g) all obligations, contingent or otherwise, of such Person in respect of bankers’ acceptances, (h) 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Borrowers’ good faith estimate), (i) all Guarantees by such Person of Indebtedness of others and (j) all Disqualified Equity Interests (excluding any accrued dividends), in each case of clause (a) through (g), to the extent such Indebtedness would appear as a liability upon the balance sheet (excluding the footnotes thereto) of such Person prepared in accordance with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the avoidance of doubt, deferred revenue and advances and deposits received from customers shall not constitute Indebtedness.</w:t>
      </w:r>
    </w:p>
    <w:p>
      <w:pPr>
        <w:spacing w:after="0" w:line="3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imposed on or with respect to any payments made by or on account of any obligation of any Loan Party under any Loan Document other than (i) Excluded Taxes and (ii)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Lien</w:t>
      </w:r>
      <w:r>
        <w:rPr>
          <w:rFonts w:ascii="Arial" w:cs="Arial" w:eastAsia="Arial" w:hAnsi="Arial"/>
          <w:sz w:val="18"/>
          <w:szCs w:val="18"/>
          <w:color w:val="auto"/>
        </w:rPr>
        <w:t>” has the meaning assigned to such term in section 6.02.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Commitment</w:t>
      </w:r>
      <w:r>
        <w:rPr>
          <w:rFonts w:ascii="Arial" w:cs="Arial" w:eastAsia="Arial" w:hAnsi="Arial"/>
          <w:sz w:val="18"/>
          <w:szCs w:val="18"/>
          <w:color w:val="auto"/>
        </w:rPr>
        <w:t xml:space="preserve">” means, with respect to each Revolving Lender, its Revolving Commitment as of the Closing Date, as may be increased or decreased from time to time in accordance with this Agreement. The amount of each Revolving Lender’s Initial Revolving Commitment as of the Closing Date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The aggregate principal Dollar Amount of the Initial Revolving Commitments on the Closing Date is $300,000,000.</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Loans</w:t>
      </w:r>
      <w:r>
        <w:rPr>
          <w:rFonts w:ascii="Arial" w:cs="Arial" w:eastAsia="Arial" w:hAnsi="Arial"/>
          <w:sz w:val="18"/>
          <w:szCs w:val="18"/>
          <w:color w:val="auto"/>
        </w:rPr>
        <w:t>” means the Loans made by Revolving Lenders pursuant to Section 2.01(c). Each Initial Revolving Loan shall be a Eurocurrency Loan denominated in an Agreed Currency (other than Pounds Sterling), an RFR Loan denominated in Pounds Sterling or an ABR Loan denominated in Dollars.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means, collectively, the Lux Term Loans and the U.S. Term Loans.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3" w:name="page54"/>
    <w:bookmarkEnd w:id="53"/>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or Liquidation Proceeding</w:t>
      </w:r>
      <w:r>
        <w:rPr>
          <w:rFonts w:ascii="Arial" w:cs="Arial" w:eastAsia="Arial" w:hAnsi="Arial"/>
          <w:sz w:val="16"/>
          <w:szCs w:val="16"/>
          <w:color w:val="auto"/>
        </w:rPr>
        <w:t>” means, with respect to any Person, (a) any voluntary or involuntary case or proceeding under any Debtor Relief Law with respect to any such Person, (b) any other voluntary or involuntary insolvency, reorganization or bankruptcy case or proceeding, or any receivership, liquidation, reorganization, examinership, administration or other similar event, case, process, action or proceeding or private or judicial foreclosure with respect to any such Person or with respect to all or any material portion of its assets, (c) any liquidation, dissolution, examinership, reorganization or winding up of any such Person whether voluntary or involuntary or otherwise and whether or not involving insolvency or bankruptcy or</w:t>
      </w:r>
    </w:p>
    <w:p>
      <w:pPr>
        <w:spacing w:after="0" w:line="2" w:lineRule="exact"/>
        <w:rPr>
          <w:sz w:val="20"/>
          <w:szCs w:val="20"/>
          <w:color w:val="auto"/>
        </w:rPr>
      </w:pPr>
    </w:p>
    <w:p>
      <w:pPr>
        <w:ind w:firstLine="8"/>
        <w:spacing w:after="0" w:line="290" w:lineRule="auto"/>
        <w:tabs>
          <w:tab w:leader="none" w:pos="277"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assignment for the benefit of creditors or any other marshalling of all or any material part of the assets and liabilities of any such Person. In addition, in respect of any Luxembourg Loan Party, “Insolvency or Liquidation Proceeding” shall also mean a Luxembourg Insolvency Event.</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Subordination Agreement</w:t>
      </w:r>
      <w:r>
        <w:rPr>
          <w:rFonts w:ascii="Arial" w:cs="Arial" w:eastAsia="Arial" w:hAnsi="Arial"/>
          <w:sz w:val="18"/>
          <w:szCs w:val="18"/>
          <w:color w:val="auto"/>
        </w:rPr>
        <w:t xml:space="preserve">” means that certain intercompany subordination agreement entered into on the Closing Date by Holdings and certain of its Restricted Subsidiaries (as amended, restated, amended and restated, supplemented or otherwise modified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modification that is materially adverse to the Senior Creditors (as defined therein) shall only be permitted if such modification is reasonably acceptable to the Administrative Agent;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it is understood and agreed that the joinder of Obligors (as defined therein) or Subordinated Creditors (as defined therein) to the Intercompany Subordination Agreement is not materially adverse to the Senior Creditors and shall not require the consent of the Administrative Agent).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a First Lien Intercreditor Agreement or a First-Second Lien Intercreditor Agreement,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applicable Borrower to convert or continue a Borrowing in accordance with Section 2.08.</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(other than a Swingline Loan), the last Business Day of each March, June, September and December and the applicable Maturity Date, (b) with respect to any Eurocurrency Loan or RFR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the applicable Maturity Date and (c) with respect to any Swingline Loan, the day that such Loan is required to be repaid and the latest Maturity Date with respect to any Revolving Commitments.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(a) with respect to any Eurocurrency Borrowing, the period commencing on the date of such Borrowing and ending on the numerically corresponding day in the calendar month that is one, three or six months thereafter (or, if acceptable to each participating Lender therein, twelve months thereafter or less than one month thereafter), as the Applicable Borrower may elect and (b) with respect to any RFR Borrowing, the period commencing on the date of such Borrowing and ending on the numerically corresponding day in the calendar month that is one or three months thereafter, as the Applicable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in the case of a Eurocurrency Borrowing or RFR Borrowing only, such next succeeding Business Day would fall in the next calendar month, in which case such Interest Period shall end on the next preceding Business Day and (ii) any Interest Period pertaining to a Eurocurrency Borrowing or RFR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4" w:name="page55"/>
    <w:bookmarkEnd w:id="54"/>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Screen Rate</w:t>
      </w:r>
      <w:r>
        <w:rPr>
          <w:rFonts w:ascii="Arial" w:cs="Arial" w:eastAsia="Arial" w:hAnsi="Arial"/>
          <w:sz w:val="17"/>
          <w:szCs w:val="17"/>
          <w:color w:val="auto"/>
        </w:rPr>
        <w:t>” means, with respect to any Eurocurrency Loan denominated in any currency for any Interest Period, a rate per annum which results from interpolating on a linear basis between (a) the applicable Screen Rate for the longest maturity for which a Screen Rate is available that is shorter than such Interest Period and (b) the applicable Screen Rate for the shortest maturity for which a Screen Rate is available that is longer than such Interest Period, in each case as of approximately 11:00 a.m. (London time) on the Quotation Day.</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Investments</w:t>
      </w:r>
      <w:r>
        <w:rPr>
          <w:rFonts w:ascii="Arial" w:cs="Arial" w:eastAsia="Arial" w:hAnsi="Arial"/>
          <w:sz w:val="17"/>
          <w:szCs w:val="17"/>
          <w:color w:val="auto"/>
        </w:rPr>
        <w:t>” means, with respect to any Person, all direct or indirect investments by such Person in other Persons (including Affiliates) in the forms of loans (including Guarantees or other obligations), advances or capital contributions (excluding accounts receivable, credit card and debit card receivables, trade credit, advances to customers, commission, travel and similar advances to officers and employees, in each case, created or made in the ordinary course of business), purchases or other acquisitions for consideration of Indebtedness, Equity Interests or other securities, together with all items that are or would be classified as investments on a balance sheet prepared in accordance with GAAP. If Holdings or any Restricted Subsidiary sells or otherwise disposes of any Equity Interests of any direct or indirect Restricted Subsidiary such that, after giving effect to any such sale or disposition, such Person is no longer a Restricted Subsidiary, Holdings will be deemed to have made an Investment on the date of any such sale or disposition equal to the fair market value of Holdings’ Investments in such Subsidiary that were not sold or disposed of in an amount determined as provided in the penultimate paragraph of Section 6.04. The acquisition by Holdings or any Restricted Subsidiary of a Person that holds an Investment in a third Person will be deemed to be an Investment by Holdings or such Restricted Subsidiary in such third Person in an amount equal to the fair market value of the Investments held by the acquired Person in such third Person in an amount determined as provided in the penultimate paragraph of Section 6.04. Except as otherwise provided in this Agreement, the amount of an Investment will be determined at the time the Investment is made and without giving effect to subsequent changes in value, less any amounts paid, repaid, refinanced, distributed or otherwise received in cash in respect of such Investment. For the avoidance of doubt, Permitted Equity Derivatives and acquisitions of or licenses for intellectual property or tangible assets used or useful in a Permitted Business do not constitute Investments.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Ireland</w:t>
      </w:r>
      <w:r>
        <w:rPr>
          <w:rFonts w:ascii="Arial" w:cs="Arial" w:eastAsia="Arial" w:hAnsi="Arial"/>
          <w:sz w:val="18"/>
          <w:szCs w:val="18"/>
          <w:color w:val="auto"/>
        </w:rPr>
        <w:t>” means the Republic of Ireland.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Pension Scheme</w:t>
      </w:r>
      <w:r>
        <w:rPr>
          <w:rFonts w:ascii="Arial" w:cs="Arial" w:eastAsia="Arial" w:hAnsi="Arial"/>
          <w:sz w:val="18"/>
          <w:szCs w:val="18"/>
          <w:color w:val="auto"/>
        </w:rPr>
        <w:t>” has the meaning assigned to such term in the definition of “ERISA Event”.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Qualifying Lender</w:t>
      </w:r>
      <w:r>
        <w:rPr>
          <w:rFonts w:ascii="Arial" w:cs="Arial" w:eastAsia="Arial" w:hAnsi="Arial"/>
          <w:sz w:val="18"/>
          <w:szCs w:val="18"/>
          <w:color w:val="auto"/>
        </w:rPr>
        <w:t>” means a Lender or Participant, as the case may be, that is beneficially entitled to interest in respect of a Loan advanced to a Borrower that is tax resident in Ireland under this Agreement and is:</w:t>
      </w:r>
    </w:p>
    <w:p>
      <w:pPr>
        <w:spacing w:after="0" w:line="170" w:lineRule="exact"/>
        <w:rPr>
          <w:sz w:val="20"/>
          <w:szCs w:val="20"/>
          <w:color w:val="auto"/>
        </w:rPr>
      </w:pPr>
    </w:p>
    <w:p>
      <w:pPr>
        <w:ind w:left="660" w:firstLine="644"/>
        <w:spacing w:after="0" w:line="277" w:lineRule="auto"/>
        <w:tabs>
          <w:tab w:leader="none" w:pos="20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bank within the meaning of Section 246 of the TCA whose Facility Office is located in Ireland and is carrying on a bona fide banking business in Ireland for the purposes of Section 246(3)(a) of the TCA; or</w:t>
      </w:r>
    </w:p>
    <w:p>
      <w:pPr>
        <w:spacing w:after="0" w:line="170" w:lineRule="exact"/>
        <w:rPr>
          <w:rFonts w:ascii="Arial" w:cs="Arial" w:eastAsia="Arial" w:hAnsi="Arial"/>
          <w:sz w:val="18"/>
          <w:szCs w:val="18"/>
          <w:color w:val="auto"/>
        </w:rPr>
      </w:pPr>
    </w:p>
    <w:p>
      <w:pPr>
        <w:jc w:val="both"/>
        <w:ind w:left="660" w:firstLine="644"/>
        <w:spacing w:after="0" w:line="311" w:lineRule="auto"/>
        <w:tabs>
          <w:tab w:leader="none" w:pos="199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a company (within the meaning of Section 246 of the TCA) that is resident for the purposes of tax (residence for these purposes to be determined in accordance with the laws of the territory of which the Lender or Participant, as the case may be, claims to be resident) in a member state of the European Communities (other than Ireland) or in a territory with which Ireland has concluded a Treaty where:</w:t>
      </w:r>
    </w:p>
    <w:p>
      <w:pPr>
        <w:spacing w:after="0" w:line="149" w:lineRule="exact"/>
        <w:rPr>
          <w:sz w:val="20"/>
          <w:szCs w:val="20"/>
          <w:color w:val="auto"/>
        </w:rPr>
      </w:pPr>
    </w:p>
    <w:p>
      <w:pPr>
        <w:ind w:left="1960" w:hanging="656"/>
        <w:spacing w:after="0" w:line="277" w:lineRule="auto"/>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member state or territory imposes a tax that generally applies to interest receivable in that member state or territory by companies from sources outside that member state or territory; 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5" w:name="page56"/>
    <w:bookmarkEnd w:id="55"/>
    <w:p>
      <w:pPr>
        <w:jc w:val="both"/>
        <w:ind w:left="1300" w:right="20" w:hanging="656"/>
        <w:spacing w:after="0" w:line="263"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where that member state or territory imposes a tax that generally applies to interest received in that member state or territory from sources outside that member state or territory and the interest is payable into an account located in that member state or territory; or</w:t>
      </w:r>
    </w:p>
    <w:p>
      <w:pPr>
        <w:spacing w:after="0" w:line="184" w:lineRule="exact"/>
        <w:rPr>
          <w:sz w:val="20"/>
          <w:szCs w:val="20"/>
          <w:color w:val="auto"/>
        </w:rPr>
      </w:pPr>
    </w:p>
    <w:p>
      <w:pPr>
        <w:ind w:left="1940" w:hanging="648"/>
        <w:spacing w:after="0"/>
        <w:tabs>
          <w:tab w:leader="none" w:pos="19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company (within the meaning of Section 246 of the TCA) where interest payable in respect of an advance:</w:t>
      </w:r>
    </w:p>
    <w:p>
      <w:pPr>
        <w:spacing w:after="0" w:line="225"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exempted from the charge to income tax under a Treaty that is in effect by virtue of the procedures set out in Section 826(1) of the TCA; or</w:t>
      </w:r>
    </w:p>
    <w:p>
      <w:pPr>
        <w:spacing w:after="0" w:line="170"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would be exempted from the charge to income tax under a Treaty if such Treaty was in effect by virtue of the procedures set out in Section 826(1) of the TCA but such Treaty is not in effect at the date the interest is paid;</w:t>
      </w:r>
    </w:p>
    <w:p>
      <w:pPr>
        <w:spacing w:after="0" w:line="170" w:lineRule="exact"/>
        <w:rPr>
          <w:rFonts w:ascii="Arial" w:cs="Arial" w:eastAsia="Arial" w:hAnsi="Arial"/>
          <w:sz w:val="18"/>
          <w:szCs w:val="18"/>
          <w:color w:val="auto"/>
        </w:rPr>
      </w:pPr>
    </w:p>
    <w:p>
      <w:pPr>
        <w:ind w:left="2100" w:hanging="808"/>
        <w:spacing w:after="0"/>
        <w:tabs>
          <w:tab w:leader="none" w:pos="21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 corporation established in the United States of America and subject to U.S. federal income tax on its worldwide</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income; or</w:t>
      </w:r>
    </w:p>
    <w:p>
      <w:pPr>
        <w:spacing w:after="0" w:line="210" w:lineRule="exact"/>
        <w:rPr>
          <w:rFonts w:ascii="Arial" w:cs="Arial" w:eastAsia="Arial" w:hAnsi="Arial"/>
          <w:sz w:val="17"/>
          <w:szCs w:val="17"/>
          <w:color w:val="auto"/>
        </w:rPr>
      </w:pPr>
    </w:p>
    <w:p>
      <w:pPr>
        <w:jc w:val="both"/>
        <w:ind w:left="640" w:firstLine="652"/>
        <w:spacing w:after="0" w:line="259" w:lineRule="auto"/>
        <w:tabs>
          <w:tab w:leader="none" w:pos="200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limited liability company (“</w:t>
      </w:r>
      <w:r>
        <w:rPr>
          <w:rFonts w:ascii="Arial" w:cs="Arial" w:eastAsia="Arial" w:hAnsi="Arial"/>
          <w:sz w:val="18"/>
          <w:szCs w:val="18"/>
          <w:u w:val="single" w:color="auto"/>
          <w:color w:val="auto"/>
        </w:rPr>
        <w:t>LLC</w:t>
      </w:r>
      <w:r>
        <w:rPr>
          <w:rFonts w:ascii="Arial" w:cs="Arial" w:eastAsia="Arial" w:hAnsi="Arial"/>
          <w:sz w:val="18"/>
          <w:szCs w:val="18"/>
          <w:color w:val="auto"/>
        </w:rPr>
        <w:t>”) established in the United States of America, provided that the ultimate recipients of the interest for Irish tax purposes would, if they were themselves Lenders, be Irish Qualifying Lenders within the meaning of paragraph (2)(a) or (2)(b) or (2)(c) of this definition and the business conducted through the LLC is so structured for market reasons and not for tax avoidance purposes;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that in each case at (a), (b), (c) or (d) the Lender or Participant, as the case may be, is not carrying on a trade or business in Ireland through an agency or branch with which the interest payment is connected; or</w:t>
      </w:r>
    </w:p>
    <w:p>
      <w:pPr>
        <w:spacing w:after="0" w:line="170" w:lineRule="exact"/>
        <w:rPr>
          <w:sz w:val="20"/>
          <w:szCs w:val="20"/>
          <w:color w:val="auto"/>
        </w:rPr>
      </w:pPr>
    </w:p>
    <w:p>
      <w:pPr>
        <w:ind w:left="3200" w:hanging="612"/>
        <w:spacing w:after="0"/>
        <w:tabs>
          <w:tab w:leader="none" w:pos="3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Irish Treaty Lender; or</w:t>
      </w:r>
    </w:p>
    <w:p>
      <w:pPr>
        <w:spacing w:after="0" w:line="225" w:lineRule="exact"/>
        <w:rPr>
          <w:rFonts w:ascii="Arial" w:cs="Arial" w:eastAsia="Arial" w:hAnsi="Arial"/>
          <w:sz w:val="18"/>
          <w:szCs w:val="18"/>
          <w:color w:val="auto"/>
        </w:rPr>
      </w:pPr>
    </w:p>
    <w:p>
      <w:pPr>
        <w:ind w:left="3200" w:hanging="612"/>
        <w:spacing w:after="0"/>
        <w:tabs>
          <w:tab w:leader="none" w:pos="3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company (within the meaning of Section 4 of the TCA):</w:t>
      </w:r>
    </w:p>
    <w:p>
      <w:pPr>
        <w:spacing w:after="0" w:line="225" w:lineRule="exact"/>
        <w:rPr>
          <w:rFonts w:ascii="Arial" w:cs="Arial" w:eastAsia="Arial" w:hAnsi="Arial"/>
          <w:sz w:val="18"/>
          <w:szCs w:val="18"/>
          <w:color w:val="auto"/>
        </w:rPr>
      </w:pPr>
    </w:p>
    <w:p>
      <w:pPr>
        <w:ind w:left="1940" w:hanging="648"/>
        <w:spacing w:after="0"/>
        <w:tabs>
          <w:tab w:leader="none" w:pos="1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which advances money in the ordinary course of a trade which includes the lending of money; and</w:t>
      </w:r>
    </w:p>
    <w:p>
      <w:pPr>
        <w:spacing w:after="0" w:line="225" w:lineRule="exact"/>
        <w:rPr>
          <w:rFonts w:ascii="Arial" w:cs="Arial" w:eastAsia="Arial" w:hAnsi="Arial"/>
          <w:sz w:val="18"/>
          <w:szCs w:val="18"/>
          <w:color w:val="auto"/>
        </w:rPr>
      </w:pPr>
    </w:p>
    <w:p>
      <w:pPr>
        <w:ind w:left="640" w:firstLine="652"/>
        <w:spacing w:after="0" w:line="277" w:lineRule="auto"/>
        <w:tabs>
          <w:tab w:leader="none" w:pos="20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whose hands any interest payable in respect of money so advanced is taken into account in computing the trading income of the company for Irish corporation tax purposes; and</w:t>
      </w:r>
    </w:p>
    <w:p>
      <w:pPr>
        <w:spacing w:after="0" w:line="170" w:lineRule="exact"/>
        <w:rPr>
          <w:rFonts w:ascii="Arial" w:cs="Arial" w:eastAsia="Arial" w:hAnsi="Arial"/>
          <w:sz w:val="18"/>
          <w:szCs w:val="18"/>
          <w:color w:val="auto"/>
        </w:rPr>
      </w:pPr>
    </w:p>
    <w:p>
      <w:pPr>
        <w:ind w:left="640" w:firstLine="652"/>
        <w:spacing w:after="0" w:line="277" w:lineRule="auto"/>
        <w:tabs>
          <w:tab w:leader="none" w:pos="21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which has complied with all of the provisions of Section 246(5)(a) of the TCA including making the appropriate notifications thereunder to the Borrowers and the Revenue Commissioners; and</w:t>
      </w:r>
    </w:p>
    <w:p>
      <w:pPr>
        <w:spacing w:after="0" w:line="170" w:lineRule="exact"/>
        <w:rPr>
          <w:rFonts w:ascii="Arial" w:cs="Arial" w:eastAsia="Arial" w:hAnsi="Arial"/>
          <w:sz w:val="18"/>
          <w:szCs w:val="18"/>
          <w:color w:val="auto"/>
        </w:rPr>
      </w:pPr>
    </w:p>
    <w:p>
      <w:pPr>
        <w:ind w:left="1960" w:hanging="668"/>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whose Facility Office is located in Ireland; or</w:t>
      </w:r>
    </w:p>
    <w:p>
      <w:pPr>
        <w:spacing w:after="0" w:line="225" w:lineRule="exact"/>
        <w:rPr>
          <w:rFonts w:ascii="Arial" w:cs="Arial" w:eastAsia="Arial" w:hAnsi="Arial"/>
          <w:sz w:val="18"/>
          <w:szCs w:val="18"/>
          <w:color w:val="auto"/>
        </w:rPr>
      </w:pPr>
    </w:p>
    <w:p>
      <w:pPr>
        <w:ind w:left="3320" w:hanging="732"/>
        <w:spacing w:after="0"/>
        <w:tabs>
          <w:tab w:leader="none" w:pos="33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 qualifying company within the meaning of Section 110 of the TCA and whose Facility Office is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located in Ireland; or</w:t>
      </w:r>
    </w:p>
    <w:p>
      <w:pPr>
        <w:spacing w:after="0" w:line="210" w:lineRule="exact"/>
        <w:rPr>
          <w:rFonts w:ascii="Arial" w:cs="Arial" w:eastAsia="Arial" w:hAnsi="Arial"/>
          <w:sz w:val="17"/>
          <w:szCs w:val="17"/>
          <w:color w:val="auto"/>
        </w:rPr>
      </w:pPr>
    </w:p>
    <w:p>
      <w:pPr>
        <w:ind w:left="3220" w:hanging="632"/>
        <w:spacing w:after="0"/>
        <w:tabs>
          <w:tab w:leader="none" w:pos="32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investment undertaking within the meaning of Section 739B of the TCA and whose Facility Office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is located in Ireland.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Qualifying Lender Confirmation</w:t>
      </w:r>
      <w:r>
        <w:rPr>
          <w:rFonts w:ascii="Arial" w:cs="Arial" w:eastAsia="Arial" w:hAnsi="Arial"/>
          <w:sz w:val="18"/>
          <w:szCs w:val="18"/>
          <w:color w:val="auto"/>
        </w:rPr>
        <w:t>” has the meaning set forth in Section 2.17(h).</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56" w:name="page57"/>
    <w:bookmarkEnd w:id="56"/>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Treaty Lender</w:t>
      </w:r>
      <w:r>
        <w:rPr>
          <w:rFonts w:ascii="Arial" w:cs="Arial" w:eastAsia="Arial" w:hAnsi="Arial"/>
          <w:sz w:val="18"/>
          <w:szCs w:val="18"/>
          <w:color w:val="auto"/>
        </w:rPr>
        <w:t>” means, a Lender or Participant, as the case may be, that is a resident of an Irish Treaty State for the purposes of a Treaty and that does not carry on a business in Ireland through a permanent establishment with which a Loan under this Agreement is effectively connected and subject to completion of any procedural formalities, is entitled under the Treaty to receive payments of interest in respect of this Agreement without deduction of Irish tax.</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Treaty State</w:t>
      </w:r>
      <w:r>
        <w:rPr>
          <w:rFonts w:ascii="Arial" w:cs="Arial" w:eastAsia="Arial" w:hAnsi="Arial"/>
          <w:sz w:val="18"/>
          <w:szCs w:val="18"/>
          <w:color w:val="auto"/>
        </w:rPr>
        <w:t>” means a jurisdiction that has a double taxation agreement with Ireland (a “</w:t>
      </w:r>
      <w:r>
        <w:rPr>
          <w:rFonts w:ascii="Arial" w:cs="Arial" w:eastAsia="Arial" w:hAnsi="Arial"/>
          <w:sz w:val="18"/>
          <w:szCs w:val="18"/>
          <w:u w:val="single" w:color="auto"/>
          <w:color w:val="auto"/>
        </w:rPr>
        <w:t>Treaty</w:t>
      </w:r>
      <w:r>
        <w:rPr>
          <w:rFonts w:ascii="Arial" w:cs="Arial" w:eastAsia="Arial" w:hAnsi="Arial"/>
          <w:sz w:val="18"/>
          <w:szCs w:val="18"/>
          <w:color w:val="auto"/>
        </w:rPr>
        <w:t>”) that is in effect and makes provision for full exemption from withholding tax imposed by Ireland on interest.</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Citibank, N.A. and any other Lender designated by the Revolving Borrowers as an “Issuing Bank” hereunder that has agreed to such designation (and is reasonably acceptable to the Administrative Agent), each in its capacity as the issuer of one or more Letters of Credit hereunder, and its successors in such capacity as provided in Section 2.06(i), in each case so long as such Person shall remain an Issuing Bank hereunder. All references contained in this Agreement and the other Loan Documents to the “Issuing Bank” shall be deemed to apply equally to each of the institutions referred to in the foregoing sentence of this definition in their respective capacities as issuers of any and all Letters of Credit issued by each such institution. Each Issuing Bank may, in its discretion, arrange for one or more Letters of Credit to be issued by branches or Affiliates of such Issuing Bank, in which case the term “Issuing Bank” shall include any such branch or Affiliate with respect to Letters of Credit issued by such branch or Affiliate. Each Issuing Bank may cause Letters of Credit to be issued by unaffiliated financial institutions and such Letters of Credit shall be treated as issued by such Issuing Bank for all purposes under the Loan Documents. Notwithstanding anything to the contrary herein, Citibank, N.A. shall not be obligated to issue trade letters of credit.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has the meaning assigned to such term in Section 5.09(f).</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Maturity Date applicable to any Loan or Commitment hereunder at such time, including the latest maturity date of any Other Refinancing Loan, any Other Refinancing Commitment, any Other Term Loan, any Extended Loan, any Extended Loan Commitment, any Incremental Loan or any Incremental Commitment in each case as extended in accordance with this Agreement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xml:space="preserve">” means, at any time, the sum of (a) the aggregate undrawn Dollar Amount of all outstanding Letters of Credit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aggregate Dollar Amount of all LC Disbursements that have not yet been reimbursed at such time. The LC Exposure of any Revolving Lender at any time shall be its Revolving Percentage of the total LC Exposure at such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has the meaning assigned to such term in Section 2.06(b).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has the meaning assigned to such term in Section 1.07(f).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Arrangers</w:t>
      </w:r>
      <w:r>
        <w:rPr>
          <w:rFonts w:ascii="Arial" w:cs="Arial" w:eastAsia="Arial" w:hAnsi="Arial"/>
          <w:sz w:val="18"/>
          <w:szCs w:val="18"/>
          <w:color w:val="auto"/>
        </w:rPr>
        <w:t>” means Citigroup Global Markets Inc., Banco Santander S.A., HSBC Continental Europe SA, J.P. Morgan Securities Plc and Morgan Stanley Bank International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Requirements</w:t>
      </w:r>
      <w:r>
        <w:rPr>
          <w:rFonts w:ascii="Arial" w:cs="Arial" w:eastAsia="Arial" w:hAnsi="Arial"/>
          <w:sz w:val="18"/>
          <w:szCs w:val="18"/>
          <w:color w:val="auto"/>
        </w:rPr>
        <w:t>” means, as to any Person, the Organizational Documents of such person, and any treaty, law (including the common law), statute, ordinance, code, rule, regulation, guidelines, license, permit requirement, judgment, decree, verdict, order, consent order, consent decree, writ, declaration or injunction or determination of an arbitrator or a court or other Governmental Authority, and the interpretation or administration thereof, in each case applicable to or binding upon such Person or any of its property or to which such Person or any of its property is subject, in each case whether or not having the force of law.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7" w:name="page58"/>
    <w:bookmarkEnd w:id="57"/>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Reservations</w:t>
      </w:r>
      <w:r>
        <w:rPr>
          <w:rFonts w:ascii="Arial" w:cs="Arial" w:eastAsia="Arial" w:hAnsi="Arial"/>
          <w:sz w:val="18"/>
          <w:szCs w:val="18"/>
          <w:color w:val="auto"/>
        </w:rPr>
        <w:t>” means (a) the principle that equitable remedies are remedies which may be granted or refused at the discretion of the court, the limitation of enforcement by laws relating to bankruptcy, insolvency, court protection, liquidation, reorganization, court schemes, moratoria, examinership, administration and other laws generally affecting the rights of creditors, the time barring of claims, the possibility that an undertaking to assume liability for or to indemnify a person against non-payment of stamp duty may be void, defenses of set-off or counterclaim, (b) any payment made in compensation for a breach of the Loan Documents may be a penalty and may not be enforceable in whole or in part and (c) similar principles, rights and defenses under the laws of any relevant jurisdiction.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Lender hereunder pursuant to Section 2.20, Section 2.24 or pursuant to an Assignment and Assumption, other than any such Person that ceases to be a party hereto pursuant to an Assignment and Assumption. Unless the context otherwise requires, the term “Lenders” includes the Swingline Lender.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or trade letter of credit issued under the Revolving Commitments pursuant to this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 when used in reference to any Loan or Borrowing denominated in any Agreed Currency other than euros, the greater of (i) (x) in the case of Revolving Loans, 0% per annum and (y) in the case of Initial Term Loans, 0.50% per annum and (ii) rate per annum determined by the Administrative Agent at approximately 11:00 a.m. (London time) on the date that is two (2) Business Days prior to the commencement of such Interest Period by reference to the ICE Benchmark Administration Interest Settlement Rates (or by reference to the rates provided by any Person that takes over the administration of such rate if the ICE Benchmark Administration is no longer making a “LIBO Rate” rate available) for deposits in the relevant Agreed Currency (as set forth by the Bloomberg Information Service or any successor thereto or any other service selected by the Administrative Agent that has been nominated by the ICE Benchmark Administration (or any successor thereto) as an authorized information vendor for the purpose of displaying such rates) for a period equal to such Interest Period (the “</w:t>
      </w:r>
      <w:r>
        <w:rPr>
          <w:rFonts w:ascii="Arial" w:cs="Arial" w:eastAsia="Arial" w:hAnsi="Arial"/>
          <w:sz w:val="18"/>
          <w:szCs w:val="18"/>
          <w:u w:val="single" w:color="auto"/>
          <w:color w:val="auto"/>
        </w:rPr>
        <w:t>LIBO Screen 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 interest rate is not ascertainable pursuant to the foregoing provisions of this definition, “LIBO Rate” shall be the interest rate per annum equal to the Interpolated Screen Rate.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xml:space="preserve">”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any precautionary UCC financing statements or similar filings (including any filing of a UCC financing statement or other filing with a Governmental Authority in respect of an operating lease or a consignment) and any filings with any Governmental Authority in respect of any license shall not constitute Liens to the extent that such operating lease, consignment or license to which the filings relate are otherwise Permitted Liens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operating lease or any non-exclusive license, sub-license or cross-license to intellectual property be deemed to constitute a Lien.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8" w:name="page59"/>
    <w:bookmarkEnd w:id="58"/>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Condition Transaction</w:t>
      </w:r>
      <w:r>
        <w:rPr>
          <w:rFonts w:ascii="Arial" w:cs="Arial" w:eastAsia="Arial" w:hAnsi="Arial"/>
          <w:sz w:val="17"/>
          <w:szCs w:val="17"/>
          <w:color w:val="auto"/>
        </w:rPr>
        <w:t>” means any (a) any Permitted Acquisition or Investment which Holdings or any of its Restricted Subsidiaries is contractually committed to consummate, which commitment is not conditioned on the availability of, or on obtaining, third party financing, or</w:t>
      </w:r>
    </w:p>
    <w:p>
      <w:pPr>
        <w:ind w:firstLine="8"/>
        <w:spacing w:after="0" w:line="260"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redemption or repayment of Indebtedness requiring irrevocable advance notice or any irrevocable offer to purchase Indebtedness that is not subject to obtaining financing.</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Originator Recourse</w:t>
      </w:r>
      <w:r>
        <w:rPr>
          <w:rFonts w:ascii="Arial" w:cs="Arial" w:eastAsia="Arial" w:hAnsi="Arial"/>
          <w:sz w:val="18"/>
          <w:szCs w:val="18"/>
          <w:color w:val="auto"/>
        </w:rPr>
        <w:t>” means a letter of credit, cash collateral account or other such credit enhancement issued in connection with the incurrence of Indebtedness by a Securitization Subsidiary under a Qualified Securitization Financing.</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promissory notes issued pursuant to Section 2.10(e) of this Agreement, any Letter of Credit applications, the Collateral Documents, any Intercreditor Agreement, any Joinder Agreement, any Incremental Amendment, Extension Amendment or Refinancing Amendment, and any intercreditor agreements and subordination agreements. Any reference in the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Holdings, the Borrowers and the Subsidiary Guarantors.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Borrowers pursuant to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London, England time, unless otherwise notified by the Administrative Agent).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 Borrower</w:t>
      </w:r>
      <w:r>
        <w:rPr>
          <w:rFonts w:ascii="Arial" w:cs="Arial" w:eastAsia="Arial" w:hAnsi="Arial"/>
          <w:sz w:val="18"/>
          <w:szCs w:val="18"/>
          <w:color w:val="auto"/>
        </w:rPr>
        <w:t>” has the meaning assigned to such term in the preamble hereto or any Additional Borrower organized under the laws of Luxembourg.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 U.S. Subsidiary Borrower</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w:t>
      </w:r>
      <w:r>
        <w:rPr>
          <w:rFonts w:ascii="Arial" w:cs="Arial" w:eastAsia="Arial" w:hAnsi="Arial"/>
          <w:sz w:val="18"/>
          <w:szCs w:val="18"/>
          <w:color w:val="auto"/>
        </w:rPr>
        <w:t>” means the Grand Duchy of Luxembourg.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Companies Register</w:t>
      </w:r>
      <w:r>
        <w:rPr>
          <w:rFonts w:ascii="Arial" w:cs="Arial" w:eastAsia="Arial" w:hAnsi="Arial"/>
          <w:sz w:val="18"/>
          <w:szCs w:val="18"/>
          <w:color w:val="auto"/>
        </w:rPr>
        <w:t>” means the Luxembourg Register of Commerce and Companies (</w:t>
      </w:r>
      <w:r>
        <w:rPr>
          <w:rFonts w:ascii="Arial" w:cs="Arial" w:eastAsia="Arial" w:hAnsi="Arial"/>
          <w:sz w:val="18"/>
          <w:szCs w:val="18"/>
          <w:i w:val="1"/>
          <w:iCs w:val="1"/>
          <w:color w:val="auto"/>
        </w:rPr>
        <w:t>R.C.S. Luxembourg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Guarantor</w:t>
      </w:r>
      <w:r>
        <w:rPr>
          <w:rFonts w:ascii="Arial" w:cs="Arial" w:eastAsia="Arial" w:hAnsi="Arial"/>
          <w:sz w:val="18"/>
          <w:szCs w:val="18"/>
          <w:color w:val="auto"/>
        </w:rPr>
        <w:t>” has the meaning assigned to such term in Section 10.08.</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Insolvency Event</w:t>
      </w:r>
      <w:r>
        <w:rPr>
          <w:rFonts w:ascii="Arial" w:cs="Arial" w:eastAsia="Arial" w:hAnsi="Arial"/>
          <w:sz w:val="18"/>
          <w:szCs w:val="18"/>
          <w:color w:val="auto"/>
        </w:rPr>
        <w:t>” means, in relation to any entity incorporated or existing under the laws of Luxembourg or any of their assets, any corporate action, legal proceedings or other procedure or step in relation to bankruptcy (</w:t>
      </w:r>
      <w:r>
        <w:rPr>
          <w:rFonts w:ascii="Arial" w:cs="Arial" w:eastAsia="Arial" w:hAnsi="Arial"/>
          <w:sz w:val="18"/>
          <w:szCs w:val="18"/>
          <w:i w:val="1"/>
          <w:iCs w:val="1"/>
          <w:color w:val="auto"/>
        </w:rPr>
        <w:t>faillite</w:t>
      </w:r>
      <w:r>
        <w:rPr>
          <w:rFonts w:ascii="Arial" w:cs="Arial" w:eastAsia="Arial" w:hAnsi="Arial"/>
          <w:sz w:val="18"/>
          <w:szCs w:val="18"/>
          <w:color w:val="auto"/>
        </w:rPr>
        <w:t>), insolvency, judicial or voluntary liquidation (</w:t>
      </w:r>
      <w:r>
        <w:rPr>
          <w:rFonts w:ascii="Arial" w:cs="Arial" w:eastAsia="Arial" w:hAnsi="Arial"/>
          <w:sz w:val="18"/>
          <w:szCs w:val="18"/>
          <w:i w:val="1"/>
          <w:iCs w:val="1"/>
          <w:color w:val="auto"/>
        </w:rPr>
        <w:t>liquidation</w:t>
      </w:r>
      <w:r>
        <w:rPr>
          <w:rFonts w:ascii="Arial" w:cs="Arial" w:eastAsia="Arial" w:hAnsi="Arial"/>
          <w:sz w:val="18"/>
          <w:szCs w:val="18"/>
          <w:color w:val="auto"/>
        </w:rPr>
        <w:t xml:space="preserve"> </w:t>
      </w:r>
      <w:r>
        <w:rPr>
          <w:rFonts w:ascii="Arial" w:cs="Arial" w:eastAsia="Arial" w:hAnsi="Arial"/>
          <w:sz w:val="18"/>
          <w:szCs w:val="18"/>
          <w:i w:val="1"/>
          <w:iCs w:val="1"/>
          <w:color w:val="auto"/>
        </w:rPr>
        <w:t>judiciaire ou volontaire</w:t>
      </w:r>
      <w:r>
        <w:rPr>
          <w:rFonts w:ascii="Arial" w:cs="Arial" w:eastAsia="Arial" w:hAnsi="Arial"/>
          <w:sz w:val="18"/>
          <w:szCs w:val="18"/>
          <w:color w:val="auto"/>
        </w:rPr>
        <w:t>), composition with creditors (</w:t>
      </w:r>
      <w:r>
        <w:rPr>
          <w:rFonts w:ascii="Arial" w:cs="Arial" w:eastAsia="Arial" w:hAnsi="Arial"/>
          <w:sz w:val="18"/>
          <w:szCs w:val="18"/>
          <w:i w:val="1"/>
          <w:iCs w:val="1"/>
          <w:color w:val="auto"/>
        </w:rPr>
        <w:t>concordat préventif de la faillite</w:t>
      </w:r>
      <w:r>
        <w:rPr>
          <w:rFonts w:ascii="Arial" w:cs="Arial" w:eastAsia="Arial" w:hAnsi="Arial"/>
          <w:sz w:val="18"/>
          <w:szCs w:val="18"/>
          <w:color w:val="auto"/>
        </w:rPr>
        <w:t>), moratorium or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fraudulent conveyance (</w:t>
      </w:r>
      <w:r>
        <w:rPr>
          <w:rFonts w:ascii="Arial" w:cs="Arial" w:eastAsia="Arial" w:hAnsi="Arial"/>
          <w:sz w:val="18"/>
          <w:szCs w:val="18"/>
          <w:i w:val="1"/>
          <w:iCs w:val="1"/>
          <w:color w:val="auto"/>
        </w:rPr>
        <w:t>action paulienne</w:t>
      </w:r>
      <w:r>
        <w:rPr>
          <w:rFonts w:ascii="Arial" w:cs="Arial" w:eastAsia="Arial" w:hAnsi="Arial"/>
          <w:sz w:val="18"/>
          <w:szCs w:val="18"/>
          <w:color w:val="auto"/>
        </w:rPr>
        <w:t xml:space="preserve">), general settlement with creditors, the appointment of a </w:t>
      </w:r>
      <w:r>
        <w:rPr>
          <w:rFonts w:ascii="Arial" w:cs="Arial" w:eastAsia="Arial" w:hAnsi="Arial"/>
          <w:sz w:val="18"/>
          <w:szCs w:val="18"/>
          <w:i w:val="1"/>
          <w:iCs w:val="1"/>
          <w:color w:val="auto"/>
        </w:rPr>
        <w:t>juge délégué</w:t>
      </w:r>
      <w:r>
        <w:rPr>
          <w:rFonts w:ascii="Arial" w:cs="Arial" w:eastAsia="Arial" w:hAnsi="Arial"/>
          <w:sz w:val="18"/>
          <w:szCs w:val="18"/>
          <w:color w:val="auto"/>
        </w:rPr>
        <w:t xml:space="preserve">, a </w:t>
      </w:r>
      <w:r>
        <w:rPr>
          <w:rFonts w:ascii="Arial" w:cs="Arial" w:eastAsia="Arial" w:hAnsi="Arial"/>
          <w:sz w:val="18"/>
          <w:szCs w:val="18"/>
          <w:i w:val="1"/>
          <w:iCs w:val="1"/>
          <w:color w:val="auto"/>
        </w:rPr>
        <w:t>commissaire</w:t>
      </w:r>
      <w:r>
        <w:rPr>
          <w:rFonts w:ascii="Arial" w:cs="Arial" w:eastAsia="Arial" w:hAnsi="Arial"/>
          <w:sz w:val="18"/>
          <w:szCs w:val="18"/>
          <w:color w:val="auto"/>
        </w:rPr>
        <w:t xml:space="preserve">, a </w:t>
      </w:r>
      <w:r>
        <w:rPr>
          <w:rFonts w:ascii="Arial" w:cs="Arial" w:eastAsia="Arial" w:hAnsi="Arial"/>
          <w:sz w:val="18"/>
          <w:szCs w:val="18"/>
          <w:i w:val="1"/>
          <w:iCs w:val="1"/>
          <w:color w:val="auto"/>
        </w:rPr>
        <w:t>juge-commissaire</w:t>
      </w:r>
      <w:r>
        <w:rPr>
          <w:rFonts w:ascii="Arial" w:cs="Arial" w:eastAsia="Arial" w:hAnsi="Arial"/>
          <w:sz w:val="18"/>
          <w:szCs w:val="18"/>
          <w:color w:val="auto"/>
        </w:rPr>
        <w:t xml:space="preserve">, a </w:t>
      </w:r>
      <w:r>
        <w:rPr>
          <w:rFonts w:ascii="Arial" w:cs="Arial" w:eastAsia="Arial" w:hAnsi="Arial"/>
          <w:sz w:val="18"/>
          <w:szCs w:val="18"/>
          <w:i w:val="1"/>
          <w:iCs w:val="1"/>
          <w:color w:val="auto"/>
        </w:rPr>
        <w:t>mandataire ad hoc</w:t>
      </w:r>
      <w:r>
        <w:rPr>
          <w:rFonts w:ascii="Arial" w:cs="Arial" w:eastAsia="Arial" w:hAnsi="Arial"/>
          <w:sz w:val="18"/>
          <w:szCs w:val="18"/>
          <w:color w:val="auto"/>
        </w:rPr>
        <w:t xml:space="preserve">, an </w:t>
      </w:r>
      <w:r>
        <w:rPr>
          <w:rFonts w:ascii="Arial" w:cs="Arial" w:eastAsia="Arial" w:hAnsi="Arial"/>
          <w:sz w:val="18"/>
          <w:szCs w:val="18"/>
          <w:i w:val="1"/>
          <w:iCs w:val="1"/>
          <w:color w:val="auto"/>
        </w:rPr>
        <w:t>administrateur provisoire</w:t>
      </w:r>
      <w:r>
        <w:rPr>
          <w:rFonts w:ascii="Arial" w:cs="Arial" w:eastAsia="Arial" w:hAnsi="Arial"/>
          <w:sz w:val="18"/>
          <w:szCs w:val="18"/>
          <w:color w:val="auto"/>
        </w:rPr>
        <w:t xml:space="preserve">, a </w:t>
      </w:r>
      <w:r>
        <w:rPr>
          <w:rFonts w:ascii="Arial" w:cs="Arial" w:eastAsia="Arial" w:hAnsi="Arial"/>
          <w:sz w:val="18"/>
          <w:szCs w:val="18"/>
          <w:i w:val="1"/>
          <w:iCs w:val="1"/>
          <w:color w:val="auto"/>
        </w:rPr>
        <w:t>liquidateur</w:t>
      </w:r>
      <w:r>
        <w:rPr>
          <w:rFonts w:ascii="Arial" w:cs="Arial" w:eastAsia="Arial" w:hAnsi="Arial"/>
          <w:sz w:val="18"/>
          <w:szCs w:val="18"/>
          <w:color w:val="auto"/>
        </w:rPr>
        <w:t xml:space="preserve"> or a </w:t>
      </w:r>
      <w:r>
        <w:rPr>
          <w:rFonts w:ascii="Arial" w:cs="Arial" w:eastAsia="Arial" w:hAnsi="Arial"/>
          <w:sz w:val="18"/>
          <w:szCs w:val="18"/>
          <w:i w:val="1"/>
          <w:iCs w:val="1"/>
          <w:color w:val="auto"/>
        </w:rPr>
        <w:t>curateur</w:t>
      </w:r>
      <w:r>
        <w:rPr>
          <w:rFonts w:ascii="Arial" w:cs="Arial" w:eastAsia="Arial" w:hAnsi="Arial"/>
          <w:sz w:val="18"/>
          <w:szCs w:val="18"/>
          <w:color w:val="auto"/>
        </w:rPr>
        <w:t xml:space="preserve"> reorganization or similar laws affecting the rights of creditors generally.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Loan Party</w:t>
      </w:r>
      <w:r>
        <w:rPr>
          <w:rFonts w:ascii="Arial" w:cs="Arial" w:eastAsia="Arial" w:hAnsi="Arial"/>
          <w:sz w:val="18"/>
          <w:szCs w:val="18"/>
          <w:color w:val="auto"/>
        </w:rPr>
        <w:t>” means any Lux Borrower or any Luxembourg Guarantor.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9" w:name="page60"/>
    <w:bookmarkEnd w:id="59"/>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 Term Loan Commitments</w:t>
      </w:r>
      <w:r>
        <w:rPr>
          <w:rFonts w:ascii="Arial" w:cs="Arial" w:eastAsia="Arial" w:hAnsi="Arial"/>
          <w:sz w:val="18"/>
          <w:szCs w:val="18"/>
          <w:color w:val="auto"/>
        </w:rPr>
        <w:t xml:space="preserve">” means with respect to each Term Lender, the commitment, if any, of such Term Lender to make Lux Term Loans hereunder, as such commitment may be (a) reduced or terminated from time to time pursuant to Section 2.09 and (b) reduced or increased from time to time pursuant to assignments by or to such Term Lender pursuant to Section 9.04. The amount of each Term Lender’s Lux Term Loan Commitment as of the Closing Date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or in the Assignment and Assumption (or other documentation contemplated by this Agreement) pursuant to which such Term Lender shall have assumed its Lux Term Loan Commitment, as applicable, and any other Refinancing Commitments and any Incremental Term Loan Commitments of Lux Term Loan Commitments. The aggregate principal amount of the Lux Term Loan Commitments on the Closing Date is $4,415,000,000.</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 Term Loan Repayment Date</w:t>
      </w:r>
      <w:r>
        <w:rPr>
          <w:rFonts w:ascii="Arial" w:cs="Arial" w:eastAsia="Arial" w:hAnsi="Arial"/>
          <w:sz w:val="18"/>
          <w:szCs w:val="18"/>
          <w:color w:val="auto"/>
        </w:rPr>
        <w:t>” has the meaning assigned to such term in Section 2.10(a)(i).</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Lux Term Loans</w:t>
      </w:r>
      <w:r>
        <w:rPr>
          <w:rFonts w:ascii="Arial" w:cs="Arial" w:eastAsia="Arial" w:hAnsi="Arial"/>
          <w:sz w:val="16"/>
          <w:szCs w:val="16"/>
          <w:color w:val="auto"/>
        </w:rPr>
        <w:t>” means the term loans made by the Term Lenders to the Lux Borrower and the Lux U.S. Subsidiary Borrower on the Closing Date pursuant to Section 2.01. Each Lux Term Loan shall be a Eurocurrency Loan denominated in Dollars or an ABR Loan denominated in Dollars.</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in Interest</w:t>
      </w:r>
      <w:r>
        <w:rPr>
          <w:rFonts w:ascii="Arial" w:cs="Arial" w:eastAsia="Arial" w:hAnsi="Arial"/>
          <w:sz w:val="16"/>
          <w:szCs w:val="16"/>
          <w:color w:val="auto"/>
        </w:rPr>
        <w:t>” means, at any time, (i) in the case of the Revolving Lenders, Lenders having Revolving Credit Exposures and unused aggregate Revolving Commitments representing more than 50% of the sum of the aggregate Revolving Credit Exposures and the unused Revolving Commitments at such time and (ii) in the case of the Term Lenders, Lenders holding outstanding Loans representing more than 50% of all Term Loans outstanding at such time. In making the above calculations, the Dollar Amounts (as determined in good faith by the Administrative Agent) of all amounts denominated in currencies other than Dollars shall be utilized. If the context indicates that the “Majority in Interest” is to be determined for a relevant Class or Tranche, then only the respective Class or Tranche shall be included as otherwise provided above in determining the applicable Majority in Interest.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 of the Board.</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Capitalization</w:t>
      </w:r>
      <w:r>
        <w:rPr>
          <w:rFonts w:ascii="Arial" w:cs="Arial" w:eastAsia="Arial" w:hAnsi="Arial"/>
          <w:sz w:val="16"/>
          <w:szCs w:val="16"/>
          <w:color w:val="auto"/>
        </w:rPr>
        <w:t>” means an amount equal to (i) the total number of issued and outstanding shares of common Equity Interests of Holdings or any one of the Borrowers’ other parent entities that are traded on a securities exchange on the date of the declaration of a Restricted Payment, multiplied by (ii) the arithmetic mean of the closing prices per share of such common Equity Interests on the principal securities exchange on which such common Equity Interests are traded for the 30 consecutive trading days immediately preceding the date of declaration of such Restricted Payment.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means any Permitted Acquisition that involves the payment of acquisition consideration by Holdings and its Restricted Subsidiaries in excess of $50,000,000.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property or financial condition of Holdings and its Restricted Subsidiaries taken as a whole or (b) the rights or remedies of the Administrative Agent and the Lenders hereunder and under the other Loan Documents.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means any Asset Sale that involves payment of Disposition Consideration to Holdings or any of its Restricted Subsidiaries in excess of $50,000,000.</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(i) the Loans and Letters of Credit or (ii) any intercompany Indebtedness between or among members of the Group) of any one or more of Holdings and its Restricted Subsidiaries in an aggregate principal amount exceeding the greater of $175,000,000 and 15% of Consolidated EBITDA for the Test Period most recently ended on or prior to the date of such determination. For purposes of determining Material Indebtedness, the “principal amount” of the obligations of Holdings or any Restricted Subsidiary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0" w:name="page61"/>
    <w:bookmarkEnd w:id="6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shall mean intellectual property that is material to the business of Holdings and its Subsidiaries, taken as a whole, as determined by Holdings in good faith.</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each Restricted Subsidiary (i) which, as of the most recent fiscal quarter of Holdings, for the period of four consecutive fiscal quarters then ended, for which financial statements have been delivered pursuant to Section 5.01, contributed greater than five percent (5%) of Consolidated EBITDA of the Group for such period or (ii) which contributed greater than five percent (5%) of Total Assets of the Group as of such date.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(i) with respect to the Term Loans that have not been extended pursuant to Section 2.22, the date occurring seven years after the Closing Date, (ii) with respect to the Initial Revolving Loans and Initial Revolving Commitments of the Revolving Lenders that have not been extended pursuant to Section 2.22, the date occurring five years after the Closing Date and (iii) with respect to any other tranche of Loans (including any Incremental Loans, Extended Loans, and Other Refinancing Loans), the maturity dates specified therefor in the applicable Incremental Amendment, Extension Amendment or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day is not a Business Day, the Maturity Date shall be the Business Day immediately succeeding such day.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shall have the meaning given to such term in Section 2.22(b).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Tranche Amount</w:t>
      </w:r>
      <w:r>
        <w:rPr>
          <w:rFonts w:ascii="Arial" w:cs="Arial" w:eastAsia="Arial" w:hAnsi="Arial"/>
          <w:sz w:val="18"/>
          <w:szCs w:val="18"/>
          <w:color w:val="auto"/>
        </w:rPr>
        <w:t>” shall have the meaning given to such term in Section 2.22(b).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and royalty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and limited to such Indebtedness’ proportionate share of such prepayment)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that are directly attributable to such event (as determined reasonably and in good faith by a Financial Officer);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the date on which such reserve is no longer required to be maintained, the remaining amount of such reserve shall then be deemed to be Net Proceeds.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Loan Party</w:t>
      </w:r>
      <w:r>
        <w:rPr>
          <w:rFonts w:ascii="Arial" w:cs="Arial" w:eastAsia="Arial" w:hAnsi="Arial"/>
          <w:sz w:val="18"/>
          <w:szCs w:val="18"/>
          <w:color w:val="auto"/>
        </w:rPr>
        <w:t>” has the meaning assigned to such term in Section 5.09(a).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Note Documents</w:t>
      </w:r>
      <w:r>
        <w:rPr>
          <w:rFonts w:ascii="Arial" w:cs="Arial" w:eastAsia="Arial" w:hAnsi="Arial"/>
          <w:sz w:val="18"/>
          <w:szCs w:val="18"/>
          <w:color w:val="auto"/>
        </w:rPr>
        <w:t>” means the New Notes Indenture and the New Notes, as each such document may be amended, restated, supplemented or otherwise modified from time to time.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Notes</w:t>
      </w:r>
      <w:r>
        <w:rPr>
          <w:rFonts w:ascii="Arial" w:cs="Arial" w:eastAsia="Arial" w:hAnsi="Arial"/>
          <w:sz w:val="16"/>
          <w:szCs w:val="16"/>
          <w:color w:val="auto"/>
        </w:rPr>
        <w:t>” means the $500 million aggregate principal amount of 2.875% Senior Secured Notes due 2026 issued on July 1, 2021 by Merger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Notes Indenture</w:t>
      </w:r>
      <w:r>
        <w:rPr>
          <w:rFonts w:ascii="Arial" w:cs="Arial" w:eastAsia="Arial" w:hAnsi="Arial"/>
          <w:sz w:val="18"/>
          <w:szCs w:val="18"/>
          <w:color w:val="auto"/>
        </w:rPr>
        <w:t>” means that certain indenture, dated as of July 1, 2021, between Merger Sub and Citibank, N.A., London Branch, as trustee and collateral agent, relating to the New Notes.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Plan</w:t>
      </w:r>
      <w:r>
        <w:rPr>
          <w:rFonts w:ascii="Arial" w:cs="Arial" w:eastAsia="Arial" w:hAnsi="Arial"/>
          <w:sz w:val="17"/>
          <w:szCs w:val="17"/>
          <w:color w:val="auto"/>
        </w:rPr>
        <w:t>” means any plan, fund or other similar program established, contributed to (regardless of whether through direct contributions or through employee withholding) or maintained outside the United States of America by Holdings or any one or more of its Subsidiaries primarily for the benefit of employees of Holdings or such Subsidiaries residing outside the United States of America (other than an Irish Pension Scheme or any plans, funds or other similar programs that are maintained exclusively by a Governmental Authority), which plan, fund or other similar program provides, or results in, retirement income or a deferral of income in contemplation of retirement, and which plan is not subject to ERISA or the Code.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 all unpaid principal of and accrued and unpaid interest on the Loans (including any Loans (plus any accrued and unpaid interest) held by the Administrative Agent as a result of an Erroneous Payment Deficiency Assignment in accordance with Section 8.02(d) with respect to which it has Erroneous Payment Subrogation Rights), all LC Exposure, all accrued and unpaid fees and all expenses, reimbursements, indemnities and other obligations and indebtedness (including interest accruing during the pendency of any bankruptcy, insolvency, receivership, examinership or other similar proceeding, regardless of whether allowed or allowable in such proceeding), obligations and liabilities of any of Holdings, the Borrowers and the other Loan Parties to any of the Lenders, the Administrative Agent, the Collateral Agent, any Issuing Bank or any indemnified party, individually or collectively, existing on the Closing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and (b) the payment of all obligations of Holdings and its Restricted Subsidiaries under each Cash Management Agreement and Swap Agreement entered into with any counterparty that is a Secured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the Obligations shall exclude any Excluded Swap Obligations.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Office of Foreign Assets Control of the United States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OID</w:t>
      </w:r>
      <w:r>
        <w:rPr>
          <w:rFonts w:ascii="Arial" w:cs="Arial" w:eastAsia="Arial" w:hAnsi="Arial"/>
          <w:sz w:val="18"/>
          <w:szCs w:val="18"/>
          <w:color w:val="auto"/>
        </w:rPr>
        <w:t>” has the meaning assigned to such term in the definition of “Credit Agreement Refinancing Indebtedness”.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(i) in the case of any corporation, the certificate of incorporation, articles of incorporation, constitution or deed of incorporation and by-laws (or similar documents) of such Person, (ii) in the case of any limited liability company, the constitution, certificate or articles of formation or organization or deed of incorporation and operating agreement or memorandum and articles of association or constitution (or similar constituent documents) of such Person, (iii) in the case of any limited partnership, the certificate of formation and limited partnership agreement (or similar constituent documents) of such Person (and, where applicable, the equityholders or shareholders registry of such Person), (iv) in the case of any general partnership, the partnership agreement (or similar constituent document) of such Person, (v) in any other case, the functional equivalent of the foregoing, and (vi) any shareholder, voting trust or similar agreement between or among any holders of Equity Interests of such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Refinancing Commitments</w:t>
      </w:r>
      <w:r>
        <w:rPr>
          <w:rFonts w:ascii="Arial" w:cs="Arial" w:eastAsia="Arial" w:hAnsi="Arial"/>
          <w:sz w:val="17"/>
          <w:szCs w:val="17"/>
          <w:color w:val="auto"/>
        </w:rPr>
        <w:t>” means the Other Refinancing Term Commitments and the Other Refinancing Revolving Commitments.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Refinancing Loans</w:t>
      </w:r>
      <w:r>
        <w:rPr>
          <w:rFonts w:ascii="Arial" w:cs="Arial" w:eastAsia="Arial" w:hAnsi="Arial"/>
          <w:sz w:val="18"/>
          <w:szCs w:val="18"/>
          <w:color w:val="auto"/>
        </w:rPr>
        <w:t>” means the Other Refinancing Term Loans and the Other Refinancing Revolving Loans.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Refinancing Revolving Commitments</w:t>
      </w:r>
      <w:r>
        <w:rPr>
          <w:rFonts w:ascii="Arial" w:cs="Arial" w:eastAsia="Arial" w:hAnsi="Arial"/>
          <w:sz w:val="18"/>
          <w:szCs w:val="18"/>
          <w:color w:val="auto"/>
        </w:rPr>
        <w:t>” means one or more Classes of Revolving Commitments hereunder that result from a Refinancing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Refinancing Revolving Loans</w:t>
      </w:r>
      <w:r>
        <w:rPr>
          <w:rFonts w:ascii="Arial" w:cs="Arial" w:eastAsia="Arial" w:hAnsi="Arial"/>
          <w:sz w:val="18"/>
          <w:szCs w:val="18"/>
          <w:color w:val="auto"/>
        </w:rPr>
        <w:t>” means the revolving loans made pursuant to any Other Refinancing Revolving Commitment.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Refinancing Term Commitments</w:t>
      </w:r>
      <w:r>
        <w:rPr>
          <w:rFonts w:ascii="Arial" w:cs="Arial" w:eastAsia="Arial" w:hAnsi="Arial"/>
          <w:sz w:val="18"/>
          <w:szCs w:val="18"/>
          <w:color w:val="auto"/>
        </w:rPr>
        <w:t>” means one or more Classes of Term Loan Commitments hereunder that result from a Refinancing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Refinancing Term Loans</w:t>
      </w:r>
      <w:r>
        <w:rPr>
          <w:rFonts w:ascii="Arial" w:cs="Arial" w:eastAsia="Arial" w:hAnsi="Arial"/>
          <w:sz w:val="18"/>
          <w:szCs w:val="18"/>
          <w:color w:val="auto"/>
        </w:rPr>
        <w:t>” means one or more Classes of Term Loans that result from a Refinancing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 Commitments</w:t>
      </w:r>
      <w:r>
        <w:rPr>
          <w:rFonts w:ascii="Arial" w:cs="Arial" w:eastAsia="Arial" w:hAnsi="Arial"/>
          <w:sz w:val="18"/>
          <w:szCs w:val="18"/>
          <w:color w:val="auto"/>
        </w:rPr>
        <w:t>” has the meaning set forth in Section 2.20(a).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means Incremental Revolving Loans made pursuant to Other Revolving Loan Commitments.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all present or future stamp, court, filing, intangible, recording or documentary Taxes or any other similar Taxes arising from any payment made under any Loan Document or from the execution, delivery, performance, registration or enforcement of, from the receipt or perfection of a security interest under, or otherwise with respect to, this Agreement or any other Loan Document, other than (1) Luxembourg registration duties (</w:t>
      </w:r>
      <w:r>
        <w:rPr>
          <w:rFonts w:ascii="Arial" w:cs="Arial" w:eastAsia="Arial" w:hAnsi="Arial"/>
          <w:sz w:val="16"/>
          <w:szCs w:val="16"/>
          <w:i w:val="1"/>
          <w:iCs w:val="1"/>
          <w:color w:val="auto"/>
        </w:rPr>
        <w:t>droits</w:t>
      </w:r>
      <w:r>
        <w:rPr>
          <w:rFonts w:ascii="Arial" w:cs="Arial" w:eastAsia="Arial" w:hAnsi="Arial"/>
          <w:sz w:val="16"/>
          <w:szCs w:val="16"/>
          <w:color w:val="auto"/>
        </w:rPr>
        <w:t xml:space="preserve"> </w:t>
      </w:r>
      <w:r>
        <w:rPr>
          <w:rFonts w:ascii="Arial" w:cs="Arial" w:eastAsia="Arial" w:hAnsi="Arial"/>
          <w:sz w:val="16"/>
          <w:szCs w:val="16"/>
          <w:i w:val="1"/>
          <w:iCs w:val="1"/>
          <w:color w:val="auto"/>
        </w:rPr>
        <w:t>d’enregistrement</w:t>
      </w:r>
      <w:r>
        <w:rPr>
          <w:rFonts w:ascii="Arial" w:cs="Arial" w:eastAsia="Arial" w:hAnsi="Arial"/>
          <w:sz w:val="16"/>
          <w:szCs w:val="16"/>
          <w:color w:val="auto"/>
        </w:rPr>
        <w:t>) payable due to a registration, submission or filing by the Administrative Agent, the Collateral Agent a Lender or an Issuing Bank of any</w:t>
      </w:r>
      <w:r>
        <w:rPr>
          <w:rFonts w:ascii="Arial" w:cs="Arial" w:eastAsia="Arial" w:hAnsi="Arial"/>
          <w:sz w:val="16"/>
          <w:szCs w:val="16"/>
          <w:i w:val="1"/>
          <w:iCs w:val="1"/>
          <w:color w:val="auto"/>
        </w:rPr>
        <w:t xml:space="preserve"> </w:t>
      </w:r>
      <w:r>
        <w:rPr>
          <w:rFonts w:ascii="Arial" w:cs="Arial" w:eastAsia="Arial" w:hAnsi="Arial"/>
          <w:sz w:val="16"/>
          <w:szCs w:val="16"/>
          <w:color w:val="auto"/>
        </w:rPr>
        <w:t>Loan Document, except if such registration, submission or filing is required to maintain, establish, enforce or preserve the rights of the Administrative Agent, the Collateral Agent, a Lender or an Issuing Bank under such Loan Document or (2) such Taxes that are imposed with respect to an assignment or change in lending office (other than an assignment made pursuant to Section 2.19(b)) as a result of a present or former connection between the assignor, assignee or Lender and the jurisdiction imposing such Taxes (other than a connection arising solely as a result of it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Loan Commitments</w:t>
      </w:r>
      <w:r>
        <w:rPr>
          <w:rFonts w:ascii="Arial" w:cs="Arial" w:eastAsia="Arial" w:hAnsi="Arial"/>
          <w:sz w:val="18"/>
          <w:szCs w:val="18"/>
          <w:color w:val="auto"/>
        </w:rPr>
        <w:t>” has the meaning set forth in Section 2.20(a).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Loans</w:t>
      </w:r>
      <w:r>
        <w:rPr>
          <w:rFonts w:ascii="Arial" w:cs="Arial" w:eastAsia="Arial" w:hAnsi="Arial"/>
          <w:sz w:val="18"/>
          <w:szCs w:val="18"/>
          <w:color w:val="auto"/>
        </w:rPr>
        <w:t>” means Incremental Term Loans made pursuant to Other Term Loan Commitments.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Foreign Currency Rate</w:t>
      </w:r>
      <w:r>
        <w:rPr>
          <w:rFonts w:ascii="Arial" w:cs="Arial" w:eastAsia="Arial" w:hAnsi="Arial"/>
          <w:sz w:val="18"/>
          <w:szCs w:val="18"/>
          <w:color w:val="auto"/>
        </w:rPr>
        <w:t xml:space="preserve">” means, for any amount payable in a Foreign Currency, the rate of interest per annum as determined by the Administrative Agent at which overnight or weekend deposits in the relevant currency (or if such amount due remains unpaid for more than three (3) Business Days, then for such other period of time as the Administrative Agent may elect)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Credit Event,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taxes, levies, imposts, duties, deductions, charges or withholdings imposed upon, or charged to, the Administrative Agent by any relevant correspondent bank in respect of such amount in such relevant currency.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9.04(c)(i).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9.04(c)(ii).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 that has the euro as its lawful currency in accordance with the legislation of the EU and relating to the Economic and Monetary Union.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 Supplement</w:t>
      </w:r>
      <w:r>
        <w:rPr>
          <w:rFonts w:ascii="Arial" w:cs="Arial" w:eastAsia="Arial" w:hAnsi="Arial"/>
          <w:sz w:val="18"/>
          <w:szCs w:val="18"/>
          <w:color w:val="auto"/>
        </w:rPr>
        <w:t xml:space="preserve">” shall mean the Perfection Certificate with respect to Loan Parties in the form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 or such other form as is reasonably satisfactory to Holdings and the Administrative Agent.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Requirements</w:t>
      </w:r>
      <w:r>
        <w:rPr>
          <w:rFonts w:ascii="Arial" w:cs="Arial" w:eastAsia="Arial" w:hAnsi="Arial"/>
          <w:sz w:val="18"/>
          <w:szCs w:val="18"/>
          <w:color w:val="auto"/>
        </w:rPr>
        <w:t>” means the making or procuring of appropriate registrations, filings, endorsements, notarizations, acknowledgement, stampings and/or notifications of any Loan Document (and/or any Liens created under it) customary or necessary for the enforceability, fixing of priority, or production in evidence of the relevant Loan Document and/or Lien.</w:t>
      </w:r>
    </w:p>
    <w:p>
      <w:pPr>
        <w:spacing w:after="0" w:line="184"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Investment permitted under clause (4) of the definition of “Permitted Investments” and any other Investment permitted under this Agreement that constitutes the purchase or other acquisition, in one transaction or a series of transactions, by Holdings or any Restricted Subsidiary of all or substantially all the assets constituting a business unit, division, product line (including rights in respect of any drug or other pharmaceutical product) or line of business of, another Person, in a single transaction or a series of related transactions, such Person will be a Restricted Subsidiary and in any event, only to the extent that such assets or such Person will be owned and/or licensed by Holdings or a Restricted Subsidiary.</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Business</w:t>
      </w:r>
      <w:r>
        <w:rPr>
          <w:rFonts w:ascii="Arial" w:cs="Arial" w:eastAsia="Arial" w:hAnsi="Arial"/>
          <w:sz w:val="18"/>
          <w:szCs w:val="18"/>
          <w:color w:val="auto"/>
        </w:rPr>
        <w:t>” means the business and any services, activities or businesses incidental, or reasonably related or complementary or similar to, any line of business engaged in by Holdings and its Subsidiaries as of the Closing Date or any business activity that is a reasonable extension, development or expansion thereof or ancillary thereto.</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Conversion Provisions</w:t>
      </w:r>
      <w:r>
        <w:rPr>
          <w:rFonts w:ascii="Arial" w:cs="Arial" w:eastAsia="Arial" w:hAnsi="Arial"/>
          <w:sz w:val="18"/>
          <w:szCs w:val="18"/>
          <w:color w:val="auto"/>
        </w:rPr>
        <w:t>” means provisions permitting holders to convert or exchange Indebtedness into or for Equity Interests of Holdings (and cash in lieu of fractional shares) or at the option of Holdings or the issuer of such Indebtedness, Equity Interests of Holdings, cash or any combination of the foregoing (provided that any payment of any such cash shall be subject to compliance with the provisions set forth in this agreement, including those set forth in Article VI).</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Debt</w:t>
      </w:r>
      <w:r>
        <w:rPr>
          <w:rFonts w:ascii="Arial" w:cs="Arial" w:eastAsia="Arial" w:hAnsi="Arial"/>
          <w:sz w:val="18"/>
          <w:szCs w:val="18"/>
          <w:color w:val="auto"/>
        </w:rPr>
        <w:t>” has the meaning set forth in Section 6.01(b).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Equity Derivatives</w:t>
      </w:r>
      <w:r>
        <w:rPr>
          <w:rFonts w:ascii="Arial" w:cs="Arial" w:eastAsia="Arial" w:hAnsi="Arial"/>
          <w:sz w:val="18"/>
          <w:szCs w:val="18"/>
          <w:color w:val="auto"/>
        </w:rPr>
        <w:t>” means any forward purchase, accelerated share purchase, call option, warrant transaction or other equity derivative transactions relating to the Equity Interests of Holdings entered into by Holdings or any Restricted Subsidiary provided that any Restricted Payment made in connection with such transaction is permitted pursuant to Section 6.04, including any Swap Agreements executed in connection therewith (or deemed executed therewith).</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Hedging Obligations</w:t>
      </w:r>
      <w:r>
        <w:rPr>
          <w:rFonts w:ascii="Arial" w:cs="Arial" w:eastAsia="Arial" w:hAnsi="Arial"/>
          <w:sz w:val="18"/>
          <w:szCs w:val="18"/>
          <w:color w:val="auto"/>
        </w:rPr>
        <w:t>” means obligations of Holdings or any Restricted Subsidiary in respect of non-speculative Swap Agreements entered into (i) to hedge or mitigate risks to which Holdings or any Restricted Subsidiary has actual exposure (other than those in respect of Equity Interests of Holdings or any of its Restricted Subsidiaries but excluding Convertible Debt Securities) or (ii) in order to effectively cap, collar or exchange interest rates (from fixed to floating rates, from one floating rate to another floating rate or otherwise) with respect to any interest-bearing liability or investment of Holdings or any Restricted Subsidiary.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left="1300" w:hanging="656"/>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225" w:lineRule="exact"/>
        <w:rPr>
          <w:rFonts w:ascii="Arial" w:cs="Arial" w:eastAsia="Arial" w:hAnsi="Arial"/>
          <w:sz w:val="18"/>
          <w:szCs w:val="18"/>
          <w:color w:val="auto"/>
        </w:rPr>
      </w:pPr>
    </w:p>
    <w:p>
      <w:pPr>
        <w:jc w:val="both"/>
        <w:ind w:left="1300" w:hanging="656"/>
        <w:spacing w:after="0" w:line="263"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Investment in Holdings by a Restricted Subsidiary or any Investment by Holdings or a Restricted Subsidiary in a Restricted Subsidiary (including, for the avoidance of doubt, the purchase of Equity Interests of non-wholly owned Restricted Subsidiaries);</w:t>
      </w:r>
    </w:p>
    <w:p>
      <w:pPr>
        <w:spacing w:after="0" w:line="183" w:lineRule="exact"/>
        <w:rPr>
          <w:rFonts w:ascii="Arial" w:cs="Arial" w:eastAsia="Arial" w:hAnsi="Arial"/>
          <w:sz w:val="18"/>
          <w:szCs w:val="18"/>
          <w:color w:val="auto"/>
        </w:rPr>
      </w:pPr>
    </w:p>
    <w:p>
      <w:pPr>
        <w:ind w:left="1300" w:hanging="656"/>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Investment in cash and Cash Equivalents;</w:t>
      </w:r>
    </w:p>
    <w:p>
      <w:pPr>
        <w:spacing w:after="0" w:line="225" w:lineRule="exact"/>
        <w:rPr>
          <w:rFonts w:ascii="Arial" w:cs="Arial" w:eastAsia="Arial" w:hAnsi="Arial"/>
          <w:sz w:val="18"/>
          <w:szCs w:val="18"/>
          <w:color w:val="auto"/>
        </w:rPr>
      </w:pPr>
    </w:p>
    <w:p>
      <w:pPr>
        <w:jc w:val="both"/>
        <w:ind w:left="1300" w:hanging="656"/>
        <w:spacing w:after="0" w:line="263"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Investment by Holdings or any Restricted Subsidiary in a Person, if as a result of such Investment: (a) such Person becomes a Restricted Subsidiary; or (b) such Person is merged, consolidated or amalgamated with or into, or transfers or conveys substantially all of its assets to, or is liquidated into, Holdings or a Restricted Subsidiary;</w:t>
      </w:r>
    </w:p>
    <w:p>
      <w:pPr>
        <w:spacing w:after="0" w:line="183"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an Asset Sale that was made pursuant to and in compliance with Section 6.03 or (ii) a Disposition of assets not constituting an Asset Sale;</w:t>
      </w:r>
    </w:p>
    <w:p>
      <w:pPr>
        <w:spacing w:after="0" w:line="170" w:lineRule="exact"/>
        <w:rPr>
          <w:rFonts w:ascii="Arial" w:cs="Arial" w:eastAsia="Arial" w:hAnsi="Arial"/>
          <w:sz w:val="18"/>
          <w:szCs w:val="18"/>
          <w:color w:val="auto"/>
        </w:rPr>
      </w:pPr>
    </w:p>
    <w:p>
      <w:pPr>
        <w:ind w:left="1300" w:hanging="656"/>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Investments to the extent made in exchange for the issuance of Equity Interests (other than Disqualified Equity Interests) of Holdings or any of its direct or indirect parent companies;</w:t>
      </w:r>
    </w:p>
    <w:p>
      <w:pPr>
        <w:spacing w:after="0" w:line="170" w:lineRule="exact"/>
        <w:rPr>
          <w:rFonts w:ascii="Arial" w:cs="Arial" w:eastAsia="Arial" w:hAnsi="Arial"/>
          <w:sz w:val="18"/>
          <w:szCs w:val="18"/>
          <w:color w:val="auto"/>
        </w:rPr>
      </w:pPr>
    </w:p>
    <w:p>
      <w:pPr>
        <w:jc w:val="both"/>
        <w:ind w:left="1300" w:hanging="656"/>
        <w:spacing w:after="0" w:line="259"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Investments received in settlement, satisfaction, compromise or resolution of (A) obligations of trade creditors or customers or other debts that were incurred in the ordinary course of business of Holdings or any of its Restricted Subsidiaries, including pursuant to any plan of reorganization or similar arrangement upon the bankruptcy or insolvency of any trade creditor or customer; or (B) judgments, litigation, arbitration or other disputes;</w:t>
      </w:r>
    </w:p>
    <w:p>
      <w:pPr>
        <w:spacing w:after="0" w:line="186" w:lineRule="exact"/>
        <w:rPr>
          <w:rFonts w:ascii="Arial" w:cs="Arial" w:eastAsia="Arial" w:hAnsi="Arial"/>
          <w:sz w:val="18"/>
          <w:szCs w:val="18"/>
          <w:color w:val="auto"/>
        </w:rPr>
      </w:pPr>
    </w:p>
    <w:p>
      <w:pPr>
        <w:ind w:left="1300" w:hanging="656"/>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represented by Swap Obligations, Permitted Hedging Obligations and Permitted Equity Derivatives;</w:t>
      </w:r>
    </w:p>
    <w:p>
      <w:pPr>
        <w:spacing w:after="0" w:line="225" w:lineRule="exact"/>
        <w:rPr>
          <w:rFonts w:ascii="Arial" w:cs="Arial" w:eastAsia="Arial" w:hAnsi="Arial"/>
          <w:sz w:val="18"/>
          <w:szCs w:val="18"/>
          <w:color w:val="auto"/>
        </w:rPr>
      </w:pPr>
    </w:p>
    <w:p>
      <w:pPr>
        <w:jc w:val="both"/>
        <w:ind w:left="1300" w:hanging="656"/>
        <w:spacing w:after="0" w:line="272"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loans and advances to, or guarantees of Indebtedness of officers, directors, employees, consultants and members of management not in excess of $25,000,000 outstanding at any one time, in the aggregate and (b) other loans and advances to employees, directors, officers, members of management and consultants for business-related travel expenses, moving expenses and other similar expenses or payroll advances, in each case incurred in the ordinary course of business or consistent with past practices or to future, present and former employees, directors, officers, members of management and consultants (and their Controlled Affiliates and Immediate Family Members) to fund such Person’s purchase of Equity Interests of Holdings or any direct or indirect parent company thereof;</w:t>
      </w:r>
    </w:p>
    <w:p>
      <w:pPr>
        <w:spacing w:after="0" w:line="177" w:lineRule="exact"/>
        <w:rPr>
          <w:rFonts w:ascii="Arial" w:cs="Arial" w:eastAsia="Arial" w:hAnsi="Arial"/>
          <w:sz w:val="17"/>
          <w:szCs w:val="17"/>
          <w:color w:val="auto"/>
        </w:rPr>
      </w:pPr>
    </w:p>
    <w:p>
      <w:pPr>
        <w:ind w:left="1300" w:hanging="656"/>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00" w:right="20" w:hanging="656"/>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guarantee of Indebtedness permitted to be incurred by Section 6.01 and performance guarantees provided in the ordinary course of business;</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65" w:name="page66"/>
    <w:bookmarkEnd w:id="65"/>
    <w:p>
      <w:pPr>
        <w:jc w:val="both"/>
        <w:ind w:left="840" w:hanging="656"/>
        <w:spacing w:after="0" w:line="255"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any Investment existing on, or made pursuant to binding commitments existing on, the date hereof and any Investment consisting of an extension, modification or renewal of any Investment existing on, or made pursuant to a binding commitment existing on, the date hereof, which, in the case of Investments with a fair market value (as determined by Holdings in good faith) in excess of $5,000,000, is set forth on Schedule 1.01B;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any such Investment may be increased (a) as required by the terms of such Investment as in existence on the date hereof or (b) as otherwise permitted under this Agreement;</w:t>
      </w:r>
    </w:p>
    <w:p>
      <w:pPr>
        <w:spacing w:after="0" w:line="192" w:lineRule="exact"/>
        <w:rPr>
          <w:rFonts w:ascii="Arial" w:cs="Arial" w:eastAsia="Arial" w:hAnsi="Arial"/>
          <w:sz w:val="18"/>
          <w:szCs w:val="18"/>
          <w:color w:val="auto"/>
        </w:rPr>
      </w:pPr>
    </w:p>
    <w:p>
      <w:pPr>
        <w:jc w:val="both"/>
        <w:ind w:left="840" w:hanging="656"/>
        <w:spacing w:after="0" w:line="275" w:lineRule="auto"/>
        <w:tabs>
          <w:tab w:leader="none" w:pos="8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Investments of any Person in existence at the time such Person becomes a Restricted Subsidiary, or is merged, consolidated or amalgamated with or into, or transfers or conveys substantially all of its assets to, or is liquidated into, Holdings or a Restricted Subsidiary; provided such Investment was not made in connection with or in anticipation of such Person becoming a Restricted Subsidiary and, to the extent in an amount not greater than such Investment as existing on the date such Person became a Restricted Subsidiary, any modification, replacement, renewal or extension thereof;</w:t>
      </w:r>
    </w:p>
    <w:p>
      <w:pPr>
        <w:spacing w:after="0" w:line="176" w:lineRule="exact"/>
        <w:rPr>
          <w:rFonts w:ascii="Arial" w:cs="Arial" w:eastAsia="Arial" w:hAnsi="Arial"/>
          <w:sz w:val="17"/>
          <w:szCs w:val="17"/>
          <w:color w:val="auto"/>
        </w:rPr>
      </w:pPr>
    </w:p>
    <w:p>
      <w:pPr>
        <w:ind w:left="840" w:hanging="656"/>
        <w:spacing w:after="0" w:line="277"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70" w:lineRule="exact"/>
        <w:rPr>
          <w:rFonts w:ascii="Arial" w:cs="Arial" w:eastAsia="Arial" w:hAnsi="Arial"/>
          <w:sz w:val="18"/>
          <w:szCs w:val="18"/>
          <w:color w:val="auto"/>
        </w:rPr>
      </w:pPr>
    </w:p>
    <w:p>
      <w:pPr>
        <w:jc w:val="both"/>
        <w:ind w:left="840" w:hanging="656"/>
        <w:spacing w:after="0" w:line="286" w:lineRule="auto"/>
        <w:tabs>
          <w:tab w:leader="none" w:pos="8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receivables owing to Holdings or any Restricted Subsidiary if created or acquired in the ordinary course of business and payable or dischargeable in accordance with customary trade terms;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trade terms may include such concessionary trade terms as Holdings or any such Restricted Subsidiary deems reasonable under the circumstances;</w:t>
      </w:r>
    </w:p>
    <w:p>
      <w:pPr>
        <w:spacing w:after="0" w:line="165" w:lineRule="exact"/>
        <w:rPr>
          <w:rFonts w:ascii="Arial" w:cs="Arial" w:eastAsia="Arial" w:hAnsi="Arial"/>
          <w:sz w:val="17"/>
          <w:szCs w:val="17"/>
          <w:color w:val="auto"/>
        </w:rPr>
      </w:pPr>
    </w:p>
    <w:p>
      <w:pPr>
        <w:jc w:val="both"/>
        <w:ind w:left="840" w:hanging="656"/>
        <w:spacing w:after="0" w:line="263"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advances, loans or extensions of trade or other credit (including to officers, directors, consultants and employees of Holdings, its Subsidiaries or its direct and indirect parent companies) in the ordinary course of business by Holdings or any of its Restricted Subsidiaries;</w:t>
      </w:r>
    </w:p>
    <w:p>
      <w:pPr>
        <w:spacing w:after="0" w:line="183" w:lineRule="exact"/>
        <w:rPr>
          <w:rFonts w:ascii="Arial" w:cs="Arial" w:eastAsia="Arial" w:hAnsi="Arial"/>
          <w:sz w:val="18"/>
          <w:szCs w:val="18"/>
          <w:color w:val="auto"/>
        </w:rPr>
      </w:pPr>
    </w:p>
    <w:p>
      <w:pPr>
        <w:ind w:left="840" w:hanging="656"/>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lease, utility and similar deposits in the ordinary course of business and other deposits constituting Permitted Liens;</w:t>
      </w:r>
    </w:p>
    <w:p>
      <w:pPr>
        <w:spacing w:after="0" w:line="225" w:lineRule="exact"/>
        <w:rPr>
          <w:rFonts w:ascii="Arial" w:cs="Arial" w:eastAsia="Arial" w:hAnsi="Arial"/>
          <w:sz w:val="18"/>
          <w:szCs w:val="18"/>
          <w:color w:val="auto"/>
        </w:rPr>
      </w:pPr>
    </w:p>
    <w:p>
      <w:pPr>
        <w:ind w:left="840" w:hanging="656"/>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w:t>
      </w:r>
    </w:p>
    <w:p>
      <w:pPr>
        <w:spacing w:after="0" w:line="225" w:lineRule="exact"/>
        <w:rPr>
          <w:rFonts w:ascii="Arial" w:cs="Arial" w:eastAsia="Arial" w:hAnsi="Arial"/>
          <w:sz w:val="18"/>
          <w:szCs w:val="18"/>
          <w:color w:val="auto"/>
        </w:rPr>
      </w:pPr>
    </w:p>
    <w:p>
      <w:pPr>
        <w:ind w:left="840" w:right="20" w:hanging="656"/>
        <w:spacing w:after="0" w:line="342" w:lineRule="auto"/>
        <w:tabs>
          <w:tab w:leader="none" w:pos="8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Investments among Holdings and its Subsidiaries in the ordinary course of business for purposes of funding the working capital and maintenance capital expenditure requirements and research and development activities of Holdings and its Subsidiaries;</w:t>
      </w:r>
    </w:p>
    <w:p>
      <w:pPr>
        <w:spacing w:after="0" w:line="123" w:lineRule="exact"/>
        <w:rPr>
          <w:rFonts w:ascii="Arial" w:cs="Arial" w:eastAsia="Arial" w:hAnsi="Arial"/>
          <w:sz w:val="16"/>
          <w:szCs w:val="16"/>
          <w:color w:val="auto"/>
        </w:rPr>
      </w:pPr>
    </w:p>
    <w:p>
      <w:pPr>
        <w:ind w:left="840" w:hanging="656"/>
        <w:spacing w:after="0" w:line="277"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materials and equipment or purchases of contract rights or licenses or leases of intellectual property, in each case in the ordinary course of business;</w:t>
      </w:r>
    </w:p>
    <w:p>
      <w:pPr>
        <w:spacing w:after="0" w:line="170" w:lineRule="exact"/>
        <w:rPr>
          <w:rFonts w:ascii="Arial" w:cs="Arial" w:eastAsia="Arial" w:hAnsi="Arial"/>
          <w:sz w:val="18"/>
          <w:szCs w:val="18"/>
          <w:color w:val="auto"/>
        </w:rPr>
      </w:pPr>
    </w:p>
    <w:p>
      <w:pPr>
        <w:ind w:left="840" w:right="20" w:hanging="656"/>
        <w:spacing w:after="0" w:line="277"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customary upfront, milestone, marketing or other funding payment in the ordinary course of business to another Person in connection with obtaining a right to receive royalty or other payments in the future;</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66" w:name="page67"/>
    <w:bookmarkEnd w:id="66"/>
    <w:p>
      <w:pPr>
        <w:jc w:val="both"/>
        <w:ind w:left="840" w:hanging="656"/>
        <w:spacing w:after="0" w:line="271" w:lineRule="auto"/>
        <w:tabs>
          <w:tab w:leader="none" w:pos="8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Investments in any joint ventures in an amount outstanding at any one time not to exceed the greater of $175,000,000 and 15% of Consolidated EBITDA for the Test Period most recently ended on or prior to the date of such determination (with the fair market value as determined in good faith by Holdings of each Investment (other than any Investment consisting of a guarantee) being measured at the time made and without giving effect to subsequent changes in value);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Investment pursuant to this clause (22)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(22) for so long as such Person continues to be a Restricted Subsidiary;</w:t>
      </w:r>
    </w:p>
    <w:p>
      <w:pPr>
        <w:spacing w:after="0" w:line="178" w:lineRule="exact"/>
        <w:rPr>
          <w:rFonts w:ascii="Arial" w:cs="Arial" w:eastAsia="Arial" w:hAnsi="Arial"/>
          <w:sz w:val="17"/>
          <w:szCs w:val="17"/>
          <w:color w:val="auto"/>
        </w:rPr>
      </w:pPr>
    </w:p>
    <w:p>
      <w:pPr>
        <w:jc w:val="both"/>
        <w:ind w:left="840" w:hanging="656"/>
        <w:spacing w:after="0" w:line="272" w:lineRule="auto"/>
        <w:tabs>
          <w:tab w:leader="none" w:pos="8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Investments in a Permitted Business in an aggregate amount, taken together with all other Investments made pursuant to this clause (23) that are at that time outstanding, not to exceed the greater of $290,000,000 and 25% of Consolidated EBITDA for the Test Period most recently ended on or prior to the date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Investment pursuant to this clause (23)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(23) for so long as such Person continues to be a Restricted Subsidiary;</w:t>
      </w:r>
    </w:p>
    <w:p>
      <w:pPr>
        <w:spacing w:after="0" w:line="177" w:lineRule="exact"/>
        <w:rPr>
          <w:rFonts w:ascii="Arial" w:cs="Arial" w:eastAsia="Arial" w:hAnsi="Arial"/>
          <w:sz w:val="17"/>
          <w:szCs w:val="17"/>
          <w:color w:val="auto"/>
        </w:rPr>
      </w:pPr>
    </w:p>
    <w:p>
      <w:pPr>
        <w:jc w:val="both"/>
        <w:ind w:left="840" w:hanging="656"/>
        <w:spacing w:after="0" w:line="263"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Investments consisting of co-development agreements or consisting of the licensing or contribution of intellectual property, new drug applications or similar assets pursuant to development, marketing or manufacturing agreements, alliances or arrangements or similar agreements or arrangements with other Persons;</w:t>
      </w:r>
    </w:p>
    <w:p>
      <w:pPr>
        <w:spacing w:after="0" w:line="183" w:lineRule="exact"/>
        <w:rPr>
          <w:rFonts w:ascii="Arial" w:cs="Arial" w:eastAsia="Arial" w:hAnsi="Arial"/>
          <w:sz w:val="18"/>
          <w:szCs w:val="18"/>
          <w:color w:val="auto"/>
        </w:rPr>
      </w:pPr>
    </w:p>
    <w:p>
      <w:pPr>
        <w:jc w:val="both"/>
        <w:ind w:left="840" w:hanging="656"/>
        <w:spacing w:after="0" w:line="271" w:lineRule="auto"/>
        <w:tabs>
          <w:tab w:leader="none" w:pos="8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other Investments in any Person having an aggregate fair market value (measured on the date each such Investment was made and without giving effect to subsequent changes in value), when taken together with all other Investments made pursuant to this clause (25) that are at the time outstanding, not to exceed the greater of $290,000,000 and 25% of Consolidated EBITDA for the Test Period most recently ended on or prior to the date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Investment pursuant to this clause (25)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(25) for so long as such Person continues to be a Restricted Subsidiary;</w:t>
      </w:r>
    </w:p>
    <w:p>
      <w:pPr>
        <w:spacing w:after="0" w:line="178" w:lineRule="exact"/>
        <w:rPr>
          <w:rFonts w:ascii="Arial" w:cs="Arial" w:eastAsia="Arial" w:hAnsi="Arial"/>
          <w:sz w:val="17"/>
          <w:szCs w:val="17"/>
          <w:color w:val="auto"/>
        </w:rPr>
      </w:pPr>
    </w:p>
    <w:p>
      <w:pPr>
        <w:ind w:left="840" w:hanging="656"/>
        <w:spacing w:after="0" w:line="308" w:lineRule="auto"/>
        <w:tabs>
          <w:tab w:leader="none" w:pos="8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Investments in or relating to a Securitization Subsidiary that, in the good faith determination of Holdings, are necessary or advisable to effect or maintain any Qualified Securitization Financing or any repurchase obligation in connection therewith;</w:t>
      </w:r>
    </w:p>
    <w:p>
      <w:pPr>
        <w:spacing w:after="0" w:line="146" w:lineRule="exact"/>
        <w:rPr>
          <w:rFonts w:ascii="Arial" w:cs="Arial" w:eastAsia="Arial" w:hAnsi="Arial"/>
          <w:sz w:val="17"/>
          <w:szCs w:val="17"/>
          <w:color w:val="auto"/>
        </w:rPr>
      </w:pPr>
    </w:p>
    <w:p>
      <w:pPr>
        <w:ind w:left="840" w:hanging="656"/>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Investments in IGPHS to fund its cash management and working capital requirements;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67" w:name="page68"/>
    <w:bookmarkEnd w:id="67"/>
    <w:p>
      <w:pPr>
        <w:jc w:val="both"/>
        <w:ind w:left="1960" w:hanging="656"/>
        <w:spacing w:after="0" w:line="257" w:lineRule="auto"/>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(x) Investments in Drug Development Funds, (y) Investments in Oncacare Limited to fund its cash management and working capital requirements and (z) loans made to Oncacare Limited pursuant to the shareholders agreement thereof, in an aggregate amount, taken together with all other Investments made pursuant to this clause (28) that are at that time outstanding, not to exceed the greater of $580,000,000 and 50% of Consolidated EBITDA for the Test Period most recently ended on or prior to the date of such determination;</w:t>
      </w:r>
    </w:p>
    <w:p>
      <w:pPr>
        <w:spacing w:after="0" w:line="187" w:lineRule="exact"/>
        <w:rPr>
          <w:rFonts w:ascii="Arial" w:cs="Arial" w:eastAsia="Arial" w:hAnsi="Arial"/>
          <w:sz w:val="18"/>
          <w:szCs w:val="18"/>
          <w:color w:val="auto"/>
        </w:rPr>
      </w:pPr>
    </w:p>
    <w:p>
      <w:pPr>
        <w:ind w:left="1960" w:hanging="656"/>
        <w:spacing w:after="0"/>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assets or services in the ordinary course of business;</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in connection with obtaining, maintaining or renewing client contacts and loans or advances made to distributors in the ordinary course of business;</w:t>
      </w:r>
    </w:p>
    <w:p>
      <w:pPr>
        <w:spacing w:after="0" w:line="170" w:lineRule="exact"/>
        <w:rPr>
          <w:rFonts w:ascii="Arial" w:cs="Arial" w:eastAsia="Arial" w:hAnsi="Arial"/>
          <w:sz w:val="18"/>
          <w:szCs w:val="18"/>
          <w:color w:val="auto"/>
        </w:rPr>
      </w:pPr>
    </w:p>
    <w:p>
      <w:pPr>
        <w:ind w:left="1960" w:right="20" w:hanging="656"/>
        <w:spacing w:after="0" w:line="342" w:lineRule="auto"/>
        <w:tabs>
          <w:tab w:leader="none" w:pos="1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Guarantees by Holdings or any of its Restricted Subsidiaries of leases (other than capitalized leases) or of other obligations that do not constitute Indebtedness, in each case entered into in the ordinary course of business and consistent with past practice;</w:t>
      </w:r>
    </w:p>
    <w:p>
      <w:pPr>
        <w:spacing w:after="0" w:line="123" w:lineRule="exact"/>
        <w:rPr>
          <w:rFonts w:ascii="Arial" w:cs="Arial" w:eastAsia="Arial" w:hAnsi="Arial"/>
          <w:sz w:val="16"/>
          <w:szCs w:val="16"/>
          <w:color w:val="auto"/>
        </w:rPr>
      </w:pPr>
    </w:p>
    <w:p>
      <w:pPr>
        <w:ind w:left="1960" w:hanging="656"/>
        <w:spacing w:after="0" w:line="277" w:lineRule="auto"/>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Investment in any Subsidiary or any joint venture in connection with intercompany cash management arrangements or related activities arising in the ordinary course of business and consistent with past practice;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Investment by Holdings or any of its Restricted Subsidiaries so long as the Total Net Leverage Ratio on a Pro Forma Basis is less than or equal to 4.25:1.00.</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Junior Secured Refinancing Debt</w:t>
      </w:r>
      <w:r>
        <w:rPr>
          <w:rFonts w:ascii="Arial" w:cs="Arial" w:eastAsia="Arial" w:hAnsi="Arial"/>
          <w:sz w:val="16"/>
          <w:szCs w:val="16"/>
          <w:color w:val="auto"/>
        </w:rPr>
        <w:t xml:space="preserve">” means any secured Indebtedness incurred after the Closing Date by any Loan Party (and may in any case be co-borrowed or co-issued by any other Loan Party on a joint and several basis) in the form of one or more series of second-lien secured notes or second-lien secured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secured by all or a portion of the Collateral on a junior-priority basis with the Obligations and is not secured by any property or assets of Holdings or any Subsidiary other than the Collateral, (ii) such Indebtedness constitutes Credit Agreement Refinancing Indebtedness, (iii) such Indebtedness does not mature or have scheduled amortization or scheduled payments of principal prior to the maturity date of the Credit Agreement Refinancing Indebtedness at the time such Indebtedness is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(iii) shall not apply to customary “bridge loan” facilities with a tenor of no longer than one year (provided that such facilities automatically convert or exchange into long-term debt otherwise meeting the requirements of this clause (iii)), (iv) such Indebtedness is not guaranteed by any of Holdings’ Subsidiaries other than the Loan Parties and (v) a Designated Representative acting on behalf of the holders of such Indebtedness shall have become party to or otherwise subject to the provisions of a First-Second Lien Intercreditor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Indebtedness is the initial Permitted Junior Secured Refinancing Debt incurred after the Closing Date, then Holdings, the Borrowers, the Subsidiary Guarantors, the Administrative Agent, the Collateral Agent and the Designated Representative for such Indebtedness shall have executed and delivered a First-Second Lien Intercreditor Agreement. Permitted Junior Secured Refinancing Debt will include any Registered Equivalent Notes issued in exchange therefor.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300" w:hanging="656"/>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to secure the Secured Obligations (including any Incremental Loans);</w:t>
      </w:r>
    </w:p>
    <w:p>
      <w:pPr>
        <w:spacing w:after="0" w:line="225" w:lineRule="exact"/>
        <w:rPr>
          <w:rFonts w:ascii="Arial" w:cs="Arial" w:eastAsia="Arial" w:hAnsi="Arial"/>
          <w:sz w:val="18"/>
          <w:szCs w:val="18"/>
          <w:color w:val="auto"/>
        </w:rPr>
      </w:pPr>
    </w:p>
    <w:p>
      <w:pPr>
        <w:jc w:val="both"/>
        <w:ind w:firstLine="644"/>
        <w:spacing w:after="0" w:line="263" w:lineRule="auto"/>
        <w:tabs>
          <w:tab w:leader="none" w:pos="13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on assets of Foreign Subsidiaries or non-Guarantor Subsidiaries securing Indebtedness (and other related obligations) of such Foreign Subsidiary or non-Guarantor Subsidiary that was incurred pursuant to Section 6.01(b)(xi) and Liens securing Indebtedness (and other related obligations) incurred pursuant to Section 6.01(b)(xvi);</w:t>
      </w:r>
    </w:p>
    <w:p>
      <w:pPr>
        <w:spacing w:after="0" w:line="183" w:lineRule="exact"/>
        <w:rPr>
          <w:rFonts w:ascii="Arial" w:cs="Arial" w:eastAsia="Arial" w:hAnsi="Arial"/>
          <w:sz w:val="18"/>
          <w:szCs w:val="18"/>
          <w:color w:val="auto"/>
        </w:rPr>
      </w:pPr>
    </w:p>
    <w:p>
      <w:pPr>
        <w:ind w:left="1300" w:hanging="656"/>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in favor of Holdings or any Restricted Subsidiary;</w:t>
      </w:r>
    </w:p>
    <w:p>
      <w:pPr>
        <w:spacing w:after="0" w:line="225" w:lineRule="exact"/>
        <w:rPr>
          <w:rFonts w:ascii="Arial" w:cs="Arial" w:eastAsia="Arial" w:hAnsi="Arial"/>
          <w:sz w:val="18"/>
          <w:szCs w:val="18"/>
          <w:color w:val="auto"/>
        </w:rPr>
      </w:pPr>
    </w:p>
    <w:p>
      <w:pPr>
        <w:jc w:val="both"/>
        <w:ind w:firstLine="644"/>
        <w:spacing w:after="0" w:line="275" w:lineRule="auto"/>
        <w:tabs>
          <w:tab w:leader="none" w:pos="1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Liens on property or Equity Interests of another Person existing at the time such other Person becomes a Subsidiary of Holdings or is merged with or into or consolidated with Holdings or any Subsidiary of Holdings;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such Liens (a) are not incurred in contemplation thereof and (b) do not extend to any other property owned by Holdings or any of its Restricted Subsidiaries (other than after acquired property of such Person (to the extent required to become subject to such Liens under the terms of the applicable agreements as in effect at the time such Person becomes a Subsidiary of Holdings) and assets and property affixed or appurtenant thereto);</w:t>
      </w:r>
    </w:p>
    <w:p>
      <w:pPr>
        <w:spacing w:after="0" w:line="176" w:lineRule="exact"/>
        <w:rPr>
          <w:rFonts w:ascii="Arial" w:cs="Arial" w:eastAsia="Arial" w:hAnsi="Arial"/>
          <w:sz w:val="17"/>
          <w:szCs w:val="17"/>
          <w:color w:val="auto"/>
        </w:rPr>
      </w:pPr>
    </w:p>
    <w:p>
      <w:pPr>
        <w:ind w:firstLine="644"/>
        <w:spacing w:after="0" w:line="342" w:lineRule="auto"/>
        <w:tabs>
          <w:tab w:leader="none" w:pos="1357"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Liens on property (including Equity Interests) existing at the time of acquisition of the property by Holdings or any Subsidiary of Holdings;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such Liens were in existence prior to such acquisition and not incurred in contemplation of, such acquisition;</w:t>
      </w:r>
    </w:p>
    <w:p>
      <w:pPr>
        <w:spacing w:after="0" w:line="123" w:lineRule="exact"/>
        <w:rPr>
          <w:rFonts w:ascii="Arial" w:cs="Arial" w:eastAsia="Arial" w:hAnsi="Arial"/>
          <w:sz w:val="16"/>
          <w:szCs w:val="16"/>
          <w:color w:val="auto"/>
        </w:rPr>
      </w:pPr>
    </w:p>
    <w:p>
      <w:pPr>
        <w:ind w:firstLine="644"/>
        <w:spacing w:after="0" w:line="308" w:lineRule="auto"/>
        <w:tabs>
          <w:tab w:leader="none" w:pos="143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Lien on any property or asset of Holdings or any Restricted Subsidiary existing on the date hereof which, in the case of Liens securing Indebtedness with an outstanding principal amount in excess of $5,000,000, shall be set forth on Schedule 1.01C;</w:t>
      </w:r>
    </w:p>
    <w:p>
      <w:pPr>
        <w:spacing w:after="0" w:line="146" w:lineRule="exact"/>
        <w:rPr>
          <w:rFonts w:ascii="Arial" w:cs="Arial" w:eastAsia="Arial" w:hAnsi="Arial"/>
          <w:sz w:val="17"/>
          <w:szCs w:val="17"/>
          <w:color w:val="auto"/>
        </w:rPr>
      </w:pPr>
    </w:p>
    <w:p>
      <w:pPr>
        <w:jc w:val="both"/>
        <w:ind w:firstLine="644"/>
        <w:spacing w:after="0" w:line="301" w:lineRule="auto"/>
        <w:tabs>
          <w:tab w:leader="none" w:pos="1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Liens granted in replacement of or substitute for, or to secure any refinancing (or successive refinancings), as a whole or in part, of any Indebtedness or other obligation secured by, a Lien referred to in clause (4), (5), (6), (11), (33), (37) or (38) 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new Lien is limited to all or part of the same property and assets that secured or, under the written agreements pursuant to which the original Lien arose, could secure the refinanced Indebtedness (plus improvements and accessions to, such property or proceeds or distributions thereof);</w:t>
      </w:r>
    </w:p>
    <w:p>
      <w:pPr>
        <w:spacing w:after="0" w:line="157" w:lineRule="exact"/>
        <w:rPr>
          <w:rFonts w:ascii="Arial" w:cs="Arial" w:eastAsia="Arial" w:hAnsi="Arial"/>
          <w:sz w:val="16"/>
          <w:szCs w:val="16"/>
          <w:color w:val="auto"/>
        </w:rPr>
      </w:pPr>
    </w:p>
    <w:p>
      <w:pPr>
        <w:ind w:left="1300" w:hanging="656"/>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on the Equity Interests of Unrestricted Subsidiaries;</w:t>
      </w:r>
    </w:p>
    <w:p>
      <w:pPr>
        <w:spacing w:after="0" w:line="225" w:lineRule="exact"/>
        <w:rPr>
          <w:rFonts w:ascii="Arial" w:cs="Arial" w:eastAsia="Arial" w:hAnsi="Arial"/>
          <w:sz w:val="18"/>
          <w:szCs w:val="18"/>
          <w:color w:val="auto"/>
        </w:rPr>
      </w:pPr>
    </w:p>
    <w:p>
      <w:pPr>
        <w:jc w:val="both"/>
        <w:ind w:firstLine="644"/>
        <w:spacing w:after="0" w:line="272" w:lineRule="auto"/>
        <w:tabs>
          <w:tab w:leader="none" w:pos="1541" w:val="left"/>
        </w:tabs>
        <w:numPr>
          <w:ilvl w:val="0"/>
          <w:numId w:val="50"/>
        </w:numPr>
        <w:rPr>
          <w:rFonts w:ascii="Arial" w:cs="Arial" w:eastAsia="Arial" w:hAnsi="Arial"/>
          <w:sz w:val="17"/>
          <w:szCs w:val="17"/>
          <w:color w:val="auto"/>
        </w:rPr>
      </w:pPr>
      <w:r>
        <w:rPr>
          <w:rFonts w:ascii="Arial" w:cs="Arial" w:eastAsia="Arial" w:hAnsi="Arial"/>
          <w:sz w:val="17"/>
          <w:szCs w:val="17"/>
          <w:color w:val="auto"/>
        </w:rPr>
        <w:t>Liens (a) to secure the performance of, or arising in connection with, public or statutory obligations (including worker’s compensation laws, unemployment insurance laws or similar legislation), insurance, surety or appeal bonds, performance bonds or other obligations of a like nature, good faith deposits in connection with bids, tenders, contracts (other than for the payment of Indebtedness) or leases, deposits as security for contested taxes or import duties or for the payment of rent, in each case incurred in the ordinary course of business (including Liens to secure letters of credit issued to assure payment or performance of such obligations), (b) in respect of letters of credit, bank guarantees or similar instruments issued for the account of Holdings or any Subsidiary supporting obligations of the type set forth in clause (a) above and (c) Liens on cash and Cash Equivalents securing letters of credit issued in the ordinary course of business;</w:t>
      </w:r>
    </w:p>
    <w:p>
      <w:pPr>
        <w:spacing w:after="0" w:line="177" w:lineRule="exact"/>
        <w:rPr>
          <w:rFonts w:ascii="Arial" w:cs="Arial" w:eastAsia="Arial" w:hAnsi="Arial"/>
          <w:sz w:val="17"/>
          <w:szCs w:val="17"/>
          <w:color w:val="auto"/>
        </w:rPr>
      </w:pPr>
    </w:p>
    <w:p>
      <w:pPr>
        <w:ind w:left="1300" w:hanging="656"/>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on securities that are the subject of repurchase agreements permitted hereunder;</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69" w:name="page70"/>
    <w:bookmarkEnd w:id="69"/>
    <w:p>
      <w:pPr>
        <w:ind w:firstLine="644"/>
        <w:spacing w:after="0" w:line="277" w:lineRule="auto"/>
        <w:tabs>
          <w:tab w:leader="none" w:pos="13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to secure Indebtedness (and related obligations) permitted by Section 6.01(b)(x) covering only the assets acquired with, improved, constructed, leased or financed by such Indebtedness and the proceeds thereof;</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4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claims that are (i) not yet delinquent or (ii) being contested in good faith by appropriate proceedings and with respect to which adequate reserves have been established in accordance with, and to the extent required by, applicable accounting standards;</w:t>
      </w:r>
    </w:p>
    <w:p>
      <w:pPr>
        <w:spacing w:after="0" w:line="183" w:lineRule="exact"/>
        <w:rPr>
          <w:rFonts w:ascii="Arial" w:cs="Arial" w:eastAsia="Arial" w:hAnsi="Arial"/>
          <w:sz w:val="18"/>
          <w:szCs w:val="18"/>
          <w:color w:val="auto"/>
        </w:rPr>
      </w:pPr>
    </w:p>
    <w:p>
      <w:pPr>
        <w:ind w:firstLine="644"/>
        <w:spacing w:after="0" w:line="277" w:lineRule="auto"/>
        <w:tabs>
          <w:tab w:leader="none" w:pos="13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and mechanics’ Liens, in each case, either (i) incurred in the ordinary course of business or (ii) for sums not yet due or being contested in good faith by appropriate proceedings;</w:t>
      </w:r>
    </w:p>
    <w:p>
      <w:pPr>
        <w:spacing w:after="0" w:line="170" w:lineRule="exact"/>
        <w:rPr>
          <w:rFonts w:ascii="Arial" w:cs="Arial" w:eastAsia="Arial" w:hAnsi="Arial"/>
          <w:sz w:val="18"/>
          <w:szCs w:val="18"/>
          <w:color w:val="auto"/>
        </w:rPr>
      </w:pPr>
    </w:p>
    <w:p>
      <w:pPr>
        <w:jc w:val="both"/>
        <w:ind w:firstLine="644"/>
        <w:spacing w:after="0" w:line="257" w:lineRule="auto"/>
        <w:tabs>
          <w:tab w:leader="none" w:pos="13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their properties which were not incurred in connection with Indebtedness and that do not in the aggregate materially adversely affect the value of said properties or materially impair their use in the operation of the business of such Person;</w:t>
      </w:r>
    </w:p>
    <w:p>
      <w:pPr>
        <w:spacing w:after="0" w:line="187" w:lineRule="exact"/>
        <w:rPr>
          <w:rFonts w:ascii="Arial" w:cs="Arial" w:eastAsia="Arial" w:hAnsi="Arial"/>
          <w:sz w:val="18"/>
          <w:szCs w:val="18"/>
          <w:color w:val="auto"/>
        </w:rPr>
      </w:pPr>
    </w:p>
    <w:p>
      <w:pPr>
        <w:jc w:val="both"/>
        <w:ind w:firstLine="644"/>
        <w:spacing w:after="0" w:line="286" w:lineRule="auto"/>
        <w:tabs>
          <w:tab w:leader="none" w:pos="1356"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Liens to secure any Ratio Debt, Alternative Incremental Facility Indebtedness, Permitted Pari Passu Secured Refinancing Debt and any Permitted Junior Secured Refinancing Debt and any Permitted Refinancing Indebtedness in respect thereof, in each case contemplated to be secured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(15) shall be subject to the applicable Intercreditor Agreement;</w:t>
      </w:r>
    </w:p>
    <w:p>
      <w:pPr>
        <w:spacing w:after="0" w:line="165" w:lineRule="exact"/>
        <w:rPr>
          <w:rFonts w:ascii="Arial" w:cs="Arial" w:eastAsia="Arial" w:hAnsi="Arial"/>
          <w:sz w:val="17"/>
          <w:szCs w:val="17"/>
          <w:color w:val="auto"/>
        </w:rPr>
      </w:pPr>
    </w:p>
    <w:p>
      <w:pPr>
        <w:ind w:firstLine="644"/>
        <w:spacing w:after="0" w:line="277" w:lineRule="auto"/>
        <w:tabs>
          <w:tab w:leader="none" w:pos="1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insurance policies, premiums and proceeds thereof, or other deposits, to secure insurance premium financings and other liabilities to insurance carriers;</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4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securing or arising out of judgments, decrees, orders, awards or notices of lis pendens and associated rights related to litigation with respect to which Holdings or any Subsidiary shall then be proceeding with an appeal or other proceedings for review, or in respect of which the period within which such appeal or proceedings may be initiated shall not have expired;</w:t>
      </w:r>
    </w:p>
    <w:p>
      <w:pPr>
        <w:spacing w:after="0" w:line="183" w:lineRule="exact"/>
        <w:rPr>
          <w:rFonts w:ascii="Arial" w:cs="Arial" w:eastAsia="Arial" w:hAnsi="Arial"/>
          <w:sz w:val="18"/>
          <w:szCs w:val="18"/>
          <w:color w:val="auto"/>
        </w:rPr>
      </w:pPr>
    </w:p>
    <w:p>
      <w:pPr>
        <w:jc w:val="both"/>
        <w:ind w:firstLine="644"/>
        <w:spacing w:after="0" w:line="263" w:lineRule="auto"/>
        <w:tabs>
          <w:tab w:leader="none" w:pos="13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arising by virtue of any statutory or common law provisions relating to banker’s liens and rights of set-off or similar rights and remedies as to deposit accounts or other funds maintained with a depository or financial institution or as to purchase orders and other agreements entered into with customers in the ordinary course of business;</w:t>
      </w:r>
    </w:p>
    <w:p>
      <w:pPr>
        <w:spacing w:after="0" w:line="183" w:lineRule="exact"/>
        <w:rPr>
          <w:rFonts w:ascii="Arial" w:cs="Arial" w:eastAsia="Arial" w:hAnsi="Arial"/>
          <w:sz w:val="18"/>
          <w:szCs w:val="18"/>
          <w:color w:val="auto"/>
        </w:rPr>
      </w:pPr>
    </w:p>
    <w:p>
      <w:pPr>
        <w:ind w:left="1500" w:hanging="856"/>
        <w:spacing w:after="0"/>
        <w:tabs>
          <w:tab w:leader="none" w:pos="1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Liens on cash, Cash Equivalents or other property arising in connection with the defeasance, discharge or redemption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210" w:lineRule="exact"/>
        <w:rPr>
          <w:rFonts w:ascii="Arial" w:cs="Arial" w:eastAsia="Arial" w:hAnsi="Arial"/>
          <w:sz w:val="17"/>
          <w:szCs w:val="17"/>
          <w:color w:val="auto"/>
        </w:rPr>
      </w:pPr>
    </w:p>
    <w:p>
      <w:pPr>
        <w:jc w:val="both"/>
        <w:ind w:firstLine="644"/>
        <w:spacing w:after="0" w:line="263" w:lineRule="auto"/>
        <w:tabs>
          <w:tab w:leader="none" w:pos="13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the proceeds thereof) of Holdings or any Restricted Subsidiary securing such Person’s obligations in respect of bankers’ acceptances issued or created for the account of such Person to facilitate the purchase, shipment or storage of such inventory or other goods;</w:t>
      </w:r>
    </w:p>
    <w:p>
      <w:pPr>
        <w:spacing w:after="0" w:line="183" w:lineRule="exact"/>
        <w:rPr>
          <w:rFonts w:ascii="Arial" w:cs="Arial" w:eastAsia="Arial" w:hAnsi="Arial"/>
          <w:sz w:val="18"/>
          <w:szCs w:val="18"/>
          <w:color w:val="auto"/>
        </w:rPr>
      </w:pPr>
    </w:p>
    <w:p>
      <w:pPr>
        <w:ind w:right="20" w:firstLine="644"/>
        <w:spacing w:after="0" w:line="277" w:lineRule="auto"/>
        <w:tabs>
          <w:tab w:leader="none" w:pos="13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in the ordinary course of business;</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70" w:name="page71"/>
    <w:bookmarkEnd w:id="70"/>
    <w:p>
      <w:pPr>
        <w:ind w:left="-460" w:firstLine="644"/>
        <w:spacing w:after="0" w:line="277" w:lineRule="auto"/>
        <w:tabs>
          <w:tab w:leader="none" w:pos="9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securing obligations in an aggregate amount not to exceed $50,000,000 in respect of obligations under or in respect of Swap Agreements (including Permitted Hedging Obligations);</w:t>
      </w:r>
    </w:p>
    <w:p>
      <w:pPr>
        <w:spacing w:after="0" w:line="170" w:lineRule="exact"/>
        <w:rPr>
          <w:rFonts w:ascii="Arial" w:cs="Arial" w:eastAsia="Arial" w:hAnsi="Arial"/>
          <w:sz w:val="18"/>
          <w:szCs w:val="18"/>
          <w:color w:val="auto"/>
        </w:rPr>
      </w:pPr>
    </w:p>
    <w:p>
      <w:pPr>
        <w:ind w:left="-460" w:firstLine="644"/>
        <w:spacing w:after="0" w:line="277" w:lineRule="auto"/>
        <w:tabs>
          <w:tab w:leader="none" w:pos="896"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460" w:firstLine="644"/>
        <w:spacing w:after="0" w:line="277" w:lineRule="auto"/>
        <w:tabs>
          <w:tab w:leader="none" w:pos="10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on equipment or inventory of Holdings or any Restricted Subsidiary granted in the ordinary course of business to Holdings’ or such Restricted Subsidiary’s supplier at which such equipment or inventory is located;</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usual and customary Liens incurred to secure ACH Indebtedness, business credit card programs, and netting services, overdrafts and related liabilities arising from treasury, depositary and cash management services and Liens in the nature of the right of setoff in favor of counterparties to contractual agreements with the Loan Parties in the ordinary course of business;</w:t>
      </w:r>
    </w:p>
    <w:p>
      <w:pPr>
        <w:spacing w:after="0" w:line="183" w:lineRule="exact"/>
        <w:rPr>
          <w:rFonts w:ascii="Arial" w:cs="Arial" w:eastAsia="Arial" w:hAnsi="Arial"/>
          <w:sz w:val="18"/>
          <w:szCs w:val="18"/>
          <w:color w:val="auto"/>
        </w:rPr>
      </w:pPr>
    </w:p>
    <w:p>
      <w:pPr>
        <w:ind w:left="-460" w:firstLine="644"/>
        <w:spacing w:after="0" w:line="277" w:lineRule="auto"/>
        <w:tabs>
          <w:tab w:leader="none" w:pos="10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Equity Interests of any joint venture, minority investment or similar arrangement pursuant to any joint venture, shareholders, investor rights or similar agreement;</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(i) consisting of deposits or advances made by Holdings or any of its Restricted Subsidiaries in connection with any letter of intent or purchase agreement in respect of any Permitted Acquisition or Investment permitted under this Agreement or (ii) consisting of an option or agreement to Dispose of any property permitted to be sold pursuant to Section 6.03;</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9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leases, subleases, non-exclusive licenses or non-exclusive sublicenses granted to third parties (a) entered into in the ordinary course of business which do not materially interfere with the conduct of the business of Holdings and its Restricted Subsidiaries and which do not secure any Indebtedness, or (b) that are not otherwise prohibited by Section 6.03;</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8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spacing w:after="0" w:line="183" w:lineRule="exact"/>
        <w:rPr>
          <w:rFonts w:ascii="Arial" w:cs="Arial" w:eastAsia="Arial" w:hAnsi="Arial"/>
          <w:sz w:val="18"/>
          <w:szCs w:val="18"/>
          <w:color w:val="auto"/>
        </w:rPr>
      </w:pPr>
    </w:p>
    <w:p>
      <w:pPr>
        <w:ind w:left="-460" w:firstLine="644"/>
        <w:spacing w:after="0" w:line="342" w:lineRule="auto"/>
        <w:tabs>
          <w:tab w:leader="none" w:pos="8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Holdings or any of its Subsidiaries are located and other Liens affecting the interest of any landlord (and any underlying landlord) of any real property leased by Holdings or any Subsidiary;</w:t>
      </w:r>
    </w:p>
    <w:p>
      <w:pPr>
        <w:spacing w:after="0" w:line="123" w:lineRule="exact"/>
        <w:rPr>
          <w:rFonts w:ascii="Arial" w:cs="Arial" w:eastAsia="Arial" w:hAnsi="Arial"/>
          <w:sz w:val="16"/>
          <w:szCs w:val="16"/>
          <w:color w:val="auto"/>
        </w:rPr>
      </w:pPr>
    </w:p>
    <w:p>
      <w:pPr>
        <w:jc w:val="both"/>
        <w:ind w:left="-460" w:firstLine="644"/>
        <w:spacing w:after="0" w:line="263" w:lineRule="auto"/>
        <w:tabs>
          <w:tab w:leader="none" w:pos="9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interest or title of a lessor or licensor under any lease, sublease, license or sublicense entered into by Holdings or any Restricted Subsidiary (A) existing on the date hereof (but not created in contemplation hereof), (B) entered into in the ordinary course of its business or (C) entered into in connection with a Permitted Acquisition;</w:t>
      </w:r>
    </w:p>
    <w:p>
      <w:pPr>
        <w:spacing w:after="0" w:line="183" w:lineRule="exact"/>
        <w:rPr>
          <w:rFonts w:ascii="Arial" w:cs="Arial" w:eastAsia="Arial" w:hAnsi="Arial"/>
          <w:sz w:val="18"/>
          <w:szCs w:val="18"/>
          <w:color w:val="auto"/>
        </w:rPr>
      </w:pPr>
    </w:p>
    <w:p>
      <w:pPr>
        <w:ind w:left="-460" w:firstLine="644"/>
        <w:spacing w:after="0" w:line="277" w:lineRule="auto"/>
        <w:tabs>
          <w:tab w:leader="none" w:pos="9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to secure contractual payments (contingent or otherwise) payable by Holdings or its Subsidiaries to a seller after the consummation of an acquisition of a product, business, license or other assets;</w:t>
      </w:r>
    </w:p>
    <w:p>
      <w:pPr>
        <w:spacing w:after="0" w:line="170" w:lineRule="exact"/>
        <w:rPr>
          <w:rFonts w:ascii="Arial" w:cs="Arial" w:eastAsia="Arial" w:hAnsi="Arial"/>
          <w:sz w:val="18"/>
          <w:szCs w:val="18"/>
          <w:color w:val="auto"/>
        </w:rPr>
      </w:pPr>
    </w:p>
    <w:p>
      <w:pPr>
        <w:jc w:val="both"/>
        <w:ind w:left="-460" w:firstLine="644"/>
        <w:spacing w:after="0" w:line="273" w:lineRule="auto"/>
        <w:tabs>
          <w:tab w:leader="none" w:pos="8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other Liens securing Indebtedness to the extent such Indebtedness, when taken together with all other Indebtedness secured by Liens incurred pursuant to this clause (33) that are at that time outstanding and the Indebtedness secured by Liens pursuant to clause (7) above with respect to the refinancing indebtedness originally secured by Liens pursuant to this clause (33), does not exceed the greater of $405,000,000 and 35% of Consolidated EBITDA for the Test Period most recently ended on or prior to the date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Liens on the Collateral incurred pursuant to this clause (33) securing Capital Markets Indebtedness shall be junior to the Liens securing the Obligations and subject to the First-Second Lien Intercreditor Agreement.</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71" w:name="page72"/>
    <w:bookmarkEnd w:id="71"/>
    <w:p>
      <w:pPr>
        <w:jc w:val="both"/>
        <w:ind w:left="660" w:firstLine="644"/>
        <w:spacing w:after="0" w:line="263" w:lineRule="auto"/>
        <w:tabs>
          <w:tab w:leader="none" w:pos="19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on any assets held by a trustee (i) under any indenture or other debt instrument where the proceeds thereof of the securities issued thereunder are held in escrow pursuant to customary escrow arrangements pending the release thereof, and (ii) under any indenture pursuant to customary discharge, redemption or defeasance provisions;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0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on Securitization Assets in connection with Qualified Securitization Financing or a Qualified Receivables Factoring or Liens existing by reason of other contractual requirements of a Securitization Subsidiary or any Qualified Securitization Financing or Qualified Receivables Factoring;</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0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on deposits or other amounts held in escrow to secure payments (contingent or otherwise) payable by Holdings or any of its Restricted Subsidiaries with respect to the settlement, satisfaction, compromise or resolution or judgments, litigation, arbitration or other disputes;</w:t>
      </w:r>
    </w:p>
    <w:p>
      <w:pPr>
        <w:spacing w:after="0" w:line="183" w:lineRule="exact"/>
        <w:rPr>
          <w:rFonts w:ascii="Arial" w:cs="Arial" w:eastAsia="Arial" w:hAnsi="Arial"/>
          <w:sz w:val="18"/>
          <w:szCs w:val="18"/>
          <w:color w:val="auto"/>
        </w:rPr>
      </w:pPr>
    </w:p>
    <w:p>
      <w:pPr>
        <w:ind w:left="660" w:firstLine="644"/>
        <w:spacing w:after="0" w:line="277" w:lineRule="auto"/>
        <w:tabs>
          <w:tab w:leader="none" w:pos="20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securing the Obligations under the New Notes Indenture and Permitted Refinancing Indebtedness thereof, subject to a First Lien Intercreditor Agreement;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purchase options, calls and similar rights of, and restrictions for the benefit of, a third party with respect to Equity Interests held by Holdings or any Restricted Subsidiary in joint ventures;</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19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Section 6.01(b)(iv) and Permitted Refinancing Indebtedness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shall be secured solely by Liens existing at the time such Restricted Subsidiary is acquired by Holdings or a Restricted Subsidiary of Holdings and shall not extend to any other property owned by Holdings or any of its other Restricted Subsidiaries (other than after acquired property of such Person (to the extent required to become subject to such Liens under the terms of the applicable agreements as in effect at the time such Person becomes a Subsidiary of Holdings)); and</w:t>
      </w:r>
    </w:p>
    <w:p>
      <w:pPr>
        <w:spacing w:after="0" w:line="187" w:lineRule="exact"/>
        <w:rPr>
          <w:rFonts w:ascii="Arial" w:cs="Arial" w:eastAsia="Arial" w:hAnsi="Arial"/>
          <w:sz w:val="18"/>
          <w:szCs w:val="18"/>
          <w:color w:val="auto"/>
        </w:rPr>
      </w:pPr>
    </w:p>
    <w:p>
      <w:pPr>
        <w:ind w:left="1960" w:hanging="656"/>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securing the Headquarters arising as a result of a Sale and Leaseback Transaction thereof.</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Holdings may, in its sole discretion, classify or reclassify such item of Permitted Liens (or any portion thereof) in any manner that complies with this definition and Holdings may divide and classify a Lien in more than one of the types of Permitted Liens in one of the above clauses.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2" w:name="page73"/>
    <w:bookmarkEnd w:id="72"/>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Pari Passu Secured Refinancing Debt</w:t>
      </w:r>
      <w:r>
        <w:rPr>
          <w:rFonts w:ascii="Arial" w:cs="Arial" w:eastAsia="Arial" w:hAnsi="Arial"/>
          <w:sz w:val="16"/>
          <w:szCs w:val="16"/>
          <w:color w:val="auto"/>
        </w:rPr>
        <w:t xml:space="preserve">” means any secured Indebtedness incurred after the Closing Date by any Loan Party (and may in any case be co-borrowed or co-issued by any other Loan Party on a joint and several basis) in the form of one or more series of senior secured notes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secured by all or a portion of the Collateral on a pari passu basis with the Obligations and is not secured by any property or assets of Holdings or any Subsidiary other than the Collateral, (ii) such Indebtedness constitutes Credit Agreement Refinancing Indebtedness,</w:t>
      </w:r>
    </w:p>
    <w:p>
      <w:pPr>
        <w:spacing w:after="0" w:line="1" w:lineRule="exact"/>
        <w:rPr>
          <w:sz w:val="20"/>
          <w:szCs w:val="20"/>
          <w:color w:val="auto"/>
        </w:rPr>
      </w:pPr>
    </w:p>
    <w:p>
      <w:pPr>
        <w:jc w:val="both"/>
        <w:ind w:firstLine="8"/>
        <w:spacing w:after="0" w:line="251"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such Indebtedness does not mature or have scheduled amortization or scheduled payments of principal prior to the maturity date of the Refinanced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(iii) shall not apply to (x) Term A Facilities and (y) customary “bridge loan” facilities with a tenor of no longer than one year (provided that such facilities automatically convert or exchange into long-term debt otherwise meeting the requirements of this clause (iii)), (iv) such Indebtedness is not guaranteed by any of Holdings’ Subsidiaries other than the Loan Parties and (v) a Designated Representative acting on behalf of the holders of such Indebtedness shall have become party to or otherwise subject to the provisions of a First Lien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the initial Permitted Pari Passu Secured Refinancing Debt incurred after the Closing Date, then Holdings, the Borrowers, the Subsidiary Guarantors, the Administrative Agent, the Collateral Agent and the Designated Representative for such Indebtedness shall have executed and delivered a First Lien Intercreditor Agreement. Permitted Pari Passu Secured Refinancing Debt will include any Registered Equivalent Notes issued in exchange therefor.</w:t>
      </w:r>
    </w:p>
    <w:p>
      <w:pPr>
        <w:spacing w:after="0" w:line="19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means any Indebtedness issued in exchange for, or the net proceeds of which are used to extend, refinance, renew, replace, defease or refund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other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(including tender premium) thereon, any committed or undrawn amounts associated with, OID or upfront fees on, and underwriting discounts, fees, commissions and expenses incurred in connection with, such Permitted Refinancing Indebtedness), (b) the final maturity date of such Permitted Refinancing Indebtedness is no earlier than the maturity date for the Indebtedness being refinanced (it being understood that, in each case, any mandatory prepayment provision or provision requiring an offer to purchase such Indebtedness as a result of a change of control, fundamental change, delisting, asset sale or similar provision or any Permitted Conversion Provisions shall not violate the foregoing restriction), (c) if the Indebtedness (including any Guarantee thereof) being refinanced is by its terms subordinated in right of payment to the Secured Obligations, such Permitted Refinancing Indebtedness (including any Guarantee thereof) shall be subordinated in right of payment to the Secured Obligations on terms at least as favorable to the Lenders as those contained in the documentation governing the Indebtedness being refinanced, taken as a whole (as determined in good faith by the Board of Directors of Holdings), (d) such Permitted Refinancing Indebtedness contains mandatory prepayment or redemption (or similar provisions), if any, covenants, if any, and events of default, if any, and is benefited by guarantees, if any, which are customary for Indebtedness of such type (reasonably determined in good faith by the Board of Directors of Holdings), (e) no Permitted Refinancing Indebtedness shall have direct obligors or contingent obligors that were not the direct obligors or contingent obligors (or that would not have been required to become direct obligors or contingent obligors) in respect of the Indebtedness being refinanced, (f) if the Indebtedness being refinanced is secured, such Permitted Refinancing Indebtedness may be secured on terms no less favorable, taken as a whole, to the Secured Parties than those contained in the documentation (including any intercreditor agreement) governing the Indebtedness being refinanced (as determined in good faith by the Board of Directors of Holdings) and (g) if the Indebtedness being refinanced was subject to an Intercreditor Agreement, and if the respective Permitted Refinancing Indebtedness is to be secured by the Collateral, the Permitted Refinancing Indebtedness shall likewise be subject to an appropriate Intercreditor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3" w:name="page74"/>
    <w:bookmarkEnd w:id="73"/>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Unsecured Refinancing Debt</w:t>
      </w:r>
      <w:r>
        <w:rPr>
          <w:rFonts w:ascii="Arial" w:cs="Arial" w:eastAsia="Arial" w:hAnsi="Arial"/>
          <w:sz w:val="16"/>
          <w:szCs w:val="16"/>
          <w:color w:val="auto"/>
        </w:rPr>
        <w:t xml:space="preserve">” means any unsecured Indebtedness incurred after the Closing Date by any Loan Party (and may in any case be co-borrowed or co-issued by any other Loan Party on a joint and several basis) in the form of one or more series of unsecured notes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not secured by any property or assets of Holdings or any Subsidiary, (ii) such Indebtedness constitutes Credit Agreement Refinancing Indebtedness, (iii) such Indebtedness does not mature or have scheduled amortization or scheduled payments of principal prior to the maturity date of the Refinanced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(iii) shall not apply to customary “bridge loan” facilities with a tenor of no longer than one year (provided that such facilities automatically convert or exchange into long-term debt otherwise meeting the requirements of this clause (iii)), and</w:t>
      </w:r>
    </w:p>
    <w:p>
      <w:pPr>
        <w:spacing w:after="0" w:line="4" w:lineRule="exact"/>
        <w:rPr>
          <w:sz w:val="20"/>
          <w:szCs w:val="20"/>
          <w:color w:val="auto"/>
        </w:rPr>
      </w:pPr>
    </w:p>
    <w:p>
      <w:pPr>
        <w:ind w:right="20" w:firstLine="8"/>
        <w:spacing w:after="0" w:line="260" w:lineRule="auto"/>
        <w:tabs>
          <w:tab w:leader="none" w:pos="3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Indebtedness is not guaranteed by any of Holdings’ Subsidiaries other than the Loan Parties. Permitted Unsecured Refinancing Debt will include any Registered Equivalent Notes issued in exchange therefor.</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Sections 412 or 430 of the Code or Sections 302 or 303 of ERISA, and in respect of which Holdings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assigned to such term in the final paragraph of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Equity</w:t>
      </w:r>
      <w:r>
        <w:rPr>
          <w:rFonts w:ascii="Arial" w:cs="Arial" w:eastAsia="Arial" w:hAnsi="Arial"/>
          <w:sz w:val="18"/>
          <w:szCs w:val="18"/>
          <w:color w:val="auto"/>
        </w:rPr>
        <w:t>” means, with respect to the Equity Interests of any Person, Equity Interests of any class of classes (however designated) which is preferred as to the payment of dividends or distributions, or as to the distribution of assets upon any voluntary or involuntary liquidation or dissolution of such Person, over shares of Equity Interests of any other class of such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225" w:lineRule="exact"/>
        <w:rPr>
          <w:sz w:val="20"/>
          <w:szCs w:val="20"/>
          <w:color w:val="auto"/>
        </w:rPr>
      </w:pPr>
    </w:p>
    <w:p>
      <w:pPr>
        <w:jc w:val="both"/>
        <w:ind w:firstLine="656"/>
        <w:spacing w:after="0" w:line="263" w:lineRule="auto"/>
        <w:tabs>
          <w:tab w:leader="none" w:pos="9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Asset Sale (other than (x) Asset Sales resulting in Net Proceeds that, together with the aggregate amount of Net Proceeds received from all other Asset Sales occurring in the same fiscal year of Holdings, do not exceed $100,000,000 or (y) any individual Asset Sale resulting in Net Proceeds that do not exceed $25,000,000) or;</w:t>
      </w:r>
    </w:p>
    <w:p>
      <w:pPr>
        <w:spacing w:after="0" w:line="183" w:lineRule="exact"/>
        <w:rPr>
          <w:rFonts w:ascii="Arial" w:cs="Arial" w:eastAsia="Arial" w:hAnsi="Arial"/>
          <w:sz w:val="18"/>
          <w:szCs w:val="18"/>
          <w:color w:val="auto"/>
        </w:rPr>
      </w:pPr>
    </w:p>
    <w:p>
      <w:pPr>
        <w:jc w:val="both"/>
        <w:ind w:right="20" w:firstLine="656"/>
        <w:spacing w:after="0" w:line="263" w:lineRule="auto"/>
        <w:tabs>
          <w:tab w:leader="none" w:pos="92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casualty or other insured damage to, or any taking under power of eminent domain or by condemnation or similar proceeding of, any property or asset of Holdings or any Restricted Subsidiary with a fair market value immediately prior to such event greater than (x) $100,000,000 in any fiscal year of Holdings or (y) $25,000,000 with respect to any individual event; or</w:t>
      </w:r>
    </w:p>
    <w:p>
      <w:pPr>
        <w:spacing w:after="0" w:line="183" w:lineRule="exact"/>
        <w:rPr>
          <w:rFonts w:ascii="Arial" w:cs="Arial" w:eastAsia="Arial" w:hAnsi="Arial"/>
          <w:sz w:val="18"/>
          <w:szCs w:val="18"/>
          <w:color w:val="auto"/>
        </w:rPr>
      </w:pPr>
    </w:p>
    <w:p>
      <w:pPr>
        <w:ind w:firstLine="656"/>
        <w:spacing w:after="0" w:line="277" w:lineRule="auto"/>
        <w:tabs>
          <w:tab w:leader="none" w:pos="93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incurrence by Holdings or any Restricted Subsidiary of any Indebtedness, other than Indebtedness permitted under Section 6.01 or permitted by the Required Lenders pursuant to Section 9.02.</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Citibank, N.A. as its prime rate in effect at its principal office in New York City; each change in the Prime Rate shall be effective from and including the date such change is publicly announced as being effective.</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and “</w:t>
      </w:r>
      <w:r>
        <w:rPr>
          <w:rFonts w:ascii="Arial" w:cs="Arial" w:eastAsia="Arial" w:hAnsi="Arial"/>
          <w:sz w:val="17"/>
          <w:szCs w:val="17"/>
          <w:u w:val="single" w:color="auto"/>
          <w:color w:val="auto"/>
        </w:rPr>
        <w:t>Pro Forma Effect</w:t>
      </w:r>
      <w:r>
        <w:rPr>
          <w:rFonts w:ascii="Arial" w:cs="Arial" w:eastAsia="Arial" w:hAnsi="Arial"/>
          <w:sz w:val="17"/>
          <w:szCs w:val="17"/>
          <w:color w:val="auto"/>
        </w:rPr>
        <w:t>” mean, with respect to compliance with any test or covenant or calculation of any ratio hereunder, the determination or calculation of such test, covenant or ratio (including in connection with Specified Transactions) in accordance with Section 1.07.</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Synergies</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 Agent</w:t>
      </w:r>
      <w:r>
        <w:rPr>
          <w:rFonts w:ascii="Arial" w:cs="Arial" w:eastAsia="Arial" w:hAnsi="Arial"/>
          <w:sz w:val="18"/>
          <w:szCs w:val="18"/>
          <w:color w:val="auto"/>
        </w:rPr>
        <w:t>” has the meaning assigned to such term in Section 9.09(e).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to such term in the final paragraph of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Offer</w:t>
      </w:r>
      <w:r>
        <w:rPr>
          <w:rFonts w:ascii="Arial" w:cs="Arial" w:eastAsia="Arial" w:hAnsi="Arial"/>
          <w:sz w:val="18"/>
          <w:szCs w:val="18"/>
          <w:color w:val="auto"/>
        </w:rPr>
        <w:t>” has the meaning assigned to such term in Section 2.23(a).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Purchasing Borrower Party</w:t>
      </w:r>
      <w:r>
        <w:rPr>
          <w:rFonts w:ascii="Arial" w:cs="Arial" w:eastAsia="Arial" w:hAnsi="Arial"/>
          <w:sz w:val="18"/>
          <w:szCs w:val="18"/>
          <w:color w:val="auto"/>
        </w:rPr>
        <w:t>” means any Borrower that desires to effect a Purchase Offer pursuant to Section 2.23.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assigned to such term in Section 9.20.</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any Equity Interest that are not Disqualified Equity Interests.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Receivables Factoring</w:t>
      </w:r>
      <w:r>
        <w:rPr>
          <w:rFonts w:ascii="Arial" w:cs="Arial" w:eastAsia="Arial" w:hAnsi="Arial"/>
          <w:sz w:val="18"/>
          <w:szCs w:val="18"/>
          <w:color w:val="auto"/>
        </w:rPr>
        <w:t>” means any transaction or series of transactions that may be entered into by Holdings or any Restricted Subsidiary pursuant to which Holdings or such Subsidiary may sell, convey, assign or otherwise transfer Securitization Assets (which may include a backup or precautionary grant of security interest in such Securitization Assets so sold, conveyed, assigned or otherwise transferred or purported to be so sold, conveyed, assigned or otherwise transferred) to any Person other than a Securitization Subsidiary, which may include Standard Securitization Undertakings. The grant of a security interest in any accounts receivable of Holdings or any of its Restricted Subsidiaries to secure the Obligations shall not be deemed to be a Qualified Receivables Factoring.</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Securitization Financing</w:t>
      </w:r>
      <w:r>
        <w:rPr>
          <w:rFonts w:ascii="Arial" w:cs="Arial" w:eastAsia="Arial" w:hAnsi="Arial"/>
          <w:sz w:val="16"/>
          <w:szCs w:val="16"/>
          <w:color w:val="auto"/>
        </w:rPr>
        <w:t>” means any Securitization Financing of a Securitization Subsidiary that meets the following conditions: (a) such Qualified Securitization Financing (including financing terms, covenants, termination events and other provisions) is in the aggregate economically fair and reasonable to Holdings and the Securitization Subsidiary as determined by Holdings in good faith and (b) all sales and/or contributions of Securitization Assets and related assets to the Securitization Subsidiary are made at fair market value as determined by Holdings in good faith. The grant of a security interest in any Securitization Assets of Holdings or any of the Restricted Subsidiaries (other than a Securitization Subsidiary) to secure Indebtedness under this Agreement prior to engaging in any Securitization Financing shall not be deemed a Qualified Securitization Financing.</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Day</w:t>
      </w:r>
      <w:r>
        <w:rPr>
          <w:rFonts w:ascii="Arial" w:cs="Arial" w:eastAsia="Arial" w:hAnsi="Arial"/>
          <w:sz w:val="18"/>
          <w:szCs w:val="18"/>
          <w:color w:val="auto"/>
        </w:rPr>
        <w:t>” means, with respect to any Eurocurrency Borrowing and any Interest Period, the Business Day on which it is market practice in the London interbank market for the Administrative Agent to give quotations for deposits in the Agreed Currency of such Eurocurrency Borrowing for delivery on the first day of such Interest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Debt</w:t>
      </w:r>
      <w:r>
        <w:rPr>
          <w:rFonts w:ascii="Arial" w:cs="Arial" w:eastAsia="Arial" w:hAnsi="Arial"/>
          <w:sz w:val="18"/>
          <w:szCs w:val="18"/>
          <w:color w:val="auto"/>
        </w:rPr>
        <w:t>” means Indebtedness incurred pursuant to Section 6.01(a).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Repurchase Obligation</w:t>
      </w:r>
      <w:r>
        <w:rPr>
          <w:rFonts w:ascii="Arial" w:cs="Arial" w:eastAsia="Arial" w:hAnsi="Arial"/>
          <w:sz w:val="18"/>
          <w:szCs w:val="18"/>
          <w:color w:val="auto"/>
        </w:rPr>
        <w:t>” means any obligation of a seller of receivables in a Qualified Receivables Factoring or Qualified Securitization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in each case, that are customary (as determined in good faith by Holdings) for non-recourse receivables financings.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Debt</w:t>
      </w:r>
      <w:r>
        <w:rPr>
          <w:rFonts w:ascii="Arial" w:cs="Arial" w:eastAsia="Arial" w:hAnsi="Arial"/>
          <w:sz w:val="18"/>
          <w:szCs w:val="18"/>
          <w:color w:val="auto"/>
        </w:rPr>
        <w:t>” has the meaning assigned to such term in the definition of “Credit Agreement Refinancing Indebtedness”.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w:t>
      </w:r>
      <w:r>
        <w:rPr>
          <w:rFonts w:ascii="Arial" w:cs="Arial" w:eastAsia="Arial" w:hAnsi="Arial"/>
          <w:sz w:val="16"/>
          <w:szCs w:val="16"/>
          <w:color w:val="auto"/>
        </w:rPr>
        <w:t>” means the repayment in full of, and the termination of any commitment to make extensions of credit, all indebtedness (other than contingent obligations not then due and that by their terms expressly survive the termination of the foregoing) outstanding under (v) the Existing Revolving Credit Agreement, (w) the Target Credit Agreement, (x) the Target Receivables Financing Agreement, (y) the Series A Notes and (z) the Series B Notes.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means an amendment to or an amendment and restatement of this Agreement in form and substance reasonably satisfactory to the Administrative Agent and the Borrowers executed by each of (a) Holdings, the Borrowers and the Subsidiary Guarantors, (b) the Administrative Agent, (c) the Issuing Banks and the Swingline Lender (in the case of Other Refinancing Revolving Commitments or Other Refinancing Revolving Loans), and (d) each Refinancing Lender and Lender that agrees to provide any portion of the Credit Agreement Refinancing Indebtedness being incurred pursuant thereto, in accordance with Section 2.24.</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Lender</w:t>
      </w:r>
      <w:r>
        <w:rPr>
          <w:rFonts w:ascii="Arial" w:cs="Arial" w:eastAsia="Arial" w:hAnsi="Arial"/>
          <w:sz w:val="16"/>
          <w:szCs w:val="16"/>
          <w:color w:val="auto"/>
        </w:rPr>
        <w:t xml:space="preserve">” means, at any time, any bank, insurance company, financial institution or institutional lender or Approved Fund (with respect to the foregoing) that, in any case, is not an existing Lender (and that is not Holdings or any of its Subsidiaries or Affiliates) and that agrees to provide any portion of any Credit Agreement Refinancing Indebtedness pursuant to a Refinancing Amendment in accordance with Section 2.24;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Refinancing Lender (other than any Person that is a Lender, an Affiliate of a Lender or an Approved Fund of a Lender at such time) shall be subject to the approval of the Administrative Agent and the Issuing Banks and the Swingline Lender (in the case of Other Refinancing Revolving Commitments or Other Refinancing Revolving Loans) (such approval not to be unreasonably withheld or delayed), in each case to the extent any such consent would be required from the Administrative Agent and the Issuing Banks and the Swingline Lender (in the case of Other Refinancing Revolving Commitments or Other Refinancing Revolving Loans) under Section 9.04(b)(i) for an assignment of Loans or Commitments to such Refinancing Lender.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9.04(b)(iv).</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leaking, pumping, injection, deposit, disposal, dispersal, leaching or migration of Hazardous Materials into or through the environment (including, without limitation, ambient air, surface water, groundwater and surface or subsurface strata).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6" w:name="page77"/>
    <w:bookmarkEnd w:id="76"/>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(a) with respect to a USD Benchmark Replacement in respect of Dollars, the Board of Governors of the Federal Reserve System or the Federal Reserve Bank of New York, or a committee officially endorsed or convened by the Board of Governors of the Federal Reserve System or the Federal Reserve Bank of New York, or any successor thereto. and (b) with respect to an Alternate Currency Benchmark Replacement in respect of any Alternate Currency, (1) the central bank for the currency in which such amounts are denominated hereunder or any central bank or other supervisor which is responsible for supervising either (A) such USD Benchmark Replacement or Alternate Currency Benchmark Replacement, as applicable or (B) the administrator of such USD Benchmark Replacement or Alternate Currency Benchmark Replacement, as applicable or (2) any working group or committee officially endorsed or convened by (A) the central bank for the currency in which such amounts are denominated,</w:t>
      </w:r>
    </w:p>
    <w:p>
      <w:pPr>
        <w:spacing w:after="0" w:line="2" w:lineRule="exact"/>
        <w:rPr>
          <w:sz w:val="20"/>
          <w:szCs w:val="20"/>
          <w:color w:val="auto"/>
        </w:rPr>
      </w:pPr>
    </w:p>
    <w:p>
      <w:pPr>
        <w:jc w:val="both"/>
        <w:ind w:firstLine="8"/>
        <w:spacing w:after="0" w:line="281" w:lineRule="auto"/>
        <w:tabs>
          <w:tab w:leader="none" w:pos="288"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central bank or other supervisor that is responsible for supervising either (i) such USD Benchmark Replacement or Alternate Currency Benchmark Replacement, as applicable or (ii) the administrator of such USD Benchmark Replacement or Alternate Currency Benchmark Replacement, as applicable,</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group of those central banks or other supervisors or (D) the Financial Stability Board or any part thereof.</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Event</w:t>
      </w:r>
      <w:r>
        <w:rPr>
          <w:rFonts w:ascii="Arial" w:cs="Arial" w:eastAsia="Arial" w:hAnsi="Arial"/>
          <w:sz w:val="18"/>
          <w:szCs w:val="18"/>
          <w:color w:val="auto"/>
        </w:rPr>
        <w:t xml:space="preserve">” means (a) the incurrence by any Loan Party of any new or replacement bank indebtedness comprised of term loans that are secured pari passu with the Initial Term Loans (including, without limitation, any new or additional term loans under this Agreement, whether incurred directly or by way of the conversion of Initial Term Loans into a new tranche of replacement term loans under this Agreement), (i) the primary purpose of which is to have an Effective Yield that is less than the applicable Effective Yield for Initial Term Loans and (ii) the proceeds of which are used to prepay (or, in the case of a conversion, deemed to prepay or replace), in whole or in part, the outstanding principal of the Initial Term Loans or (b) any amendment or waiver, the primary purpose of which is to reduce the Effective Yield of any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prepayment or repayment of Initial Term Loans in connection with a Change of Control, Transformative Acquisition or Transformative Disposition constitute a Repricing Event.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Credit Exposures and unused Commitments representing more than 50% of the sum of the total Credit Exposures and unused Commitments at such time. The total Credit Exposure and Commitments of any Defaulting Lender shall be disregarded in determining Required Lenders at any time. For all purposes of determining the Required Lenders hereunder, if any relevant Credit Exposures or unused Commitments are denominated in currencies other than Dollars, the respective Dollar Amounts (as determined in good faith by the Administrative Agent) thereof shall be utilized.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Net Proceeds Percentage</w:t>
      </w:r>
      <w:r>
        <w:rPr>
          <w:rFonts w:ascii="Arial" w:cs="Arial" w:eastAsia="Arial" w:hAnsi="Arial"/>
          <w:sz w:val="18"/>
          <w:szCs w:val="18"/>
          <w:color w:val="auto"/>
        </w:rPr>
        <w:t>” means, as of any date of determination, (i) in the case of any Prepayment Event described in clause (1) or clause (2) of the definition thereof, (a) 100% if the First Lien Net Leverage Ratio is greater than 4.50:1.00, (b) 50% if the First Lien Net Leverage Ratio is less than or equal to 4.50:1.00 and greater than 4.00:1.00 and (c) 0% if the First Lien Net Leverage Ratio is less than or equal to 4.00:1.00 and (ii) in the case of any Prepayment Event described in clause (3) of the definition thereof, 100%.</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Revolving Lenders</w:t>
      </w:r>
      <w:r>
        <w:rPr>
          <w:rFonts w:ascii="Arial" w:cs="Arial" w:eastAsia="Arial" w:hAnsi="Arial"/>
          <w:sz w:val="16"/>
          <w:szCs w:val="16"/>
          <w:color w:val="auto"/>
        </w:rPr>
        <w:t>” means, at any time, Lenders having Revolving Credit Exposures and unused Revolving Commitments representing more than 50% of the sum of the total Revolving Credit Exposures and unused Revolving Commitments at such time. The total Revolving Credit Exposure and Revolving Commitments of any Defaulting Lender shall be disregarded in determining Required Revolving Lenders at any time. For all purposes of determining the Required Revolving Lenders hereunder, if any relevant Revolving Credit Exposures or unused Revolving Commitments are denominated in currencies other than Dollars, the respective Dollar Amounts (as determined in good faith by the Administrative Agent) thereof shall be utilized.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authorized signatory, an executive vice president or senior vice president or a Financial Officer of Holdings.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means an Investment that is not a Permitted Investment.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(i) any dividend or any other payment or distribution on account of Holdings’ or any of its Restricted Subsidiaries’ Equity Interests (including, without limitation, any payment in connection with any merger or consolidation involving Holdings or any of its Restricted Subsidiaries, other than any such merger or consolidation constituting a Permitted Investment) or to the direct or indirect holders of Holdings’ or any of its Restricted Subsidiaries’ Equity Interests in their capacity as such (other than (A) dividends or distributions payable in Equity Interests (other than Disqualified Equity Interests) of Holdings, (B) dividends or other payments and distributions payable to Holdings or a Restricted Subsidiary, (C) dividends or distributions payable to other holders of Equity Interests of a Restricted Subsidiary on no more than a pro rata basis and (D) payments on account of the transfer or issuance of any Restricted Subsidiary’s Equity Interests to Holdings or any other Restricted Subsidiary), (ii) any purchase, redemption or other acquisition or retirement for value, directly or indirectly (including, without limitation, in connection with any merger or consolidation involving the Holdings), any Equity Interests of Holdings, (iii) any principal payment on or with respect to, or purchase, redemption, defeasance or other acquisition or retirement for value any Subordinated Indebtedness (excluding any intercompany Indebtedness between or among members of the Group) or any Indebtedness (excluding any intercompany Indebtedness between or among members of the Group) of Holdings or any Restricted Subsidiary that is secured by Liens that are junior to the Liens securing the Obligations, except a payment of principal at, or within 365 days of, the stated maturity thereof or</w:t>
      </w:r>
    </w:p>
    <w:p>
      <w:pPr>
        <w:spacing w:after="0" w:line="3" w:lineRule="exact"/>
        <w:rPr>
          <w:sz w:val="20"/>
          <w:szCs w:val="20"/>
          <w:color w:val="auto"/>
        </w:rPr>
      </w:pPr>
    </w:p>
    <w:p>
      <w:pPr>
        <w:ind w:firstLine="8"/>
        <w:spacing w:after="0" w:line="260" w:lineRule="auto"/>
        <w:tabs>
          <w:tab w:leader="none" w:pos="34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Restricted Investment. Notwithstanding the foregoing, a “Restricted Payment” shall not include any of the payments or other transactions contemplated by the Transactions.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Holdings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 Commissioners</w:t>
      </w:r>
      <w:r>
        <w:rPr>
          <w:rFonts w:ascii="Arial" w:cs="Arial" w:eastAsia="Arial" w:hAnsi="Arial"/>
          <w:sz w:val="18"/>
          <w:szCs w:val="18"/>
          <w:color w:val="auto"/>
        </w:rPr>
        <w:t>” means the Revenue Commissioners of Ireland.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Borrowers</w:t>
      </w:r>
      <w:r>
        <w:rPr>
          <w:rFonts w:ascii="Arial" w:cs="Arial" w:eastAsia="Arial" w:hAnsi="Arial"/>
          <w:sz w:val="18"/>
          <w:szCs w:val="18"/>
          <w:color w:val="auto"/>
        </w:rPr>
        <w:t>” means the Lux Borrower, Merger Sub (which, after giving effect to the Acquisition on the Closing Date, shall be succeeded by Target), ICON CLINICAL RESEARCH LIMITED, a limited liability company incorporated under the laws of Ireland with registration number 201978 and with registered address at South County Business Park, Leopardstown, Dublin 18, Ireland, ICON GLOBAL TREASURY UNLIMITED COMPANY, an unlimited liability company incorporated under the laws of Ireland with registration number 649443 and with registered address at South Country Business Park, Leopardstown, Dublin 18, Ireland, and ICON US HOLDINGS INC., a Delaware corporation, and each Additional Borrower that becomes a Revolving Borrower.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means a Borrowing comprised of Revolving Loans of any Class.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means, with respect to each Revolving Lender, the commitment, if any, of such Revolving Lender to make Revolving Loans and to acquire participations in Letters of Credit hereunder, as such commitment may be (a) reduced or terminated from time to time pursuant to Section 2.09, (b) increased from time to time pursuant to Section 2.20 and (c) reduced or increased from time to time pursuant to assignments by or to such Lender pursuant to Section 9.04. For the avoidance of doubt, “Revolving Commitments” includes the Initial Revolving Commitments, any Incremental Revolving Commitments, any Extended Revolving Commitments and any Other Refinancing Revolving Commitments.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Increases</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Event</w:t>
      </w:r>
      <w:r>
        <w:rPr>
          <w:rFonts w:ascii="Arial" w:cs="Arial" w:eastAsia="Arial" w:hAnsi="Arial"/>
          <w:sz w:val="18"/>
          <w:szCs w:val="18"/>
          <w:color w:val="auto"/>
        </w:rPr>
        <w:t>” means a Revolving Borrowing of any Class, the issuance, extension or increase in amount of a Letter of Credit, an LC Disbursement with respect to a Letter of Credit or any of the foregoing.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8" w:name="page79"/>
    <w:bookmarkEnd w:id="7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Revolving Lender at any time, and without duplication, the sum of the outstanding principal amount of such Revolving Lender’s Revolving Loans and its LC Exposure and Swingline Exposure at such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as of any date of determination, each Lender that has a Revolving Commitment or, if the Revolving Commitments have terminated or expired, a Lender with Revolving Credit Exposure.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any Initial Revolving Loan, any Extended Revolving Loan, any Other Refinancing Revolving Loan and any Incremental Revolving Loan.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xml:space="preserve">” the percentage equal to a fraction the numerator of which is such Lender’s Revolving Commitment and the denominator of which is the aggregate Revolving Commitments of all Revolving Lenders (if the Revolving Commitments of any Class have terminated or expired, the Revolving Percentages shall be determined based upon the Revolving Commitments of such Class most recently in effect, giving effect to any assignments);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 Defaulting Lender shall exist, the Revolving Commitments of such Defaulting Lender shall be excluded from the denominator in calculating the “Revolving Percentage.”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w:t>
      </w:r>
      <w:r>
        <w:rPr>
          <w:rFonts w:ascii="Arial" w:cs="Arial" w:eastAsia="Arial" w:hAnsi="Arial"/>
          <w:sz w:val="18"/>
          <w:szCs w:val="18"/>
          <w:color w:val="auto"/>
        </w:rPr>
        <w:t>” means, for any Obligations consisting of any interest, fees or other amounts denominated in Pounds Sterling, SONIA.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RFR Business Day</w:t>
      </w:r>
      <w:r>
        <w:rPr>
          <w:rFonts w:ascii="Arial" w:cs="Arial" w:eastAsia="Arial" w:hAnsi="Arial"/>
          <w:sz w:val="17"/>
          <w:szCs w:val="17"/>
          <w:color w:val="auto"/>
        </w:rPr>
        <w:t>” means any day except for (a) a Saturday, (b) a Sunday or (c) a day on which banks are closed for general business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Interest Day</w:t>
      </w:r>
      <w:r>
        <w:rPr>
          <w:rFonts w:ascii="Arial" w:cs="Arial" w:eastAsia="Arial" w:hAnsi="Arial"/>
          <w:sz w:val="18"/>
          <w:szCs w:val="18"/>
          <w:color w:val="auto"/>
        </w:rPr>
        <w:t>” has the meaning assigned to such term in the definition of “Daily Simple RFR”.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means a Loan that bears interest at a rate based on Daily Simple RFR.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Lookback Day</w:t>
      </w:r>
      <w:r>
        <w:rPr>
          <w:rFonts w:ascii="Arial" w:cs="Arial" w:eastAsia="Arial" w:hAnsi="Arial"/>
          <w:sz w:val="18"/>
          <w:szCs w:val="18"/>
          <w:color w:val="auto"/>
        </w:rPr>
        <w:t>” has the meaning assigned to such term in the definition of “Daily Simple RFR”.</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Run-rate</w:t>
      </w:r>
      <w:r>
        <w:rPr>
          <w:rFonts w:ascii="Arial" w:cs="Arial" w:eastAsia="Arial" w:hAnsi="Arial"/>
          <w:sz w:val="18"/>
          <w:szCs w:val="18"/>
          <w:color w:val="auto"/>
        </w:rPr>
        <w:t>” means the full recurring benefit for a period that is associated with any action taken, committed to be taken or with respect to which substantial steps have been taken or are expected to be taken (in the good faith determination of Holdings) (including any savings expected to result from the elimination of a public target’s compliance costs with public company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to its rating agency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sale or other transfer of any property or asset by any Person with the intent to lease such property or asset as lessee.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that is itself the target of Sanctions (at the time of this Agreement, the Crimea region of Ukraine, Cuba, Iran, North Korea, and Syria).</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OFAC, the U.S. Department of State, the United Nations Security Council, the European Union or any EU member state, Her Majesty’s Treasury of the United Kingdom,</w:t>
      </w:r>
    </w:p>
    <w:p>
      <w:pPr>
        <w:ind w:firstLine="8"/>
        <w:spacing w:after="0" w:line="260" w:lineRule="auto"/>
        <w:tabs>
          <w:tab w:leader="none" w:pos="2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Person operating, organized or resident in a Sanctioned Country or (c) any Person controlled or owned 50.0% or more by one or more of such Persons.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9" w:name="page80"/>
    <w:bookmarkEnd w:id="79"/>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any EU member state, or Her Majesty’s Treasury of the United Kingdom.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means the LIBO Screen Rate or the EURIBOR Screen Rate, as applicable.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Governmental Authority succeeding to any of its principal functions.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82</w:t>
      </w:r>
      <w:r>
        <w:rPr>
          <w:rFonts w:ascii="Arial" w:cs="Arial" w:eastAsia="Arial" w:hAnsi="Arial"/>
          <w:sz w:val="18"/>
          <w:szCs w:val="18"/>
          <w:color w:val="auto"/>
        </w:rPr>
        <w:t>” has the meaning assigned to such term in Section 3.16.</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Net Leverage Ratio</w:t>
      </w:r>
      <w:r>
        <w:rPr>
          <w:rFonts w:ascii="Arial" w:cs="Arial" w:eastAsia="Arial" w:hAnsi="Arial"/>
          <w:sz w:val="18"/>
          <w:szCs w:val="18"/>
          <w:color w:val="auto"/>
        </w:rPr>
        <w:t>” means, with respect to any Test Period, the ratio of (a) Consolidated Total Indebtedness secured by a Lien on Collateral, net of Unrestricted Cash, as of the last day of such Test Period to (b) Consolidated EBITDA for such Test Period.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all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the Secured Obligations shall exclude (i) any Excluded Swap Obligations, (ii) each Cash Management Agreement and Swap Agreement entered into with any counterparty that is not a Secured Party and (iii) Obligations in respect of any Cash Management Agreement or Swap Agreement that has been designated by each of the parties to such Cash Management Agreement or Swap Agreement (including, for the avoidance of doubt, the applicable Secured Party) as not constituting “Secured Obligations.”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holders of the Secured Obligations from time to time and shall include (i) each Lender and Issuing Bank in respect of its Loans and LC Exposure respectively, (ii) the Administrative Agent, the Collateral Agent, the Issuing Banks and the Lenders in respect of all other present and future obligations and liabilities of Holdings and each Restricted Subsidiary of every type and description arising under or in connection with this Agreement or any other Loan Document, (iii) each Hedge Bank, (iv) each indemnified party under Section 9.03 in respect of the obligations and liabilities of any Borrower to such Person hereunder and under the other Loan Documents, (v) each Cash Management Bank and (vi) their respective successors and (in the case of a Lender, permitted) transferees and assigns.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 from time to time and any successor statute.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Assets</w:t>
      </w:r>
      <w:r>
        <w:rPr>
          <w:rFonts w:ascii="Arial" w:cs="Arial" w:eastAsia="Arial" w:hAnsi="Arial"/>
          <w:sz w:val="18"/>
          <w:szCs w:val="18"/>
          <w:color w:val="auto"/>
        </w:rPr>
        <w:t>” means (a) the accounts receivable, royalty or other revenue streams and other rights to payment and other assets related thereto and the proceeds thereof and (b) contract rights, lockbox accounts and records with respect to such accounts receivable and any other assets customarily transferred together with accounts receivable in a securitization financing.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that is not a Securitization Subsidiary in connection with any Qualified Securitization Financing.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Financing</w:t>
      </w:r>
      <w:r>
        <w:rPr>
          <w:rFonts w:ascii="Arial" w:cs="Arial" w:eastAsia="Arial" w:hAnsi="Arial"/>
          <w:sz w:val="17"/>
          <w:szCs w:val="17"/>
          <w:color w:val="auto"/>
        </w:rPr>
        <w:t>” means any transaction or series of transactions that may be entered into by Holdings or any of its Subsidiaries pursuant to which Holdings or any of its Subsidiaries may sell, convey or otherwise transfer to (a) a Securitization Subsidiary (in the case of a transfer by Holdings or any of its Subsidiaries) or (b) any other Person (in the case of a transfer by a Securitization Subsidiary), or may grant a security interest in (which in either case may include a backup or precautionary grant) any Securitization Assets of Holdings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0" w:name="page81"/>
    <w:bookmarkEnd w:id="80"/>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Subsidiary</w:t>
      </w:r>
      <w:r>
        <w:rPr>
          <w:rFonts w:ascii="Arial" w:cs="Arial" w:eastAsia="Arial" w:hAnsi="Arial"/>
          <w:sz w:val="18"/>
          <w:szCs w:val="18"/>
          <w:color w:val="auto"/>
        </w:rPr>
        <w:t>” means a wholly-owned Subsidiary of Holdings (or another Person formed for the purposes of engaging in a Qualified Securitization Financing in which Holdings or any Subsidiary of Holdings makes an investment and to which Holdings or any Subsidiary of Holdings transfers Securitization Assets and related assets) that engages in no activities other than in connection with the financing of Securitization Assets of Holdings or its Subsidiaries, all proceeds thereof and all rights (contingent and other), collateral and other assets relating thereto, and any business or activities incidental or related to such business, and which is designated by the Board of Directors or such other Person (as provided below) as a Securitization Subsidiary.</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Notes</w:t>
      </w:r>
      <w:r>
        <w:rPr>
          <w:rFonts w:ascii="Arial" w:cs="Arial" w:eastAsia="Arial" w:hAnsi="Arial"/>
          <w:sz w:val="18"/>
          <w:szCs w:val="18"/>
          <w:color w:val="auto"/>
        </w:rPr>
        <w:t>” means the 2.32% Series A Senior Notes due December 8, 2023 issued by Icon Investments Five Unlimited Company on December 8, 2020.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Notes</w:t>
      </w:r>
      <w:r>
        <w:rPr>
          <w:rFonts w:ascii="Arial" w:cs="Arial" w:eastAsia="Arial" w:hAnsi="Arial"/>
          <w:sz w:val="18"/>
          <w:szCs w:val="18"/>
          <w:color w:val="auto"/>
        </w:rPr>
        <w:t>” means the 2.43% Series B Senior Notes due December 8, 2025 issued by Icon Investments Five Unlimited Company on December 8, 2020.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Holdings and its Subsidiaries, on the Closing Date, after giving effect to the consummation of the Transactions, and after giving effect to the application of the proceeds of such indebtedness under such Transactions:</w:t>
      </w:r>
    </w:p>
    <w:p>
      <w:pPr>
        <w:spacing w:after="0" w:line="170"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of the fair saleable value of the assets of Holdings and its Subsidiaries on a consolidated basis exceeds:</w:t>
      </w:r>
    </w:p>
    <w:p>
      <w:pPr>
        <w:spacing w:after="0" w:line="225" w:lineRule="exact"/>
        <w:rPr>
          <w:rFonts w:ascii="Arial" w:cs="Arial" w:eastAsia="Arial" w:hAnsi="Arial"/>
          <w:sz w:val="18"/>
          <w:szCs w:val="18"/>
          <w:color w:val="auto"/>
        </w:rPr>
      </w:pPr>
    </w:p>
    <w:p>
      <w:pPr>
        <w:jc w:val="both"/>
        <w:ind w:left="1300" w:firstLine="4"/>
        <w:spacing w:after="0" w:line="263" w:lineRule="auto"/>
        <w:tabs>
          <w:tab w:leader="none" w:pos="197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value of all liabilities of Holdings and its Subsidiaries (on a consolidated basis), including contingent and other liabilities, as generally determined in accordance with applicable United States federal laws governing determinations of the insolvency of debtors; and</w:t>
      </w:r>
    </w:p>
    <w:p>
      <w:pPr>
        <w:spacing w:after="0" w:line="183" w:lineRule="exact"/>
        <w:rPr>
          <w:rFonts w:ascii="Arial" w:cs="Arial" w:eastAsia="Arial" w:hAnsi="Arial"/>
          <w:sz w:val="18"/>
          <w:szCs w:val="18"/>
          <w:color w:val="auto"/>
        </w:rPr>
      </w:pPr>
    </w:p>
    <w:p>
      <w:pPr>
        <w:ind w:left="1300" w:firstLine="4"/>
        <w:spacing w:after="0" w:line="277" w:lineRule="auto"/>
        <w:tabs>
          <w:tab w:leader="none" w:pos="203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amount that will be required to pay the probable liabilities of Holdings and its Subsidiaries on its existing debts (including contingent liabilities) as such debts become absolute and matured;</w:t>
      </w:r>
    </w:p>
    <w:p>
      <w:pPr>
        <w:spacing w:after="0" w:line="170" w:lineRule="exact"/>
        <w:rPr>
          <w:rFonts w:ascii="Arial" w:cs="Arial" w:eastAsia="Arial" w:hAnsi="Arial"/>
          <w:sz w:val="18"/>
          <w:szCs w:val="18"/>
          <w:color w:val="auto"/>
        </w:rPr>
      </w:pPr>
    </w:p>
    <w:p>
      <w:pPr>
        <w:ind w:firstLine="656"/>
        <w:spacing w:after="0" w:line="277" w:lineRule="auto"/>
        <w:tabs>
          <w:tab w:leader="none" w:pos="1443" w:val="left"/>
        </w:tabs>
        <w:numPr>
          <w:ilvl w:val="0"/>
          <w:numId w:val="60"/>
        </w:numPr>
        <w:rPr>
          <w:rFonts w:ascii="Arial" w:cs="Arial" w:eastAsia="Arial" w:hAnsi="Arial"/>
          <w:sz w:val="18"/>
          <w:szCs w:val="18"/>
          <w:color w:val="auto"/>
        </w:rPr>
      </w:pPr>
      <w:r>
        <w:rPr>
          <w:rFonts w:ascii="Arial" w:cs="Arial" w:eastAsia="Arial" w:hAnsi="Arial"/>
          <w:sz w:val="18"/>
          <w:szCs w:val="18"/>
          <w:color w:val="auto"/>
        </w:rPr>
        <w:t>Holdings and its Subsidiaries (on a consolidated basis) do not have an unreasonably small amount of capital for the operation of the businesses in which it is engaged or proposed to be engaged; and</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Holdings and its Subsidiaries (on a consolidated basis) will be able to pay its liabilities, including contingent and other liabilities, as they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mature.</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means, with respect to any RFR Business Day, a rate per annum equal to the Sterling Overnight Index Average for such RFR Business Day published by the SONIA Administrator on the SONIA Administrator’s Website.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1" w:name="page82"/>
    <w:bookmarkEnd w:id="81"/>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Representations</w:t>
      </w:r>
      <w:r>
        <w:rPr>
          <w:rFonts w:ascii="Arial" w:cs="Arial" w:eastAsia="Arial" w:hAnsi="Arial"/>
          <w:sz w:val="17"/>
          <w:szCs w:val="17"/>
          <w:color w:val="auto"/>
        </w:rPr>
        <w:t>” means the representations and warranties set forth in Sections 3.01 (as it relates to organizational existence of the Loan Parties), 3.02 (as it relates to the due authorization, execution and delivery of the Loan Documents), 3.03 (as it relates to no conflicts with or violations of Organizational Documents), 3.08, 3.12, 3.14 (limited to execution, delivery and performance of the Loan Documents), 3.15 and 3.16.</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means (a) at the option of Holdings, any designation of operations or assets of Holdings or a Restricted Subsidiary as discontinued operations (as defined under GAAP), (b) at the option of Holdings, any Investment that results in a Person becoming a Restricted Subsidiary,</w:t>
      </w:r>
    </w:p>
    <w:p>
      <w:pPr>
        <w:jc w:val="both"/>
        <w:ind w:firstLine="8"/>
        <w:spacing w:after="0" w:line="292" w:lineRule="auto"/>
        <w:tabs>
          <w:tab w:leader="none" w:pos="248"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designation of a Subsidiary as a Restricted Subsidiary or an Unrestricted Subsidiary, (d) any Material Acquisition, (e) any Material Disposition that results in a Restricted Subsidiary ceasing to be a Subsidiary of Holdings or any Disposition of a business unit, line of business or division or product line of Holdings, in each case whether by merger, consolidation, amalgamation or otherwise, (f) or any incurrence or repayment of Indebtedness (other than Indebtedness incurred or repaid under any revolving credit facility or line of credit in the ordinary course of business for working capital purposes) that by the terms of this Agreement requires such test to be calculated on a Pro Forma Basis or after giving Pro Forma Effect and (g) the Transactions.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representations, warranties, covenants and indemnities entered into by Holdings or any Subsidiary of Holdings that are customary (as determined by Holdings in good faith) in a Securitization Financing or a Qualified Receivables Factoring, including without limitation those relating to the servicing of the assets of a Securitization Subsidiary, it being understood that a Receivables Repurchase Obligations shall be deemed to be a Standard Securitization Undertaking.</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with respect to any currency,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Board, the Financial Conduct Authority or the Prudential Regulatory Authority of the United Kingdom, the European Central Bank or other Governmental Authority for any category of deposits or liabilities customarily used to fund loans in such currency, expressed in the case of each such requirement as a decimal. Such reserve, liquid asset, fees or similar requirements shall, in the case of Dollar denominated Loans, include those imposed pursuant to Regulation D of the Board. Eurocurrency Loans and RFR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 Statutory Reserve Rate shall be adjusted automatically on and as of the effective date of any change in any reserve, liquid asset or similar requirement.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of Holdings or any Restricted Subsidiary the payment of which is contractually subordinated in right of payment of the obligations under the Loan Documents (excluding intercompany Indebtedness between or among members of the Group).</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(i)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and (ii) in the case of any Person incorporated in Ireland, any subsidiary of that Person within the meaning of Section 7 of the Companies Act or Regulation 4 of the European Communities (Companies Group Accounts) Regulations 1992.</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Holdings (unless a contrary intention appears herein).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xml:space="preserve">” means each Subsidiary that is party to this Agreement from time to time. The Subsidiary Guarantors as of the Closing Date will be each Subsidiary of Holdings as set forth in </w:t>
      </w:r>
      <w:r>
        <w:rPr>
          <w:rFonts w:ascii="Arial" w:cs="Arial" w:eastAsia="Arial" w:hAnsi="Arial"/>
          <w:sz w:val="17"/>
          <w:szCs w:val="17"/>
          <w:u w:val="single" w:color="auto"/>
          <w:color w:val="auto"/>
        </w:rPr>
        <w:t>Schedule 1.01F</w:t>
      </w:r>
      <w:r>
        <w:rPr>
          <w:rFonts w:ascii="Arial" w:cs="Arial" w:eastAsia="Arial" w:hAnsi="Arial"/>
          <w:sz w:val="17"/>
          <w:szCs w:val="17"/>
          <w:color w:val="auto"/>
        </w:rPr>
        <w:t xml:space="preserve">. Notwithstanding anything herein or in any other Loan Document to the contrary, no Excluded Subsidiary or Unrestricted Subsidiary shall be required to be a Subsidiary Guarantor;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Holdings shall be required to comply with the provisions set forth in Section 5.09(f). Notwithstanding the foregoing, Holdings may elect to cause any Restricted Subsidiary that is not otherwise required to be a Subsidiary Guarantor to provide a Guarantee by causing such Restricted Subsidiary to execute a Joinder Agreement (or, in the case of any Foreign Subsidiary, a guaranty of the Secured Obligations (which may be the Guarantee or, if reasonably required by the Administrative Agent in order to create a legally enforceable Guarantee, a guaranty governed by the laws of the applicable country in which such Foreign Subsidiary is incorporated or organized) and all documents, financing statements, agreements, instruments, certificates, notices and acknowledgements and filings which the Administrative Agent may reasonably request to ensure the creation, perfection and priority of the Liens on the assets of such Foreign Subsidiary, in each case (i) in a form reasonably acceptable to the Administrative Agent, (ii) governed by the laws of the applicable country in which such Foreign Subsidiary is incorporated or organized and (iii) subject to the Agreed Guarantee and Security Principles and customary exceptions for transactions of this type in such applicable country), and any such Restricted Subsidiary shall be a Loan Party and Subsidiary Guarantor for all purposes hereunder. In the event that Holdings elects to cause a Foreign Subsidiary to be a Subsidiary Guarantor in accordance with the foregoing, such Foreign Subsidiary shall cease to be an Excluded Subsidiary for purposes of the Loan Documents.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such term in Section 9.20.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Holdings or its Restricted Subsidiaries shall be a Swap Agreement.</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Obligations</w:t>
      </w:r>
      <w:r>
        <w:rPr>
          <w:rFonts w:ascii="Arial" w:cs="Arial" w:eastAsia="Arial" w:hAnsi="Arial"/>
          <w:sz w:val="16"/>
          <w:szCs w:val="16"/>
          <w:color w:val="auto"/>
        </w:rPr>
        <w:t>” means any and all obligations of Holdings or any Restricted Subsidiary, whether absolute or contingent and howsoever and whensoever created, arising, evidenced or acquired (including all renewals, extensions and modifications thereof and substitutions therefor), under (a) any and all Swap Agreements with a Hedge Bank, (b) any and all cancellations, buy backs, reversals, terminations or assignments of any such Swap Agreement transaction and (c) any obligation to pay or perform under any agreement, contract or transaction that constitutes a “swap” within the meaning of section 1a(47) of the Commodity Exchange Act. For the avoidance of doubt, Permitted Equity Derivatives shall not constitute Swap Obligations.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its Revolving Percentage of the total Swingline Exposure at such time.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Citibank, N.A. (acting through itself or one of its designated affiliates or branch offices), in its capacity as lender of Swingline Loans hereunder and any other Lender designated by the Applicable Borrower as a “Swingline Lender” hereunder that has agreed to such designation (and is reasonably acceptable to the Administrative Agent).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PRA Health Sciences, Inc., a Delaware corporation, and its Subsidiaries (prior to consummation of the Acquisition). References to Target herein and in the other Loan Documents shall, from and after the Closing Date, mean PRA Health Sciences, Inc.</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the Trans-European Automated Real-time Gross Settlement Express Transfer (TARGET) payment system (or, if such payment system ceases to be operative, such other payment system (if any) reasonably determined by the Administrative Agent to be a suitable replacement) for the settlement of payments in euro.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Credit Agreement</w:t>
      </w:r>
      <w:r>
        <w:rPr>
          <w:rFonts w:ascii="Arial" w:cs="Arial" w:eastAsia="Arial" w:hAnsi="Arial"/>
          <w:sz w:val="18"/>
          <w:szCs w:val="18"/>
          <w:color w:val="auto"/>
        </w:rPr>
        <w:t>” means the Credit Agreement, dated October 28, 2019, by and among the Target, PNC Bank, National Association, as administrative agent, the lenders party thereto and the other parties thereto (as amended, restated, amended and restated, supplemented or otherwise modified from time to time).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Receivables Financing Agreement</w:t>
      </w:r>
      <w:r>
        <w:rPr>
          <w:rFonts w:ascii="Arial" w:cs="Arial" w:eastAsia="Arial" w:hAnsi="Arial"/>
          <w:sz w:val="18"/>
          <w:szCs w:val="18"/>
          <w:color w:val="auto"/>
        </w:rPr>
        <w:t>” means the Receivables Financing Agreement, dated as of March 22, 2016, by and among the Target, PNC Capital Markets LLC, as structuring agent, the lenders party thereto and the other parties thereto (as amended, restated, amended and restated, supplemented or otherwise modified from time to time).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assessments, withholdings or similar charges imposed by any Governmental Authority, including any interest, additions to tax or penalties applicable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Group</w:t>
      </w:r>
      <w:r>
        <w:rPr>
          <w:rFonts w:ascii="Arial" w:cs="Arial" w:eastAsia="Arial" w:hAnsi="Arial"/>
          <w:sz w:val="18"/>
          <w:szCs w:val="18"/>
          <w:color w:val="auto"/>
        </w:rPr>
        <w:t>” has the meaning assigned to such term in Section 6.04(b)(xxii).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TCA</w:t>
      </w:r>
      <w:r>
        <w:rPr>
          <w:rFonts w:ascii="Arial" w:cs="Arial" w:eastAsia="Arial" w:hAnsi="Arial"/>
          <w:sz w:val="18"/>
          <w:szCs w:val="18"/>
          <w:color w:val="auto"/>
        </w:rPr>
        <w:t>” means the Taxes Consolidation Act 1997 of Ireland.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A Facility</w:t>
      </w:r>
      <w:r>
        <w:rPr>
          <w:rFonts w:ascii="Arial" w:cs="Arial" w:eastAsia="Arial" w:hAnsi="Arial"/>
          <w:sz w:val="16"/>
          <w:szCs w:val="16"/>
          <w:color w:val="auto"/>
        </w:rPr>
        <w:t>” means Indebtedness with amortization in excess of 1% and less than or equal to 10% per year that is marketed principally to regulated commercial banks (as determined by Holdings) in an aggregate principal amount for all Term A Facilities outstanding at any time not to exceed the greater of $1,160,000,000 and 100% of Consolidated EBITDA for the Test Period most recently ended on or prior to the date of such determination.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as of any date of determination, each Lender that holds Term Loan Commitments or Term Loans.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Commitments</w:t>
      </w:r>
      <w:r>
        <w:rPr>
          <w:rFonts w:ascii="Arial" w:cs="Arial" w:eastAsia="Arial" w:hAnsi="Arial"/>
          <w:sz w:val="18"/>
          <w:szCs w:val="18"/>
          <w:color w:val="auto"/>
        </w:rPr>
        <w:t>” means, collectively, the Lux Term Loan Commitments, the U.S. Term Loan Commitments, the Extended Term Loan Commitments, the Incremental Term Loan Commitments and the Other Refinancing Term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Increases</w:t>
      </w:r>
      <w:r>
        <w:rPr>
          <w:rFonts w:ascii="Arial" w:cs="Arial" w:eastAsia="Arial" w:hAnsi="Arial"/>
          <w:sz w:val="16"/>
          <w:szCs w:val="16"/>
          <w:color w:val="auto"/>
        </w:rPr>
        <w:t>” means one or more new Incremental Term Loan Commitments which are in the same Tranche as any outstanding 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collectively, the Lux Term Loans, the U.S. Term Loans, any Incremental Term Loan (including any Other Term Loan), any Other Refinancing Term Loans of the applicable Class or any Extended Term Loan.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4" w:name="page85"/>
    <w:bookmarkEnd w:id="8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at any date of determination, the most recently completed four consecutive fiscal quarters ending on or prior to such date for which financial statements are available.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the total assets of the Group, as shown on the most recent balance sheet of Holdings for which financial statements are available on which any calculation of Total Assets is being made, calculated on a Pro Forma Basis in accordance with Section 1.07 to give effect to any Material Acquisition or Material Disposition since the date of such balance sheet. For the avoidance of doubt, any Indebtedness or Lien incurred, Investment or Restricted Payment made in each case was permitted under this Agreement at the time of such incurrence, making or receipt, shall continue to be permitted hereunder, regardless of any subsequent decrease in Total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with respect to any Test Period, the ratio of (a) Consolidated Total Indebtedness net of Unrestricted Cash as of the last day of such Test Period to (b) Consolidated EBITDA for such Test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w:t>
      </w:r>
      <w:r>
        <w:rPr>
          <w:rFonts w:ascii="Arial" w:cs="Arial" w:eastAsia="Arial" w:hAnsi="Arial"/>
          <w:sz w:val="16"/>
          <w:szCs w:val="16"/>
          <w:color w:val="auto"/>
        </w:rPr>
        <w:t>” means a category of Commitments and extensions of credit thereunder (e.g. Lux Term Loans, U.S. Term Loans and Incremental 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(a) the execution, delivery and performance by the Loan Parties of this Agreement and the other Loan Documents, (b) the borrowing of Loans and other credit extensions and the use of the proceeds thereof, (c) the granting of Liens pursuant to the Collateral Documents, (d) the Acquisition (including the execution of the Acquisition Documents, the payment of the Deferred Acquisition Consideration and the other transactions contemplated by the Acquisition Documents), (e) the execution, delivery and performance of the New Note Documents and the issuance of the New Notes thereunder, (f) the Refinancing, (g) any other transactions related to or entered into in connection with any of the foregoing, including without limitation each of the transactions described in the memorandum prepared by KPMG and provided to the Administrative Agent prior to the Closing Date and (h) the payment of the fees and expenses incurred in connection with any of the foregoing.</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Transformative Acquisition</w:t>
      </w:r>
      <w:r>
        <w:rPr>
          <w:rFonts w:ascii="Arial" w:cs="Arial" w:eastAsia="Arial" w:hAnsi="Arial"/>
          <w:sz w:val="18"/>
          <w:szCs w:val="18"/>
          <w:color w:val="auto"/>
        </w:rPr>
        <w:t>” shall mean any acquisition by Holdings, any Borrower or any other Restricted Subsidiary that (i) is not permitted by the terms of the Loan Documents immediately prior to the consummation of such acquisition or (ii) if permitted by the terms of the Loan Documents immediately prior to the consummation of such acquisition, would not provide Holdings, any Borrower and the other Restricted Subsidiaries with adequate flexibility under the Loan Documents for the continuation and/or expansion of their combined operations following such consummation, as determined by the Borrowers acting in good faith.</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Transformative Disposition</w:t>
      </w:r>
      <w:r>
        <w:rPr>
          <w:rFonts w:ascii="Arial" w:cs="Arial" w:eastAsia="Arial" w:hAnsi="Arial"/>
          <w:sz w:val="18"/>
          <w:szCs w:val="18"/>
          <w:color w:val="auto"/>
        </w:rPr>
        <w:t>” shall mean any Disposition by Holdings, any Borrower or any other Restricted Subsidiary that (i) is not permitted by the terms of the Loan Documents immediately prior to the consummation of such disposition or (ii) if permitted by the terms of the Loan Documents immediately prior to the consummation of such disposition, would not provide Holdings, the Borrowers and the other Restricted Subsidiaries with adequate flexibility under the Loan Documents for the continuation and/or expansion of their combined operations following such consummation, as determined by the Borrowers acting in good faith.</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Loans or Borrowings in a single currency and whether the rate of interest on such Loan, or on the Loans comprising such Borrowing, is determined by reference to the Eurocurrency Rate, Daily Simple RFR or the Alternate Base Rate.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5" w:name="page86"/>
    <w:bookmarkEnd w:id="8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Unliquidated Obligations</w:t>
      </w:r>
      <w:r>
        <w:rPr>
          <w:rFonts w:ascii="Arial" w:cs="Arial" w:eastAsia="Arial" w:hAnsi="Arial"/>
          <w:sz w:val="18"/>
          <w:szCs w:val="18"/>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and (iii) an obligation to provide collateral to secure any of the foregoing types of obligations.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at any time the sum of (i) unrestricted cash and Cash Equivalents whether or not held in a pledged account plus (ii) cash and Cash Equivalents restricted in favor of the Obligations (which may also include cash and Cash Equivalents securing other Indebtedness secured by a Lien on the Collateral along with the Obligations at such time), in each case, such unrestricted cash and restricted cash and Cash Equivalents to be determined in accordance with GAAP.</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(1) IGPHS, (2) each Securitization Subsidiary, (3) any Subsidiary that at the time of determination shall be designated an Unrestricted Subsidiary by the Board of Directors of Holdings in accordance with Section 5.10 and (4) any Subsidiary of an Unrestricted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USD Available Tenor</w:t>
      </w:r>
      <w:r>
        <w:rPr>
          <w:rFonts w:ascii="Arial" w:cs="Arial" w:eastAsia="Arial" w:hAnsi="Arial"/>
          <w:sz w:val="16"/>
          <w:szCs w:val="16"/>
          <w:color w:val="auto"/>
        </w:rPr>
        <w:t>” means, as of any date of determination and with respect to any then-current Benchmark for any currency, as applicable,</w:t>
      </w:r>
    </w:p>
    <w:p>
      <w:pPr>
        <w:spacing w:after="0" w:line="46" w:lineRule="exact"/>
        <w:rPr>
          <w:sz w:val="20"/>
          <w:szCs w:val="20"/>
          <w:color w:val="auto"/>
        </w:rPr>
      </w:pPr>
    </w:p>
    <w:p>
      <w:pPr>
        <w:jc w:val="both"/>
        <w:ind w:firstLine="8"/>
        <w:spacing w:after="0" w:line="255" w:lineRule="auto"/>
        <w:tabs>
          <w:tab w:leader="none" w:pos="2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any then-current USD Benchmark is a term rate, any tenor for such Benchmark that is or may be used for determining the length of an Interest Period or (y) otherwise, any payment period for interest calculated with reference to such USD Benchmark, as applicable, pursuant to this Agreement as of such date.</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Benchmark</w:t>
      </w:r>
      <w:r>
        <w:rPr>
          <w:rFonts w:ascii="Arial" w:cs="Arial" w:eastAsia="Arial" w:hAnsi="Arial"/>
          <w:sz w:val="18"/>
          <w:szCs w:val="18"/>
          <w:color w:val="auto"/>
        </w:rPr>
        <w:t xml:space="preserve">” means USD LIBOR;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replacement of an initial or subsequent USD Benchmark has occurred pursuant to Section 2.14, then “USD Benchmark” means the applicable USD Benchmark Replacement to the extent that such USD Benchmark Replacement has replaced such prior benchmark rate. Any reference to “USD Benchmark” shall include, as applicable, the published component used in the calculation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Benchmark Replacement</w:t>
      </w:r>
      <w:r>
        <w:rPr>
          <w:rFonts w:ascii="Arial" w:cs="Arial" w:eastAsia="Arial" w:hAnsi="Arial"/>
          <w:sz w:val="18"/>
          <w:szCs w:val="18"/>
          <w:color w:val="auto"/>
        </w:rPr>
        <w:t>” means, for any USD Available Tenor:</w:t>
      </w:r>
    </w:p>
    <w:p>
      <w:pPr>
        <w:spacing w:after="0" w:line="225" w:lineRule="exact"/>
        <w:rPr>
          <w:sz w:val="20"/>
          <w:szCs w:val="20"/>
          <w:color w:val="auto"/>
        </w:rPr>
      </w:pPr>
    </w:p>
    <w:p>
      <w:pPr>
        <w:ind w:left="2760" w:hanging="808"/>
        <w:spacing w:after="0"/>
        <w:tabs>
          <w:tab w:leader="none" w:pos="27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For purposes of Section 2.14(a), the first alternative set forth below that can be determined by the Administrative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left="1300" w:firstLine="1300"/>
        <w:spacing w:after="0" w:line="263" w:lineRule="auto"/>
        <w:tabs>
          <w:tab w:leader="none" w:pos="33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sum of: (i) USD Term SOFR and (ii) 0.11448% (11.448 basis points) for a USD Available Tenor of one-month’s duration, 0.26161% (26.161 basis points) for a USD Available Tenor of three-months’ duration and 0.42826% (42.826 basis points) for a USD Available Tenor of six-months’ duration, or</w:t>
      </w:r>
    </w:p>
    <w:p>
      <w:pPr>
        <w:spacing w:after="0" w:line="183" w:lineRule="exact"/>
        <w:rPr>
          <w:rFonts w:ascii="Arial" w:cs="Arial" w:eastAsia="Arial" w:hAnsi="Arial"/>
          <w:sz w:val="18"/>
          <w:szCs w:val="18"/>
          <w:color w:val="auto"/>
        </w:rPr>
      </w:pPr>
    </w:p>
    <w:p>
      <w:pPr>
        <w:jc w:val="both"/>
        <w:ind w:left="1300" w:firstLine="1300"/>
        <w:spacing w:after="0" w:line="263" w:lineRule="auto"/>
        <w:tabs>
          <w:tab w:leader="none" w:pos="34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sum of: (i) USD Daily Simple SOFR and (ii) the spread adjustment selected or recommended by the Relevant Governmental Body for the replacement of the tenor of USD LIBOR with a USD SOFR-based rate having approximately the same length as the interest payment period specified in Section 2.14(a);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6" w:name="page87"/>
    <w:bookmarkEnd w:id="86"/>
    <w:p>
      <w:pPr>
        <w:jc w:val="both"/>
        <w:ind w:left="660" w:firstLine="1292"/>
        <w:spacing w:after="0" w:line="257" w:lineRule="auto"/>
        <w:tabs>
          <w:tab w:leader="none" w:pos="26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purposes of 2.14(b), the sum of (a) the alternate benchmark rate and (b) an adjustment (which may be a positive or negative value or zero), in each case, that has been selected by the Administrative Agent and Holdings as the replacement for such USD Available Tenor of such USD Benchmark giving due consideration to any evolving or then-prevailing market convention, including any applicable recommendations made by the Relevant Governmental Body, for Dollar-denominated syndicated credit facilities at such time in the U.S. syndicated loan market;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USD Benchmark Replacement as determined pursuant to clause (i) or (ii) above would be less than the USD Floor, the USD Benchmark Replacement will be deemed to be the USD Floor for the purposes of this Agreement and the other Loan Documents.</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Benchmark Replacement Conforming Changes</w:t>
      </w:r>
      <w:r>
        <w:rPr>
          <w:rFonts w:ascii="Arial" w:cs="Arial" w:eastAsia="Arial" w:hAnsi="Arial"/>
          <w:sz w:val="18"/>
          <w:szCs w:val="18"/>
          <w:color w:val="auto"/>
        </w:rPr>
        <w:t>” means, with respect to any USD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in consultation with Holdings, decides may be appropriate to reflect the adoption and implementation of such USD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USD Benchmark Replacement exists, in such other manner of administration as the Administrative Agent, in consultation with Holdings, decides is reasonably necessary in connection with the administration of this Agreement and the other Loan Documents).</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Benchmark Transition Event</w:t>
      </w:r>
      <w:r>
        <w:rPr>
          <w:rFonts w:ascii="Arial" w:cs="Arial" w:eastAsia="Arial" w:hAnsi="Arial"/>
          <w:sz w:val="18"/>
          <w:szCs w:val="18"/>
          <w:color w:val="auto"/>
        </w:rPr>
        <w:t xml:space="preserve">” means, with respect to any then-current USD Benchmark other than USD LIBOR, the occurrence of one or more of the following events: a public statement or publication of information by or on behalf of the administrator of any then-current USD Benchmark, the regulatory supervisor for the administrator of such USD Benchmark, the Board of Governors of the Federal Reserve System, the Federal Reserve Bank of New York, an insolvency official with jurisdiction over the administrator for such USD Benchmark, a resolution authority with jurisdiction over the administrator for such USD Benchmark or a court or an entity with similar insolvency or resolution authority over the administrator for such USD Benchmark, announcing or stating that (a) such administrator has ceased or will cease on a specified date to provide all USD Available Tenors of such USD Benchmark,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USD Available Tenor of such USD Benchmark or (b) all USD Available Tenors of such USD Benchmark are or will no longer be representative of the underlying market and economic reality that such USD Benchmark is intended to measure and that representativeness will not be restored.</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USD Daily Simple SOFR</w:t>
      </w:r>
      <w:r>
        <w:rPr>
          <w:rFonts w:ascii="Arial" w:cs="Arial" w:eastAsia="Arial" w:hAnsi="Arial"/>
          <w:sz w:val="17"/>
          <w:szCs w:val="17"/>
          <w:color w:val="auto"/>
        </w:rPr>
        <w:t xml:space="preserve">” means, for any day, USD SOFR, with the conventions for this rate (which will include a lookback) being established by the Administrative Agent in accordance with the conventions for this rate recommended by the Relevant Governmental Body for determining “USD Daily Simple SOFR” for syndicated business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Early Opt-in Effective Date</w:t>
      </w:r>
      <w:r>
        <w:rPr>
          <w:rFonts w:ascii="Arial" w:cs="Arial" w:eastAsia="Arial" w:hAnsi="Arial"/>
          <w:sz w:val="18"/>
          <w:szCs w:val="18"/>
          <w:color w:val="auto"/>
        </w:rPr>
        <w:t>” means, with respect to any USD Early Opt-in Election, the sixth (6th) Business Day after the date notice of such USD Early Opt-in Election is provided to the Lenders, so long as the Administrative Agent has not received, by 5:00 p.m. (New York City time) on the fifth (5th) Business Day after the date notice of such USD Early Opt-in Election is provided to the Lenders, written notice of objection to such USD Early Opt-in Election from Lenders comprising the Required Lenders.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7" w:name="page88"/>
    <w:bookmarkEnd w:id="87"/>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Early Opt-in Election</w:t>
      </w:r>
      <w:r>
        <w:rPr>
          <w:rFonts w:ascii="Arial" w:cs="Arial" w:eastAsia="Arial" w:hAnsi="Arial"/>
          <w:sz w:val="18"/>
          <w:szCs w:val="18"/>
          <w:color w:val="auto"/>
        </w:rPr>
        <w:t>” means, in the case of Loans denominated in Dollars, if the then-current USD Benchmark is USD LIBOR, the occurrence of the following:</w:t>
      </w:r>
    </w:p>
    <w:p>
      <w:pPr>
        <w:spacing w:after="0" w:line="170" w:lineRule="exact"/>
        <w:rPr>
          <w:sz w:val="20"/>
          <w:szCs w:val="20"/>
          <w:color w:val="auto"/>
        </w:rPr>
      </w:pPr>
    </w:p>
    <w:p>
      <w:pPr>
        <w:jc w:val="both"/>
        <w:ind w:left="660" w:firstLine="1292"/>
        <w:spacing w:after="0" w:line="257" w:lineRule="auto"/>
        <w:tabs>
          <w:tab w:leader="none" w:pos="25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a notification by the Administrative Agent to (or the request by Holdings to the Administrative Agent to notify) each of the other parties hereto that at least five currently outstanding Dollars denominated syndicated credit facilities in the U.S. syndicated loan market at such time contain (as a result of amendment or as originally executed) a USD SOFR-based rate (including USD SOFR, a term USD SOFR or any other rate based upon USD SOFR) as a benchmark rate (and such syndicated credit facilities are identified in such notice and are publicly available for review), and</w:t>
      </w:r>
    </w:p>
    <w:p>
      <w:pPr>
        <w:spacing w:after="0" w:line="187" w:lineRule="exact"/>
        <w:rPr>
          <w:rFonts w:ascii="Arial" w:cs="Arial" w:eastAsia="Arial" w:hAnsi="Arial"/>
          <w:sz w:val="18"/>
          <w:szCs w:val="18"/>
          <w:color w:val="auto"/>
        </w:rPr>
      </w:pPr>
    </w:p>
    <w:p>
      <w:pPr>
        <w:ind w:left="660" w:firstLine="1292"/>
        <w:spacing w:after="0" w:line="277" w:lineRule="auto"/>
        <w:tabs>
          <w:tab w:leader="none" w:pos="26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Holdings to trigger a fallback from USD LIBOR and the provision by the Administrative Agent of written notice of such election to the Lenders.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the initial USD Benchmark, which is 0% with respect to the Initial Revolving Loans and 0.50% with respect to the Initial Term Loans.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LIBOR</w:t>
      </w:r>
      <w:r>
        <w:rPr>
          <w:rFonts w:ascii="Arial" w:cs="Arial" w:eastAsia="Arial" w:hAnsi="Arial"/>
          <w:sz w:val="18"/>
          <w:szCs w:val="18"/>
          <w:color w:val="auto"/>
        </w:rPr>
        <w:t>” means the London interbank offered rate for Dollars.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SOFR</w:t>
      </w:r>
      <w:r>
        <w:rPr>
          <w:rFonts w:ascii="Arial" w:cs="Arial" w:eastAsia="Arial" w:hAnsi="Arial"/>
          <w:sz w:val="18"/>
          <w:szCs w:val="18"/>
          <w:color w:val="auto"/>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Term SOFR</w:t>
      </w:r>
      <w:r>
        <w:rPr>
          <w:rFonts w:ascii="Arial" w:cs="Arial" w:eastAsia="Arial" w:hAnsi="Arial"/>
          <w:sz w:val="18"/>
          <w:szCs w:val="18"/>
          <w:color w:val="auto"/>
        </w:rPr>
        <w:t>” means, for the applicable corresponding tenor, the forward-looking term rate based on USD SOFR that has been selected or recommended by the Relevant Governmental Body.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w:t>
      </w:r>
      <w:r>
        <w:rPr>
          <w:rFonts w:ascii="Arial" w:cs="Arial" w:eastAsia="Arial" w:hAnsi="Arial"/>
          <w:sz w:val="18"/>
          <w:szCs w:val="18"/>
          <w:color w:val="auto"/>
        </w:rPr>
        <w:t>” has the meaning assigned to such term in the preamble hereto or any Additional Borrower organized under the laws of the United States, any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Corporate Subsidiary</w:t>
      </w:r>
      <w:r>
        <w:rPr>
          <w:rFonts w:ascii="Arial" w:cs="Arial" w:eastAsia="Arial" w:hAnsi="Arial"/>
          <w:sz w:val="17"/>
          <w:szCs w:val="17"/>
          <w:color w:val="auto"/>
        </w:rPr>
        <w:t>” means a Domestic Subsidiary of Holdings that is treated as a corporation for U.S. federal income tax purposes.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Holdco</w:t>
      </w:r>
      <w:r>
        <w:rPr>
          <w:rFonts w:ascii="Arial" w:cs="Arial" w:eastAsia="Arial" w:hAnsi="Arial"/>
          <w:sz w:val="18"/>
          <w:szCs w:val="18"/>
          <w:color w:val="auto"/>
        </w:rPr>
        <w:t>” means ICON US Holdings, Inc., a Delaware corporation and an indirect wholly-owned subsidiary of Holdings.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Security Agreement</w:t>
      </w:r>
      <w:r>
        <w:rPr>
          <w:rFonts w:ascii="Arial" w:cs="Arial" w:eastAsia="Arial" w:hAnsi="Arial"/>
          <w:sz w:val="18"/>
          <w:szCs w:val="18"/>
          <w:color w:val="auto"/>
        </w:rPr>
        <w:t xml:space="preserve">” means that certain Pledge and Security Agreement (including any and all supplements thereto), substantially in the form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dated as of the Closing Date (or such earlier date to the extent executed prior to the Closing Date by certain of the Foreign Grantors (as defined therein) party thereto), between the U.S. Borrower, each other Domestic Subsidiary that is a Subsidiary Guarantor and each Foreign Grantor (as defined therein) party thereto and the Collateral Agent, for the benefit of the Collateral Agent and the other Secured Parties, and any other pledge or security agreement entered into after the date hereof by any other Loan Party that is a Domestic Subsidiary (as required by this Agreement or any other Loan Document), or by any Foreign Loan Party with respect to Domestic Pledged Equity (each as defined in the U.S. Security Agreement), with the Collateral Agent.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has the meaning assigned to such term in Section 9.20.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2.17(e)(i)(A)(iii).</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Term Loan Commitments</w:t>
      </w:r>
      <w:r>
        <w:rPr>
          <w:rFonts w:ascii="Arial" w:cs="Arial" w:eastAsia="Arial" w:hAnsi="Arial"/>
          <w:sz w:val="16"/>
          <w:szCs w:val="16"/>
          <w:color w:val="auto"/>
        </w:rPr>
        <w:t xml:space="preserve">” means with respect to each Term Lender, the commitment, if any, of such Term Lender to make U.S. Term Loans hereunder, as such commitment may be (a) reduced or terminated from time to time pursuant to Section 2.09 and (b) reduced or increased from time to time pursuant to assignments by or to such Term Lender pursuant to Section 9.04. The amount of each Term Lender’s U.S. Term Loan Commitment as of the Closing Date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or in the Assignment and Assumption (or other documentation contemplated by this Agreement) pursuant to which such Term Lender shall have assumed its U.S. Term Loan Commitment, as applicable, and any other Refinancing Commitments and any Incremental Term Loan Commitments. The aggregate principal amount of the U.S. Term Loan Commitments on the Closing Date is $1,100,000,000.</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Term Loan Repayment Date</w:t>
      </w:r>
      <w:r>
        <w:rPr>
          <w:rFonts w:ascii="Arial" w:cs="Arial" w:eastAsia="Arial" w:hAnsi="Arial"/>
          <w:sz w:val="18"/>
          <w:szCs w:val="18"/>
          <w:color w:val="auto"/>
        </w:rPr>
        <w:t>” has the meaning assigned to such term in Section 2.10(a)(ii).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Term Loans</w:t>
      </w:r>
      <w:r>
        <w:rPr>
          <w:rFonts w:ascii="Arial" w:cs="Arial" w:eastAsia="Arial" w:hAnsi="Arial"/>
          <w:sz w:val="16"/>
          <w:szCs w:val="16"/>
          <w:color w:val="auto"/>
        </w:rPr>
        <w:t>” means the term loans made by the Term Lenders to the U.S. Borrower on the Closing Date pursuant to Section 2.01. Each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 Loan shall be a Eurocurrency Loan denominated in Dollars or an ABR Loan denominated in Dollars.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of any specified Person means as of any date the Equity Interests of such Person of the class or classes that has the general voting power under ordinary circumstances to elect at least a majority of the Board of Directors of such Person (irrespective of whether or not at the time Equity Interests of any other class or classes shall have or might have voting power by reason of the happening of any contingency).</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transfer or dilute shares issued by a person that is a bank or investment firm or other financial institution or affiliate of a bank, investment firm or other financial institution,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9" w:name="page90"/>
    <w:bookmarkEnd w:id="89"/>
    <w:p>
      <w:pPr>
        <w:jc w:val="both"/>
        <w:ind w:firstLine="648"/>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“Term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Term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“Term Loan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“Term Loan Eurocurrency Borrowing”).</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 Any references in this Agreement or any other Loan Document to “Permitted Liens” is not intended to subordinate or postpone, and shall not be interpreted as subordinating or postponing, or as any agreement to subordinate or postpone, any Lien created by any of the Loan Documents to any Permitted Lien.</w:t>
      </w:r>
    </w:p>
    <w:p>
      <w:pPr>
        <w:spacing w:after="0" w:line="19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Holdings notifies the Administrative Agent that Holdings requests an amendment to any provision hereof to eliminate the effect of any change occurring after the Closing Date in GAAP or in the application thereof on the operation of such provision (or if the Administrative Agent notifies Holdings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At any time after the Closing Date, Holdings may elect (by written notice to the Administrative Agent) to change its financial reporting (both hereunder and for its audited financial statements generally) from GAAP to International Financial Reporting Standards (as issued by the International Accounting Standards Board and the International Financial Reporting Standards Interpretations Committee and/or adopted by the European Union (“</w:t>
      </w:r>
      <w:r>
        <w:rPr>
          <w:rFonts w:ascii="Arial" w:cs="Arial" w:eastAsia="Arial" w:hAnsi="Arial"/>
          <w:sz w:val="16"/>
          <w:szCs w:val="16"/>
          <w:u w:val="single" w:color="auto"/>
          <w:color w:val="auto"/>
        </w:rPr>
        <w:t>IFRS</w:t>
      </w:r>
      <w:r>
        <w:rPr>
          <w:rFonts w:ascii="Arial" w:cs="Arial" w:eastAsia="Arial" w:hAnsi="Arial"/>
          <w:sz w:val="16"/>
          <w:szCs w:val="16"/>
          <w:color w:val="auto"/>
        </w:rPr>
        <w:t>”)), as in effect from time to time, in which case all references herein to GAAP (except for historical financial statements theretofore prepared in accordance with GAAP) shall instead be deemed references to the IFRS and the related accounting standards as shown in the first set of audited financial statements prepared in accordance therewith and delivered pursuant to this Agreement; provided that, if Holdings notifies the Administrative Agent that Holdings requests an amendment to any provision hereof to eliminate the effect of any change occurring as a result of the adoption of IFRS or in the application thereof on the operation of such provision (or if the Administrative Agent notifies Holdings that the Administrative Agent or the Required Lenders request an amendment to any provision hereof for such purpose), then such provision shall be interpreted on the basis of GAAP as otherwise required above (and without regard to this sentence) until such notice shall have been withdrawn or such provision amended in accordance herewith; provided further that, if, after the adoption of IFRS by Holdings, Holdings notifies the Administrative Agent that Holdings requests an amendment to any provision hereof to eliminate the effect of any change in IFRS occurring after such adoption of IFRS or in the application thereof on the operation of such provision (or if the Administrative Agent notifies Holdings that the Required Lenders request an amendment to any provision hereof for such purpose), regardless of whether any such notice is given before or after such change in IFRS or in the application thereof, then such provision shall be interpreted on the basis of IFRS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Holdings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without giving effect to the financial condition, results and performance of the Unrestricted Subsidiaries. For purposes of calculating Consolidated Net Income, Total Assets and Consolidated EBITDA under this Agreement and any other Loan Document, IGPHS shall be treated as a Restricted Subsidiary of Holdings, notwithstanding the fact that IGPHS is an Unrestricted Subsidiary for all other purposes of the Loan Documents.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0" w:name="page91"/>
    <w:bookmarkEnd w:id="90"/>
    <w:p>
      <w:pPr>
        <w:ind w:left="660"/>
        <w:spacing w:after="0"/>
        <w:tabs>
          <w:tab w:leader="none" w:pos="19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Special Luxembourg Provisions</w:t>
      </w:r>
      <w:r>
        <w:rPr>
          <w:rFonts w:ascii="Arial" w:cs="Arial" w:eastAsia="Arial" w:hAnsi="Arial"/>
          <w:sz w:val="17"/>
          <w:szCs w:val="17"/>
          <w:color w:val="auto"/>
        </w:rPr>
        <w:t>. Words in the English language used in this Agreement to describe Luxembourg law concepts only intend to describe such concepts and the consequences of the use of those words in English law or any other foreign law are to be disregarded.</w:t>
      </w:r>
    </w:p>
    <w:p>
      <w:pPr>
        <w:spacing w:after="0" w:line="14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Without prejudice to the generality of any provision of this Agreement, to the extent this Agreement relates to any Luxembourg Loan Party or any entity incorporated or existing under the laws of Luxembourg, a reference to: (a) a winding-up, administration or dissolution includes, without limitation, bankruptcy (</w:t>
      </w:r>
      <w:r>
        <w:rPr>
          <w:rFonts w:ascii="Arial" w:cs="Arial" w:eastAsia="Arial" w:hAnsi="Arial"/>
          <w:sz w:val="17"/>
          <w:szCs w:val="17"/>
          <w:i w:val="1"/>
          <w:iCs w:val="1"/>
          <w:color w:val="auto"/>
        </w:rPr>
        <w:t>faillite</w:t>
      </w:r>
      <w:r>
        <w:rPr>
          <w:rFonts w:ascii="Arial" w:cs="Arial" w:eastAsia="Arial" w:hAnsi="Arial"/>
          <w:sz w:val="17"/>
          <w:szCs w:val="17"/>
          <w:color w:val="auto"/>
        </w:rPr>
        <w:t>), insolvency, liquidation, composition with creditors (</w:t>
      </w:r>
      <w:r>
        <w:rPr>
          <w:rFonts w:ascii="Arial" w:cs="Arial" w:eastAsia="Arial" w:hAnsi="Arial"/>
          <w:sz w:val="17"/>
          <w:szCs w:val="17"/>
          <w:i w:val="1"/>
          <w:iCs w:val="1"/>
          <w:color w:val="auto"/>
        </w:rPr>
        <w:t>concordat préventif de la faillite</w:t>
      </w:r>
      <w:r>
        <w:rPr>
          <w:rFonts w:ascii="Arial" w:cs="Arial" w:eastAsia="Arial" w:hAnsi="Arial"/>
          <w:sz w:val="17"/>
          <w:szCs w:val="17"/>
          <w:color w:val="auto"/>
        </w:rPr>
        <w:t>), moratorium or reprieve from payment (</w:t>
      </w:r>
      <w:r>
        <w:rPr>
          <w:rFonts w:ascii="Arial" w:cs="Arial" w:eastAsia="Arial" w:hAnsi="Arial"/>
          <w:sz w:val="17"/>
          <w:szCs w:val="17"/>
          <w:i w:val="1"/>
          <w:iCs w:val="1"/>
          <w:color w:val="auto"/>
        </w:rPr>
        <w:t>sursis de paiement</w:t>
      </w:r>
      <w:r>
        <w:rPr>
          <w:rFonts w:ascii="Arial" w:cs="Arial" w:eastAsia="Arial" w:hAnsi="Arial"/>
          <w:sz w:val="17"/>
          <w:szCs w:val="17"/>
          <w:color w:val="auto"/>
        </w:rPr>
        <w:t>), controlled management (</w:t>
      </w:r>
      <w:r>
        <w:rPr>
          <w:rFonts w:ascii="Arial" w:cs="Arial" w:eastAsia="Arial" w:hAnsi="Arial"/>
          <w:sz w:val="17"/>
          <w:szCs w:val="17"/>
          <w:i w:val="1"/>
          <w:iCs w:val="1"/>
          <w:color w:val="auto"/>
        </w:rPr>
        <w:t>gestion contrôlée</w:t>
      </w:r>
      <w:r>
        <w:rPr>
          <w:rFonts w:ascii="Arial" w:cs="Arial" w:eastAsia="Arial" w:hAnsi="Arial"/>
          <w:sz w:val="17"/>
          <w:szCs w:val="17"/>
          <w:color w:val="auto"/>
        </w:rPr>
        <w:t>), fraudulent conveyance (</w:t>
      </w:r>
      <w:r>
        <w:rPr>
          <w:rFonts w:ascii="Arial" w:cs="Arial" w:eastAsia="Arial" w:hAnsi="Arial"/>
          <w:sz w:val="17"/>
          <w:szCs w:val="17"/>
          <w:i w:val="1"/>
          <w:iCs w:val="1"/>
          <w:color w:val="auto"/>
        </w:rPr>
        <w:t>actio pauliana</w:t>
      </w:r>
      <w:r>
        <w:rPr>
          <w:rFonts w:ascii="Arial" w:cs="Arial" w:eastAsia="Arial" w:hAnsi="Arial"/>
          <w:sz w:val="17"/>
          <w:szCs w:val="17"/>
          <w:color w:val="auto"/>
        </w:rPr>
        <w:t xml:space="preserve">), general settlement with creditors, reorganization or similar laws affecting the rights of creditors generally; (b) a receiver, administrative receiver, administrator, trustee, custodian, sequestrator, conservator or similar officer appointed for the reorganization or liquidation of the business of a Person includes, without limitation, a </w:t>
      </w:r>
      <w:r>
        <w:rPr>
          <w:rFonts w:ascii="Arial" w:cs="Arial" w:eastAsia="Arial" w:hAnsi="Arial"/>
          <w:sz w:val="17"/>
          <w:szCs w:val="17"/>
          <w:i w:val="1"/>
          <w:iCs w:val="1"/>
          <w:color w:val="auto"/>
        </w:rPr>
        <w:t>juge</w:t>
      </w:r>
      <w:r>
        <w:rPr>
          <w:rFonts w:ascii="Arial" w:cs="Arial" w:eastAsia="Arial" w:hAnsi="Arial"/>
          <w:sz w:val="17"/>
          <w:szCs w:val="17"/>
          <w:color w:val="auto"/>
        </w:rPr>
        <w:t xml:space="preserve"> </w:t>
      </w:r>
      <w:r>
        <w:rPr>
          <w:rFonts w:ascii="Arial" w:cs="Arial" w:eastAsia="Arial" w:hAnsi="Arial"/>
          <w:sz w:val="17"/>
          <w:szCs w:val="17"/>
          <w:i w:val="1"/>
          <w:iCs w:val="1"/>
          <w:color w:val="auto"/>
        </w:rPr>
        <w:t>délégué</w:t>
      </w:r>
      <w:r>
        <w:rPr>
          <w:rFonts w:ascii="Arial" w:cs="Arial" w:eastAsia="Arial" w:hAnsi="Arial"/>
          <w:sz w:val="17"/>
          <w:szCs w:val="17"/>
          <w:color w:val="auto"/>
        </w:rPr>
        <w:t>,</w:t>
      </w:r>
      <w:r>
        <w:rPr>
          <w:rFonts w:ascii="Arial" w:cs="Arial" w:eastAsia="Arial" w:hAnsi="Arial"/>
          <w:sz w:val="17"/>
          <w:szCs w:val="17"/>
          <w:i w:val="1"/>
          <w:iCs w:val="1"/>
          <w:color w:val="auto"/>
        </w:rPr>
        <w:t xml:space="preserve"> commissaire</w:t>
      </w:r>
      <w:r>
        <w:rPr>
          <w:rFonts w:ascii="Arial" w:cs="Arial" w:eastAsia="Arial" w:hAnsi="Arial"/>
          <w:sz w:val="17"/>
          <w:szCs w:val="17"/>
          <w:color w:val="auto"/>
        </w:rPr>
        <w:t>,</w:t>
      </w:r>
      <w:r>
        <w:rPr>
          <w:rFonts w:ascii="Arial" w:cs="Arial" w:eastAsia="Arial" w:hAnsi="Arial"/>
          <w:sz w:val="17"/>
          <w:szCs w:val="17"/>
          <w:i w:val="1"/>
          <w:iCs w:val="1"/>
          <w:color w:val="auto"/>
        </w:rPr>
        <w:t xml:space="preserve"> juge-commissaire</w:t>
      </w:r>
      <w:r>
        <w:rPr>
          <w:rFonts w:ascii="Arial" w:cs="Arial" w:eastAsia="Arial" w:hAnsi="Arial"/>
          <w:sz w:val="17"/>
          <w:szCs w:val="17"/>
          <w:color w:val="auto"/>
        </w:rPr>
        <w:t>,</w:t>
      </w:r>
      <w:r>
        <w:rPr>
          <w:rFonts w:ascii="Arial" w:cs="Arial" w:eastAsia="Arial" w:hAnsi="Arial"/>
          <w:sz w:val="17"/>
          <w:szCs w:val="17"/>
          <w:i w:val="1"/>
          <w:iCs w:val="1"/>
          <w:color w:val="auto"/>
        </w:rPr>
        <w:t xml:space="preserve"> mandataire ad hoc</w:t>
      </w:r>
      <w:r>
        <w:rPr>
          <w:rFonts w:ascii="Arial" w:cs="Arial" w:eastAsia="Arial" w:hAnsi="Arial"/>
          <w:sz w:val="17"/>
          <w:szCs w:val="17"/>
          <w:color w:val="auto"/>
        </w:rPr>
        <w:t>,</w:t>
      </w:r>
      <w:r>
        <w:rPr>
          <w:rFonts w:ascii="Arial" w:cs="Arial" w:eastAsia="Arial" w:hAnsi="Arial"/>
          <w:sz w:val="17"/>
          <w:szCs w:val="17"/>
          <w:i w:val="1"/>
          <w:iCs w:val="1"/>
          <w:color w:val="auto"/>
        </w:rPr>
        <w:t xml:space="preserve"> administrateur provisoire</w:t>
      </w:r>
      <w:r>
        <w:rPr>
          <w:rFonts w:ascii="Arial" w:cs="Arial" w:eastAsia="Arial" w:hAnsi="Arial"/>
          <w:sz w:val="17"/>
          <w:szCs w:val="17"/>
          <w:color w:val="auto"/>
        </w:rPr>
        <w:t>,</w:t>
      </w:r>
      <w:r>
        <w:rPr>
          <w:rFonts w:ascii="Arial" w:cs="Arial" w:eastAsia="Arial" w:hAnsi="Arial"/>
          <w:sz w:val="17"/>
          <w:szCs w:val="17"/>
          <w:i w:val="1"/>
          <w:iCs w:val="1"/>
          <w:color w:val="auto"/>
        </w:rPr>
        <w:t xml:space="preserve"> liquidateur </w:t>
      </w:r>
      <w:r>
        <w:rPr>
          <w:rFonts w:ascii="Arial" w:cs="Arial" w:eastAsia="Arial" w:hAnsi="Arial"/>
          <w:sz w:val="17"/>
          <w:szCs w:val="17"/>
          <w:color w:val="auto"/>
        </w:rPr>
        <w:t>or</w:t>
      </w:r>
      <w:r>
        <w:rPr>
          <w:rFonts w:ascii="Arial" w:cs="Arial" w:eastAsia="Arial" w:hAnsi="Arial"/>
          <w:sz w:val="17"/>
          <w:szCs w:val="17"/>
          <w:i w:val="1"/>
          <w:iCs w:val="1"/>
          <w:color w:val="auto"/>
        </w:rPr>
        <w:t xml:space="preserve"> curateur</w:t>
      </w:r>
      <w:r>
        <w:rPr>
          <w:rFonts w:ascii="Arial" w:cs="Arial" w:eastAsia="Arial" w:hAnsi="Arial"/>
          <w:sz w:val="17"/>
          <w:szCs w:val="17"/>
          <w:color w:val="auto"/>
        </w:rPr>
        <w:t>; (c) a lien or security interest includes any</w:t>
      </w:r>
      <w:r>
        <w:rPr>
          <w:rFonts w:ascii="Arial" w:cs="Arial" w:eastAsia="Arial" w:hAnsi="Arial"/>
          <w:sz w:val="17"/>
          <w:szCs w:val="17"/>
          <w:i w:val="1"/>
          <w:iCs w:val="1"/>
          <w:color w:val="auto"/>
        </w:rPr>
        <w:t xml:space="preserve"> hypothèque, nantissement, gage, privilège, sûreté réelle, droit de rétention </w:t>
      </w:r>
      <w:r>
        <w:rPr>
          <w:rFonts w:ascii="Arial" w:cs="Arial" w:eastAsia="Arial" w:hAnsi="Arial"/>
          <w:sz w:val="17"/>
          <w:szCs w:val="17"/>
          <w:color w:val="auto"/>
        </w:rPr>
        <w:t>and any type of security in rem (</w:t>
      </w:r>
      <w:r>
        <w:rPr>
          <w:rFonts w:ascii="Arial" w:cs="Arial" w:eastAsia="Arial" w:hAnsi="Arial"/>
          <w:sz w:val="17"/>
          <w:szCs w:val="17"/>
          <w:i w:val="1"/>
          <w:iCs w:val="1"/>
          <w:color w:val="auto"/>
        </w:rPr>
        <w:t>sûreté réelle</w:t>
      </w:r>
      <w:r>
        <w:rPr>
          <w:rFonts w:ascii="Arial" w:cs="Arial" w:eastAsia="Arial" w:hAnsi="Arial"/>
          <w:sz w:val="17"/>
          <w:szCs w:val="17"/>
          <w:color w:val="auto"/>
        </w:rPr>
        <w:t>) or agreement or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having a similar effect and any transfer of title by way of security; (d) a person being unable to pay its debts includes that person being in a state of </w:t>
      </w:r>
      <w:r>
        <w:rPr>
          <w:rFonts w:ascii="Arial" w:cs="Arial" w:eastAsia="Arial" w:hAnsi="Arial"/>
          <w:sz w:val="17"/>
          <w:szCs w:val="17"/>
          <w:i w:val="1"/>
          <w:iCs w:val="1"/>
          <w:color w:val="auto"/>
        </w:rPr>
        <w:t>cessation de paiements</w:t>
      </w:r>
      <w:r>
        <w:rPr>
          <w:rFonts w:ascii="Arial" w:cs="Arial" w:eastAsia="Arial" w:hAnsi="Arial"/>
          <w:sz w:val="17"/>
          <w:szCs w:val="17"/>
          <w:color w:val="auto"/>
        </w:rPr>
        <w:t>; (e) creditors process means an executory attachment (</w:t>
      </w:r>
      <w:r>
        <w:rPr>
          <w:rFonts w:ascii="Arial" w:cs="Arial" w:eastAsia="Arial" w:hAnsi="Arial"/>
          <w:sz w:val="17"/>
          <w:szCs w:val="17"/>
          <w:i w:val="1"/>
          <w:iCs w:val="1"/>
          <w:color w:val="auto"/>
        </w:rPr>
        <w:t>saisie exécutoire</w:t>
      </w:r>
      <w:r>
        <w:rPr>
          <w:rFonts w:ascii="Arial" w:cs="Arial" w:eastAsia="Arial" w:hAnsi="Arial"/>
          <w:sz w:val="17"/>
          <w:szCs w:val="17"/>
          <w:color w:val="auto"/>
        </w:rPr>
        <w:t>) or conservatory attachment (</w:t>
      </w:r>
      <w:r>
        <w:rPr>
          <w:rFonts w:ascii="Arial" w:cs="Arial" w:eastAsia="Arial" w:hAnsi="Arial"/>
          <w:sz w:val="17"/>
          <w:szCs w:val="17"/>
          <w:i w:val="1"/>
          <w:iCs w:val="1"/>
          <w:color w:val="auto"/>
        </w:rPr>
        <w:t>saisie conservatoire</w:t>
      </w:r>
      <w:r>
        <w:rPr>
          <w:rFonts w:ascii="Arial" w:cs="Arial" w:eastAsia="Arial" w:hAnsi="Arial"/>
          <w:sz w:val="17"/>
          <w:szCs w:val="17"/>
          <w:color w:val="auto"/>
        </w:rPr>
        <w:t>); (f) by-laws or constitutional documents includes its up-to-date (restated) articles of association (</w:t>
      </w:r>
      <w:r>
        <w:rPr>
          <w:rFonts w:ascii="Arial" w:cs="Arial" w:eastAsia="Arial" w:hAnsi="Arial"/>
          <w:sz w:val="17"/>
          <w:szCs w:val="17"/>
          <w:i w:val="1"/>
          <w:iCs w:val="1"/>
          <w:color w:val="auto"/>
        </w:rPr>
        <w:t>statuts coordonnés</w:t>
      </w:r>
      <w:r>
        <w:rPr>
          <w:rFonts w:ascii="Arial" w:cs="Arial" w:eastAsia="Arial" w:hAnsi="Arial"/>
          <w:sz w:val="17"/>
          <w:szCs w:val="17"/>
          <w:color w:val="auto"/>
        </w:rPr>
        <w:t xml:space="preserve">) and (g) a director, a manager or authorized officer includes an </w:t>
      </w:r>
      <w:r>
        <w:rPr>
          <w:rFonts w:ascii="Arial" w:cs="Arial" w:eastAsia="Arial" w:hAnsi="Arial"/>
          <w:sz w:val="17"/>
          <w:szCs w:val="17"/>
          <w:i w:val="1"/>
          <w:iCs w:val="1"/>
          <w:color w:val="auto"/>
        </w:rPr>
        <w:t>administrateur</w:t>
      </w:r>
      <w:r>
        <w:rPr>
          <w:rFonts w:ascii="Arial" w:cs="Arial" w:eastAsia="Arial" w:hAnsi="Arial"/>
          <w:sz w:val="17"/>
          <w:szCs w:val="17"/>
          <w:color w:val="auto"/>
        </w:rPr>
        <w:t xml:space="preserve"> or a </w:t>
      </w:r>
      <w:r>
        <w:rPr>
          <w:rFonts w:ascii="Arial" w:cs="Arial" w:eastAsia="Arial" w:hAnsi="Arial"/>
          <w:sz w:val="17"/>
          <w:szCs w:val="17"/>
          <w:i w:val="1"/>
          <w:iCs w:val="1"/>
          <w:color w:val="auto"/>
        </w:rPr>
        <w:t>gérant</w:t>
      </w:r>
      <w:r>
        <w:rPr>
          <w:rFonts w:ascii="Arial" w:cs="Arial" w:eastAsia="Arial" w:hAnsi="Arial"/>
          <w:sz w:val="17"/>
          <w:szCs w:val="17"/>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1" w:name="page92"/>
    <w:bookmarkEnd w:id="91"/>
    <w:p>
      <w:pPr>
        <w:ind w:left="640"/>
        <w:spacing w:after="0"/>
        <w:tabs>
          <w:tab w:leader="none" w:pos="19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Certain Conditions, Calculations and Tests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68" w:lineRule="auto"/>
        <w:tabs>
          <w:tab w:leader="none" w:pos="20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financial ratios and tests, including the First Lien Net Leverage Ratio, the Secured Net Leverage Ratio, the Total Net Leverage Ratio, the Fixed Charge Coverage Ratio and the determination of any basket or covenant based on Consolidated EBITDA or Total Assets shall be calculated in the manner prescribed by this Section 1.07;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to the contrary in clause (b) of this Section 1.07, when calculating the Secured Net Leverage Ratio, the First Lien Net Leverage Ratio and the Total Net Leverage Ratio, each as applicable, for purposes of (i) the definition of “Applicable Margin”, (ii) the definition of “ECF Payment Amount” and (iii) Section 6.12 (other than for the purpose of determining pro forma compliance with Section 6.12), the events described in this Section 1.07 that occurred subsequent to the end of the applicable Test Period shall not be given Pro Forma Effect. In addition, whenever a financial ratio or test or determination of Consolidated EBITDA or Total Assets is to be calculated on a Pro Forma Basis, the reference to “Test Period” for purposes of calculating such financial ratio or test or determination of Consolidated EBITDA or Total Assets shall be deemed to be a reference to, and shall be based on, the most recently ended Test Period for which internal financial statements of Holdings are available (as determined in good faith by Holdings). For the avoidance of doubt, the provisions of the foregoing sentence shall not apply for purposes of calculating the Secured Net Leverage Ratio, the First Lien Net Leverage Ratio or the Total Net Leverage Ratio, each as applicable, for purposes of (i) the definition of “ECF Payment Amount” and (ii) Section 6.12 (other than for the purpose of determining pro forma compliance with Section 6.12), each of which shall be based on the financial statements delivered pursuant to Section 5.01(a) or (b), as applicable, for the relevant Test Period.</w:t>
      </w:r>
    </w:p>
    <w:p>
      <w:pPr>
        <w:spacing w:after="0" w:line="184" w:lineRule="exact"/>
        <w:rPr>
          <w:rFonts w:ascii="Arial" w:cs="Arial" w:eastAsia="Arial" w:hAnsi="Arial"/>
          <w:sz w:val="17"/>
          <w:szCs w:val="17"/>
          <w:color w:val="auto"/>
        </w:rPr>
      </w:pPr>
    </w:p>
    <w:p>
      <w:pPr>
        <w:jc w:val="both"/>
        <w:ind w:left="-20" w:firstLine="1304"/>
        <w:spacing w:after="0" w:line="288" w:lineRule="auto"/>
        <w:tabs>
          <w:tab w:leader="none" w:pos="1997"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purposes of calculating any financial ratio or test (or Consolidated EBITDA or Total Assets), Specified Transactions (with any incurrence or repayment of any Indebtedness in connection therewith to be subject to clause (d) of this Section 1.07) that have been made (i) during the applicable Test Period or (ii) if applicable as described in clause (a) above, subsequent to such Test Period and prior to or simultaneously with the event for which the calculation of any such ratio or test (or Consolidated EBITDA or Total Assets)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Test Period (or, in the case of Consolidated EBITDA or Total Assets, on the last day of the applicable Test Period). If since the beginning of any applicable Test Period any Person that subsequently became a Restricted Subsidiary or was merged, amalgamated or consolidated with or into Holdings or any of its Restricted Subsidiaries since the beginning of such Test Period shall have made any Specified Transaction that would have required adjustment pursuant to this Section 1.07, then such financial ratio or test (or Consolidated EBITDA or Total Assets) shall be calculated to give Pro Forma Effect thereto in accordance with this Section 1.07.</w:t>
      </w:r>
    </w:p>
    <w:p>
      <w:pPr>
        <w:spacing w:after="0" w:line="168" w:lineRule="exact"/>
        <w:rPr>
          <w:rFonts w:ascii="Arial" w:cs="Arial" w:eastAsia="Arial" w:hAnsi="Arial"/>
          <w:sz w:val="16"/>
          <w:szCs w:val="16"/>
          <w:color w:val="auto"/>
        </w:rPr>
      </w:pPr>
    </w:p>
    <w:p>
      <w:pPr>
        <w:jc w:val="both"/>
        <w:ind w:left="-20" w:firstLine="1304"/>
        <w:spacing w:after="0" w:line="286" w:lineRule="auto"/>
        <w:tabs>
          <w:tab w:leader="none" w:pos="19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Whenever Pro Forma Effect is to be given to a Specified Transaction, the pro forma calculations shall be made in good faith by a responsible financial or accounting officer of Holdings and may include, for the avoidance of doubt, the amount of Run-rate cost savings, synergies and operating expense reductions projected by Holdings to be realized as a result of any Specified Transaction (including the Transactions) which is being given Pro Forma Effect that have been realized or are expected to be realized and for which the actions necessary to realize such cost savings, operating expense reductions and synergies are taken, committed to be taken or with respect to which substantial steps have been taken or are expected in good faith to be taken (calculated on a Pro Forma Basis as though such cost savings, operating expense reductions and synergies had been realized on the first day of such period and as if such cost savings, operating expense reductions and synergies were realized during the entirety of such period and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amounts are reasonably identifiable and factually supportable in the good faith judgment of Holdings, (B) the aggregate amount of cost savings, synergies and operating expense reductions, when aggregated with the addbacks being made for such Test Period pursuant to clause (vii) of the definition of Consolidated EBITDA, shall not exceed the cap set forth therein, (C) any cost savings, synergies and operating expense reductions included pursuant to this Section 1.08(c) shall be subject to the other limitations set forth in clause (vii) of the definition of Consolidated EBITDA and (D) no amounts shall be added to the extent duplicative of any amounts that are otherwise added back in computing Consolidated EBITDA (or any other components thereof), whether through a pro forma adjustment or otherwise, with respect to such period.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92" w:name="page93"/>
    <w:bookmarkEnd w:id="92"/>
    <w:p>
      <w:pPr>
        <w:jc w:val="both"/>
        <w:ind w:left="-20" w:firstLine="1304"/>
        <w:spacing w:after="0" w:line="269" w:lineRule="auto"/>
        <w:tabs>
          <w:tab w:leader="none" w:pos="1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the event that (w) Holdings or any Restricted Subsidiary incurs (including by assumption or guarantees) or repays (including by redemption, repayment, retirement or extinguishment) any Indebtedness (other than Indebtedness incurred or repaid under any revolving credit facility (including, without limitation, the Revolving Loans) in the ordinary course of business for working capital purposes), (x) Holdings or any Restricted Subsidiary issues, repurchases or redeems Disqualified Equity Interests or (y) any Restricted Subsidiary issues, repurchases or redeems Preferred Equity, (i) during the applicable Test Period or (ii) if applicable as described in clause (a)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or such issuance or redemption of Disqualified Equity Interests or Preferred Equity, in each case to the extent required, as if the same had occurred on the last day of the applicable Test Period (except in the case of the Fixed Charge Coverage Ratio (or similar ratio), in which case such incurrence, assumption, guarantee, redemption, repayment, retirement or extinguishment of Indebtedness or such issuance, repurchase or redemption of Disqualified Equity Interests or Preferred Equity will be given effect, as if the same had occurred on the first day of the applicable Test Period).</w:t>
      </w:r>
    </w:p>
    <w:p>
      <w:pPr>
        <w:spacing w:after="0" w:line="181" w:lineRule="exact"/>
        <w:rPr>
          <w:rFonts w:ascii="Arial" w:cs="Arial" w:eastAsia="Arial" w:hAnsi="Arial"/>
          <w:sz w:val="17"/>
          <w:szCs w:val="17"/>
          <w:color w:val="auto"/>
        </w:rPr>
      </w:pPr>
    </w:p>
    <w:p>
      <w:pPr>
        <w:jc w:val="both"/>
        <w:ind w:left="-20" w:firstLine="1304"/>
        <w:spacing w:after="0" w:line="270" w:lineRule="auto"/>
        <w:tabs>
          <w:tab w:leader="none" w:pos="1962"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any Indebtedness bears a floating rate of interest and is being given Pro Forma Effect, the interest on such Indebtedness shall be calculated as if the rate in effect on the date of the event for which the calculation of the Fixed Charge Coverage Ratio is made had been the applicable margin for the entire period (taking into account any interest hedging arrangements applicable to such Indebtedness). Interest on a Capital Lease Obligation shall be deemed to accrue at an interest rate reasonably determined by a Responsible Officer of Holdings to be the rate of interest implicit in such Capital Lease Obligation in accordance with GAAP. For purposes of the computation above, interest on any Indebtedness under a revolving credit facility computed on a Pro Forma Basis shall be computed on the average daily balances of such Indebtedness during the applicable period.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Holdings or Restricted Subsidiary may designate.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93" w:name="page94"/>
    <w:bookmarkEnd w:id="93"/>
    <w:p>
      <w:pPr>
        <w:jc w:val="both"/>
        <w:ind w:left="-20" w:firstLine="1304"/>
        <w:spacing w:after="0" w:line="284" w:lineRule="auto"/>
        <w:tabs>
          <w:tab w:leader="none" w:pos="1988" w:val="left"/>
        </w:tabs>
        <w:numPr>
          <w:ilvl w:val="0"/>
          <w:numId w:val="69"/>
        </w:numPr>
        <w:rPr>
          <w:rFonts w:ascii="Arial" w:cs="Arial" w:eastAsia="Arial" w:hAnsi="Arial"/>
          <w:sz w:val="16"/>
          <w:szCs w:val="16"/>
          <w:color w:val="auto"/>
        </w:rPr>
      </w:pPr>
      <w:r>
        <w:rPr>
          <w:rFonts w:ascii="Arial" w:cs="Arial" w:eastAsia="Arial" w:hAnsi="Arial"/>
          <w:sz w:val="16"/>
          <w:szCs w:val="16"/>
          <w:color w:val="auto"/>
        </w:rPr>
        <w:t>Solely for purposes of determining (i) compliance on a Pro Forma Basis with any provision of this Agreement that requires the calculation of the First Lien Net Leverage Ratio, Secured Net Leverage Ratio, Total Net Leverage Ratio, Fixed Charge Coverage Ratio, Total Assets or Consolidated EBITDA or (ii) whether a Default or an Event of Default has occurred and is continuing, in each case in connection with any determination as to whether a Limited Condition Transaction or any Indebtedness and Liens to be incurred in connection with such Limited Condition Transaction is permitted to be consummated, the date of determination of whether such Limited Condition Transaction or any Indebtedness and Liens to be incurred in connection with such Limited Condition Transaction is permitted hereunder shall, at the option of Holdings, be the date on which the definitive agreements for such Limited Condition Transaction are entered into or the date such irrevocable notice or offer for such Limited Condition Transaction is delivered, as applicable (the “</w:t>
      </w:r>
      <w:r>
        <w:rPr>
          <w:rFonts w:ascii="Arial" w:cs="Arial" w:eastAsia="Arial" w:hAnsi="Arial"/>
          <w:sz w:val="16"/>
          <w:szCs w:val="16"/>
          <w:u w:val="single" w:color="auto"/>
          <w:color w:val="auto"/>
        </w:rPr>
        <w:t>LCT Test Date</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exercise such option by delivering to the Administrative Agent a certificate of a Responsible Officer on or prior to the LCT Test Date), with such determination to give Pro Forma Effect to such Limited Condition Transaction and the other transactions to be entered into in connection therewith (including any incurrence of Indebtedness or Liens and the use of proceeds thereof) as if they had occurred at the beginning of the most recent Test Period ending prior to the LCT Test Date. For the avoidance of doubt, (x) if Holdings has exercised such option and any of the tests, ratios, baskets or amounts for which compliance was determined or tested as of the LCT Test Date are exceeded as a result of fluctuations in any such test, ratio, basket or amount, including due to fluctuations in Total Assets or Consolidated EBITDA or total assets of Holdings or the Person subject to such Limited Condition Transaction, at or prior to the consummation of the Limited Condition Transaction, such test, ratios, baskets and amounts will not be deemed to have been exceeded as a result of such fluctuations solely for purposes of determining whether the Limited Condition Transaction is permitted to be consummated and (y) if any Default or Event of Default occurs following the LCT Test Date and prior to the consummation of such Limited Condition Transaction, any such Default or Event of Default shall be deemed not to have occurred or be continuing for purposes of determining whether any action being taken in connection with such Limited Condition Transaction is permitted. If Holdings has exercised such option for any Limited Condition Transaction, then, in connection with any subsequent calculation of such test, ratios, baskets or amounts on or following the relevant LCT Test Date and prior to the earlier of (i) the date on which such Limited Condition Transaction is consummated and (ii) the date that the definitive agreements for such Limited Condition Transaction are terminated or expire without consummation of such Limited Condition Transaction, any such test, ratio basket or basket shall be calculated on a Pro Forma Basis assuming such Limited Condition Transaction and the other transactions in connection therewith (including any incurrence of Indebtedness or Liens and the use of proceeds thereof) have been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Holdings elects to have such determinations occur at the time of entry into such definitive agreement or the date such irrevocable notice or offer for such Limited Condition Transaction is delivered, as applicable, any indebtedness to be incurred (and any associated lien) shall be deemed incurred at the time of such election (until such time as the indebtedness is actually incurred or the applicable acquisition agreement is terminated without actually consummating the applicable acquisition) and outstanding thereafter for purposes of pro forma compliance with any applicable financial test.</w:t>
      </w:r>
    </w:p>
    <w:p>
      <w:pPr>
        <w:spacing w:after="0" w:line="169" w:lineRule="exact"/>
        <w:rPr>
          <w:rFonts w:ascii="Arial" w:cs="Arial" w:eastAsia="Arial" w:hAnsi="Arial"/>
          <w:sz w:val="16"/>
          <w:szCs w:val="16"/>
          <w:color w:val="auto"/>
        </w:rPr>
      </w:pPr>
    </w:p>
    <w:p>
      <w:pPr>
        <w:jc w:val="both"/>
        <w:ind w:left="-20" w:firstLine="1304"/>
        <w:spacing w:after="0" w:line="286" w:lineRule="auto"/>
        <w:tabs>
          <w:tab w:leader="none" w:pos="1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Notwithstanding anything to the contrary herein, with respect to any amounts incurred or transactions (or series of transactions) entered into (or consummated) in reliance on a provision within the same covenant of this Agreement that does not require compliance with a financial ratio or test (any such amounts, the “</w:t>
      </w:r>
      <w:r>
        <w:rPr>
          <w:rFonts w:ascii="Arial" w:cs="Arial" w:eastAsia="Arial" w:hAnsi="Arial"/>
          <w:sz w:val="16"/>
          <w:szCs w:val="16"/>
          <w:u w:val="single" w:color="auto"/>
          <w:color w:val="auto"/>
        </w:rPr>
        <w:t>Fixed Amounts</w:t>
      </w:r>
      <w:r>
        <w:rPr>
          <w:rFonts w:ascii="Arial" w:cs="Arial" w:eastAsia="Arial" w:hAnsi="Arial"/>
          <w:sz w:val="16"/>
          <w:szCs w:val="16"/>
          <w:color w:val="auto"/>
        </w:rPr>
        <w:t>”) substantially concurrently or in a series of related transactions with any amounts incurred or transactions entered into (or consummated) in reliance on a provision within the same covenant of this Agreement that requires compliance with any such financial ratio or test (including any First Lien Net Leverage Ratio test, any Secured Net Leverage Ratio, any Total Net Leverage Ratio, any Fixed Charge Coverage Ratio or the amount of Consolidated EBITDA) (any such amounts, the “</w:t>
      </w:r>
      <w:r>
        <w:rPr>
          <w:rFonts w:ascii="Arial" w:cs="Arial" w:eastAsia="Arial" w:hAnsi="Arial"/>
          <w:sz w:val="16"/>
          <w:szCs w:val="16"/>
          <w:u w:val="single" w:color="auto"/>
          <w:color w:val="auto"/>
        </w:rPr>
        <w:t>Incurrence-Based Amounts</w:t>
      </w:r>
      <w:r>
        <w:rPr>
          <w:rFonts w:ascii="Arial" w:cs="Arial" w:eastAsia="Arial" w:hAnsi="Arial"/>
          <w:sz w:val="16"/>
          <w:szCs w:val="16"/>
          <w:color w:val="auto"/>
        </w:rPr>
        <w:t>”), it is understood and agreed that (a) the Fixed Amounts under such covenant shall be disregarded in the calculation of the financial ratio or test applicable to any substantially concurrent utilization of the Incurrence-Based Amounts and (b) the entire transaction (or series of related transactions) shall be calculated on a Pro Forma Basis (including the use of proceeds of all Indebtedness to be incurred and any repayments, repurchases and redemptions of Indebtedness; provided that, for purposes of such calculations, Unrestricted Cash shall not include the cash proceeds of any Indebtedness the incurrence of which is the specified transaction or that is incurred to finance the specified transaction). Notwithstanding anything herein to the contrary, if at any time any applicable ratio or financial test for any category based on an Incurrence-Based Amount permits Indebtedness, Liens, Restricted Payments, Asset Sales, and Investments, as applicable, previously incurred under a category based on a Fixed Amount, such Indebtedness, Liens, Restricted Payments, Asset Sales, and Investments, as applicable, shall be deemed to have been automatically reclassified as incurred under such category based on an Incurrence-Based Amount.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94" w:name="page95"/>
    <w:bookmarkEnd w:id="94"/>
    <w:p>
      <w:pPr>
        <w:jc w:val="both"/>
        <w:ind w:firstLine="648"/>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Divisions.</w:t>
      </w:r>
      <w:r>
        <w:rPr>
          <w:rFonts w:ascii="Arial" w:cs="Arial" w:eastAsia="Arial" w:hAnsi="Arial"/>
          <w:sz w:val="18"/>
          <w:szCs w:val="18"/>
          <w:color w:val="auto"/>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Commitments and Loans.</w:t>
      </w:r>
    </w:p>
    <w:p>
      <w:pPr>
        <w:spacing w:after="0" w:line="225" w:lineRule="exact"/>
        <w:rPr>
          <w:sz w:val="20"/>
          <w:szCs w:val="20"/>
          <w:color w:val="auto"/>
        </w:rPr>
      </w:pPr>
    </w:p>
    <w:p>
      <w:pPr>
        <w:jc w:val="both"/>
        <w:ind w:firstLine="1304"/>
        <w:spacing w:after="0" w:line="259" w:lineRule="auto"/>
        <w:tabs>
          <w:tab w:leader="none" w:pos="21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each Term Lender agrees, severally and not jointly, to make a Lux Term Loan to the Lux Borrower and the Lux U.S. Subsidiary Borrower on the Closing Date in a principal amount not to exceed its Lux Term Loan Commitment. The full amount of the Lux Term Loan Commitments must be drawn in a single drawing on the Closing Date and amounts repaid or prepaid in respect of Lux Term Loans may not be reborrowed.</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1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each Term Lender agrees, severally and not jointly, to make a U.S. Term Loan to the U.S. Borrower on the Closing Date in a principal amount not to exceed its U.S. Term Loan Commitment. The full amount of the U.S. Term Loan Commitments must be drawn in a single drawing on the Closing Date and amounts repaid or prepaid in respect of U.S. Term Loans may not be reborrowed.</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2019"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the term and conditions set forth herein, each Revolving Lender agrees to make Revolving Loans to any Revolving Borrower in Agreed Currencies from time to time during the Availability Period in an aggregate principal amount that will not result in (i) subject to Sections 2.04 and 2.11(c), the Dollar Amount of such Lender’s Revolving Credit Exposure exceeding such Lender’s Revolving Commitment and (ii) subject to Sections 2.04 and 2.11(c), the sum of the Dollar Amount of the total Revolving Credit Exposures exceeding the aggregate Revolving Commitments. Within the foregoing limits and subject to the terms and conditions set forth herein, each Revolving Borrower may borrow, prepay and reborrow Revolving Loans.</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Each Borrower hereunder shall only be liable as a primary obligor for the Loans made to such Borrower and shall not be jointly and severally liable for Loans made to any other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Lux Borrower and the Lux U.S. Subsidiary Borrower shall be jointly and severally liable for the Lux Term Loans made pursuant to Section 2.01(a).</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9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the avoidance of doubt, at the Closing Date, each Term Lender shall fund an equal percentage of the principal amount of the total U.S. Term Loans and Lux Term Loans (i.e., the percentage of the principal amount of the total U.S. Term Loans funded by each Term Lender shall equal the percentage of the principal amount of the Lux Term Loans funded by such Term Lender). As provided in Section 9.04(b)(ii)(G), at all times after the Closing Date, 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5" w:name="page96"/>
    <w:bookmarkEnd w:id="95"/>
    <w:p>
      <w:pPr>
        <w:ind w:left="640"/>
        <w:spacing w:after="0"/>
        <w:tabs>
          <w:tab w:leader="none" w:pos="19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Loans and Borrowings.</w:t>
      </w:r>
    </w:p>
    <w:p>
      <w:pPr>
        <w:spacing w:after="0" w:line="225" w:lineRule="exact"/>
        <w:rPr>
          <w:sz w:val="20"/>
          <w:szCs w:val="20"/>
          <w:color w:val="auto"/>
        </w:rPr>
      </w:pPr>
    </w:p>
    <w:p>
      <w:pPr>
        <w:jc w:val="both"/>
        <w:ind w:left="-20" w:firstLine="1304"/>
        <w:spacing w:after="0" w:line="296" w:lineRule="auto"/>
        <w:tabs>
          <w:tab w:leader="none" w:pos="19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Each Loan (other than a Swingline Loan) shall be made as part of a Borrowing consisting of Loans of the same Class and Type made under a single Tranche and shall be made by the Lenders of such Class under such Tranche ratably in accordance with their respective Commitments in respect of the applicable Class and in respect of the applicable Tranche.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61" w:lineRule="exact"/>
        <w:rPr>
          <w:rFonts w:ascii="Arial" w:cs="Arial" w:eastAsia="Arial" w:hAnsi="Arial"/>
          <w:sz w:val="16"/>
          <w:szCs w:val="16"/>
          <w:color w:val="auto"/>
        </w:rPr>
      </w:pPr>
    </w:p>
    <w:p>
      <w:pPr>
        <w:jc w:val="both"/>
        <w:ind w:left="-20" w:firstLine="1304"/>
        <w:spacing w:after="0" w:line="269" w:lineRule="auto"/>
        <w:tabs>
          <w:tab w:leader="none" w:pos="1972"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Subject to Section 2.14, (i) each Revolving Borrowing shall be comprised entirely of ABR Loans, Eurocurrency Loans or RFR Loans and (ii) each Lux Term Loan Borrowing and each U.S. Term Loan Borrowing shall be comprised entirely of ABR Loans or Eurocurrency Loans, in each case, as the Applicable Borrower may request in accordance 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ABR Loan shall only be made in Dollars. Each Swingline Loan shall be an ABR Loan. Subject to Section 2.19, each Lender at its option may make any Eurocurrency Loan or RFR Loan by causing any domestic or foreign branch or Affiliate of such Lender to make such Loan (and in the case of a branch or Affiliate, the provisions of Sections 2.14, 2.15, 2.16 and 2.17 (including, for the avoidance of doubt, the requirements and limitations of such sections) shall apply to such branch or Affiliate to the same extent as if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any exercise of such option shall not affect the obligation of the Applicable Borrower to repay such Loan in accordance with the terms of this Agreement, (y) if the respective branch or Affiliate is a Foreign Lender, the same shall comply with the requirements of Section 2.17 and (z) with respect to any Loans incurred by a Borrower that is organized or tax resident in Ireland, the branch or Affiliate, whether or not a Foreign Lender, shall comply with the requirements of Section 2.17.</w:t>
      </w:r>
    </w:p>
    <w:p>
      <w:pPr>
        <w:spacing w:after="0" w:line="185" w:lineRule="exact"/>
        <w:rPr>
          <w:rFonts w:ascii="Arial" w:cs="Arial" w:eastAsia="Arial" w:hAnsi="Arial"/>
          <w:sz w:val="17"/>
          <w:szCs w:val="17"/>
          <w:color w:val="auto"/>
        </w:rPr>
      </w:pPr>
    </w:p>
    <w:p>
      <w:pPr>
        <w:jc w:val="both"/>
        <w:ind w:left="-20" w:firstLine="1304"/>
        <w:spacing w:after="0" w:line="270" w:lineRule="auto"/>
        <w:tabs>
          <w:tab w:leader="none" w:pos="1989"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Borrowing of Eurocurrency Revolving Loans or RFR Revolving Loans, such Borrowing shall be in an aggregate amount that is an integral multiple of $500,000 (or, if such Borrowing is denominated in a Foreign Currency, 500,000 units of such currency) and not less than $2,000,000 (or, if such Borrowing is denominated in a Foreign Currency, 2,000,000 units of such currency). At the time that each ABR Revolving Borrowing is made, such Borrowing shall be in an aggregate amount that is an integral multiple of $500,000 and not less than $1,000,000;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ABR Revolving Borrowing may be in an aggregate amount that is equal to the entire unused balance of the aggregate Revolving Commitments of the relevant Class, or that is required to finance the reimbursement of an LC Disbursement as contemplated by Section 2.06(e). Each Swingline Loan shall be in an amount that is an integral multiple of $500,000 and not less than $1,000,000. Borrowings of more than one Type and Class and under more than one Tranche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eight (8) Eurocurrency Revolving Borrowings and RFR Revolving Borrowings outstanding.</w:t>
      </w:r>
    </w:p>
    <w:p>
      <w:pPr>
        <w:spacing w:after="0" w:line="180" w:lineRule="exact"/>
        <w:rPr>
          <w:rFonts w:ascii="Arial" w:cs="Arial" w:eastAsia="Arial" w:hAnsi="Arial"/>
          <w:sz w:val="17"/>
          <w:szCs w:val="17"/>
          <w:color w:val="auto"/>
        </w:rPr>
      </w:pPr>
    </w:p>
    <w:p>
      <w:pPr>
        <w:ind w:left="-20" w:firstLine="1304"/>
        <w:spacing w:after="0" w:line="342" w:lineRule="auto"/>
        <w:tabs>
          <w:tab w:leader="none" w:pos="1997"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Applicable Borrower shall not be entitled to request, or to elect to convert or continue, any Borrowing of any Class if the Interest Period requested with respect thereto would end after the Maturity Date of such Class.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96" w:name="page97"/>
    <w:bookmarkEnd w:id="96"/>
    <w:p>
      <w:pPr>
        <w:jc w:val="both"/>
        <w:ind w:firstLine="648"/>
        <w:spacing w:after="0" w:line="285"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xml:space="preserve"> To request a Borrowing, the Applicable Borrower shall notify the Administrative Agent of such request (a) in the case of a Eurocurrency Borrowing denominated in Dollars, by telephonic notice not later than 11:00 a.m., New York City time, three (3) Business Days before the date of the proposed Borrowing, (b) in the case of a Eurocurrency Borrowing denominated in an Agreed Currency other than Dollars or an RFR Borrowing, by telephonic notice not later than 11:00 a.m., New York City time, four (4) Business Days before the date of the proposed Borrowing or (c) in the case of an ABR Borrowing, by telephonic notice not later than 11:00 a.m., New York City time, one (1) Business Day before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such notice of an ABR Revolving Borrowing to finance the reimbursement of an LC Disbursement as contemplated by Section 2.06(e) may be given not later than 10:00 a.m., New York City time, on the date of the proposed Borrowing and (y) any notice with respect to Borrowings to be made on the Closing Date may be given with such shorter time than the deadline described in clause (a), (b) or (c), as applicable, as the Administrative Agent may agree in its sole discretion. Each such telephonic Borrowing Request shall be irrevocable and shall be confirmed promptly by email to the Administrative Agent of a written Borrowing Request in a form approved by the Administrative Agent and signed by the Applicable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respect of the Loans to be borrowed on the Closing Date, any written Borrowing Request may be provided by the Applicable Borrower on a conditional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to the extent the Applicable Borrower does not borrow any Eurocurrency Loans or RFR Loans set forth in such conditional Borrowing Request, the Applicable Borrower shall be required to compensate the Lenders under Section 2.16 for the losses, costs or expenses related thereto and (2) any such Borrowing Request shall be irrevocable once funding of the Borrowings has been initiated by the Administrative Agent), and such Borrowing Request may be provided no later than 2:00 pm, New York City Time, on the Business Day prior to such Borrowing. Each telephonic and written Borrowing Request shall specify the following information in compliance with Section 2.02:</w:t>
      </w:r>
    </w:p>
    <w:p>
      <w:pPr>
        <w:spacing w:after="0" w:line="176" w:lineRule="exact"/>
        <w:rPr>
          <w:sz w:val="20"/>
          <w:szCs w:val="20"/>
          <w:color w:val="auto"/>
        </w:rPr>
      </w:pPr>
    </w:p>
    <w:p>
      <w:pPr>
        <w:ind w:left="1960" w:hanging="656"/>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Class of such Borrowing and whether such Borrowing is to be an ABR Borrowing, a Eurocurrency Borrowing or an RFR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Borrowing;</w:t>
      </w:r>
    </w:p>
    <w:p>
      <w:pPr>
        <w:spacing w:after="0" w:line="211" w:lineRule="exact"/>
        <w:rPr>
          <w:sz w:val="20"/>
          <w:szCs w:val="20"/>
          <w:color w:val="auto"/>
        </w:rPr>
      </w:pPr>
    </w:p>
    <w:p>
      <w:pPr>
        <w:ind w:firstLine="1304"/>
        <w:spacing w:after="0" w:line="277" w:lineRule="auto"/>
        <w:tabs>
          <w:tab w:leader="none" w:pos="21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a Eurocurrency Borrowing or an RFR Borrowing, the Agreed Currency and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auto"/>
        </w:rPr>
      </w:pPr>
    </w:p>
    <w:p>
      <w:pPr>
        <w:ind w:firstLine="1304"/>
        <w:spacing w:after="0" w:line="277" w:lineRule="auto"/>
        <w:tabs>
          <w:tab w:leader="none" w:pos="197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Applicable Borrower and the location and number of the Applicable Borrower’s account to which funds are to be disbursed, which shall comply with the requirements of Section 2.07.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no election as to the Type of Borrowing is specified, then, in the case of a Borrowing denominated in Dollars, the requested Borrowing shall be an ABR Borrowing. If no Interest Period is specified with respect to any requested Eurocurrency Borrowing or RFR Borrowing, then the Applicable Borrower shall be deemed to have selected an Interest Period of one month’s duration. Promptly following receipt of a Borrowing Request in accordance with this Section 2.03, the Administrative Agent shall advise each applicable Lender of the details thereof and of the amount of such Lender’s Loan to be made as part of the requested Borrowing.</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 xml:space="preserve">Determination of Dollar Amounts. </w:t>
      </w:r>
      <w:r>
        <w:rPr>
          <w:rFonts w:ascii="Arial" w:cs="Arial" w:eastAsia="Arial" w:hAnsi="Arial"/>
          <w:sz w:val="16"/>
          <w:szCs w:val="16"/>
          <w:color w:val="auto"/>
        </w:rPr>
        <w:t>The Administrative Agent will determine the Dollar Amount of:</w:t>
      </w:r>
    </w:p>
    <w:p>
      <w:pPr>
        <w:spacing w:after="0" w:line="225" w:lineRule="exact"/>
        <w:rPr>
          <w:sz w:val="20"/>
          <w:szCs w:val="20"/>
          <w:color w:val="auto"/>
        </w:rPr>
      </w:pPr>
    </w:p>
    <w:p>
      <w:pPr>
        <w:ind w:firstLine="1304"/>
        <w:spacing w:after="0" w:line="277" w:lineRule="auto"/>
        <w:tabs>
          <w:tab w:leader="none" w:pos="20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Revolving Borrowing utilizing Revolving Commitments as of the date two (2) Business Days prior to the date of such Borrowing or, if applicable, the date of conversion/continuation of any such Borrowing as a Revolving Borrowing,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7" w:name="page98"/>
    <w:bookmarkEnd w:id="97"/>
    <w:p>
      <w:pPr>
        <w:ind w:left="1960" w:hanging="656"/>
        <w:spacing w:after="0"/>
        <w:tabs>
          <w:tab w:leader="none" w:pos="1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LC Exposure as of the date of each request for the issuance, amendment, renewal or extension of any Letter of Credit, and</w:t>
      </w:r>
    </w:p>
    <w:p>
      <w:pPr>
        <w:spacing w:after="0" w:line="248" w:lineRule="exact"/>
        <w:rPr>
          <w:rFonts w:ascii="Arial" w:cs="Arial" w:eastAsia="Arial" w:hAnsi="Arial"/>
          <w:sz w:val="16"/>
          <w:szCs w:val="16"/>
          <w:color w:val="auto"/>
        </w:rPr>
      </w:pPr>
    </w:p>
    <w:p>
      <w:pPr>
        <w:jc w:val="both"/>
        <w:ind w:firstLine="1304"/>
        <w:spacing w:after="0" w:line="263" w:lineRule="auto"/>
        <w:tabs>
          <w:tab w:leader="none" w:pos="22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outstanding Revolving Credit Exposure on and as of the last Business Day of each calendar month and, during the continuation of an Event of Default, on any other Business Day elected by the Administrative Agent in its discretion or upon instruction by the Required Lenders.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5" w:lineRule="auto"/>
        <w:tabs>
          <w:tab w:leader="none" w:pos="20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the Swingline Lender agrees to make Swingline Loans in Dollars to the Applicable Borrower from time to time during the Availability Period, in an aggregate principal amount at any time outstanding that will not result in (i) the aggregate principal amount of outstanding Swingline Loans exceeding $25,000,000 or (ii) the Dollar Amount of the total Revolving Credit Exposures exceeding the aggregate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shall not be required to make a Swingline Loan to refinance an outstanding Swingline Loan. Within the foregoing limits and subject to the terms and conditions set forth herein, the Applicable Borrower may borrow, prepay and reborrow Swingline Loans.</w:t>
      </w:r>
    </w:p>
    <w:p>
      <w:pPr>
        <w:spacing w:after="0" w:line="192" w:lineRule="exact"/>
        <w:rPr>
          <w:rFonts w:ascii="Arial" w:cs="Arial" w:eastAsia="Arial" w:hAnsi="Arial"/>
          <w:sz w:val="18"/>
          <w:szCs w:val="18"/>
          <w:color w:val="auto"/>
        </w:rPr>
      </w:pPr>
    </w:p>
    <w:p>
      <w:pPr>
        <w:jc w:val="both"/>
        <w:ind w:firstLine="1304"/>
        <w:spacing w:after="0" w:line="272" w:lineRule="auto"/>
        <w:tabs>
          <w:tab w:leader="none" w:pos="21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request a Swingline Loan, the Applicable Borrower shall notify the Administrative Agent of such request by telephone (confirmed by telecopy), not later than 2:00 p.m.,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Applicable Borrower. The Swingline Lender shall make each Swingline Loan available to the Applicable Borrower by means of a credit to the general deposit account of such Applicable Borrower with the Swingline Lender (or, in the case of a Swingline Loan made to finance the reimbursement of an LC Disbursement as provided in Section 2.06(e), by remittance to the applicable Issuing Banks) by 2:00 p.m., New York City time, on the requested date of such Swingline Loan.</w:t>
      </w:r>
    </w:p>
    <w:p>
      <w:pPr>
        <w:spacing w:after="0" w:line="177" w:lineRule="exact"/>
        <w:rPr>
          <w:rFonts w:ascii="Arial" w:cs="Arial" w:eastAsia="Arial" w:hAnsi="Arial"/>
          <w:sz w:val="17"/>
          <w:szCs w:val="17"/>
          <w:color w:val="auto"/>
        </w:rPr>
      </w:pPr>
    </w:p>
    <w:p>
      <w:pPr>
        <w:jc w:val="both"/>
        <w:ind w:firstLine="1304"/>
        <w:spacing w:after="0" w:line="284" w:lineRule="auto"/>
        <w:tabs>
          <w:tab w:leader="none" w:pos="1991"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Revolving Percentage of such Swingline Loan or Loans. Each Revolving Lender hereby absolutely and unconditionally agrees, upon receipt of notice as provided above, to pay to the Administrative Agent, for the account of the Swingline Lender, such Revolving Lender’s Revolving Percentage (after giving effect to the reallocation provisions of paragraph (d) below) of such Swingline Loan or Loans. Each Revolving Lender acknowledges and agrees that its obligation to acquire participations in Swingline Loans pursuant to this paragraph in an amount equal to its Revolving Percentage thereof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mutatis mutandis, to the payment obligations of the Revolving Lenders), and the Administrative Agent shall promptly pay to the Swingline Lender the amounts so received by it from the Revolving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an Applicable Borrower (or other party on behalf of such Applicable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applicable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Applicable Borrower for any reason. The purchase of participations in a Swingline Loan pursuant to this paragraph shall not relieve the Applicable Borrower of any default in the payment thereof.</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8" w:name="page99"/>
    <w:bookmarkEnd w:id="98"/>
    <w:p>
      <w:pPr>
        <w:jc w:val="both"/>
        <w:ind w:left="-20" w:firstLine="1304"/>
        <w:spacing w:after="0" w:line="269" w:lineRule="auto"/>
        <w:tabs>
          <w:tab w:leader="none" w:pos="197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Reallocations and Extensions</w:t>
      </w:r>
      <w:r>
        <w:rPr>
          <w:rFonts w:ascii="Arial" w:cs="Arial" w:eastAsia="Arial" w:hAnsi="Arial"/>
          <w:sz w:val="17"/>
          <w:szCs w:val="17"/>
          <w:color w:val="auto"/>
        </w:rPr>
        <w:t xml:space="preserve">. If the Maturity Date shall have occurred in respect of any Class of Revolving Commitments at a time when another Tranche or Tranches of any other Class of Revolving Commitments is or are in effect with a longer Maturity Date, then on the earliest occurring Maturity Date all then-outstanding Swingline Loans shall be repaid in full (and there shall be no adjustment to the participations in such Swingline Loans as a result of the occurrence of such earliest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on the occurrence of such earliest Maturity Date (after giving effect to any repayments of Revolving Loans and any reallocation of Letter of Credit participations as contemplated in Section 2.06(k)), there shall remain obligations to fund Swingline Loans hereunder and there shall exist sufficient unutilized Revolving Commitments of any other Class or Classes or Extended Revolving Commitments so that the respective outstanding Swingline Loans could be incurred pursuant to such Revolving Commitments of such other Class or Classes or Extended Revolving Commitments which will remain in effect after the occurrence of such earliest Maturity Date, then there shall be an automatic adjustment on such date of the risk participations of each Revolving Lender holding Revolving Commitments of such other Class or Classes or that is an Extending Revolving Lender and such outstanding Swingline Loans shall be deemed to have been incurred solely pursuant to the relevant Revolving Commitments of such other Class or Classes or Extended Revolving Commitments and such Swingline Loans shall not be so required to be repaid in full on such earliest Maturity Date.</w:t>
      </w:r>
    </w:p>
    <w:p>
      <w:pPr>
        <w:spacing w:after="0" w:line="17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55" w:lineRule="auto"/>
        <w:tabs>
          <w:tab w:leader="none" w:pos="20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Applicable Borrower may request the issuance of Letters of Credit denominated in Agreed Currencies, in each case for its own account (or for the account of any Restricted Subsidiary),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Applicable Borrower to, or entered into by the Applicable Borrower with, the applicable Issuing Bank relating to any Letter of Credit, the terms and conditions of this Agreement shall control.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99" w:name="page100"/>
    <w:bookmarkEnd w:id="99"/>
    <w:p>
      <w:pPr>
        <w:jc w:val="both"/>
        <w:ind w:left="-20" w:firstLine="1304"/>
        <w:spacing w:after="0" w:line="285" w:lineRule="auto"/>
        <w:tabs>
          <w:tab w:leader="none" w:pos="2003"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from an Issuing Bank), the Applicable Borrower shall email or telecopy (or transmit by any other electronic communication, if arrangements for doing so have been approved by such Issuing Bank) to such Issuing Bank and the Administrative Agent (reasonably in advance of, but not less than three (3) Business Days prior to, the requested date of issuance (or such shorter period as such Issuing Bank may agree), amendment, renewal or extension and which, in the case of a Letter of Credit to be issued on the Closing Date, may be conditioned on the occurrence of the Closing Date) a notice in the applicable Issuing Bank’s customary form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2.06), the amount of such Letter of Credit, the Agreed Currency applicable thereto), the name and address of the beneficiary thereof and such other information as shall be necessary to prepare, amend, renew or extend such Letter of Credit. The Applicable Borrower also shall submit a letter of credit application on such Issuing Bank’s standard form and related documents in connection with any request for a Letter of Credit and in connection with any request for a Letter of Credit to be amended, renewed, modified or extended. A Letter of Credit shall be issued, amended, renewed or extended only (A) if (and upon issuance, amendment, renewal or extension of each Letter of Credit the Applicable Borrower shall be deemed to represent and warrant that), after giving effect to such issuance, amendment, renewal or extension (i) subject to Section 2.04, the Dollar Amount of the LC Exposure shall not exceed $15,000,000 (the “</w:t>
      </w:r>
      <w:r>
        <w:rPr>
          <w:rFonts w:ascii="Arial" w:cs="Arial" w:eastAsia="Arial" w:hAnsi="Arial"/>
          <w:sz w:val="16"/>
          <w:szCs w:val="16"/>
          <w:u w:val="single" w:color="auto"/>
          <w:color w:val="auto"/>
        </w:rPr>
        <w:t>LC Sublimit</w:t>
      </w:r>
      <w:r>
        <w:rPr>
          <w:rFonts w:ascii="Arial" w:cs="Arial" w:eastAsia="Arial" w:hAnsi="Arial"/>
          <w:sz w:val="16"/>
          <w:szCs w:val="16"/>
          <w:color w:val="auto"/>
        </w:rPr>
        <w:t xml:space="preserve">”) and (ii) subject to Section 2.04, the sum of the Dollar Amount of the total Revolving Credit Exposures shall not exceed the aggregate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LC Sublimit may be increased from time to time upon agreement between the Administrative Agent and Borrowers, so long as any increase has been appropriately committed by a Lender (that is or shall be an Issuing Bank), on terms and conditions satisfactory to the Administrative Agent and (B) in accordance with such Issuing Bank’s usual and customary policies and practices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Dollar Amount of the LC Exposure in respect of each Issuing Bank may not be increased or decreased without the applicable Issuing Bank’s consent.</w:t>
      </w:r>
    </w:p>
    <w:p>
      <w:pPr>
        <w:spacing w:after="0" w:line="168" w:lineRule="exact"/>
        <w:rPr>
          <w:rFonts w:ascii="Arial" w:cs="Arial" w:eastAsia="Arial" w:hAnsi="Arial"/>
          <w:sz w:val="16"/>
          <w:szCs w:val="16"/>
          <w:color w:val="auto"/>
        </w:rPr>
      </w:pPr>
    </w:p>
    <w:p>
      <w:pPr>
        <w:jc w:val="both"/>
        <w:ind w:left="-20" w:firstLine="1304"/>
        <w:spacing w:after="0" w:line="286" w:lineRule="auto"/>
        <w:tabs>
          <w:tab w:leader="none" w:pos="195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 with respect to the Revolving Commitments pursuant to which issued (or if any Extended Revolving Commitments, Incremental Revolving Commitments or Other Refinancing Revolving Commitments are outstanding, the last Maturity Date applicable thereto (so long as the aggregate amount of such Letters of Credit are not in excess of such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may contain customary automatic renewal provisions agreed upon by the Applicable Borrower and the Issuing Bank pursuant to which the expiration date of such Letter of Credit (an “</w:t>
      </w:r>
      <w:r>
        <w:rPr>
          <w:rFonts w:ascii="Arial" w:cs="Arial" w:eastAsia="Arial" w:hAnsi="Arial"/>
          <w:sz w:val="16"/>
          <w:szCs w:val="16"/>
          <w:u w:val="single" w:color="auto"/>
          <w:color w:val="auto"/>
        </w:rPr>
        <w:t>Auto Renewal Letter of Credit</w:t>
      </w:r>
      <w:r>
        <w:rPr>
          <w:rFonts w:ascii="Arial" w:cs="Arial" w:eastAsia="Arial" w:hAnsi="Arial"/>
          <w:sz w:val="16"/>
          <w:szCs w:val="16"/>
          <w:color w:val="auto"/>
        </w:rPr>
        <w:t xml:space="preserve">”) shall automatically be extended for consecutive periods of up to twelve (12) months (but not to a date later than the date set forth in clause (ii)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 Renewal Letter of Credit must permit the applicable Issuing Bank to prevent any such renewal at least once in each twelve month period (commencing with the date of issuance of such Letter of Credit) by giving prior notice to the beneficiary thereof not later than a day in each such twelve month period to be agreed upon at the time such Letter of Credit is issued. Unless otherwise directed by such Issuing Bank, the Applicable Borrower shall not be required to make a specific request to such Issuing Bank for any such renewal. Once an Auto Renewal Letter of Credit has been issued, the Lenders shall be deemed to have authorized (but may not require) such Issuing Bank to permit the renewal of such Letter of Credit at any time to an expiry date not later than such Maturity Date.</w:t>
      </w:r>
    </w:p>
    <w:p>
      <w:pPr>
        <w:spacing w:after="0" w:line="173" w:lineRule="exact"/>
        <w:rPr>
          <w:rFonts w:ascii="Arial" w:cs="Arial" w:eastAsia="Arial" w:hAnsi="Arial"/>
          <w:sz w:val="16"/>
          <w:szCs w:val="16"/>
          <w:color w:val="auto"/>
        </w:rPr>
      </w:pPr>
    </w:p>
    <w:p>
      <w:pPr>
        <w:jc w:val="both"/>
        <w:ind w:left="-20" w:firstLine="1304"/>
        <w:spacing w:after="0" w:line="287" w:lineRule="auto"/>
        <w:tabs>
          <w:tab w:leader="none" w:pos="199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any Issuing Bank or any Revolving Lender in respect of the Tranche under which such Letter of Credit is issued (each such Revolving Lender, an “</w:t>
      </w:r>
      <w:r>
        <w:rPr>
          <w:rFonts w:ascii="Arial" w:cs="Arial" w:eastAsia="Arial" w:hAnsi="Arial"/>
          <w:sz w:val="16"/>
          <w:szCs w:val="16"/>
          <w:u w:val="single" w:color="auto"/>
          <w:color w:val="auto"/>
        </w:rPr>
        <w:t>Applicable Lender</w:t>
      </w:r>
      <w:r>
        <w:rPr>
          <w:rFonts w:ascii="Arial" w:cs="Arial" w:eastAsia="Arial" w:hAnsi="Arial"/>
          <w:sz w:val="16"/>
          <w:szCs w:val="16"/>
          <w:color w:val="auto"/>
        </w:rPr>
        <w:t>”), the Issuing Banks hereby grant to each Applicable Lender, and each Applicable Lender hereby acquires from the Issuing Bank, a participation in such Letter of Credit equal to such Applicable Lender’s Applicable Percentage of the aggregate Dollar Amount available to be drawn under such Letter of Credit. In consideration and in furtherance of the foregoing, each Applicable Lender hereby absolutely and unconditionally agrees to pay to the Administrative Agent, for the account of the Issuing Banks, such Applicable Lender’s Applicable Percentage (after giving effect to the reallocation provisions of paragraph (k) below) of each LC Disbursement made by the Issuing Banks and not reimbursed by the Applicable Borrower on the date due as provided in paragraph (e) of this Section 2.06, or of any reimbursement payment required to be refunded to the Applicable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0" w:name="page101"/>
    <w:bookmarkEnd w:id="100"/>
    <w:p>
      <w:pPr>
        <w:jc w:val="both"/>
        <w:ind w:left="-20" w:firstLine="1304"/>
        <w:spacing w:after="0" w:line="266" w:lineRule="auto"/>
        <w:tabs>
          <w:tab w:leader="none" w:pos="1979"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Applicable Borrower shall reimburse such LC Disbursement by paying to such Issuing Bank in Dollars the Dollar Amount equal to such LC Disbursement, calculated as of the date such Issuing Bank made such LC Disbursement (or if the Issuing Bank shall so elect in its sole discretion by notice to the Applicable Borrower, in such other Agreed Currency which was paid by such Issuing Bank pursuant to such LC Disbursement in an amount equal to such LC Disbursement) not later than 12:00 noon, Local Time, on the first Business Day immediately following the date that such LC Disbursement is made, if the Applicable Borrower shall have received notice of such LC Disbursement on the date of such LC Disbursement;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LC Disbursement is not less than the Dollar Amount of $1,000,000, the Applicable Borrower may, subject to the conditions to borrowing set forth herein, request in accordance with Section 2.03 or 2.05 that such payment be financed with an ABR Revolving Borrowing or Swingline Loan in an equivalent Dollar Amount of such LC Disbursement and, to the extent so financed, the Applicable Borrower’s obligation to make such payment shall be discharged and replaced by the resulting ABR Revolving Borrowing or Swingline Loan. If the Applicable Borrower fails to make such payment when due, the Administrative Agent shall notify each Applicable Lender of the applicable LC Disbursement, the payment then due from the Applicable Borrower in respect thereof and such Lender’s Applicable Percentage thereof. Promptly following receipt of such notice, each Applicable Lender shall pay to the Administrative Agent its Applicable Percentage (after giving effect to the reallocation provisions of paragraph (k) below) of the payment then due from the Applicable Borrower, in the same manner as provided in Section 2.07 with respect to Loans made by such Lender (and Section 2.07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the payment obligations of the Applicable Lenders), and the Administrative Agent shall promptly pay to the Issuing Bank the amounts so received by it from the Applicable Lenders. Promptly following receipt by the Administrative Agent of any payment from the Applicable Borrower pursuant to this paragraph, the Administrative Agent shall distribute such payment to the applicable Issuing Bank or, to the extent that Applicable Lenders have made payments pursuant to this paragraph to reimburse the applicable Issuing Bank, then to such Lenders and the applicable Issuing Bank as their interests may appear. Any payment made by an Applicable Lender pursuant to this paragraph to reimburse an Issuing Bank for any LC Disbursement (other than the funding of ABR Revolving Loans or a Swingline Loan as contemplated above) shall not constitute a Loan and shall not relieve the Applicable Borrower of its obligations to reimburse such LC Disbursement. If the Applicable Borrower’s reimbursement of, or obligation to reimburse, any amounts in any Foreign Currency would subject the Administrative Agent, any Issuing Bank or any Revolving Lender to any stamp duty, ad valorem charge or similar tax that would not be payable if such reimbursement were made or required to be made in Dollars, the Applicable Borrower shall, at its option, either (x) pay the amount of any such tax requested by the Administrative Agent, such Issuing Bank or the relevant Revolving Lender or (y) reimburse each LC Disbursement made in such Foreign Currency in Dollars, in an amount equal to the Equivalent Amount, calculated using the applicable Exchange Rates, on the date such LC Disbursement is made, of such LC Disbursement.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1" w:name="page102"/>
    <w:bookmarkEnd w:id="101"/>
    <w:p>
      <w:pPr>
        <w:jc w:val="both"/>
        <w:ind w:left="-20" w:firstLine="1304"/>
        <w:spacing w:after="0" w:line="284" w:lineRule="auto"/>
        <w:tabs>
          <w:tab w:leader="none" w:pos="2031"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Applicable Borrower’s obligations to reimburse LC Disbursements as provided in paragraph (e) of this Section 2.06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2.06, constitute a legal or equitable discharge of, or provide a right of setoff against, the Applicable Borrower’s obligations hereunder. Neither the Administrative Agent, the Revolving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such Issuing Bank from liability to the Applicable Borrower to the extent of any direct damages (as opposed to consequential damages, claims in respect of which are hereby waived by the Applicable Borrower to the extent permitted by applicable law) suffered by the Applicable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the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such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95" w:lineRule="exact"/>
        <w:rPr>
          <w:rFonts w:ascii="Arial" w:cs="Arial" w:eastAsia="Arial" w:hAnsi="Arial"/>
          <w:sz w:val="16"/>
          <w:szCs w:val="16"/>
          <w:color w:val="auto"/>
        </w:rPr>
      </w:pPr>
    </w:p>
    <w:p>
      <w:pPr>
        <w:jc w:val="both"/>
        <w:ind w:left="-20" w:firstLine="1304"/>
        <w:spacing w:after="0" w:line="257" w:lineRule="auto"/>
        <w:tabs>
          <w:tab w:leader="none" w:pos="196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Applicable Borrower by telephone (confirmed by telecopy)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Applicable Borrower of its obligations to reimburse such Issuing Bank and the Applicable Lenders with respect to any such LC Disbursement.</w:t>
      </w:r>
    </w:p>
    <w:p>
      <w:pPr>
        <w:spacing w:after="0" w:line="187" w:lineRule="exact"/>
        <w:rPr>
          <w:rFonts w:ascii="Arial" w:cs="Arial" w:eastAsia="Arial" w:hAnsi="Arial"/>
          <w:sz w:val="18"/>
          <w:szCs w:val="18"/>
          <w:color w:val="auto"/>
        </w:rPr>
      </w:pPr>
    </w:p>
    <w:p>
      <w:pPr>
        <w:jc w:val="both"/>
        <w:ind w:left="-20" w:firstLine="1304"/>
        <w:spacing w:after="0" w:line="253" w:lineRule="auto"/>
        <w:tabs>
          <w:tab w:leader="none" w:pos="193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Applicable Borrower reimburses such LC Disbursement, at the rate per annum then applicable to ABR Revolving Loans (or in the case such LC Disbursement is denominated in a Foreign Currency, at the Overnight Foreign Currency Rate for such Agreed Currency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then effective Applicable Margin with respect to Eurocurrency Revolving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Applicable Borrower fails to reimburse such LC Disbursement when due pursuant to paragraph (e) of this Section 2.06, then Section 2.13(d) shall apply. Interest accrued pursuant to this paragraph shall be for the account of the Issuing Banks, except that interest accrued on and after the date of payment by any Applicable Lender pursuant to paragraph (e) of this Section 2.06 to reimburse the Issuing Banks shall be for the account of such Applicable Lender to the extent of such payment.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2" w:name="page103"/>
    <w:bookmarkEnd w:id="102"/>
    <w:p>
      <w:pPr>
        <w:jc w:val="both"/>
        <w:ind w:left="-8" w:firstLine="1304"/>
        <w:spacing w:after="0" w:line="269" w:lineRule="auto"/>
        <w:tabs>
          <w:tab w:leader="none" w:pos="2006"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Replacement or Resignation of Issuing Bank</w:t>
      </w:r>
      <w:r>
        <w:rPr>
          <w:rFonts w:ascii="Arial" w:cs="Arial" w:eastAsia="Arial" w:hAnsi="Arial"/>
          <w:sz w:val="17"/>
          <w:szCs w:val="17"/>
          <w:color w:val="auto"/>
        </w:rPr>
        <w:t>. Each Issuing Bank may be replaced at any time by written agreement among the Applicable Borrower, the Administrative Agent, the replaced Issuing Bank and the successor Issuing Bank. Any Issuing Bank may resign at any time by giving 60 days’ prior notice to the Administrative Agent and the Applicable Borrowers. The Administrative Agent shall notify the Revolving Lenders of any such replacement or resignation of the Issuing Bank. At the time any such replacement or resignation shall become effective, the Applicable Borrower shall pay all unpaid fees accrued for the account of the replaced or resigning Issuing Bank pursuant to Section 2.12.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or resignation of an Issuing Bank hereunder, the replaced Issuing Bank or resigning bank shall remain a party hereto and shall continue to have all the rights and obligations of an Issuing Bank under this Agreement with respect to Letters of Credit then outstanding and issued by it prior to such replacement or resignation, but shall not be required to issue additional Letters of Credit.</w:t>
      </w:r>
    </w:p>
    <w:p>
      <w:pPr>
        <w:spacing w:after="0" w:line="181" w:lineRule="exact"/>
        <w:rPr>
          <w:rFonts w:ascii="Arial" w:cs="Arial" w:eastAsia="Arial" w:hAnsi="Arial"/>
          <w:sz w:val="17"/>
          <w:szCs w:val="17"/>
          <w:color w:val="auto"/>
        </w:rPr>
      </w:pPr>
    </w:p>
    <w:p>
      <w:pPr>
        <w:jc w:val="both"/>
        <w:ind w:left="-8" w:firstLine="1304"/>
        <w:spacing w:after="0" w:line="283" w:lineRule="auto"/>
        <w:tabs>
          <w:tab w:leader="none" w:pos="1952"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Event of Default shall occur and be continuing, on the Business Day that the Applicable Borrower receives notice from the Administrative Agent or the Required Lenders (or, if the maturity of the Loans has been accelerated, a Majority in Interest of the Revolving Lenders) demanding the deposit of cash collateral pursuant to this paragraph, the Applicable Borrower shall deposit in an account with the Administrative Agent, in the name of the Administrative Agent and for the benefit of the Revolving Lenders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an amount in cash equal to 102% of the Dollar Amount of the LC Exposure as of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portions of such amount attributable to undrawn Foreign Currency Letters of Credit or LC Disbursements in a Foreign Currency that the Applicable Borrower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Applicable Borrower described in clause (h) or</w:t>
      </w:r>
    </w:p>
    <w:p>
      <w:pPr>
        <w:spacing w:after="0" w:line="5" w:lineRule="exact"/>
        <w:rPr>
          <w:rFonts w:ascii="Arial" w:cs="Arial" w:eastAsia="Arial" w:hAnsi="Arial"/>
          <w:sz w:val="16"/>
          <w:szCs w:val="16"/>
          <w:color w:val="auto"/>
        </w:rPr>
      </w:pPr>
    </w:p>
    <w:p>
      <w:pPr>
        <w:jc w:val="both"/>
        <w:ind w:left="-8" w:firstLine="8"/>
        <w:spacing w:after="0" w:line="284" w:lineRule="auto"/>
        <w:tabs>
          <w:tab w:leader="none" w:pos="217" w:val="left"/>
        </w:tabs>
        <w:numPr>
          <w:ilvl w:val="0"/>
          <w:numId w:val="83"/>
        </w:numPr>
        <w:rPr>
          <w:rFonts w:ascii="Arial" w:cs="Arial" w:eastAsia="Arial" w:hAnsi="Arial"/>
          <w:sz w:val="16"/>
          <w:szCs w:val="16"/>
          <w:color w:val="auto"/>
        </w:rPr>
      </w:pPr>
      <w:r>
        <w:rPr>
          <w:rFonts w:ascii="Arial" w:cs="Arial" w:eastAsia="Arial" w:hAnsi="Arial"/>
          <w:sz w:val="16"/>
          <w:szCs w:val="16"/>
          <w:color w:val="auto"/>
        </w:rPr>
        <w:t>of Section 7.01. For the purposes of this paragraph, the Foreign Currency LC Exposure shall be calculated using the applicable Exchange Rate on the date notice demanding cash collateralization is delivered to the Applicable Borrower. The Applicable Borrower also shall deposit cash collateral pursuant to this paragraph as and to the extent required by Section 2.11(c). Such deposit shall be held by the Administrative Agent as collateral for the payment and performance of the Secured Obligations. The Administrative Agent shall have exclusive dominion and control, including the exclusive right of withdrawal, over such account and the Applicable Borrower hereby grants the Administrative Agent, for the ratable benefit of the Secured Parties, a security interest in the LC Collateral Account. Other than any interest earned on the investment of such deposits in Cash Equivalents, which investments shall be made at the option and sole discretion of the Administrative Agent and at the Applicable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Applicable Borrower for the LC Exposure at such time or, if the maturity of the Loans has been accelerated (but subject to the consent of a Majority in Interest of the Revolving Lenders), be applied to satisfy other Secured Obligations. If the Applicable Borrower is required to provide an amount of cash collateral hereunder as a result of the occurrence of an Event of Default, such amount (to the extent not applied as aforesaid) shall be returned to the Applicable Borrower within three (3) Business Days after all Events of Default have been cured or waived. If the Applicable Borrower is required to provide an amount of cash collateral hereunder pursuant to Section 2.11(c), such amount (to the extent not applied as aforesaid) shall be returned to the Applicable Borrower as and to the extent that, after giving effect to such return, the aggregate Revolving Credit Exposures would not exceed the aggregate Revolving Commitments and no Default shall have occurred and be continuing.</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103" w:name="page104"/>
    <w:bookmarkEnd w:id="103"/>
    <w:p>
      <w:pPr>
        <w:jc w:val="both"/>
        <w:ind w:left="-20" w:firstLine="1304"/>
        <w:spacing w:after="0" w:line="268" w:lineRule="auto"/>
        <w:tabs>
          <w:tab w:leader="none" w:pos="212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Reallocations and Extensions</w:t>
      </w:r>
      <w:r>
        <w:rPr>
          <w:rFonts w:ascii="Arial" w:cs="Arial" w:eastAsia="Arial" w:hAnsi="Arial"/>
          <w:sz w:val="17"/>
          <w:szCs w:val="17"/>
          <w:color w:val="auto"/>
        </w:rPr>
        <w:t>. If the Maturity Date in respect of any Class of Revolving Commitments occurs prior to the expiration of any Letter of Credit, then (i) if Extended Revolving Commitments or one or more other Tranches of Revolving Commitments of any other Class or Classes in respect of which the Maturity Date shall not have occurred are then in effect and the obligations to issue Letters of Credit hereunder remain at such time, such Letters of Credit shall automatically be deemed to have been issued (including for purposes of the obligations of the Revolving Lenders to purchase participations therein and to make Revolving Loans and payments in respect thereof pursuant to Section 2.06(e)) under (and ratably participated in by Revolving Lenders pursuant to) Extended Revolving Commitments or the Revolving Commitments of such other Class or Classes in respect of such non-terminating Extended Revolving Commitments or Tranches up to an aggregate amount not to exceed the aggregate principal amount of the unutilized Extended Revolving Commitments or Revolving Commitments of such other Class or Classes thereunder at such time (it being understood that no partial face amount of any Letter of Credit may be so reallocated) and (ii) to the extent not reallocated pursuant to the immediately preceding clause (i), the Applicable Borrower shall Cash Collateralize any such Letter of Credit in accordance with Section 2.06(j). Except to the extent of reallocations of participations pursuant to clause (i) of the immediately preceding sentence, the occurrence of a Maturity Date with respect to a given Class of Revolving Commitments shall have no effect upon (and shall not diminish) the percentage participations of the Revolving Lenders in any Letter of Credit issued before such Maturity Date.</w:t>
      </w:r>
    </w:p>
    <w:p>
      <w:pPr>
        <w:spacing w:after="0" w:line="186" w:lineRule="exact"/>
        <w:rPr>
          <w:rFonts w:ascii="Arial" w:cs="Arial" w:eastAsia="Arial" w:hAnsi="Arial"/>
          <w:sz w:val="17"/>
          <w:szCs w:val="17"/>
          <w:color w:val="auto"/>
        </w:rPr>
      </w:pPr>
    </w:p>
    <w:p>
      <w:pPr>
        <w:jc w:val="both"/>
        <w:ind w:left="-20" w:firstLine="1304"/>
        <w:spacing w:after="0" w:line="268" w:lineRule="auto"/>
        <w:tabs>
          <w:tab w:leader="none" w:pos="194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Issuing Bank Agreements</w:t>
      </w:r>
      <w:r>
        <w:rPr>
          <w:rFonts w:ascii="Arial" w:cs="Arial" w:eastAsia="Arial" w:hAnsi="Arial"/>
          <w:sz w:val="17"/>
          <w:szCs w:val="17"/>
          <w:color w:val="auto"/>
        </w:rPr>
        <w:t>. Each Issuing Bank (other than the Administrative Agent or its affiliates) agrees that, unless otherwise requested by the Administrative Agent, each Issuing Bank shall report in writing to the Administrative Agent (i) on the first Business Day of each month, the daily activity (set forth by day) in respect of Letters of Credit during the immediately preceding month, including all issuances, extensions, amendments and renewals, all expirations and cancellations and all disbursements and reimbursements, (ii) on or prior to each Business Day on which such Issuing Bank expects to issue, amend, renew or extend any Letter of Credit, the date of such issuance, amendment, renewal or extension, and the currency and aggregate face amount of the Letters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LC Disbursement, the date of such LC Disbursement and the amount of such LC Disbursement, (iv) on any Business Day on which the Applicable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 as to the Letters of Credit issued by such Issuing Bank.</w:t>
      </w:r>
    </w:p>
    <w:p>
      <w:pPr>
        <w:spacing w:after="0" w:line="186" w:lineRule="exact"/>
        <w:rPr>
          <w:rFonts w:ascii="Arial" w:cs="Arial" w:eastAsia="Arial" w:hAnsi="Arial"/>
          <w:sz w:val="17"/>
          <w:szCs w:val="17"/>
          <w:color w:val="auto"/>
        </w:rPr>
      </w:pPr>
    </w:p>
    <w:p>
      <w:pPr>
        <w:jc w:val="both"/>
        <w:ind w:left="-20" w:firstLine="1304"/>
        <w:spacing w:after="0" w:line="257" w:lineRule="auto"/>
        <w:tabs>
          <w:tab w:leader="none" w:pos="195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a Restricted Subsidiary, the Applicable Borrower shall be obligated to reimburse the Issuing Banks hereunder for any and all drawings under such Letter of Credit. The Applicable Borrower hereby acknowledges that the issuance of Letters of Credit for the account of Restricted Subsidiaries inures to the benefit of the Applicable Borrower, and that the Applicable Borrower’s business derives substantial benefits from the businesses of such Restricted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4" w:name="page105"/>
    <w:bookmarkEnd w:id="104"/>
    <w:p>
      <w:pPr>
        <w:ind w:left="640"/>
        <w:spacing w:after="0"/>
        <w:tabs>
          <w:tab w:leader="none" w:pos="19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Funding of Borrowings.</w:t>
      </w:r>
    </w:p>
    <w:p>
      <w:pPr>
        <w:spacing w:after="0" w:line="225" w:lineRule="exact"/>
        <w:rPr>
          <w:sz w:val="20"/>
          <w:szCs w:val="20"/>
          <w:color w:val="auto"/>
        </w:rPr>
      </w:pPr>
    </w:p>
    <w:p>
      <w:pPr>
        <w:jc w:val="both"/>
        <w:ind w:left="-20" w:firstLine="1304"/>
        <w:spacing w:after="0" w:line="269" w:lineRule="auto"/>
        <w:tabs>
          <w:tab w:leader="none" w:pos="2036"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Each Lender shall make each Loan to be made by it hereunder on the proposed date thereof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Eurocurrency Payment Office for such currency and at such Eurocurrency Payment Office for such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Section 2.05. The Administrative Agent will make such Loans available to the Applicable Borrower by promptly crediting the amounts so received, in like funds, to (x) an account of the Applicable Borrower designated by the Applicable Borrower in the applicable Borrowing Request in the case of Loans denominated in Dollars and (y) an account of the Applicable Borrower in the relevant jurisdiction and designated by the Applicable Borrower in the applicable Borrowing Request, in the case of Loans denominated in a Foreign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Revolving Loans made to finance the reimbursement of an LC Disbursement as provided in Section 2.06(e) shall be remitted by the Administrative Agent to the applicable Issuing Bank.</w:t>
      </w:r>
    </w:p>
    <w:p>
      <w:pPr>
        <w:spacing w:after="0" w:line="185" w:lineRule="exact"/>
        <w:rPr>
          <w:rFonts w:ascii="Arial" w:cs="Arial" w:eastAsia="Arial" w:hAnsi="Arial"/>
          <w:sz w:val="17"/>
          <w:szCs w:val="17"/>
          <w:color w:val="auto"/>
        </w:rPr>
      </w:pPr>
    </w:p>
    <w:p>
      <w:pPr>
        <w:jc w:val="both"/>
        <w:ind w:left="-20" w:firstLine="1304"/>
        <w:spacing w:after="0" w:line="269" w:lineRule="auto"/>
        <w:tabs>
          <w:tab w:leader="none" w:pos="1936" w:val="left"/>
        </w:tabs>
        <w:numPr>
          <w:ilvl w:val="0"/>
          <w:numId w:val="85"/>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2.07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 or (ii) in the case of an Applicable Borrower, the interest rate applicable to the relevant Class of ABR Loans. If such Lender pays such amount to the Administrative Agent, then such amount shall constitute such Lender’s Loan included in such Borrowing.</w:t>
      </w:r>
    </w:p>
    <w:p>
      <w:pPr>
        <w:spacing w:after="0" w:line="18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Interest Elections.</w:t>
      </w:r>
    </w:p>
    <w:p>
      <w:pPr>
        <w:spacing w:after="0" w:line="225" w:lineRule="exact"/>
        <w:rPr>
          <w:sz w:val="20"/>
          <w:szCs w:val="20"/>
          <w:color w:val="auto"/>
        </w:rPr>
      </w:pPr>
    </w:p>
    <w:p>
      <w:pPr>
        <w:jc w:val="both"/>
        <w:ind w:left="-20" w:firstLine="1304"/>
        <w:spacing w:after="0" w:line="290" w:lineRule="auto"/>
        <w:tabs>
          <w:tab w:leader="none" w:pos="1962"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Borrowing initially shall be of the Type, and under the applicable Tranche, specified in the applicable Borrowing Request and, in the case of a Eurocurrency Borrowing or RFR Borrowing, shall have an initial Interest Period as specified in such Borrowing Request. Thereafter, subject to clause (f) below, the Applicable Borrower may elect to convert such Borrowing to a different Type or to continue such Borrowing and, in the case of a Eurocurrency Borrowing or RFR Borrowing, may elect Interest Periods therefor, all as provided in this Section 2.08.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2.08 shall not apply to Swingline Loans, which may not be converted or continued. Notwithstanding any other provision of this Section 2.08, the Applicable Borrower shall not be permitted to change the Tranche of any Borrowing, except as otherwise expressly contemplated by Section 2.22.</w:t>
      </w:r>
    </w:p>
    <w:p>
      <w:pPr>
        <w:spacing w:after="0" w:line="165" w:lineRule="exact"/>
        <w:rPr>
          <w:rFonts w:ascii="Arial" w:cs="Arial" w:eastAsia="Arial" w:hAnsi="Arial"/>
          <w:sz w:val="16"/>
          <w:szCs w:val="16"/>
          <w:color w:val="auto"/>
        </w:rPr>
      </w:pPr>
    </w:p>
    <w:p>
      <w:pPr>
        <w:jc w:val="both"/>
        <w:ind w:left="-20" w:firstLine="1304"/>
        <w:spacing w:after="0" w:line="270" w:lineRule="auto"/>
        <w:tabs>
          <w:tab w:leader="none" w:pos="2116"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make an election pursuant to this Section 2.08, the Applicable Borrower shall notify the Administrative Agent of such election (which may be made (x) telephonically and followed by irrevocable written notice via an Interest Election Request in a form approved by the Administrative Agent and signed by the Applicable Borrower in the case of a borrowing denominated in Dollars or (y) by irrevocable written notice via an Interest Election Request in a form approved by the Administrative Agent and signed by the Applicable Borrower in the case of a borrowing denominated in a Foreign Currency) by the time that a Borrowing Request would be required under Section 2.03 if the Applicable Borrower were requesting a Borrowing of the Type and Class resulting from such election to be made on the effective date of such election. Notwithstanding any contrary provision herein, this Section 2.08 shall not be construed to permit the Applicable Borrower to (i) change the currency of any Borrowing, (ii) elect an Interest Period for Eurocurrency Loans or RFR Loans that does not comply with Section 2.02(c) or (iii) convert any Borrowing to a Borrowing of a Type not available under the Class of Commitments or the Tranche pursuant to which such Borrowing was made.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5" w:name="page106"/>
    <w:bookmarkEnd w:id="105"/>
    <w:p>
      <w:pPr>
        <w:ind w:left="1960" w:hanging="656"/>
        <w:spacing w:after="0"/>
        <w:tabs>
          <w:tab w:leader="none" w:pos="19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Each telephonic and written Interest Election Request shall specify the following information in compliance with Section 2.02:</w:t>
      </w:r>
    </w:p>
    <w:p>
      <w:pPr>
        <w:spacing w:after="0" w:line="248" w:lineRule="exact"/>
        <w:rPr>
          <w:rFonts w:ascii="Arial" w:cs="Arial" w:eastAsia="Arial" w:hAnsi="Arial"/>
          <w:sz w:val="16"/>
          <w:szCs w:val="16"/>
          <w:color w:val="auto"/>
        </w:rPr>
      </w:pPr>
    </w:p>
    <w:p>
      <w:pPr>
        <w:jc w:val="both"/>
        <w:ind w:left="660" w:firstLine="1292"/>
        <w:spacing w:after="0" w:line="263" w:lineRule="auto"/>
        <w:tabs>
          <w:tab w:leader="none" w:pos="25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3" w:lineRule="exact"/>
        <w:rPr>
          <w:rFonts w:ascii="Arial" w:cs="Arial" w:eastAsia="Arial" w:hAnsi="Arial"/>
          <w:sz w:val="18"/>
          <w:szCs w:val="18"/>
          <w:color w:val="auto"/>
        </w:rPr>
      </w:pPr>
    </w:p>
    <w:p>
      <w:pPr>
        <w:ind w:left="2580" w:hanging="628"/>
        <w:spacing w:after="0"/>
        <w:tabs>
          <w:tab w:leader="none" w:pos="25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236" w:lineRule="exact"/>
        <w:rPr>
          <w:rFonts w:ascii="Arial" w:cs="Arial" w:eastAsia="Arial" w:hAnsi="Arial"/>
          <w:sz w:val="17"/>
          <w:szCs w:val="17"/>
          <w:color w:val="auto"/>
        </w:rPr>
      </w:pPr>
    </w:p>
    <w:p>
      <w:pPr>
        <w:ind w:left="2580" w:hanging="628"/>
        <w:spacing w:after="0"/>
        <w:tabs>
          <w:tab w:leader="none" w:pos="25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whether the resulting Borrowing is to be an ABR Borrowing, a Eurocurrency Borrowing or an RFR Borrowing; and</w:t>
      </w:r>
    </w:p>
    <w:p>
      <w:pPr>
        <w:spacing w:after="0" w:line="236" w:lineRule="exact"/>
        <w:rPr>
          <w:rFonts w:ascii="Arial" w:cs="Arial" w:eastAsia="Arial" w:hAnsi="Arial"/>
          <w:sz w:val="17"/>
          <w:szCs w:val="17"/>
          <w:color w:val="auto"/>
        </w:rPr>
      </w:pPr>
    </w:p>
    <w:p>
      <w:pPr>
        <w:jc w:val="both"/>
        <w:ind w:left="660" w:firstLine="1292"/>
        <w:spacing w:after="0" w:line="263" w:lineRule="auto"/>
        <w:tabs>
          <w:tab w:leader="none" w:pos="25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the resulting Borrowing is a Eurocurrency Borrowing or RFR Borrowing, the Interest Period and Agreed Currency to be applicable thereto after giving effect to such election, which Interest Period shall be a period contemplated by the definition of the term “Interest Period”.</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such Interest Election Request requests a Eurocurrency Borrowing or RFR Borrowing but does not specify an Interest Period, then the Applicable Borrower shall be deemed to have selected an Interest Period of one month’s duration.</w:t>
      </w:r>
    </w:p>
    <w:p>
      <w:pPr>
        <w:spacing w:after="0" w:line="170" w:lineRule="exact"/>
        <w:rPr>
          <w:sz w:val="20"/>
          <w:szCs w:val="20"/>
          <w:color w:val="auto"/>
        </w:rPr>
      </w:pPr>
    </w:p>
    <w:p>
      <w:pPr>
        <w:ind w:firstLine="1304"/>
        <w:spacing w:after="0" w:line="277"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applicable Lender of the details thereof and of such Lender’s portion of each resulting Borrowing.</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1982"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the Applicable Borrower fails to deliver a timely Interest Election Request with respect to a Eurocurrency Borrowing or RFR Borrowing prior to the end of the Interest Period applicable thereto, then, unless such Borrowing is repaid as provided herein, at the end of such Interest Period, (i) in the case of a Borrowing of Initial Term Loans, such Borrowing shall continue as a Eurocurrency Borrowing with a three month Interest Period, (ii) in the case of any other Borrowing denominated in Dollars, such Borrowing shall be converted to an ABR Borrowing and (iii) in the case of a Borrowing denominated in a Foreign Currency in respect of which such Borrower shall have failed to deliver an Interest Election Request prior to the third (3rd) Business Day preceding the end of such Interest Period, such Borrowing shall automatically continue as a Eurocurrency Borrowing or RFR Borrowing, as applicable, in the same Agreed Currency with a one month Interest Period. Notwithstanding any contrary provision hereof, if an Event of Default has occurred and is continuing and the Administrative Agent, at the request of the Required Lenders, so notifies the Applicable Borrower, then, so long as an Event of Default is continuing (i) no outstanding Borrowing may be converted to or continued as a Eurocurrency Borrowing or RFR Borrowing and (ii) unless repaid, each Eurocurrency Borrowing and RFR Borrowing shall be converted to an ABR Borrowing (and any such Eurocurrency Borrowing denominated in a Foreign Currency and any such RFR Borrowing shall be redenominated in Dollars, based on the Dollar Amounts thereof, at the time of such conversion) at the end of the Interest Period applicable thereto.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6" w:name="page107"/>
    <w:bookmarkEnd w:id="106"/>
    <w:p>
      <w:pPr>
        <w:ind w:left="640"/>
        <w:spacing w:after="0"/>
        <w:tabs>
          <w:tab w:leader="none" w:pos="19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Termination and Reduction of Commitments.</w:t>
      </w:r>
    </w:p>
    <w:p>
      <w:pPr>
        <w:spacing w:after="0" w:line="225" w:lineRule="exact"/>
        <w:rPr>
          <w:sz w:val="20"/>
          <w:szCs w:val="20"/>
          <w:color w:val="auto"/>
        </w:rPr>
      </w:pPr>
    </w:p>
    <w:p>
      <w:pPr>
        <w:ind w:left="-20" w:right="20" w:firstLine="1304"/>
        <w:spacing w:after="0" w:line="308" w:lineRule="auto"/>
        <w:tabs>
          <w:tab w:leader="none" w:pos="2122" w:val="left"/>
        </w:tabs>
        <w:numPr>
          <w:ilvl w:val="0"/>
          <w:numId w:val="89"/>
        </w:numPr>
        <w:rPr>
          <w:rFonts w:ascii="Arial" w:cs="Arial" w:eastAsia="Arial" w:hAnsi="Arial"/>
          <w:sz w:val="17"/>
          <w:szCs w:val="17"/>
          <w:color w:val="auto"/>
        </w:rPr>
      </w:pPr>
      <w:r>
        <w:rPr>
          <w:rFonts w:ascii="Arial" w:cs="Arial" w:eastAsia="Arial" w:hAnsi="Arial"/>
          <w:sz w:val="17"/>
          <w:szCs w:val="17"/>
          <w:color w:val="auto"/>
        </w:rPr>
        <w:t>Unless previously terminated, the Lux Term Loan Commitment of each Term Lender shall automatically and permanently terminate at 5:00 PM, New York City time, on the Closing Date (after giving effect to the incurrence of Lux Term Loans on such date).</w:t>
      </w:r>
    </w:p>
    <w:p>
      <w:pPr>
        <w:spacing w:after="0" w:line="146" w:lineRule="exact"/>
        <w:rPr>
          <w:rFonts w:ascii="Arial" w:cs="Arial" w:eastAsia="Arial" w:hAnsi="Arial"/>
          <w:sz w:val="17"/>
          <w:szCs w:val="17"/>
          <w:color w:val="auto"/>
        </w:rPr>
      </w:pPr>
    </w:p>
    <w:p>
      <w:pPr>
        <w:ind w:left="-20" w:right="20" w:firstLine="1304"/>
        <w:spacing w:after="0" w:line="308" w:lineRule="auto"/>
        <w:tabs>
          <w:tab w:leader="none" w:pos="2107" w:val="left"/>
        </w:tabs>
        <w:numPr>
          <w:ilvl w:val="0"/>
          <w:numId w:val="89"/>
        </w:numPr>
        <w:rPr>
          <w:rFonts w:ascii="Arial" w:cs="Arial" w:eastAsia="Arial" w:hAnsi="Arial"/>
          <w:sz w:val="17"/>
          <w:szCs w:val="17"/>
          <w:color w:val="auto"/>
        </w:rPr>
      </w:pPr>
      <w:r>
        <w:rPr>
          <w:rFonts w:ascii="Arial" w:cs="Arial" w:eastAsia="Arial" w:hAnsi="Arial"/>
          <w:sz w:val="17"/>
          <w:szCs w:val="17"/>
          <w:color w:val="auto"/>
        </w:rPr>
        <w:t>Unless previously terminated, the U.S. Term Loan Commitment of each Term Lender shall automatically and permanently terminate at 5:00 PM, New York City time, on the Closing Date (after giving effect to the incurrence of U.S. Term Loans on such date).</w:t>
      </w:r>
    </w:p>
    <w:p>
      <w:pPr>
        <w:spacing w:after="0" w:line="146" w:lineRule="exact"/>
        <w:rPr>
          <w:rFonts w:ascii="Arial" w:cs="Arial" w:eastAsia="Arial" w:hAnsi="Arial"/>
          <w:sz w:val="17"/>
          <w:szCs w:val="17"/>
          <w:color w:val="auto"/>
        </w:rPr>
      </w:pPr>
    </w:p>
    <w:p>
      <w:pPr>
        <w:ind w:left="-20" w:firstLine="1304"/>
        <w:spacing w:after="0" w:line="277" w:lineRule="auto"/>
        <w:tabs>
          <w:tab w:leader="none" w:pos="2134"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Unless previously terminated, the Revolving Commitment of each Revolving Lender shall automatically and permanently termination on the relevant Maturity Date.</w:t>
      </w:r>
    </w:p>
    <w:p>
      <w:pPr>
        <w:spacing w:after="0" w:line="170" w:lineRule="exact"/>
        <w:rPr>
          <w:rFonts w:ascii="Arial" w:cs="Arial" w:eastAsia="Arial" w:hAnsi="Arial"/>
          <w:sz w:val="18"/>
          <w:szCs w:val="18"/>
          <w:color w:val="auto"/>
        </w:rPr>
      </w:pPr>
    </w:p>
    <w:p>
      <w:pPr>
        <w:jc w:val="both"/>
        <w:ind w:left="-20" w:firstLine="1304"/>
        <w:spacing w:after="0" w:line="296" w:lineRule="auto"/>
        <w:tabs>
          <w:tab w:leader="none" w:pos="195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Any Revolving Borrower (on behalf of all of the Revolving Borrowers) may at any time terminate, or from time to time reduce, the Revolving Commitments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such Revolving Commitments shall be in an amount that is an integral multiple of $5,000,000 and not less than $10,000,000 and (ii) the Revolving Borrowers shall not terminate or reduce any Revolving Commitments if, after giving effect to any concurrent prepayment of the Revolving Loans of such Class in accordance with Section 2.11, the Dollar Amount of the sum of the total Revolving Credit Exposures in respect of such Class would exceed the aggregate Revolving Commitments of such Class.</w:t>
      </w:r>
    </w:p>
    <w:p>
      <w:pPr>
        <w:spacing w:after="0" w:line="161" w:lineRule="exact"/>
        <w:rPr>
          <w:rFonts w:ascii="Arial" w:cs="Arial" w:eastAsia="Arial" w:hAnsi="Arial"/>
          <w:sz w:val="16"/>
          <w:szCs w:val="16"/>
          <w:color w:val="auto"/>
        </w:rPr>
      </w:pPr>
    </w:p>
    <w:p>
      <w:pPr>
        <w:jc w:val="both"/>
        <w:ind w:left="-20" w:firstLine="1304"/>
        <w:spacing w:after="0" w:line="270" w:lineRule="auto"/>
        <w:tabs>
          <w:tab w:leader="none" w:pos="196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Any applicable Revolving Borrower shall notify the Administrative Agent of any election to terminate or reduce the Revolving Commitments of any Class under Section 2.09(d)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any Revolving Borrower pursuant to this Section 2.09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Revolving Commitments of any Class delivered by any Revolving Borrower may state that such notice is conditioned upon the effectiveness of other credit facilities or one or more other events specified therein, in which case such notice may be revoked by such Revolving Borrower (by notice to the Administrative Agent on or prior to the specified effective date) if such condition is not satisfied. Any termination or reduction of the Revolving Commitments of any Class shall be permanent. Each reduction of the Revolving Commitments of any Class shall be made ratably among the applicable Lenders in accordance with their respective Revolving Commitments of such Class.</w:t>
      </w:r>
    </w:p>
    <w:p>
      <w:pPr>
        <w:spacing w:after="0" w:line="18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Repayment of Loans; Evidence of Debt.</w:t>
      </w:r>
    </w:p>
    <w:p>
      <w:pPr>
        <w:spacing w:after="0" w:line="225" w:lineRule="exact"/>
        <w:rPr>
          <w:sz w:val="20"/>
          <w:szCs w:val="20"/>
          <w:color w:val="auto"/>
        </w:rPr>
      </w:pPr>
    </w:p>
    <w:p>
      <w:pPr>
        <w:jc w:val="both"/>
        <w:ind w:left="-20" w:firstLine="1304"/>
        <w:spacing w:after="0" w:line="271" w:lineRule="auto"/>
        <w:tabs>
          <w:tab w:leader="none" w:pos="195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 The Lux Borrower and the Lux U.S. Subsidiary Borrower shall pay to the Administrative Agent, for the account of the Term Lenders, on each March 31, June 30, September 30 and December 31, beginning with December 31, 2021 or if any such date is not a Business Day, on the immediately following Business Day (each such date, a “</w:t>
      </w:r>
      <w:r>
        <w:rPr>
          <w:rFonts w:ascii="Arial" w:cs="Arial" w:eastAsia="Arial" w:hAnsi="Arial"/>
          <w:sz w:val="17"/>
          <w:szCs w:val="17"/>
          <w:u w:val="single" w:color="auto"/>
          <w:color w:val="auto"/>
        </w:rPr>
        <w:t>Lux Term Loan Repayment Date</w:t>
      </w:r>
      <w:r>
        <w:rPr>
          <w:rFonts w:ascii="Arial" w:cs="Arial" w:eastAsia="Arial" w:hAnsi="Arial"/>
          <w:sz w:val="17"/>
          <w:szCs w:val="17"/>
          <w:color w:val="auto"/>
        </w:rPr>
        <w:t xml:space="preserve">”), a principal amount of the Lux Term Loans equal to 0.25% of the initial aggregate principal amount of such Lux Term Loans (as adjusted from time to time pursuant to Section 2.11), together in each case with accrued and unpaid interest on the principal amount to be paid to but excluding the date of such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specified in the applicable Extension Offer, amortization payments required with respect to Extended Term Loans that are Lux Term Loans for periods solely after the applicable Maturity Date for Lux Term Loans shall be as specified in the applicable Extension Offer. All unpaid Lux Term Loans shall be paid in full in Dollars by the Lux Borrower and the Lux U.S. Subsidiary Borrower on the applicable Maturity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7" w:name="page108"/>
    <w:bookmarkEnd w:id="107"/>
    <w:p>
      <w:pPr>
        <w:jc w:val="both"/>
        <w:ind w:left="-20" w:firstLine="1952"/>
        <w:spacing w:after="0" w:line="254" w:lineRule="auto"/>
        <w:tabs>
          <w:tab w:leader="none" w:pos="21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U.S. Borrower shall pay to the Administrative Agent, for the account of the Term Lenders, on each March 31, June 30, September 30 and December 31, beginning with December 31, 2021 or if any such date is not a Business Day, on the immediately following Business Day (each such date, a “</w:t>
      </w:r>
      <w:r>
        <w:rPr>
          <w:rFonts w:ascii="Arial" w:cs="Arial" w:eastAsia="Arial" w:hAnsi="Arial"/>
          <w:sz w:val="18"/>
          <w:szCs w:val="18"/>
          <w:u w:val="single" w:color="auto"/>
          <w:color w:val="auto"/>
        </w:rPr>
        <w:t>U.S. Term Loan Repayment Date</w:t>
      </w:r>
      <w:r>
        <w:rPr>
          <w:rFonts w:ascii="Arial" w:cs="Arial" w:eastAsia="Arial" w:hAnsi="Arial"/>
          <w:sz w:val="18"/>
          <w:szCs w:val="18"/>
          <w:color w:val="auto"/>
        </w:rPr>
        <w:t xml:space="preserve">”), a principal amount of the U.S. Term Loans equal to 0.25% of the initial aggregate principal amount of such U.S. Term Loans (as adjusted from time to time pursuant to Section 2.11), together in each case with accrued and unpaid interest on the principal amount to be paid to but excluding the date of such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specified in the applicable Extension Offer, amortization payments required with respect to Extended Term Loans that are U.S. Term Loans for periods solely after the applicable Maturity Date for U.S. Term Loans shall be as specified in the applicable Extension Offer. All unpaid U.S. Term Loans shall be paid in full in Dollars by the U.S. Borrower on the applicable Maturity Date.</w:t>
      </w:r>
    </w:p>
    <w:p>
      <w:pPr>
        <w:spacing w:after="0" w:line="191" w:lineRule="exact"/>
        <w:rPr>
          <w:rFonts w:ascii="Arial" w:cs="Arial" w:eastAsia="Arial" w:hAnsi="Arial"/>
          <w:sz w:val="18"/>
          <w:szCs w:val="18"/>
          <w:color w:val="auto"/>
        </w:rPr>
      </w:pPr>
    </w:p>
    <w:p>
      <w:pPr>
        <w:jc w:val="both"/>
        <w:ind w:left="-20" w:firstLine="1952"/>
        <w:spacing w:after="0" w:line="275" w:lineRule="auto"/>
        <w:tabs>
          <w:tab w:leader="none" w:pos="2259"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The Applicable Borrower shall pay (A) to the Administrative Agent for the account of each Revolving Lender the then unpaid principal amount of each Revolving Loan on the Maturity Date in the currency of such Loan and (B) to the Swingline Lender the then unpaid principal amount of each Swingline Loan on the earlier of the Latest Maturity Date with respect to any Revolving Commitments and the first date after such Swingline Loan is made that is the 15th or last day of a calendar month and is at least two (2) Business Days after such Swingline Loan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each date that a Revolving Borrowing is made, the Applicable Borrower shall repay all Swingline Loans then outstanding.</w:t>
      </w:r>
    </w:p>
    <w:p>
      <w:pPr>
        <w:spacing w:after="0" w:line="176" w:lineRule="exact"/>
        <w:rPr>
          <w:rFonts w:ascii="Arial" w:cs="Arial" w:eastAsia="Arial" w:hAnsi="Arial"/>
          <w:sz w:val="17"/>
          <w:szCs w:val="17"/>
          <w:color w:val="auto"/>
        </w:rPr>
      </w:pPr>
    </w:p>
    <w:p>
      <w:pPr>
        <w:jc w:val="both"/>
        <w:ind w:left="-20" w:firstLine="1304"/>
        <w:spacing w:after="0" w:line="263" w:lineRule="auto"/>
        <w:tabs>
          <w:tab w:leader="none" w:pos="20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Applicable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jc w:val="both"/>
        <w:ind w:left="-20" w:firstLine="1304"/>
        <w:spacing w:after="0" w:line="279" w:lineRule="auto"/>
        <w:tabs>
          <w:tab w:leader="none" w:pos="2057"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Administrative Agent shall maintain accounts in which it shall record (i) the amount of each Loan made hereunder, the Tranche under which it was made, the Class, Agreed Currency and Type thereof and the Interest Period applicable thereto, (ii) the amount of any principal or interest due and payable or to become due and payable from the Applicable Borrower to each Lender hereunder and (iii) the amount of any sum received by the Administrative Agent hereunder for the account of the Lenders and each Lender’s share thereof.</w:t>
      </w:r>
    </w:p>
    <w:p>
      <w:pPr>
        <w:spacing w:after="0" w:line="171" w:lineRule="exact"/>
        <w:rPr>
          <w:rFonts w:ascii="Arial" w:cs="Arial" w:eastAsia="Arial" w:hAnsi="Arial"/>
          <w:sz w:val="17"/>
          <w:szCs w:val="17"/>
          <w:color w:val="auto"/>
        </w:rPr>
      </w:pPr>
    </w:p>
    <w:p>
      <w:pPr>
        <w:jc w:val="both"/>
        <w:ind w:left="-20" w:firstLine="1304"/>
        <w:spacing w:after="0" w:line="257" w:lineRule="auto"/>
        <w:tabs>
          <w:tab w:leader="none" w:pos="1981"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2.10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Applicable Borrower to repay the Loans in accordance with the terms of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case of any conflict between the accounts maintained pursuant to paragraph (b) and the Register, the Register shall control.</w:t>
      </w:r>
    </w:p>
    <w:p>
      <w:pPr>
        <w:spacing w:after="0" w:line="187" w:lineRule="exact"/>
        <w:rPr>
          <w:rFonts w:ascii="Arial" w:cs="Arial" w:eastAsia="Arial" w:hAnsi="Arial"/>
          <w:sz w:val="18"/>
          <w:szCs w:val="18"/>
          <w:color w:val="auto"/>
        </w:rPr>
      </w:pPr>
    </w:p>
    <w:p>
      <w:pPr>
        <w:jc w:val="both"/>
        <w:ind w:left="-20" w:firstLine="1304"/>
        <w:spacing w:after="0" w:line="301" w:lineRule="auto"/>
        <w:tabs>
          <w:tab w:leader="none" w:pos="1928"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Lender may request that Loans made by it be evidenced by a promissory note. In such event, the Applicable Borrower shall prepare, execute and deliver to such Lender promissory notes payable to such Lender or its registered assigns and in a form approved by the Administrative Agent. Thereafter, the Loans evidenced by such promissory notes and interest thereon shall at all times (including after assignment pursuant to Section 9.04) be represented by one or more promissory notes in such form payable to the payee named therein or its registered assigns.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8" w:name="page109"/>
    <w:bookmarkEnd w:id="108"/>
    <w:p>
      <w:pPr>
        <w:ind w:left="640"/>
        <w:spacing w:after="0"/>
        <w:tabs>
          <w:tab w:leader="none" w:pos="19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Prepayment of Loans.</w:t>
      </w:r>
    </w:p>
    <w:p>
      <w:pPr>
        <w:spacing w:after="0" w:line="225" w:lineRule="exact"/>
        <w:rPr>
          <w:sz w:val="20"/>
          <w:szCs w:val="20"/>
          <w:color w:val="auto"/>
        </w:rPr>
      </w:pPr>
    </w:p>
    <w:p>
      <w:pPr>
        <w:jc w:val="both"/>
        <w:ind w:left="-20" w:firstLine="1304"/>
        <w:spacing w:after="0" w:line="284" w:lineRule="auto"/>
        <w:tabs>
          <w:tab w:leader="none" w:pos="2094"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Applicable Borrower shall have the right at any time and from time to time to prepay any Borrowing of any Class or Tranche in whole or in part, subject to (i) the premium set forth in Section 2.12(b), (ii) the break funding payments required by Section 2.16 and (iii) prior notice in accordance with the provisions of this Section 2.11(a);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 voluntary prepayments of the Initial Term Loans shall be made on a pro rata basis between the two Tranches of Initial Term Loans. The Applicable Borrower shall notify the Administrative Agent (and, in the case of prepayment of a Swingline Loan, the Swingline Lender) by telephone (confirmed by telecopy) of any prepayment hereunder (i) in the case of prepayment of a Eurocurrency Borrowing denominated in Dollars, not later than 11:00 a.m., New York City time, three (3) Business Days before the date of prepayment (or such later time as approved by the Administrative Agent), (ii) in the case of prepayment of a Eurocurrency Borrowing denominated in an Agreed Currency other than Dollars or an RFR Borrowing, not later than 11:00 a.m., New York City time, four (4) Business Days before the date of prepayment (or such later time as approved by the Administrative Agent), (iii) in the case of prepayment of an ABR Borrowing, not later than 11:00 a.m., New York City time, one (1) Business Day before the date of prepayment (or such later time as approved by the Administrative Agent) or (iv) in the case of prepayment of a Swingline Loan, not later than 12:00 noon, New York City time, on the date of prepayment (or such later time as approved by the Administrative Agent). Each such notice shall be irrevocable and shall specify the prepayment date and the principal amount and Class and Tranche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prepayment may state that such notice is conditioned upon the effectiveness of other credit facilities or one or more other events specified therein, in which case such notice may be revoked by the Applicable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each voluntary prepayment of a Term Loan Borrowing shall be applied as directed by the Applicable Borrower and each mandatory prepayment of a Term Loan Borrowing shall be applied in accordance with Section 2.11(e). Prepayments shall be accompanied by (i) accrued interest to the extent required by Section 2.13 and (ii) break funding payments pursuant to Section 2.16.</w:t>
      </w:r>
    </w:p>
    <w:p>
      <w:pPr>
        <w:spacing w:after="0" w:line="181" w:lineRule="exact"/>
        <w:rPr>
          <w:rFonts w:ascii="Arial" w:cs="Arial" w:eastAsia="Arial" w:hAnsi="Arial"/>
          <w:sz w:val="16"/>
          <w:szCs w:val="16"/>
          <w:color w:val="auto"/>
        </w:rPr>
      </w:pPr>
    </w:p>
    <w:p>
      <w:pPr>
        <w:jc w:val="both"/>
        <w:ind w:left="-20" w:firstLine="1304"/>
        <w:spacing w:after="0" w:line="291" w:lineRule="auto"/>
        <w:tabs>
          <w:tab w:leader="none" w:pos="21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at any time, (i) solely as a result of fluctuations in currency Exchange Rates, the sum of the aggregate principal Dollar Amount of all of the Revolving Credit Exposures (calculated, with respect to those Credit Events denominated in Foreign Currencies, as of the most recent Computation Date with respect to each such Credit Event) exceeds 105% of the aggregate Revolving Commitments or (ii) for any other reason, the sum of the aggregate principal Dollar Amount of all of the Revolving Credit Exposures of any Class (so calculated) exceeds the aggregate Commitments of such Class, the Applicable Borrower shall in each case immediately repay the applicable Borrowings or Cash Collateralize LC Exposure in an account with the Administrative Agent pursuant to Section 2.06(j), as applicable, in an aggregate principal amount sufficient to cause the aggregate Dollar Amount of all Revolving Credit Exposures (so calculated) of each Class to be less than or equal to the aggregate Commitments of such Class.</w:t>
      </w:r>
    </w:p>
    <w:p>
      <w:pPr>
        <w:spacing w:after="0" w:line="166" w:lineRule="exact"/>
        <w:rPr>
          <w:rFonts w:ascii="Arial" w:cs="Arial" w:eastAsia="Arial" w:hAnsi="Arial"/>
          <w:sz w:val="16"/>
          <w:szCs w:val="16"/>
          <w:color w:val="auto"/>
        </w:rPr>
      </w:pPr>
    </w:p>
    <w:p>
      <w:pPr>
        <w:jc w:val="both"/>
        <w:ind w:left="-20" w:firstLine="1304"/>
        <w:spacing w:after="0" w:line="259" w:lineRule="auto"/>
        <w:tabs>
          <w:tab w:leader="none" w:pos="20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In the event and on each occasion that (i) any Net Proceeds are received by or on behalf of Holdings or any of its Restricted Subsidiaries in respect of any Prepayment Event, the Applicable Borrower shall, within ten (10) Business Days after such Net Proceeds are received, prepay the Obligations as set forth in Section 2.11(d)(i) below (and subject to Section 2.11(e)) in an aggregate amount equal to the Required Net Proceeds Percentage of such Net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9" w:name="page110"/>
    <w:bookmarkEnd w:id="109"/>
    <w:p>
      <w:pPr>
        <w:jc w:val="both"/>
        <w:ind w:left="840" w:firstLine="1288"/>
        <w:spacing w:after="0" w:line="288" w:lineRule="auto"/>
        <w:tabs>
          <w:tab w:leader="none" w:pos="2787"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Loan Party may use a portion of such Net Proceeds to prepay or repurchase Permitted Pari Passu Secured Refinancing Debt and, to the extent such debt is (x) secured on a pari passu basis with the Obligations and (y) pari passu in right of payment with the Obligations hereunder, any Alternative Incremental Facility Indebtedness and/or Ratio Debt to the extent any applicable credit agreement, indenture or other agreement governing such Permitted Pari Passu Secured Refinancing Debt, such Alternative Incremental Facility Indebtedness and/or such Ratio Debt so requires, in each case in an amount not to exceed the product of (x) the amount of such Net Proceeds and (y) a fraction, the numerator of which is the outstanding principal amount of such Permitted Pari Passu Secured Refinancing Debt, such Alternative Incremental Facility Indebtedness and/or such Ratio Debt, as applicable, and the denominator of which is the sum of the outstanding principal amount of such Permitted Pari Passu Secured Refinancing Debt, such Alternative Incremental Facility Indebtedness and/or such Ratio Debt, as applicable, and the outstanding principal amount of Term Loans; and</w:t>
      </w:r>
    </w:p>
    <w:p>
      <w:pPr>
        <w:spacing w:after="0" w:line="168" w:lineRule="exact"/>
        <w:rPr>
          <w:rFonts w:ascii="Arial" w:cs="Arial" w:eastAsia="Arial" w:hAnsi="Arial"/>
          <w:sz w:val="16"/>
          <w:szCs w:val="16"/>
          <w:color w:val="auto"/>
        </w:rPr>
      </w:pPr>
    </w:p>
    <w:p>
      <w:pPr>
        <w:jc w:val="both"/>
        <w:ind w:left="840" w:firstLine="1288"/>
        <w:spacing w:after="0" w:line="270" w:lineRule="auto"/>
        <w:tabs>
          <w:tab w:leader="none" w:pos="2921"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in the case of any event described in clause (1) or (2) of the definition of the term “Prepayment Event”, if Holdings or its Restricted Subsidiaries elect to apply all or a portion of the Net Proceeds from such event (or a portion thereof), within 18 months after receipt of such Net Proceeds, to acquire, maintain, develop, construct, improve, upgrade or repair assets useful in the business of Holdings or its Restricted Subsidiaries or to make capital expenditures, Permitted Acquisitions, Permitted Investments or Investments permitted by Section 6.04, then no prepayment shall be required pursuant to this paragraph in respect of such Net Proceeds;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of any such Net Proceeds therefrom that have not been so applied by the end of such 18 month period (or committed to be applied by the end of the 18 month period and applied within 6 months after the end of such 18 month period), a prepayment shall be required at the end of such period in an amount equal to such Net Proceeds that have not been so applied (subject to clause (f) below); or</w:t>
      </w:r>
    </w:p>
    <w:p>
      <w:pPr>
        <w:spacing w:after="0" w:line="180" w:lineRule="exact"/>
        <w:rPr>
          <w:rFonts w:ascii="Arial" w:cs="Arial" w:eastAsia="Arial" w:hAnsi="Arial"/>
          <w:sz w:val="17"/>
          <w:szCs w:val="17"/>
          <w:color w:val="auto"/>
        </w:rPr>
      </w:pPr>
    </w:p>
    <w:p>
      <w:pPr>
        <w:jc w:val="both"/>
        <w:ind w:left="-460" w:firstLine="1292"/>
        <w:spacing w:after="0" w:line="257" w:lineRule="auto"/>
        <w:tabs>
          <w:tab w:leader="none" w:pos="146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Loan Party incurs, issues or obtains any Credit Agreement Refinancing Indebtedness (other than solely by means of extending or renewing then existing Credit Agreement Refinancing Indebtedness without resulting in any Net Proceeds), the Applicable Borrower shall, on the date on which such Credit Agreement Refinancing Indebtedness is incurred, issued or obtained, prepay any Loans constituting the applicable Refinanced Debt as set forth in Section 2.11(e) below in an aggregate amount equal to 100% of the Net Proceeds of such Credit Agreement Refinancing Indebtedness; and</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10" w:name="page111"/>
    <w:bookmarkEnd w:id="110"/>
    <w:p>
      <w:pPr>
        <w:jc w:val="both"/>
        <w:ind w:left="-460" w:firstLine="1292"/>
        <w:spacing w:after="0" w:line="282" w:lineRule="auto"/>
        <w:tabs>
          <w:tab w:leader="none" w:pos="1526"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later than ten (10) business days after the date on which the financial statements with respect to such fiscal year in which such Excess Cash Flow Period occurs are delivered pursuant to Section 5.01(a), the Applicable Borrower shall make prepayments of the Term Loans (unless otherwise provided in any Incremental Amendment or Refinancing Amendment) in accordance with Section 2.11(d) in an aggregate principal amount (the “</w:t>
      </w:r>
      <w:r>
        <w:rPr>
          <w:rFonts w:ascii="Arial" w:cs="Arial" w:eastAsia="Arial" w:hAnsi="Arial"/>
          <w:sz w:val="16"/>
          <w:szCs w:val="16"/>
          <w:u w:val="single" w:color="auto"/>
          <w:color w:val="auto"/>
        </w:rPr>
        <w:t>ECF Payment Amount</w:t>
      </w:r>
      <w:r>
        <w:rPr>
          <w:rFonts w:ascii="Arial" w:cs="Arial" w:eastAsia="Arial" w:hAnsi="Arial"/>
          <w:sz w:val="16"/>
          <w:szCs w:val="16"/>
          <w:color w:val="auto"/>
        </w:rPr>
        <w:t xml:space="preserve">”) equal to (a) (x) if the First Lien Net Leverage Ratio at the end of such period is greater than or equal to 4.50:1.00, 50% of Excess Cash Flow for the Excess Cash Flow Period then ended, (y) if the First Lien Net Leverage Ratio at the end of such period is less than 4.50:1.00 but greater than 4.00:1.00, 25% of Excess Cash Flow for the Excess Cash Flow Period then ended and (z) if the First Lien Net Leverage Ratio at the end of such period is less than or equal to 4.00:1.00 (but excluding, for purposes of such calculation, the proceeds of any Incremental Loans or any other Indebtedness incurred on such date in the calculation of the Unrestricted Cash), 0% of Excess Cash Flow for the Excess Cash Flow Period then ended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in the case of (a)(x) and (y) above, the sum of (1) all voluntary prepayments or permitted purchases of Term Loans, Alternative Incremental Facility Indebtedness, New Notes and other Indebtedness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Obligations and Permitted Refinancing Indebtedness (in each case that is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Obligations) during such Excess Cash Flow Period (and in the case of the first Excess Cash Flow Period after the Closing Date, during the fiscal year ended December 31, 2021) or, without duplication across Excess Cash Flow Periods, after the end of such Excess Cash Flow Period and prior to when such Excess Cash Flow prepayment is due (limited in the case of any voluntary prepayments made pursuant to Section 2.11(a)(ii) and purchases made pursuant to Section 2.23 to the discounted amount actually paid in respect of the principal amount of such Term Loans (as opposed to the face amount so prepaid)), (2) all voluntary prepayments of Revolving Loans during such Excess Cash Flow Period (and in the case of the first Excess Cash Flow Period after the Closing Date, during the fiscal year ended December 31, 2021) or, without duplication across Excess Cash Flow Periods, after the end of such Excess Cash Flow Period and prior to when such Excess Cash Flow prepayment is due, to the extent the Revolving Commitments are permanently reduced by the amount of such payments, in each case except to the extent financed with the proceeds of long-term Indebtedness (other than revolving Indebtedness), (3) without duplication of amounts deducted in prior periods and, at the option of Holdings, the aggregate consideration required to be paid in cash by Holdings or any of the Restricted Subsidiaries pursuant to binding contracts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xml:space="preserve">”) entered into prior to or during such period or prior to the payment date of the ECF Payment Amount relating to Permitted Acquisitions or other Investments, capital expenditures, Capitalized Software Expenditures, acquisitions of intellectual property or non-ordinary course acquisitions of other assets to be consummated or made during the fiscal year following such period; provided that Holdings may make a good faith estimate of such amount to the extent such amount is unable to be definitively determined at the date of determination of Excess Cash Flow for the applicable period; provided, further, that, to the extent the aggregate amount of cash flow (except to the extent financed with the proceeds of long-term Indebtedness of Holdings or its Restricted Subsidiaries (other than revolving Indebtedness)) actually utilized to finance such Permitted Acquisitions, other Investments, capital expenditures, Capitalized Software Expenditures, acquisitions of intellectual property or non-ordinary course acquisitions of other assets during such period of four consecutive fiscal quarters is less than the Contract Consideration, the amount of such shortfall shall be added to the calculation of Excess Cash Flow at the end of such period of four consecutive fiscal quarters, (4) without duplication of amounts deducted pursuant to this clause (4) or clause (3) above in prior fiscal years, the amount of Investments made pursuant to the definition of “Permitted Investments” and Section 6.04 (other than Investments in (x) cash and Cash Equivalents and (y) Holdings or any of its Restricted Subsidiaries other than any Investments in the Equity Interests of Oncacare Limited) made during such period and, at the election of Holdings, made after such period but prior to the date of the applicable Excess Cash Flow payment, in each case except to the extent financed with the proceeds of long-term Indebtedness of Holdings or its Restricted Subsidiaries (other than revolving Indebtedness), (5) [reserved] and (6) without duplication of amounts deducted pursuant to this clause (6) or clause (3) above in prior fiscal years, the amount of capital expenditures, Capitalized Software Expenditures or acquisitions of intellectual property accrued or made in cash during such period and, at the election of Holdings, made after such period but prior to the date of the applicable Excess Cash Flow payment, in each case except to the extent financed with the proceeds of long-term Indebtedness of Holdings or its Restricted Subsidiaries (other than revolving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prepayment of Term Loans pursuant to this Section 2.11(c)(iii) shall only be required in the amount (if any) by which the ECF Payment Amount for such fiscal year exceeds an amount equal to the greater of $60,000,000 and 5% of Consolidated EBITDA for the Test Period most recently ended on or prior to the date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Applicable Borrower may use a portion of such ECF Payment Amount to prepay or repurchase Permitted Pari Passu Secured Refinancing Debt and, to the extent such debt is (x) secured on a pari passu basis with the Obligations and (y) pari passu in right of payment with the Obligations hereunder, any Alternative Incremental Facility Indebtedness and/or Ratio Debt to the extent any applicable credit agreement, indenture or other agreement governing such Permitted Pari Passu Secured Refinancing Debt, such Alternative Incremental Facility Indebtedness and/or such Ratio Debt so requires, in each case in an amount not to exceed the product of (x) the amount of such ECF Payment Amount and (y) a fraction, the numerator of which is the outstanding principal amount of such Permitted Pari Passu Secured Refinancing Debt, such Alternative Incremental Facility Indebtedness and/or such Ratio Debt, as applicable, and the denominator of which is the sum of the outstanding principal amount of such Permitted Pari Passu Secured Refinancing Debt, such Alternative Incremental Facility Indebtedness and/or such Ratio Debt, as applicable, and the outstanding principal amount of Term Loans.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11" w:name="page112"/>
    <w:bookmarkEnd w:id="111"/>
    <w:p>
      <w:pPr>
        <w:jc w:val="both"/>
        <w:ind w:left="-8" w:firstLine="1304"/>
        <w:spacing w:after="0" w:line="291" w:lineRule="auto"/>
        <w:tabs>
          <w:tab w:leader="none" w:pos="1948" w:val="left"/>
        </w:tabs>
        <w:numPr>
          <w:ilvl w:val="1"/>
          <w:numId w:val="97"/>
        </w:numPr>
        <w:rPr>
          <w:rFonts w:ascii="Arial" w:cs="Arial" w:eastAsia="Arial" w:hAnsi="Arial"/>
          <w:sz w:val="16"/>
          <w:szCs w:val="16"/>
          <w:color w:val="auto"/>
        </w:rPr>
      </w:pPr>
      <w:r>
        <w:rPr>
          <w:rFonts w:ascii="Arial" w:cs="Arial" w:eastAsia="Arial" w:hAnsi="Arial"/>
          <w:sz w:val="16"/>
          <w:szCs w:val="16"/>
          <w:color w:val="auto"/>
        </w:rPr>
        <w:t>Subject to Section 2.11(e) below and except as specified in any Extension Amendment, Incremental Amendment or Refinancing Amendment (with respect to the applicable Extended Term Loans or Incremental Loans or the Loans incurred pursuant to such Refinancing Amendment),</w:t>
      </w:r>
    </w:p>
    <w:p>
      <w:pPr>
        <w:jc w:val="both"/>
        <w:ind w:left="-8" w:firstLine="8"/>
        <w:spacing w:after="0" w:line="253" w:lineRule="auto"/>
        <w:tabs>
          <w:tab w:leader="none" w:pos="2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all such amounts pursuant to Sections 2.11(c)(i) and (iii) shall be applied pro rata among the Classes and Tranches of Term Loans and, in a manner determined by Holdings, applied to amortization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shall notify the Administrative Agent of such determination and (ii) all such amounts pursuant to Section 2.11(c)(ii) shall be applied to prepay an aggregate principal amount of the applicable Loans constituting Refinanced Debt equal to the Net Proceeds of the applicable Credit Agreement Refinancing Indebtedness.</w:t>
      </w:r>
    </w:p>
    <w:p>
      <w:pPr>
        <w:spacing w:after="0" w:line="192" w:lineRule="exact"/>
        <w:rPr>
          <w:rFonts w:ascii="Arial" w:cs="Arial" w:eastAsia="Arial" w:hAnsi="Arial"/>
          <w:sz w:val="18"/>
          <w:szCs w:val="18"/>
          <w:color w:val="auto"/>
        </w:rPr>
      </w:pPr>
    </w:p>
    <w:p>
      <w:pPr>
        <w:jc w:val="both"/>
        <w:ind w:left="-8" w:firstLine="1304"/>
        <w:spacing w:after="0" w:line="286" w:lineRule="auto"/>
        <w:tabs>
          <w:tab w:leader="none" w:pos="2057"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Borrowers shall notify the Administrative Agent in writing of any mandatory prepayment of Term Loans required to be made pursuant to Section 2.11(c)(i) and (iii) at least three (3) Business Days prior to the date of such prepayment. Each such notice shall specify the date of such prepayment and provide a reasonably detailed calculation of the amount of such prepayment. The Administrative Agent will promptly notify each Term Lender of the contents of any such prepayment notice and of such Term Lender’s ratable portion of such prepayment (based on such Term Lender’s Applicable Percentage of each relevant Tranche of the Term Loans). Any Term Lender (a “</w:t>
      </w:r>
      <w:r>
        <w:rPr>
          <w:rFonts w:ascii="Arial" w:cs="Arial" w:eastAsia="Arial" w:hAnsi="Arial"/>
          <w:sz w:val="16"/>
          <w:szCs w:val="16"/>
          <w:u w:val="single" w:color="auto"/>
          <w:color w:val="auto"/>
        </w:rPr>
        <w:t>Declining Term Lender</w:t>
      </w:r>
      <w:r>
        <w:rPr>
          <w:rFonts w:ascii="Arial" w:cs="Arial" w:eastAsia="Arial" w:hAnsi="Arial"/>
          <w:sz w:val="16"/>
          <w:szCs w:val="16"/>
          <w:color w:val="auto"/>
        </w:rPr>
        <w:t>,” and any Term Lender which is not a Declining Term Lender, an “</w:t>
      </w:r>
      <w:r>
        <w:rPr>
          <w:rFonts w:ascii="Arial" w:cs="Arial" w:eastAsia="Arial" w:hAnsi="Arial"/>
          <w:sz w:val="16"/>
          <w:szCs w:val="16"/>
          <w:u w:val="single" w:color="auto"/>
          <w:color w:val="auto"/>
        </w:rPr>
        <w:t>Accepting Term Lender</w:t>
      </w:r>
      <w:r>
        <w:rPr>
          <w:rFonts w:ascii="Arial" w:cs="Arial" w:eastAsia="Arial" w:hAnsi="Arial"/>
          <w:sz w:val="16"/>
          <w:szCs w:val="16"/>
          <w:color w:val="auto"/>
        </w:rPr>
        <w:t>”) may elect, by delivering written notice to the Administrative Agent and the Borrowers no later than 5:00 p.m. one (1) Business Day after the date of such Term Lender’s receipt of notice from the Administrative Agent regarding such prepayment, that the full amount of any mandatory prepayment otherwise required to be made with respect to the Term Loans held by such Term Lender pursuant to Section 2.11(c)(i) and (iii) not be made (the aggregate amount of such prepayments declined by the Declining Term Lenders, the “</w:t>
      </w:r>
      <w:r>
        <w:rPr>
          <w:rFonts w:ascii="Arial" w:cs="Arial" w:eastAsia="Arial" w:hAnsi="Arial"/>
          <w:sz w:val="16"/>
          <w:szCs w:val="16"/>
          <w:u w:val="single" w:color="auto"/>
          <w:color w:val="auto"/>
        </w:rPr>
        <w:t>Declined Prepayment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(x) no Term Lender may decline a mandatory prepayment solely with respect to one Tranche of Initial Term Loans and not the other Tranche of Initial Term Loans and (y) a Term Lender may not decline a prepayment made by the Applicable Borrower pursuant to any event described in clause (3) of the term “Prepayment Event”. If a Term Lender fails to deliver notice setting forth such rejection of a prepayment to the Administrative Agent within the time frame specified above or such notice fails to specify the principal amount of the Term Loans to be rejected, any such failure will be deemed an acceptance of the total amount of such mandatory prepayment of Term Loans. For the avoidance of doubt, the Applicable Borrower may, at its option, apply any Declined Prepayment Amount to prepay loans in accordance with Section 2.11(a) above.</w:t>
      </w:r>
    </w:p>
    <w:p>
      <w:pPr>
        <w:spacing w:after="0" w:line="167" w:lineRule="exact"/>
        <w:rPr>
          <w:rFonts w:ascii="Arial" w:cs="Arial" w:eastAsia="Arial" w:hAnsi="Arial"/>
          <w:sz w:val="16"/>
          <w:szCs w:val="16"/>
          <w:color w:val="auto"/>
        </w:rPr>
      </w:pPr>
    </w:p>
    <w:p>
      <w:pPr>
        <w:jc w:val="both"/>
        <w:ind w:left="-8" w:firstLine="1304"/>
        <w:spacing w:after="0" w:line="287" w:lineRule="auto"/>
        <w:tabs>
          <w:tab w:leader="none" w:pos="1975"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Section 2.11, to the extent (i) any Net Proceeds exist as a result of an Asset Sale or casualty event from Holdings and/or a Foreign Subsidiary (or with respect to any Lux Term Loan, a non-Luxembourg Subsidiary) that give rise to a prepayment event pursuant to Section 2.11(c)(i) or (ii) any Excess Cash Flow attributable to Holdings and/or a Foreign Subsidiary (or with respect to any Lux Term Loan, a non-Luxembourg Subsidiary) exists that gives rise to a prepayment event pursuant to Section 2.11(c)(iii), and, in either case, the repatriation of cash to which such prepayment obligation is attributable would result in a material adverse tax consequence and/or is prohibited, restricted or delayed by applicable local law from being repatriated or contributed to the Applicable Borrower, an amount equal to the portion of such Net Proceeds or Excess Cash Flow so affected will not be required to be applied to repay the Term Loans at the times provided in this Section 2.11 so long, but only so long, as the material adverse tax consequence would result from, and/or applicable local law will not permit repatriation or contribution to the Applicable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Holdings shall use commercially reasonable efforts to promptly take all actions, and cause the applicable Foreign Subsidiary (or with respect to any Lux Term Loan, the non-Luxembourg Subsidiary) to promptly take all actions, in each case reasonably required by the applicable local law to eliminate such material adverse tax consequence and/or permit such repatriation or contribution under applicable local law.</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112" w:name="page113"/>
    <w:bookmarkEnd w:id="112"/>
    <w:p>
      <w:pPr>
        <w:ind w:left="640"/>
        <w:spacing w:after="0"/>
        <w:tabs>
          <w:tab w:leader="none" w:pos="19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4"/>
        <w:spacing w:after="0" w:line="290" w:lineRule="auto"/>
        <w:tabs>
          <w:tab w:leader="none" w:pos="1984"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Applicable Borrower agrees to pay to the Administrative Agent, for the account of each Revolving Lender, a commitment fee, which shall accrue at the rate of 35% of the Applicable Margin then in effect for Eurocurrency Revolving Loans per annum on the daily amount of the Available Revolving Commitment of such Revolving Lender during the period from and including the Closing Date to but excluding the date on which the last of the Revolving Commitments (or Extended Revolving Commitments) of such Revolving Lender terminates. Accrued commitment fees shall be payable in arrears on the last Business Day of March, June, September and December of each year and on the date on which the last of the Revolving Commitments terminate, commencing on the first such date to occur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commitment fees accruing after the date on which such Revolving Commitments terminate shall be payable on demand. All commitment fees shall be computed on the basis of a year of 360 days and shall be payable for the actual number of days elapsed (including the first day but excluding the last day).</w:t>
      </w:r>
    </w:p>
    <w:p>
      <w:pPr>
        <w:spacing w:after="0" w:line="165" w:lineRule="exact"/>
        <w:rPr>
          <w:rFonts w:ascii="Arial" w:cs="Arial" w:eastAsia="Arial" w:hAnsi="Arial"/>
          <w:sz w:val="16"/>
          <w:szCs w:val="16"/>
          <w:color w:val="auto"/>
        </w:rPr>
      </w:pPr>
    </w:p>
    <w:p>
      <w:pPr>
        <w:jc w:val="both"/>
        <w:ind w:left="-20" w:firstLine="1304"/>
        <w:spacing w:after="0" w:line="285" w:lineRule="auto"/>
        <w:tabs>
          <w:tab w:leader="none" w:pos="225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Applicable Borrower agrees to pay (i) to the Administrative Agent, for the account of each Revolving Lender, a participation fee with respect to its participations in Letters of Credit, which shall accrue at the same Applicable Margin used to determine the interest rate applicable to Eurocurrency Revolving Loans on the average daily Dollar Amount of such Revolving Lender’s LC Exposure (excluding any portion thereof attributable to unreimbursed LC Disbursements) during the period from and including the Closing Date to but excluding the later of the date on which the last of such Revolving Lender’s Revolving Commitment terminates and the date on which such Revolving Lender ceases to have any LC Exposure and (ii) to each Issuing Bank for its own account a fronting fee, which shall accrue at the rate of 0.125% per annum on the average daily Dollar Amount of the LC Exposure (excluding any portion thereof attributable to unreimbursed LC Disbursements) attributable to Letters of Credit issued by such Issuing Bank during the period from and including the Closing Date to but excluding the later of the date of termination of the last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(3rd) Business Day following such last day, commencing on the first such date to occur after the Closing Date; provided that all such fees shall be payable on the date on which the last of the Revolving Commitments terminate and any such fees accruing after the date on which the such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76" w:lineRule="exact"/>
        <w:rPr>
          <w:rFonts w:ascii="Arial" w:cs="Arial" w:eastAsia="Arial" w:hAnsi="Arial"/>
          <w:sz w:val="16"/>
          <w:szCs w:val="16"/>
          <w:color w:val="auto"/>
        </w:rPr>
      </w:pPr>
    </w:p>
    <w:p>
      <w:pPr>
        <w:jc w:val="both"/>
        <w:ind w:left="-20" w:firstLine="1304"/>
        <w:spacing w:after="0" w:line="272" w:lineRule="auto"/>
        <w:tabs>
          <w:tab w:leader="none" w:pos="194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Applicable Borrower agrees to pay to the Administrative Agent, for the account of each Revolving Lender, a utilization fee (the “</w:t>
      </w:r>
      <w:r>
        <w:rPr>
          <w:rFonts w:ascii="Arial" w:cs="Arial" w:eastAsia="Arial" w:hAnsi="Arial"/>
          <w:sz w:val="17"/>
          <w:szCs w:val="17"/>
          <w:u w:val="single" w:color="auto"/>
          <w:color w:val="auto"/>
        </w:rPr>
        <w:t>Utilization Fee</w:t>
      </w:r>
      <w:r>
        <w:rPr>
          <w:rFonts w:ascii="Arial" w:cs="Arial" w:eastAsia="Arial" w:hAnsi="Arial"/>
          <w:sz w:val="17"/>
          <w:szCs w:val="17"/>
          <w:color w:val="auto"/>
        </w:rPr>
        <w:t>”) which shall accrue at the Applicable Utilization Fee Rate on the daily Dollar Amount of the Revolving Loans and LC Exposure of such Revolving Lender during the period from and including the Closing Date to but excluding the date on which the last of the Revolving Commitments (or Extended Revolving Commitments) of such Revolving Lender terminates. Accrued Utilization Fees shall be payable in arrears on the last Business Day of March, June, September and December of each year and on the date on which the last of the Revolving Commitments terminate, commencing on the first such date to occur after the Closing Date. All Utilization Fees shall be computed on the basis of a year of 360 days and shall be payable for the actual number of days elapsed (including the first day but excluding the last day).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13" w:name="page114"/>
    <w:bookmarkEnd w:id="113"/>
    <w:p>
      <w:pPr>
        <w:ind w:right="20" w:firstLine="1304"/>
        <w:spacing w:after="0" w:line="277" w:lineRule="auto"/>
        <w:tabs>
          <w:tab w:leader="none" w:pos="21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Borrowers agree to pay to the Administrative Agent, for its own account, fees payable in the amounts and at the times separately agreed upon between the Borrowers and the Administrative Agent.</w:t>
      </w:r>
    </w:p>
    <w:p>
      <w:pPr>
        <w:spacing w:after="0" w:line="170" w:lineRule="exact"/>
        <w:rPr>
          <w:rFonts w:ascii="Arial" w:cs="Arial" w:eastAsia="Arial" w:hAnsi="Arial"/>
          <w:sz w:val="18"/>
          <w:szCs w:val="18"/>
          <w:color w:val="auto"/>
        </w:rPr>
      </w:pPr>
    </w:p>
    <w:p>
      <w:pPr>
        <w:ind w:firstLine="1304"/>
        <w:spacing w:after="0" w:line="277" w:lineRule="auto"/>
        <w:tabs>
          <w:tab w:leader="none" w:pos="19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Borrowers agree to pay to the Collateral Agent, for its own account, fees payable in the amounts and at the times separately agreed upon between the Borrowers and the Collateral Agent.</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05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If a Repricing Event with respect to the Initial Term Loans occurs prior to the six-month anniversary of the Closing Date, the Applicable Borrower agrees to pay a premium equal to 1.00% of the principal amount of the Initial Term Loans subject to such Repricing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and agreed that any prepayment premium with respect to a Repricing Event payable pursuant to this clause (f) shall also apply to any required assignment pursuant to Section 9.02(d) by a Non-Consenting Lender in connection with any amendment described in Section 2.24 that occurs prior to the six-month anniversary of the Closing Date.</w:t>
      </w:r>
    </w:p>
    <w:p>
      <w:pPr>
        <w:spacing w:after="0" w:line="187" w:lineRule="exact"/>
        <w:rPr>
          <w:rFonts w:ascii="Arial" w:cs="Arial" w:eastAsia="Arial" w:hAnsi="Arial"/>
          <w:sz w:val="18"/>
          <w:szCs w:val="18"/>
          <w:color w:val="auto"/>
        </w:rPr>
      </w:pPr>
    </w:p>
    <w:p>
      <w:pPr>
        <w:jc w:val="both"/>
        <w:ind w:right="20" w:firstLine="1304"/>
        <w:spacing w:after="0" w:line="263" w:lineRule="auto"/>
        <w:tabs>
          <w:tab w:leader="none" w:pos="20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and immediately available funds, to the Administrative Agent (or to the Issuing Banks or the Collateral Agent, in the case of fees payable to them) for distribution, in the case of commitment fees and participation fees, to the applicable Revolving Lenders. Fees paid shall not be refundable under any circumstances.</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Interest.</w:t>
      </w:r>
    </w:p>
    <w:p>
      <w:pPr>
        <w:spacing w:after="0" w:line="225" w:lineRule="exact"/>
        <w:rPr>
          <w:sz w:val="20"/>
          <w:szCs w:val="20"/>
          <w:color w:val="auto"/>
        </w:rPr>
      </w:pPr>
    </w:p>
    <w:p>
      <w:pPr>
        <w:ind w:left="1960" w:hanging="656"/>
        <w:spacing w:after="0"/>
        <w:tabs>
          <w:tab w:leader="none" w:pos="19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Loans comprising each ABR Borrowing (including each Swingline Loan) shall bear interest at the Alternate Base Rate plus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Applicable Margin.</w:t>
      </w:r>
    </w:p>
    <w:p>
      <w:pPr>
        <w:spacing w:after="0" w:line="210" w:lineRule="exact"/>
        <w:rPr>
          <w:rFonts w:ascii="Arial" w:cs="Arial" w:eastAsia="Arial" w:hAnsi="Arial"/>
          <w:sz w:val="16"/>
          <w:szCs w:val="16"/>
          <w:color w:val="auto"/>
        </w:rPr>
      </w:pPr>
    </w:p>
    <w:p>
      <w:pPr>
        <w:ind w:firstLine="1304"/>
        <w:spacing w:after="0" w:line="277" w:lineRule="auto"/>
        <w:tabs>
          <w:tab w:leader="none" w:pos="19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Eurocurrency Rate for the Interest Period in effect for such Borrowing plus the Applicable Margin.</w:t>
      </w:r>
    </w:p>
    <w:p>
      <w:pPr>
        <w:spacing w:after="0" w:line="170" w:lineRule="exact"/>
        <w:rPr>
          <w:rFonts w:ascii="Arial" w:cs="Arial" w:eastAsia="Arial" w:hAnsi="Arial"/>
          <w:sz w:val="18"/>
          <w:szCs w:val="18"/>
          <w:color w:val="auto"/>
        </w:rPr>
      </w:pPr>
    </w:p>
    <w:p>
      <w:pPr>
        <w:ind w:firstLine="1304"/>
        <w:spacing w:after="0" w:line="277" w:lineRule="auto"/>
        <w:tabs>
          <w:tab w:leader="none" w:pos="199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Loans comprising each RFR Borrowing shall bear interest at the Daily Simple RFR for the Interest Period in effect for such Borrowing plus the Applicable Margin.</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the Applicable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2.13 or (ii) in the case of any other amount, 2% plus the rate applicable to ABR Loans as provided in paragraph (a) of this Section 2.13.</w:t>
      </w:r>
    </w:p>
    <w:p>
      <w:pPr>
        <w:spacing w:after="0" w:line="187" w:lineRule="exact"/>
        <w:rPr>
          <w:rFonts w:ascii="Arial" w:cs="Arial" w:eastAsia="Arial" w:hAnsi="Arial"/>
          <w:sz w:val="18"/>
          <w:szCs w:val="18"/>
          <w:color w:val="auto"/>
        </w:rPr>
      </w:pPr>
    </w:p>
    <w:p>
      <w:pPr>
        <w:jc w:val="both"/>
        <w:ind w:firstLine="1304"/>
        <w:spacing w:after="0" w:line="273" w:lineRule="auto"/>
        <w:tabs>
          <w:tab w:leader="none" w:pos="210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Accrued interest on each Loan shall be payable in arrears on each Interest Payment Date for such Loan and in the case of Revolving Loans, upon termination of the applicable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(d) of this Section 2.13 shall be payable on demand, (ii) in the event of any repayment or prepayment of any Loan of any Class (other than a prepayment of an ABR Revolving Loan prior to the end of the Availability Period), accrued interest on the principal amount repaid or prepaid shall be payable on the date of such repayment or prepayment and (iii) in the event of any conversion of any Eurocurrency Loan or RFR Loan prior to the end of the current Interest Period therefor, accrued interest on such Loan shall be payable on the effective date of such conversion.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4" w:name="page115"/>
    <w:bookmarkEnd w:id="114"/>
    <w:p>
      <w:pPr>
        <w:jc w:val="both"/>
        <w:ind w:left="-20" w:firstLine="1304"/>
        <w:spacing w:after="0" w:line="255" w:lineRule="auto"/>
        <w:tabs>
          <w:tab w:leader="none" w:pos="196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 interest computed by reference to the Alternate Base Rate at times when the Alternate Base Rate is based on the Prime Rate shall be computed on the basis of a year of 365 days (or 366 days in a leap year), and (ii) for Borrowings denominated in Pounds Sterling, interest shall be computed on the basis of a year of 365 days, and in each case shall be payable for the actual number of days elapsed (including the first day but excluding the last day). The applicable Alternate Base Rate, Adjusted LIBO Rate, LIBO Rate, Adjusted EURIBOR Rate, EURIBOR Rate or Daily Simple RFR shall be determined by the Administrative Agent, and such determination shall be conclusive absent manifest error.</w:t>
      </w:r>
    </w:p>
    <w:p>
      <w:pPr>
        <w:spacing w:after="0" w:line="19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Benchmark Replacement Setting.</w:t>
      </w:r>
    </w:p>
    <w:p>
      <w:pPr>
        <w:spacing w:after="0" w:line="225" w:lineRule="exact"/>
        <w:rPr>
          <w:sz w:val="20"/>
          <w:szCs w:val="20"/>
          <w:color w:val="auto"/>
        </w:rPr>
      </w:pPr>
    </w:p>
    <w:p>
      <w:pPr>
        <w:jc w:val="both"/>
        <w:ind w:left="60" w:firstLine="1215"/>
        <w:spacing w:after="0" w:line="259" w:lineRule="auto"/>
        <w:rPr>
          <w:sz w:val="20"/>
          <w:szCs w:val="20"/>
          <w:color w:val="auto"/>
        </w:rPr>
      </w:pPr>
      <w:r>
        <w:rPr>
          <w:rFonts w:ascii="Arial" w:cs="Arial" w:eastAsia="Arial" w:hAnsi="Arial"/>
          <w:sz w:val="18"/>
          <w:szCs w:val="18"/>
          <w:color w:val="auto"/>
        </w:rPr>
        <w:t>On March 5, 2021 the Financial Conduct Authority (“</w:t>
      </w:r>
      <w:r>
        <w:rPr>
          <w:rFonts w:ascii="Arial" w:cs="Arial" w:eastAsia="Arial" w:hAnsi="Arial"/>
          <w:sz w:val="18"/>
          <w:szCs w:val="18"/>
          <w:u w:val="single" w:color="auto"/>
          <w:color w:val="auto"/>
        </w:rPr>
        <w:t>FCA</w:t>
      </w:r>
      <w:r>
        <w:rPr>
          <w:rFonts w:ascii="Arial" w:cs="Arial" w:eastAsia="Arial" w:hAnsi="Arial"/>
          <w:sz w:val="18"/>
          <w:szCs w:val="18"/>
          <w:color w:val="auto"/>
        </w:rPr>
        <w:t>”), the regulatory supervisor of USD LIBOR’s administrator (“</w:t>
      </w:r>
      <w:r>
        <w:rPr>
          <w:rFonts w:ascii="Arial" w:cs="Arial" w:eastAsia="Arial" w:hAnsi="Arial"/>
          <w:sz w:val="18"/>
          <w:szCs w:val="18"/>
          <w:u w:val="single" w:color="auto"/>
          <w:color w:val="auto"/>
        </w:rPr>
        <w:t>IBA</w:t>
      </w:r>
      <w:r>
        <w:rPr>
          <w:rFonts w:ascii="Arial" w:cs="Arial" w:eastAsia="Arial" w:hAnsi="Arial"/>
          <w:sz w:val="18"/>
          <w:szCs w:val="18"/>
          <w:color w:val="auto"/>
        </w:rPr>
        <w:t>”), announced in a public statement the future cessation or loss of representativeness of overnight/Spot Next, 1-month, 3-month, 6-month and 12- month USD LIBOR tenor settings. Notwithstanding anything to the contrary herein or in any other Loan Document (and any Swap Agreement shall be deemed not to be a “Loan Document” for purposes of this Section 2.14):</w:t>
      </w:r>
    </w:p>
    <w:p>
      <w:pPr>
        <w:spacing w:after="0" w:line="187" w:lineRule="exact"/>
        <w:rPr>
          <w:sz w:val="20"/>
          <w:szCs w:val="20"/>
          <w:color w:val="auto"/>
        </w:rPr>
      </w:pPr>
    </w:p>
    <w:p>
      <w:pPr>
        <w:jc w:val="both"/>
        <w:ind w:left="-20" w:firstLine="1304"/>
        <w:spacing w:after="0" w:line="293" w:lineRule="auto"/>
        <w:tabs>
          <w:tab w:leader="none" w:pos="195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Replacing USD LIBOR</w:t>
      </w:r>
      <w:r>
        <w:rPr>
          <w:rFonts w:ascii="Arial" w:cs="Arial" w:eastAsia="Arial" w:hAnsi="Arial"/>
          <w:sz w:val="16"/>
          <w:szCs w:val="16"/>
          <w:color w:val="auto"/>
        </w:rPr>
        <w:t>. On the earlier of (i) the date that all USD Available Tenors of USD LIBOR have either permanently or indefinitely ceased to be provided by IBA or have been announced by the FCA pursuant to public statement or publication of information to be no longer representative and (ii) the USD Early Opt-in Effective Date, if the then-current USD Benchmark is USD LIBOR, the USD Benchmark Replacement will replace such USD Benchmark for all purposes hereunder and under any Loan Document in respect of any setting of such USD Benchmark on such day and all subsequent settings without any amendment to, or further action or consent of any other party to this Agreement or any other Loan Document. If the USD Benchmark Replacement is USD Daily Simple SOFR, all interest payments will be payable on a quarterly basis.</w:t>
      </w:r>
    </w:p>
    <w:p>
      <w:pPr>
        <w:spacing w:after="0" w:line="164" w:lineRule="exact"/>
        <w:rPr>
          <w:rFonts w:ascii="Arial" w:cs="Arial" w:eastAsia="Arial" w:hAnsi="Arial"/>
          <w:sz w:val="16"/>
          <w:szCs w:val="16"/>
          <w:color w:val="auto"/>
        </w:rPr>
      </w:pPr>
    </w:p>
    <w:p>
      <w:pPr>
        <w:jc w:val="both"/>
        <w:ind w:left="-20" w:firstLine="1304"/>
        <w:spacing w:after="0" w:line="268" w:lineRule="auto"/>
        <w:tabs>
          <w:tab w:leader="none" w:pos="2192"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Replacing Future USD Benchmarks</w:t>
      </w:r>
      <w:r>
        <w:rPr>
          <w:rFonts w:ascii="Arial" w:cs="Arial" w:eastAsia="Arial" w:hAnsi="Arial"/>
          <w:sz w:val="17"/>
          <w:szCs w:val="17"/>
          <w:color w:val="auto"/>
        </w:rPr>
        <w:t>. Upon the occurrence of a USD Benchmark Transition Event, the USD Benchmark Replacement will replace the then-current USD Benchmark for all purposes hereunder and under any Loan Document in respect of any such USD Benchmark setting at or after 5:00 p.m. on the fifth (5th) Business Day after the date notice of such USD Benchmark Replacement is provided to the Lenders without any amendment to, or further action or consent of any other party to, this Agreement or any other Loan Document so long as the Administrative Agent has not received, by such time, written notice of objection to such USD Benchmark Replacement from Lenders comprising the Required Lenders. At any time that the administrator of any then-current USD Benchmark has permanently or indefinitely ceased to provide such USD Benchmark or such USD Benchmark has been announced by the regulatory supervisor for the administrator of such USD Benchmark pursuant to public statement or publication of information to be no longer representative and will not be restored, the Applicable Borrower may revoke any request for a borrowing of, conversion to or continuation of Loans to be made, converted or continued that would bear interest by reference to such USD Benchmark until the Applicable Borrower’s receipt of notice from the Administrative Agent that a USD Benchmark Replacement has replaced such USD Benchmark, and, failing that, the Applicable Borrower will be deemed to have converted any such request into a request for a borrowing of or conversion to ABR Loans. During the period referenced in the foregoing sentence, if a component of ABR is based upon the USD Benchmark, such component will not be used in any determination of ABR.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15" w:name="page116"/>
    <w:bookmarkEnd w:id="115"/>
    <w:p>
      <w:pPr>
        <w:jc w:val="both"/>
        <w:ind w:left="-20" w:firstLine="1304"/>
        <w:spacing w:after="0" w:line="257" w:lineRule="auto"/>
        <w:tabs>
          <w:tab w:leader="none" w:pos="2047"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USD Benchmark Replacement Conforming Changes</w:t>
      </w:r>
      <w:r>
        <w:rPr>
          <w:rFonts w:ascii="Arial" w:cs="Arial" w:eastAsia="Arial" w:hAnsi="Arial"/>
          <w:sz w:val="18"/>
          <w:szCs w:val="18"/>
          <w:color w:val="auto"/>
        </w:rPr>
        <w:t>. In connection with the implementation and administration of any USD Benchmark Replacement, the Administrative Agent, with the consent of Holdings (not be unreasonably withheld), will have the right to make USD Benchmark Replacement Conforming Changes from time to time and, notwithstanding anything to the contrary herein or in any other Loan Document, any amendments implementing such USD Benchmark Replacement Conforming Changes will become effective without any further action or consent of any other party to this Agreement.</w:t>
      </w:r>
    </w:p>
    <w:p>
      <w:pPr>
        <w:spacing w:after="0" w:line="187" w:lineRule="exact"/>
        <w:rPr>
          <w:rFonts w:ascii="Arial" w:cs="Arial" w:eastAsia="Arial" w:hAnsi="Arial"/>
          <w:sz w:val="18"/>
          <w:szCs w:val="18"/>
          <w:color w:val="auto"/>
        </w:rPr>
      </w:pPr>
    </w:p>
    <w:p>
      <w:pPr>
        <w:jc w:val="both"/>
        <w:ind w:left="-20" w:firstLine="1304"/>
        <w:spacing w:after="0" w:line="289" w:lineRule="auto"/>
        <w:tabs>
          <w:tab w:leader="none" w:pos="196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Notices; Standards for Decisions and Determinations</w:t>
      </w:r>
      <w:r>
        <w:rPr>
          <w:rFonts w:ascii="Arial" w:cs="Arial" w:eastAsia="Arial" w:hAnsi="Arial"/>
          <w:sz w:val="16"/>
          <w:szCs w:val="16"/>
          <w:color w:val="auto"/>
        </w:rPr>
        <w:t>. The Administrative Agent will promptly notify Holdings and the Lenders of (i) the implementation of any USD Benchmark Replacement and (ii) the effectiveness of any USD Benchmark Replacement Conforming Changes. For the avoidance of doubt, any notice required to be delivered by the Administrative Agent as set forth in this Section 2.14 may be provided, at the option of the Administrative Agent with the consent of Holdings (not to be unreasonably withheld), in one or more notices and may be delivered together with, or as part of any amendment which implements any USD Benchmark Replacement or USD Benchmark Replacement Conforming Changes.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166" w:lineRule="exact"/>
        <w:rPr>
          <w:rFonts w:ascii="Arial" w:cs="Arial" w:eastAsia="Arial" w:hAnsi="Arial"/>
          <w:sz w:val="16"/>
          <w:szCs w:val="16"/>
          <w:color w:val="auto"/>
        </w:rPr>
      </w:pPr>
    </w:p>
    <w:p>
      <w:pPr>
        <w:jc w:val="both"/>
        <w:ind w:left="-20" w:firstLine="1304"/>
        <w:spacing w:after="0" w:line="257" w:lineRule="auto"/>
        <w:tabs>
          <w:tab w:leader="none" w:pos="216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USD Benchmark</w:t>
      </w:r>
      <w:r>
        <w:rPr>
          <w:rFonts w:ascii="Arial" w:cs="Arial" w:eastAsia="Arial" w:hAnsi="Arial"/>
          <w:sz w:val="18"/>
          <w:szCs w:val="18"/>
          <w:color w:val="auto"/>
        </w:rPr>
        <w:t>. At any time (including in connection with the implementation of any USD Benchmark Replacement), (i) if any then-current USD Benchmark is a term rate (including USD Term SOFR or USD LIBOR), then the Administrative Agent may remove any tenor of such USD Benchmark that is unavailable or non-representative for USD Benchmark (including USD Benchmark Replacement) settings and (ii) the Administrative Agent may reinstate any such previously removed tenor for USD Benchmark (including USD Benchmark Replacement) settings.</w:t>
      </w:r>
    </w:p>
    <w:p>
      <w:pPr>
        <w:spacing w:after="0" w:line="187" w:lineRule="exact"/>
        <w:rPr>
          <w:rFonts w:ascii="Arial" w:cs="Arial" w:eastAsia="Arial" w:hAnsi="Arial"/>
          <w:sz w:val="18"/>
          <w:szCs w:val="18"/>
          <w:color w:val="auto"/>
        </w:rPr>
      </w:pPr>
    </w:p>
    <w:p>
      <w:pPr>
        <w:jc w:val="both"/>
        <w:ind w:left="-20" w:firstLine="1304"/>
        <w:spacing w:after="0" w:line="253" w:lineRule="auto"/>
        <w:tabs>
          <w:tab w:leader="none" w:pos="205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Disclaimer</w:t>
      </w:r>
      <w:r>
        <w:rPr>
          <w:rFonts w:ascii="Arial" w:cs="Arial" w:eastAsia="Arial" w:hAnsi="Arial"/>
          <w:sz w:val="18"/>
          <w:szCs w:val="18"/>
          <w:color w:val="auto"/>
        </w:rPr>
        <w:t>. The Administrative Agent does not warrant or accept any responsibility for, and shall not have any liability with respect to (i) the administration, submission or any other matter related to the London interbank offered rate or other rates in the definition of “Eurocurrency” or with respect to any alternative or successor rate thereto, or replacement rate thereof (including, without limitation any USD Benchmark Replacement implemented hereunder), (ii) the composition or characteristics of any such USD Benchmark Replacement, including whether it is similar to, or produces the same value or economic equivalence to USD LIBOR or any other USD Benchmark or have the same volume or liquidity as did USD LIBOR or any other USD Benchmark, (iii) any actions or use of its discretion or other decisions or determinations made with respect to any matters covered by this Section 2.14 including, without limitation, whether or not a USD Benchmark Transition Event has occurred, the removal or lack thereof of unavailable or non-representative tenors, the implementation or lack thereof of any USD Benchmark Replacement Conforming Changes, the delivery or non-delivery of any notices required by clause (d) above or otherwise in accordance herewith, and (iv) the effect of any of the foregoing provisions of this Section 2.14.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16" w:name="page117"/>
    <w:bookmarkEnd w:id="116"/>
    <w:p>
      <w:pPr>
        <w:jc w:val="both"/>
        <w:ind w:left="-20" w:firstLine="1304"/>
        <w:spacing w:after="0" w:line="269" w:lineRule="auto"/>
        <w:tabs>
          <w:tab w:leader="none" w:pos="1976"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Alternate Currency Benchmark Replacement</w:t>
      </w:r>
      <w:r>
        <w:rPr>
          <w:rFonts w:ascii="Arial" w:cs="Arial" w:eastAsia="Arial" w:hAnsi="Arial"/>
          <w:sz w:val="17"/>
          <w:szCs w:val="17"/>
          <w:color w:val="auto"/>
        </w:rPr>
        <w:t xml:space="preserve">. Notwithstanding anything to the contrary herein or in any other Loan Document, upon the occurrence of an Alternate Currency Benchmark Transition Event or an Alternate Currency Early Opt-in Election, as applicable, the Administrative Agent and Holdings may amend this Agreement to replace the Eurocurrency Rate applicable to an Alternate Currency or Daily Simple RFR with an Alternate Currency Benchmark Replacement. Any such amendment with respect to an Alternate Currency Benchmark Transition Event will become effective at 5:00 p.m. on the fifth (5th) Business Day after the Administrative Agent has posted such proposed amendment to all Lenders so long as the Administrative Agent has not received, by such time, written notice of objection to such amendment from Lenders comprising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Eurocurrency Rate applicable to an Alternate Currency or Daily Simple RFR is replaced with an Alternate Currency SOFR-Based Rate, Lenders shall only be entitled to object to the Alternate Currency Benchmark Replacement Adjustments with respect thereto. Any such amendment with respect to an Alternate Currency Early Opt-in Election will become effective on the date that Lenders comprising the Required Lenders of each Class have delivered to the Administrative Agent written notice that such Required Lenders accept such amendment. No replacement of the Eurocurrency Rate applicable to an Alternate Currency or Daily Simple RFR with an Alternate Currency Benchmark Replacement pursuant to this Section 2.14 will occur prior to the applicable Alternate Currency Benchmark Transition Start Date.</w:t>
      </w:r>
    </w:p>
    <w:p>
      <w:pPr>
        <w:spacing w:after="0" w:line="178" w:lineRule="exact"/>
        <w:rPr>
          <w:rFonts w:ascii="Arial" w:cs="Arial" w:eastAsia="Arial" w:hAnsi="Arial"/>
          <w:sz w:val="17"/>
          <w:szCs w:val="17"/>
          <w:color w:val="auto"/>
        </w:rPr>
      </w:pPr>
    </w:p>
    <w:p>
      <w:pPr>
        <w:jc w:val="both"/>
        <w:ind w:left="-20" w:firstLine="1304"/>
        <w:spacing w:after="0" w:line="257" w:lineRule="auto"/>
        <w:tabs>
          <w:tab w:leader="none" w:pos="212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Alternate Currency Benchmark Replacement Conforming Changes</w:t>
      </w:r>
      <w:r>
        <w:rPr>
          <w:rFonts w:ascii="Arial" w:cs="Arial" w:eastAsia="Arial" w:hAnsi="Arial"/>
          <w:sz w:val="18"/>
          <w:szCs w:val="18"/>
          <w:color w:val="auto"/>
        </w:rPr>
        <w:t>. In connection with the implementation of an Alternate Currency Benchmark Replacement, the Administrative Agent, with the consent of Holdings (not be unreasonably withheld), will have the right to make Alternate Currency Benchmark Replacement Conforming Changes from time to time and, notwithstanding anything to the contrary herein or in any other Loan Document, any amendments implementing such Alternate Currency Benchmark Replacement Conforming Changes will become effective without any further action or consent of any other party to this Agreement.</w:t>
      </w:r>
    </w:p>
    <w:p>
      <w:pPr>
        <w:spacing w:after="0" w:line="187" w:lineRule="exact"/>
        <w:rPr>
          <w:rFonts w:ascii="Arial" w:cs="Arial" w:eastAsia="Arial" w:hAnsi="Arial"/>
          <w:sz w:val="18"/>
          <w:szCs w:val="18"/>
          <w:color w:val="auto"/>
        </w:rPr>
      </w:pPr>
    </w:p>
    <w:p>
      <w:pPr>
        <w:jc w:val="both"/>
        <w:ind w:left="-20" w:firstLine="1304"/>
        <w:spacing w:after="0" w:line="253" w:lineRule="auto"/>
        <w:tabs>
          <w:tab w:leader="none" w:pos="196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xml:space="preserve"> The Administrative Agent will promptly notify Holdings and the Lenders of (i) any occurrence of an Alternate Currency Benchmark Transition Event or an Alternate Currency Early Opt-in Election, as applicable, and its related Alternate Currency Benchmark Replacement Date and Alternate Currency Benchmark Transition Start Date, (ii) the implementation of any Alternate Currency Benchmark Replacement, (iii) the effectiveness of any Alternate Currency Benchmark Replacement Conforming Changes and (iv) the commencement or conclusion of any Alternate Currency Benchmark Unavailability Period.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196" w:lineRule="exact"/>
        <w:rPr>
          <w:rFonts w:ascii="Arial" w:cs="Arial" w:eastAsia="Arial" w:hAnsi="Arial"/>
          <w:sz w:val="18"/>
          <w:szCs w:val="18"/>
          <w:color w:val="auto"/>
        </w:rPr>
      </w:pPr>
    </w:p>
    <w:p>
      <w:pPr>
        <w:jc w:val="both"/>
        <w:ind w:left="-20" w:firstLine="1304"/>
        <w:spacing w:after="0" w:line="284" w:lineRule="auto"/>
        <w:tabs>
          <w:tab w:leader="none" w:pos="211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Upon Holdings receipt of notice of the commencement of (i) an Alternate Currency Benchmark Unavailability Period with respect to the Eurocurrency Rate applicable to an Alternate Currency, any Borrower may revoke a request made by such Borrower for a Eurocurrency Borrowing denominated in such Alternate Currency of, conversion to or continuation of Eurocurrency Loans denominated in such Alternate Currency to be made, converted or continued during any Alternate Currency Benchmark Unavailability Period with respect to the Eurocurrency Rate applicable to such Alternate Currency and, failing that, any Eurocurrency Borrowing denominated in such Alternate Currency shall be ineffective and (ii) an Alternate Currency Benchmark Unavailability Period with respect to Daily Simple RFR, any Borrower may revoke a request made by such Borrower for an RFR Borrowing of, conversion to or continuation of RFR Loans to be made, converted or continued during any Alternate Currency Benchmark Unavailability Period with respect to the Daily Simple RFR and, failing that, any RFR Borrowing shall be ineffective. Furthermore, if any Eurocurrency Loan in any Alternate Currency or RFR Loan is outstanding on the date of Holdings’ receipt of notice of the commencement of an Alternate Currency Benchmark Unavailability Period with respect to the Eurocurrency Rate applicable to such Eurocurrency Loan or Daily Simple RFR, as applicable, then such Loan shall, on the last day of the Interest Period applicable to such Loan (or the next succeeding Business Day if such day is not a Business Day), at the Borrower’s election prior to such day: (A) be prepaid by the Applicable Borrower on such day or (B) be converted by the Administrative Agent to, and (subject to the remainder of this subclause (B)) shall constitute, an ABR Loan denominated in Dollars (in an amount equal to the Dollar Equivalent of such Alternate Currency) on such day (it being understood and agreed that if the Applicable Borrower does not so prepay such Loan on such day by 12:00 p.m. (New York City time) the Administrative Agent is authorized to effect such conversion of such Eurocurrency Loan or RFR Loan, as applicable, into an ABR Loan denominated in Dollars), and, in the case of such subclause (B), upon any subsequent implementation of an Alternate Currency Benchmark Replacement in respect of such Alternate Currency pursuant to this Section 2.10, such ABR Loan denominated in Dollars shall then be converted by the Administrative Agent to, and shall constitute, a Eurocurrency Loan denominated in such original Alternate Currency or RFR Loan denominated in such original Alternate Currency, as applicable (in an amount equal to the Alternate Currency Equivalent of such Alternate Currency) on the day of such implementation, giving effect to such Alternate Currency Benchmark Replacement in respect of such Alternate Currency.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17" w:name="page118"/>
    <w:bookmarkEnd w:id="117"/>
    <w:p>
      <w:pPr>
        <w:jc w:val="both"/>
        <w:ind w:firstLine="1304"/>
        <w:spacing w:after="0" w:line="311" w:lineRule="auto"/>
        <w:tabs>
          <w:tab w:leader="none" w:pos="195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At the Borrower’s request, the Administrative Agent and the Borrower shall use commercially reasonable efforts to satisfy any applicable guidance of the Internal Revenue Service, in a manner that is not adverse to the Lenders that is intended to prevent any Benchmark Transition Event from resulting in a deemed exchange of any Loan under this Agreement for purposes of Treasury Regulation Section 1.1001-3.</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Increased Costs.</w:t>
      </w:r>
    </w:p>
    <w:p>
      <w:pPr>
        <w:spacing w:after="0" w:line="225" w:lineRule="exact"/>
        <w:rPr>
          <w:sz w:val="20"/>
          <w:szCs w:val="20"/>
          <w:color w:val="auto"/>
        </w:rPr>
      </w:pPr>
    </w:p>
    <w:p>
      <w:pPr>
        <w:ind w:left="1960" w:hanging="656"/>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89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Eurocurrency Rate) or any Issuing Bank;</w:t>
      </w:r>
    </w:p>
    <w:p>
      <w:pPr>
        <w:spacing w:after="0" w:line="183" w:lineRule="exact"/>
        <w:rPr>
          <w:rFonts w:ascii="Arial" w:cs="Arial" w:eastAsia="Arial" w:hAnsi="Arial"/>
          <w:sz w:val="18"/>
          <w:szCs w:val="18"/>
          <w:color w:val="auto"/>
        </w:rPr>
      </w:pPr>
    </w:p>
    <w:p>
      <w:pPr>
        <w:ind w:left="660" w:right="20" w:firstLine="1292"/>
        <w:spacing w:after="0" w:line="308" w:lineRule="auto"/>
        <w:tabs>
          <w:tab w:leader="none" w:pos="2617"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impose on any Lender or any Issuing Bank or the London interbank market any other condition, cost or expense (other than Taxes) affecting this Agreement or Loans made by such Lender or any Letter of Credit or participation therein; or</w:t>
      </w:r>
    </w:p>
    <w:p>
      <w:pPr>
        <w:spacing w:after="0" w:line="146" w:lineRule="exact"/>
        <w:rPr>
          <w:rFonts w:ascii="Arial" w:cs="Arial" w:eastAsia="Arial" w:hAnsi="Arial"/>
          <w:sz w:val="17"/>
          <w:szCs w:val="17"/>
          <w:color w:val="auto"/>
        </w:rPr>
      </w:pPr>
    </w:p>
    <w:p>
      <w:pPr>
        <w:jc w:val="both"/>
        <w:ind w:left="660" w:firstLine="1292"/>
        <w:spacing w:after="0" w:line="286" w:lineRule="auto"/>
        <w:tabs>
          <w:tab w:leader="none" w:pos="261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subject the Administrative Agent, any Lender or any Issuing Bank to any Taxes (other than (A) Indemnified Taxes, (B) Other Taxes and (C) Excluded Taxes (including any change in the rate of Excluded Taxes)) with respect to this Agreement, any Loan made by it or any Letter of Credit or participation therein, or its deposits, reserves, other liabilities or capital attributable thereto;</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and the result of any of the foregoing shall be to increase the cost to the Administrative Agent or such Lender of making or maintaining any Loan or of maintaining its obligation to make any such Loan (including, without limitation, pursuant to any conversion of any Borrowing denominated in an Agreed Currency into a Borrowing denominated in any other Agreed Currency) or to increase the cost to the Administrative Agent, such Lender or such Issuing Bank of participating in, issuing or maintaining any Letter of Credit (including, without limitation, pursuant to any conversion of any Borrowing denominated in an Agreed Currency into a Borrowing denominated in any other Agreed Currency) or to reduce the amount of any sum received or receivable by the Administrative Agent, such Lender or such Issuing Bank hereunder, whether of principal, interest or otherwise (including, without limitation, pursuant to any conversion of any Borrowing denominated in an Agreed Currency into a Borrowing denominated in any other Agreed Currency), then the Applicable Borrower will pay to the Administrative Agent, such Lender or such Issuing Bank, as the case may be, such additional amount or amounts as will compensate such Lender or such Issuing Bank, as the case may be, for such additional costs incurred or reduction suffered.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8" w:name="page119"/>
    <w:bookmarkEnd w:id="118"/>
    <w:p>
      <w:pPr>
        <w:jc w:val="both"/>
        <w:ind w:firstLine="1304"/>
        <w:spacing w:after="0" w:line="254" w:lineRule="auto"/>
        <w:tabs>
          <w:tab w:leader="none" w:pos="19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any Lender or Issuing Bank determines that any Change in Law regarding capital or liquidity requirements has or would have the effect of reducing the rate of return on such Lender’s or Issuing Banks’s capital or on the capital of such Lender’s or Issuing Bank’s holding company, if any, as a consequence of this Agreement or the Loans made by, or participations in Letters of Credit held by such Lender, or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Applicable Borrower will pay to such Lender or Issuing Bank, as the case may be, such additional amount or amounts as will compensate such Lender or Issuing Bank or such Lender’s or Issuing Bank’s holding company for any such reduction suffered.</w:t>
      </w:r>
    </w:p>
    <w:p>
      <w:pPr>
        <w:spacing w:after="0" w:line="191" w:lineRule="exact"/>
        <w:rPr>
          <w:rFonts w:ascii="Arial" w:cs="Arial" w:eastAsia="Arial" w:hAnsi="Arial"/>
          <w:sz w:val="18"/>
          <w:szCs w:val="18"/>
          <w:color w:val="auto"/>
        </w:rPr>
      </w:pPr>
    </w:p>
    <w:p>
      <w:pPr>
        <w:jc w:val="both"/>
        <w:ind w:firstLine="1304"/>
        <w:spacing w:after="0" w:line="279" w:lineRule="auto"/>
        <w:tabs>
          <w:tab w:leader="none" w:pos="19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certificate of a Lender or Issuing Bank setting forth, in reasonable detail, the basis and calculation of the amount or amounts necessary to compensate such Lender or Issuing Bank or its holding company, as the case may be, as specified in paragraph (a) or (b) of this Section 2.15 shall be delivered to the Applicable Borrower and shall be conclusive absent manifest error. The Applicable Borrower shall pay such Lender or Issuing Bank, as the case may be, the amount shown as due on any such certificate within ten (10) days after receipt thereof.</w:t>
      </w:r>
    </w:p>
    <w:p>
      <w:pPr>
        <w:spacing w:after="0" w:line="171" w:lineRule="exact"/>
        <w:rPr>
          <w:rFonts w:ascii="Arial" w:cs="Arial" w:eastAsia="Arial" w:hAnsi="Arial"/>
          <w:sz w:val="17"/>
          <w:szCs w:val="17"/>
          <w:color w:val="auto"/>
        </w:rPr>
      </w:pPr>
    </w:p>
    <w:p>
      <w:pPr>
        <w:jc w:val="both"/>
        <w:ind w:firstLine="1304"/>
        <w:spacing w:after="0" w:line="254" w:lineRule="auto"/>
        <w:tabs>
          <w:tab w:leader="none" w:pos="20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any Issuing Bank to demand compensation pursuant to this Section 2.15 shall not constitute a waiver of such Lender’s or such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Borrower shall not be required to compensate a Lender or Issuing Bank pursuant to this Section 2.15 for any increased costs or reductions incurred more than 180 days prior to the date that such Lender or Issuing Bank, as the case may be, notifies the Applicable Borrower of the Change in Law giving rise to such increased costs or reductions and of such Lender’s or Issuing Bank’s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9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Break Funding Payments.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In the event of (a) the payment of any principal of any Eurocurrency Loan or RFR Loan other than on the last day of an Interest Period applicable thereto (including as a result of an Event of Default or as a result of any prepayment pursuant to Section 2.11), (b) the conversion of any Eurocurrency Loan or RFR Loan other than on the last day of the Interest Period applicable thereto, (c) the failure to borrow, convert, continue or prepay any Eurocurrency Loan or RFR Loan on the date specified in any notice delivered pursuant hereto (regardless of whether such notice may be revoked under Section 2.11(a) and is revoked in accordance therewith) or (d) the assignment of any Eurocurrency Loan or RFR Loan other than on the last day of the Interest Period applicable thereto as a result of a request by the Applicable Borrower pursuant to Section 2.20, then, in any such event the Applicable Borrower shall compensate each Lender for the loss, cost and expense attributable to such event. Such loss, cost or expense to any Lender shall be deemed to include an amount determined by such Lender to be the excess, if any, of (i) the amount of interest which would have accrued or has been payable on the principal amount of such Loan had such event not occurred, at the Eurocurrency Rate or Daily Simple RFR, as applicable, that would have been applicable to such Loan (but not the Applicable Margin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or other applicable market. A certificate of any Lender setting forth any amount or amounts that such Lender is entitled to receive pursuant to this Section 2.16, and setting forth in reasonable detail the calculations used by such Lender to determine such amount or amounts, shall be delivered to the Applicable Borrower and shall be conclusive absent manifest error. The Applicable Borrower shall pay such Lender the amount shown as due on any such certificate within ten (10) days after receipt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Applicable Borrower shall not be required to compensate a Lender pursuant to this Section 2.16 for any amounts under this Section 2.16 incurred more than 180 days prior to the date that such Lender notifies the Applicable Borrower of such amount and of such Lender’s intention to claim compensation therefor.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9" w:name="page120"/>
    <w:bookmarkEnd w:id="119"/>
    <w:p>
      <w:pPr>
        <w:ind w:left="640"/>
        <w:spacing w:after="0"/>
        <w:tabs>
          <w:tab w:leader="none" w:pos="192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jc w:val="both"/>
        <w:ind w:left="-20" w:firstLine="1304"/>
        <w:spacing w:after="0" w:line="254" w:lineRule="auto"/>
        <w:tabs>
          <w:tab w:leader="none" w:pos="197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payments by or on account of any obligation of any Loan Party under any Loan Document shall to the extent permitted by applicable Legal Requirements be made free and clear of and without deduction or withholding for any Taxes. If an applicable withholding agent shall be required to deduct or withhold any Taxes from such payments, then (i) if such Taxes are Indemnified Taxes or Other Taxes, the sum payable by the applicable Loan Party shall be increased by the amount necessary so that after all required deductions or withholdings (including deductions and withholdings applicable to additional sums payable under this Section 2.17) each Agent and Lender receives an amount equal to the sum it would have received had no such deductions or withholdings of Indemnified Taxes or Other Taxes been made, (ii) the withholding agent shall be entitled to make such deductions or withholdings and (iii) the withholding agent shall pay the full amount deducted to the relevant Governmental Authority in accordance with applicable Legal Requirements.</w:t>
      </w:r>
    </w:p>
    <w:p>
      <w:pPr>
        <w:spacing w:after="0" w:line="191" w:lineRule="exact"/>
        <w:rPr>
          <w:rFonts w:ascii="Arial" w:cs="Arial" w:eastAsia="Arial" w:hAnsi="Arial"/>
          <w:sz w:val="18"/>
          <w:szCs w:val="18"/>
          <w:color w:val="auto"/>
        </w:rPr>
      </w:pPr>
    </w:p>
    <w:p>
      <w:pPr>
        <w:ind w:left="-20" w:firstLine="1304"/>
        <w:spacing w:after="0" w:line="308" w:lineRule="auto"/>
        <w:tabs>
          <w:tab w:leader="none" w:pos="21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addition, the Loan Parties shall timely pay any Other Taxes to the relevant Governmental Authority in accordance with applicable Legal Requirements or, at the option of the Administrative Agent, timely reimburse it for the payment of any Other Taxes.</w:t>
      </w:r>
    </w:p>
    <w:p>
      <w:pPr>
        <w:spacing w:after="0" w:line="146" w:lineRule="exact"/>
        <w:rPr>
          <w:rFonts w:ascii="Arial" w:cs="Arial" w:eastAsia="Arial" w:hAnsi="Arial"/>
          <w:sz w:val="17"/>
          <w:szCs w:val="17"/>
          <w:color w:val="auto"/>
        </w:rPr>
      </w:pPr>
    </w:p>
    <w:p>
      <w:pPr>
        <w:jc w:val="both"/>
        <w:ind w:left="-20" w:firstLine="1304"/>
        <w:spacing w:after="0" w:line="269" w:lineRule="auto"/>
        <w:tabs>
          <w:tab w:leader="none" w:pos="204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Each Borrower and each Loan Party with respect to any Loans made to such Borrower shall jointly and severally indemnify each Agent and each Lender, within ten (10) days after written demand therefor, for the full amount of any Indemnified Taxes and Other Taxes paid by such Agent or such Lender with respect to any Loans made to such Borrower (including Indemnified Taxes and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Loan Parties shall not be required to indemnify any Agent or Lender pursuant to this Section 2.17(c) for any interest, penalties or expenses to the extent resulting from such Agent’s or such Lender’s failure to notify the Loan Parties of such possible indemnification claim within 120 days after such Agent or such Lender, as applicable, receives written notice from the applicable Governmental Authority of the specific Tax assessment or deficiency claim giving rise to such indemnification claim. A certificate setting forth in reasonable detail the basis for and calculation of such payment or liability delivered to the Applicable Borrower by a Lender or Agent or by the Administrative Agent on its own behalf or on behalf of a Lender or Agent, shall be conclusive absent manifest error.</w:t>
      </w:r>
    </w:p>
    <w:p>
      <w:pPr>
        <w:spacing w:after="0" w:line="181" w:lineRule="exact"/>
        <w:rPr>
          <w:rFonts w:ascii="Arial" w:cs="Arial" w:eastAsia="Arial" w:hAnsi="Arial"/>
          <w:sz w:val="17"/>
          <w:szCs w:val="17"/>
          <w:color w:val="auto"/>
        </w:rPr>
      </w:pPr>
    </w:p>
    <w:p>
      <w:pPr>
        <w:jc w:val="both"/>
        <w:ind w:left="-20" w:firstLine="1304"/>
        <w:spacing w:after="0" w:line="279" w:lineRule="auto"/>
        <w:tabs>
          <w:tab w:leader="none" w:pos="192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(if the applicable Governmental Authority makes such receipts readily available to the applicable Loan Party), a copy of the return reporting such payment or other evidence of such payment reasonably satisfactory to the Administrative Agent.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20" w:name="page121"/>
    <w:bookmarkEnd w:id="120"/>
    <w:p>
      <w:pPr>
        <w:jc w:val="both"/>
        <w:ind w:left="-20" w:firstLine="1304"/>
        <w:spacing w:after="0" w:line="268" w:lineRule="auto"/>
        <w:tabs>
          <w:tab w:leader="none" w:pos="21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any payments under this Agreement or any other Loan Document shall deliver to the Borrowers (with a copy to the Administrative Agent), at the time(s) and in the manner(s) reasonably requested by such Borrower or the Administrative Agent, such properly completed and executed documentation as will permit such payments to be made without withholding or at a reduced rate of withholding. In addition, any Lender, if reasonably requested by a Borrower or the Administrative Agent, shall deliver such other documentation prescribed by applicable Legal Requirements or reasonably requested by such Borrower or the Administrative Agent as will enable such Borrower or the Administrative Agent to determine whether or not such Lender is subject to backup withholding or information reporting. Each Lender and Administrative Agent agrees that if any documentation it previously delivered pursuant to this Section 2.17(e) (including any of the specific forms described below) has expired or become obsolete or inaccurate in any respect, it shall promptly update such documentation or notify the Applicable Borrower and the Administrative Agent in writing of its legal ineligibility to do so. Notwithstanding anything to the contrary in the preceding three sentences, the completion, execution and submission of such documentation with respect to any Tax imposed by any jurisdiction other than the United States, Ireland or Luxembourg, or, in each case, any political subdivision thereof,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6" w:lineRule="exact"/>
        <w:rPr>
          <w:rFonts w:ascii="Arial" w:cs="Arial" w:eastAsia="Arial" w:hAnsi="Arial"/>
          <w:sz w:val="17"/>
          <w:szCs w:val="17"/>
          <w:color w:val="auto"/>
        </w:rPr>
      </w:pPr>
    </w:p>
    <w:p>
      <w:pPr>
        <w:ind w:left="2540" w:hanging="608"/>
        <w:spacing w:after="0"/>
        <w:tabs>
          <w:tab w:leader="none" w:pos="2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jc w:val="both"/>
        <w:ind w:left="1280" w:firstLine="1300"/>
        <w:spacing w:after="0" w:line="259" w:lineRule="auto"/>
        <w:tabs>
          <w:tab w:leader="none" w:pos="332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eligible to do so, deliver to such U.S. Borrower and the Administrative Agent on or prior to the date on which such Foreign Lender becomes a Lender under this Agreement (and from time to time thereafter upon the reasonable request of such U.S. Borrower or the Administrative Agent), two duly executed copies of whichever of the following is applicable:</w:t>
      </w:r>
    </w:p>
    <w:p>
      <w:pPr>
        <w:spacing w:after="0" w:line="187" w:lineRule="exact"/>
        <w:rPr>
          <w:sz w:val="20"/>
          <w:szCs w:val="20"/>
          <w:color w:val="auto"/>
        </w:rPr>
      </w:pPr>
    </w:p>
    <w:p>
      <w:pPr>
        <w:ind w:left="1280" w:right="20" w:firstLine="652"/>
        <w:spacing w:after="0" w:line="277" w:lineRule="auto"/>
        <w:tabs>
          <w:tab w:leader="none" w:pos="261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IRS Form W-8BEN or W-8BEN-E;</w:t>
      </w:r>
    </w:p>
    <w:p>
      <w:pPr>
        <w:spacing w:after="0" w:line="170" w:lineRule="exact"/>
        <w:rPr>
          <w:rFonts w:ascii="Arial" w:cs="Arial" w:eastAsia="Arial" w:hAnsi="Arial"/>
          <w:sz w:val="18"/>
          <w:szCs w:val="18"/>
          <w:color w:val="auto"/>
        </w:rPr>
      </w:pPr>
    </w:p>
    <w:p>
      <w:pPr>
        <w:ind w:left="2600" w:hanging="668"/>
        <w:spacing w:after="0"/>
        <w:tabs>
          <w:tab w:leader="none" w:pos="26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IRS Form W-8ECI;</w:t>
      </w:r>
    </w:p>
    <w:p>
      <w:pPr>
        <w:spacing w:after="0" w:line="225" w:lineRule="exact"/>
        <w:rPr>
          <w:rFonts w:ascii="Arial" w:cs="Arial" w:eastAsia="Arial" w:hAnsi="Arial"/>
          <w:sz w:val="18"/>
          <w:szCs w:val="18"/>
          <w:color w:val="auto"/>
        </w:rPr>
      </w:pPr>
    </w:p>
    <w:p>
      <w:pPr>
        <w:jc w:val="both"/>
        <w:ind w:left="1280" w:firstLine="652"/>
        <w:spacing w:after="0" w:line="273" w:lineRule="auto"/>
        <w:tabs>
          <w:tab w:leader="none" w:pos="260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7"/>
          <w:szCs w:val="17"/>
          <w:u w:val="single" w:color="auto"/>
          <w:color w:val="auto"/>
        </w:rPr>
        <w:t>Exhibit G-1</w:t>
      </w:r>
      <w:r>
        <w:rPr>
          <w:rFonts w:ascii="Arial" w:cs="Arial" w:eastAsia="Arial" w:hAnsi="Arial"/>
          <w:sz w:val="17"/>
          <w:szCs w:val="17"/>
          <w:color w:val="auto"/>
        </w:rPr>
        <w:t xml:space="preserve"> to the effect that such Foreign Lender is not a “bank” within the meaning of Section 881(c)(3)(A) of the Code, a “10-percent shareholder” of such U.S. Borrower within the meaning of Section 881(c)(3)(B) of the Code, or a “controlled foreign corporation” related to such U.S. Borrower as described in Section 881(c)(3)(C) of the Code and that no payment under any Loan Document is effectively connected with such Foreign Lender’s conduct of a U.S. trade or business (a “</w:t>
      </w:r>
      <w:r>
        <w:rPr>
          <w:rFonts w:ascii="Arial" w:cs="Arial" w:eastAsia="Arial" w:hAnsi="Arial"/>
          <w:sz w:val="17"/>
          <w:szCs w:val="17"/>
          <w:u w:val="single" w:color="auto"/>
          <w:color w:val="auto"/>
        </w:rPr>
        <w:t>U.S. Tax</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and (y) executed copies of IRS Form W-8BEN or W-8BEN-E; or</w:t>
      </w:r>
    </w:p>
    <w:p>
      <w:pPr>
        <w:spacing w:after="0" w:line="177" w:lineRule="exact"/>
        <w:rPr>
          <w:rFonts w:ascii="Arial" w:cs="Arial" w:eastAsia="Arial" w:hAnsi="Arial"/>
          <w:sz w:val="17"/>
          <w:szCs w:val="17"/>
          <w:color w:val="auto"/>
        </w:rPr>
      </w:pPr>
    </w:p>
    <w:p>
      <w:pPr>
        <w:jc w:val="both"/>
        <w:ind w:left="1280" w:firstLine="652"/>
        <w:spacing w:after="0" w:line="293" w:lineRule="auto"/>
        <w:tabs>
          <w:tab w:leader="none" w:pos="260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of payments made to it under the Loan Documents, executed copies of IRS Form W-8IMY, accompanied by IRS Form W-8ECI, IRS Form W-8BEN or W-8BEN-E, a U.S. Tax Compliance Certificate substantially in the form of </w:t>
      </w:r>
      <w:r>
        <w:rPr>
          <w:rFonts w:ascii="Arial" w:cs="Arial" w:eastAsia="Arial" w:hAnsi="Arial"/>
          <w:sz w:val="16"/>
          <w:szCs w:val="16"/>
          <w:u w:val="single" w:color="auto"/>
          <w:color w:val="auto"/>
        </w:rPr>
        <w:t>Exhibit G-2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G-3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u w:val="single" w:color="auto"/>
          <w:color w:val="auto"/>
        </w:rPr>
        <w:t>Exhibit G-4</w:t>
      </w:r>
      <w:r>
        <w:rPr>
          <w:rFonts w:ascii="Arial" w:cs="Arial" w:eastAsia="Arial" w:hAnsi="Arial"/>
          <w:sz w:val="16"/>
          <w:szCs w:val="16"/>
          <w:color w:val="auto"/>
        </w:rPr>
        <w:t xml:space="preserve"> on behalf of each such direct and indirect partner(s);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21" w:name="page122"/>
    <w:bookmarkEnd w:id="121"/>
    <w:p>
      <w:pPr>
        <w:jc w:val="both"/>
        <w:ind w:left="180" w:firstLine="1300"/>
        <w:spacing w:after="0" w:line="254" w:lineRule="auto"/>
        <w:tabs>
          <w:tab w:leader="none" w:pos="221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eligible to do so, deliver to such U.S. Borrower and the Administrative Agent (in such number of copies as shall be requested by the recipient) on or prior to the date on which such Foreign Lender becomes a Lender under this Agreement (and from time to time thereafter upon the reasonable request of such U.S. Borrower or the Administrative Agent), executed copies of any other form prescribed by applicable Legal Requirements as a basis for claiming exemption from or a reduction in U.S. federal withholding Tax, duly completed, together with such supplementary documentation as may be prescribed by applicable Legal Requirements to permit such U.S. Borrower or the Administrative Agent to determine the withholding or deduction required to be made (if any); and</w:t>
      </w:r>
    </w:p>
    <w:p>
      <w:pPr>
        <w:spacing w:after="0" w:line="194" w:lineRule="exact"/>
        <w:rPr>
          <w:rFonts w:ascii="Arial" w:cs="Arial" w:eastAsia="Arial" w:hAnsi="Arial"/>
          <w:sz w:val="18"/>
          <w:szCs w:val="18"/>
          <w:color w:val="auto"/>
        </w:rPr>
      </w:pPr>
    </w:p>
    <w:p>
      <w:pPr>
        <w:jc w:val="both"/>
        <w:ind w:left="180" w:firstLine="1300"/>
        <w:spacing w:after="0" w:line="269" w:lineRule="auto"/>
        <w:tabs>
          <w:tab w:leader="none" w:pos="2218" w:val="left"/>
        </w:tabs>
        <w:numPr>
          <w:ilvl w:val="1"/>
          <w:numId w:val="112"/>
        </w:numPr>
        <w:rPr>
          <w:rFonts w:ascii="Arial" w:cs="Arial" w:eastAsia="Arial" w:hAnsi="Arial"/>
          <w:sz w:val="17"/>
          <w:szCs w:val="17"/>
          <w:color w:val="auto"/>
        </w:rPr>
      </w:pPr>
      <w:r>
        <w:rPr>
          <w:rFonts w:ascii="Arial" w:cs="Arial" w:eastAsia="Arial" w:hAnsi="Arial"/>
          <w:sz w:val="17"/>
          <w:szCs w:val="17"/>
          <w:color w:val="auto"/>
        </w:rPr>
        <w:t>if a payment made to the Administrative Agent or a Lender under any Loan Document would be subject to United States federal withholding Tax imposed by FATCA if the Administrative Agent or such Lender were to fail to comply with the applicable reporting requirements of FATCA (including those contained in Section 1471(b) or 1472(b) of the Code, as applicable), the Administrative Agent or such Lender shall deliver to Borrower and the Administrative Agent at the time or times prescribed by Legal Requirements and at such time or times reasonably requested by the Borrowers or the Administrative Agent such documentation prescribed by applicable Legal Requirements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the Administrative Agent or such Lender has complied with the Administrative Agent or such Lender’s obligations under FATCA or to determine the amount to deduct and withhold from such payment. Solely for purposes of this Section 2.17(e)(i)(C), “FATCA” shall include any amendments made to FATCA after the date of this Agreement.</w:t>
      </w:r>
    </w:p>
    <w:p>
      <w:pPr>
        <w:spacing w:after="0" w:line="181" w:lineRule="exact"/>
        <w:rPr>
          <w:rFonts w:ascii="Arial" w:cs="Arial" w:eastAsia="Arial" w:hAnsi="Arial"/>
          <w:sz w:val="17"/>
          <w:szCs w:val="17"/>
          <w:color w:val="auto"/>
        </w:rPr>
      </w:pPr>
    </w:p>
    <w:p>
      <w:pPr>
        <w:jc w:val="both"/>
        <w:ind w:left="-460" w:firstLine="1292"/>
        <w:spacing w:after="0" w:line="279" w:lineRule="auto"/>
        <w:tabs>
          <w:tab w:leader="none" w:pos="150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Without limiting the generality of the foregoing, each Lender that is a U.S. Person shall deliver to such U.S. Borrower and the Administrative Agent, on or prior to the date on which such Person becomes a party to this Agreement (and from time to time thereafter upon the reasonable request of such U.S. Borrower or the Administrative Agent), two properly completed and duly executed copies of IRS Form W-9 or any successor form, certifying that such Person is exempt from United States federal backup withholding Tax.</w:t>
      </w:r>
    </w:p>
    <w:p>
      <w:pPr>
        <w:spacing w:after="0" w:line="171" w:lineRule="exact"/>
        <w:rPr>
          <w:rFonts w:ascii="Arial" w:cs="Arial" w:eastAsia="Arial" w:hAnsi="Arial"/>
          <w:sz w:val="17"/>
          <w:szCs w:val="17"/>
          <w:color w:val="auto"/>
        </w:rPr>
      </w:pPr>
    </w:p>
    <w:p>
      <w:pPr>
        <w:jc w:val="both"/>
        <w:ind w:left="-460" w:firstLine="1292"/>
        <w:spacing w:after="0" w:line="269" w:lineRule="auto"/>
        <w:tabs>
          <w:tab w:leader="none" w:pos="156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On or prior to the date on which it becomes a party to this Agreement, the Administrative Agent shall deliver to the U.S. Borrower either (1) two properly completed and duly signed copies of IRS Form W-9 certifying that the Administrative Agent is a U.S. Person that is exempt from U.S. federal backup withholding or (2) (x) with respect to payments received for the account of a Lender, two properly completed and duly signed copies of IRS Form W-8IMY evidencing the Administrative Agent’s agreement to be treated as a U.S. Person for U.S. federal withholding tax purposes and assuming primary responsibility for U.S. federal income tax withholding and (y) with respect to payments received for the Administrative Agent’s own account, two properly completed and duly signed copies of IRS Form W-8ECI. The Administrative Agent shall, whenever a lapse in time or change in circumstances renders any such documentation expired, obsolete or inaccurate in any respect, deliver promptly to the U.S. Borrower updated versions of the documentation described in the preceding sentence (or any new documentation reasonably requested by the U.S.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furnish updated documentation to the extent it is not legally eligible to do so as a result of a Change in Law after the date hereof, in which event the Administrative Agent will promptly notify the U.S. Borrower of such ineligibility.</w:t>
      </w:r>
    </w:p>
    <w:p>
      <w:pPr>
        <w:spacing w:after="0" w:line="3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22" w:name="page123"/>
    <w:bookmarkEnd w:id="122"/>
    <w:p>
      <w:pPr>
        <w:jc w:val="both"/>
        <w:ind w:left="640" w:firstLine="1292"/>
        <w:spacing w:after="0" w:line="311" w:lineRule="auto"/>
        <w:tabs>
          <w:tab w:leader="none" w:pos="26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Without limiting the generality of the foregoing, any Lender that is an Irish Qualifying Lender solely on account of being an Irish Treaty Lender shall provide a self-certification form (a “Form 8-3-6. Interest”) to any Borrower that is tax resident in Ireland, which is to make a payment of interest under this Agreement to which that Irish Treaty Lender is entitled (with a copy to the Administrative Agent).</w:t>
      </w:r>
    </w:p>
    <w:p>
      <w:pPr>
        <w:spacing w:after="0" w:line="148" w:lineRule="exact"/>
        <w:rPr>
          <w:rFonts w:ascii="Arial" w:cs="Arial" w:eastAsia="Arial" w:hAnsi="Arial"/>
          <w:sz w:val="16"/>
          <w:szCs w:val="16"/>
          <w:color w:val="auto"/>
        </w:rPr>
      </w:pPr>
    </w:p>
    <w:p>
      <w:pPr>
        <w:ind w:left="640" w:firstLine="1292"/>
        <w:spacing w:after="0" w:line="277" w:lineRule="auto"/>
        <w:tabs>
          <w:tab w:leader="none" w:pos="287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2.17(e), no Lender shall be required to provide any documentation pursuant to this Section 2.17(e) that such Lender is not legally eligible to provide.</w:t>
      </w:r>
    </w:p>
    <w:p>
      <w:pPr>
        <w:spacing w:after="0" w:line="170" w:lineRule="exact"/>
        <w:rPr>
          <w:rFonts w:ascii="Arial" w:cs="Arial" w:eastAsia="Arial" w:hAnsi="Arial"/>
          <w:sz w:val="18"/>
          <w:szCs w:val="18"/>
          <w:color w:val="auto"/>
        </w:rPr>
      </w:pPr>
    </w:p>
    <w:p>
      <w:pPr>
        <w:jc w:val="both"/>
        <w:ind w:left="-20" w:firstLine="1304"/>
        <w:spacing w:after="0" w:line="268" w:lineRule="auto"/>
        <w:tabs>
          <w:tab w:leader="none" w:pos="196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If the Administrative Agent or a Lender determines, in its sole discretion exercised in good faith, that it has received a refund of any Taxes as to which it has been indemnified by any Borrower or any Guarantor, as the case may be, or with respect to which any Borrower or any Guarantor, as the case may be, has paid additional amounts pursuant to this Section 2.17, it shall pay over such refund to such Borrower or such Guarantor (but only to the extent of indemnity payments made, or additional amounts paid, by such Borrower or such Guarantor under this Section 2.17 with respect to the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Borrower or Guarantor, as the case may be, upon the request of the Administrative Agent or such Lender, agrees to repay the amount paid over to such Borrower or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(f), in no event will the Administrative Agent or a Lender be required to pay any amount to any Borrower or any Guarantor pursuant to this paragraph (f) the payment of which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Section 2.17 shall not be construed to require the Administrative Agent or any Lender to make available its Tax returns (or any other information relating to its Taxes that it deems confidential) to any Borrower, any Guarantor or any other Person.</w:t>
      </w:r>
    </w:p>
    <w:p>
      <w:pPr>
        <w:spacing w:after="0" w:line="181" w:lineRule="exact"/>
        <w:rPr>
          <w:rFonts w:ascii="Arial" w:cs="Arial" w:eastAsia="Arial" w:hAnsi="Arial"/>
          <w:sz w:val="17"/>
          <w:szCs w:val="17"/>
          <w:color w:val="auto"/>
        </w:rPr>
      </w:pPr>
    </w:p>
    <w:p>
      <w:pPr>
        <w:jc w:val="both"/>
        <w:ind w:left="-20" w:firstLine="1304"/>
        <w:spacing w:after="0" w:line="269" w:lineRule="auto"/>
        <w:tabs>
          <w:tab w:leader="none" w:pos="198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Lender shall severally indemnify the Administrative Agent, within 10 days after demand therefor, for (i) any Indemnified Taxes and Other Taxes attributable to such Lender (but only to the extent that any Loan Party has not already indemnified the Administrative Agent for such Indemnified Taxes and Other Taxes and without limiting or expanding the obligation of the Loan Parties to do so), (ii) any Taxes attributable to such Lender's failure to comply with the provisions of Section 9.04(c)(ii) relating to the maintenance of a Participant Register, and (iii) any Excluded Taxes attributable to such Lender, in each case, that are paid or payable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2.17(g).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23" w:name="page124"/>
    <w:bookmarkEnd w:id="123"/>
    <w:p>
      <w:pPr>
        <w:jc w:val="both"/>
        <w:ind w:firstLine="1304"/>
        <w:spacing w:after="0" w:line="272" w:lineRule="auto"/>
        <w:tabs>
          <w:tab w:leader="none" w:pos="198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(i) Every Revolving Lender under any Revolving Loans, Extended Revolving Loans or Incremental Revolving Loans, as applicable, advanced to a Borrower that is tax resident in Ireland shall on or prior to the day on which such Revolving Lender becomes a Revolving Lender under this Agreement, provide a confirmation in the form attached at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Irish Qualifying Lender Confirmation</w:t>
      </w:r>
      <w:r>
        <w:rPr>
          <w:rFonts w:ascii="Arial" w:cs="Arial" w:eastAsia="Arial" w:hAnsi="Arial"/>
          <w:sz w:val="17"/>
          <w:szCs w:val="17"/>
          <w:color w:val="auto"/>
        </w:rPr>
        <w:t>”). Each such Revolving Lender that becomes a Revolving Lender after the date of this Agreement shall provide, in any Assignment and Assumption which it executes on becoming a Revolving Lender, and each party that becomes a Participant with respect to the Revolving Loans, Extended Revolving Loans or Incremental Revolving Loans, as applicable, advanced to a Borrower that is tax resident in Ireland after the date of this Agreement shall provide, upon becoming a Participant, for the benefit of each Foreign Loan Party and Administrative Agent an Irish Qualifying Lender Confirmation.</w:t>
      </w:r>
    </w:p>
    <w:p>
      <w:pPr>
        <w:spacing w:after="0" w:line="177" w:lineRule="exact"/>
        <w:rPr>
          <w:rFonts w:ascii="Arial" w:cs="Arial" w:eastAsia="Arial" w:hAnsi="Arial"/>
          <w:sz w:val="17"/>
          <w:szCs w:val="17"/>
          <w:color w:val="auto"/>
        </w:rPr>
      </w:pPr>
    </w:p>
    <w:p>
      <w:pPr>
        <w:jc w:val="both"/>
        <w:ind w:left="660" w:firstLine="1292"/>
        <w:spacing w:after="0" w:line="293" w:lineRule="auto"/>
        <w:tabs>
          <w:tab w:leader="none" w:pos="266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If a Revolving Lender or Participant, as the case may be, fails to provide an Irish Qualifying Lender Confirmation in accordance with this Section 2.17(h), then such Revolving Lender or Participant, as the case may be, shall be treated for the purposes of this Agreement (including by each Foreign Loan Party) as if it is not an Irish Qualifying Lender until such time as it provides an Irish Qualifying Lender Confirmation to the Administrative Agent (and the Administrative Agent, upon receipt of such Irish Qualifying Lender Confirmation, shall inform each Foreign Loan Party). For the avoidance of doubt, an Assignment and Assumption or participation, as the case may be, shall not be invalidated by any failure of a Revolving Lender or Participant, as the case may be, to comply with this Section 2.17(h).</w:t>
      </w:r>
    </w:p>
    <w:p>
      <w:pPr>
        <w:spacing w:after="0" w:line="164" w:lineRule="exact"/>
        <w:rPr>
          <w:rFonts w:ascii="Arial" w:cs="Arial" w:eastAsia="Arial" w:hAnsi="Arial"/>
          <w:sz w:val="16"/>
          <w:szCs w:val="16"/>
          <w:color w:val="auto"/>
        </w:rPr>
      </w:pPr>
    </w:p>
    <w:p>
      <w:pPr>
        <w:jc w:val="both"/>
        <w:ind w:left="660" w:firstLine="1292"/>
        <w:spacing w:after="0" w:line="296" w:lineRule="auto"/>
        <w:tabs>
          <w:tab w:leader="none" w:pos="262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Each Revolving Lender or Participant required to provide an Irish Qualifying Lender Confirmation in accordance with this Section 2.17(h), as the case may be, shall promptly notify the Administrative Agent if there has been a change in any of the details provided in the Irish Qualifying Lender Confirmation (excluding, for the avoidance of doubt, any Change in Law) and provide an updated Irish Qualifying Lender Confirmation at that time and shall, for as long as it is Revolving Lender or Participant, as the case may be, at the reasonable written request by or on behalf of a Borrower that is tax resident in Ireland, provide an updated Irish Qualifying Lender Confirmation.</w:t>
      </w:r>
    </w:p>
    <w:p>
      <w:pPr>
        <w:spacing w:after="0" w:line="161" w:lineRule="exact"/>
        <w:rPr>
          <w:rFonts w:ascii="Arial" w:cs="Arial" w:eastAsia="Arial" w:hAnsi="Arial"/>
          <w:sz w:val="16"/>
          <w:szCs w:val="16"/>
          <w:color w:val="auto"/>
        </w:rPr>
      </w:pPr>
    </w:p>
    <w:p>
      <w:pPr>
        <w:jc w:val="both"/>
        <w:ind w:left="660" w:firstLine="1292"/>
        <w:spacing w:after="0" w:line="263" w:lineRule="auto"/>
        <w:tabs>
          <w:tab w:leader="none" w:pos="2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Lender and Participant shall, upon written request from a Borrower that is tax resident in Ireland, provide such details as are necessary to enable such Borrower to comply with its reporting obligations under Section 891A, 891E, 891F and 891G of the TCA and any other applicable automatic exchange of information obligations.</w:t>
      </w:r>
    </w:p>
    <w:p>
      <w:pPr>
        <w:spacing w:after="0" w:line="18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For the avoidance of doubt, for purposes of this Section 2.17(h), (1) the term “Revolving Lender” shall include any Issuing Bank and any Swingline Lender and (2) the term “Revolving Loan” shall include any Letter of Credit and any Swingline Loan.</w:t>
      </w:r>
    </w:p>
    <w:p>
      <w:pPr>
        <w:spacing w:after="0" w:line="170" w:lineRule="exact"/>
        <w:rPr>
          <w:sz w:val="20"/>
          <w:szCs w:val="20"/>
          <w:color w:val="auto"/>
        </w:rPr>
      </w:pPr>
    </w:p>
    <w:p>
      <w:pPr>
        <w:ind w:left="5500" w:right="1260" w:hanging="4196"/>
        <w:spacing w:after="0" w:line="778" w:lineRule="auto"/>
        <w:tabs>
          <w:tab w:leader="none" w:pos="196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purposes of this Section 2.17, the term “Lender” shall include any Swingline Lender and any Issuing Bank.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4" w:name="page125"/>
    <w:bookmarkEnd w:id="124"/>
    <w:p>
      <w:pPr>
        <w:ind w:left="640"/>
        <w:spacing w:after="0"/>
        <w:tabs>
          <w:tab w:leader="none" w:pos="192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Payments Generally; Allocations of Proceeds; Pro Rata Treatment; Sharing of Set-offs.</w:t>
      </w:r>
    </w:p>
    <w:p>
      <w:pPr>
        <w:spacing w:after="0" w:line="225" w:lineRule="exact"/>
        <w:rPr>
          <w:sz w:val="20"/>
          <w:szCs w:val="20"/>
          <w:color w:val="auto"/>
        </w:rPr>
      </w:pPr>
    </w:p>
    <w:p>
      <w:pPr>
        <w:jc w:val="both"/>
        <w:ind w:left="-20" w:firstLine="1304"/>
        <w:spacing w:after="0" w:line="267" w:lineRule="auto"/>
        <w:tabs>
          <w:tab w:leader="none" w:pos="195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Applicable Borrower shall make each payment required to be made by it hereunder (whether of principal, interest, fees, or reimbursement of LC Disbursements or of amounts payable under Section 2.15, 2.16 or 2.17, or otherwise) prior to (i) in the case of payments denominated in Dollars, 1:00 p.m., New York City time and (ii) in the case of payments denominated in a Foreign Currency, 1:00 p.m., Local Time, in the city of the Administrative Agent’s Eurocurrency Payment Office for such currency, in each case,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and (ii) to the Administrative Agent at the address specified in Section 9.01(a)(ii) or such other office as the Administrative Agent may hereafter designate in writing as such to the other parties hereto, or, in the case of a Credit Event denominated in a Foreign Currency, the Administrative Agent’s Eurocurrency Payment Office for such currency, except payments to be made directly to the applicable Issuing Bank or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2.18, if, after the making of any Credit Event in any Foreign Currency, currency control or exchange regulations are imposed in the country which issues such currency with the result that the type of currency in which the Credit Event was made (the “Original Currency”) no longer exists or the Applicable Borrower is not able to make payment to the Administrative Agent for the account of the applicable Lenders in such Original Currency, then all payments to be made by the Applicable Borrower hereunder in such currency shall instead be made when due in Dollars in an amount equal to the Dollar Amount (as of the date of repayment) of such payment due, it being the intention of the parties hereto that the Applicable Borrower takes all risks of the imposition of any such currency control or exchange regulations.</w:t>
      </w:r>
    </w:p>
    <w:p>
      <w:pPr>
        <w:spacing w:after="0" w:line="186" w:lineRule="exact"/>
        <w:rPr>
          <w:rFonts w:ascii="Arial" w:cs="Arial" w:eastAsia="Arial" w:hAnsi="Arial"/>
          <w:sz w:val="17"/>
          <w:szCs w:val="17"/>
          <w:color w:val="auto"/>
        </w:rPr>
      </w:pPr>
    </w:p>
    <w:p>
      <w:pPr>
        <w:jc w:val="both"/>
        <w:ind w:left="-20" w:firstLine="1304"/>
        <w:spacing w:after="0" w:line="284" w:lineRule="auto"/>
        <w:tabs>
          <w:tab w:leader="none" w:pos="196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Any proceeds of Collateral received by the Administrative Agent or the Collateral Agent (whether as a result of any realization on the Collateral, any setoff rights, any distribution in connection with any proceedings or other action of any Loan Party in respect of Debtor Relief Laws or otherwise and whether received in cash or otherwise) (i) not constituting (A) a specific payment of principal, interest, fees or other sum payable under the Loan Documents (which shall be applied on a pro rata basis among the relevant Lenders under the Class of Loans being prepaid as specified by the Applicable Borrower) or (B) a mandatory prepayment (which shall be applied in accordance with Section 2.11) or (ii) after an Event of Default has occurred and is continuing and the Administrative Agent so elects or the Required Lenders so direct, such funds shall be applied, subject to the provisions of any Intercreditor Agreement, ratably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 any fees, indemnities, or expense reimbursements including amounts then due to the Administrative Agent, the Collateral Agent and any Issuing Bank from the Borrowers,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 any fees or expense reimbursements then due to the Lenders (in their capacities as such) from the Borrowers,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 interest (including post-petition interest, whether or not an allowed claim in any Insolvency or Liquidation Proceeding) then due and payable on the Loans ratably,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repay principal on the Loans and unreimbursed LC Disbursements, to pay an amount to the Administrative Agent equal to one hundred two percent (102%) of the aggregate undrawn face amount of all outstanding Letters of Credit, to be held as cash collateral for such Obligations, and any other amounts owing with respect to any Secured Obligations constituting Swap Obligations and/or Cash Management Agreements ratably;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amounts which would otherwise be applied to cash collateralize outstanding Letters of Credit shall, unless all Revolving Loans and Swingline Loans have been paid in full, instead be utilized to repay such outstandings, and </w:t>
      </w:r>
      <w:r>
        <w:rPr>
          <w:rFonts w:ascii="Arial" w:cs="Arial" w:eastAsia="Arial" w:hAnsi="Arial"/>
          <w:sz w:val="16"/>
          <w:szCs w:val="16"/>
          <w:u w:val="single" w:color="auto"/>
          <w:color w:val="auto"/>
        </w:rPr>
        <w:t>fifth</w:t>
      </w:r>
      <w:r>
        <w:rPr>
          <w:rFonts w:ascii="Arial" w:cs="Arial" w:eastAsia="Arial" w:hAnsi="Arial"/>
          <w:sz w:val="16"/>
          <w:szCs w:val="16"/>
          <w:color w:val="auto"/>
        </w:rPr>
        <w:t>, to the payment of any other Secured Obligation due to any Secured Party by the Borrowers. Notwithstanding anything to the contrary contained in this Agreement, unless so directed by the Applicable Borrower, or unless a Default is in existence, none of the Administrative Agent or any Lender shall apply any payment which it receives to any Eurocurrency Loan or RFR Loan, except (a) on the expiration date of the Interest Period or maturity date (as applicable) applicable to any such Eurocurrency Loan or RFR Loan or (b) in the event, and only to the extent, that there are no outstanding ABR Loans of the same Class and, in any event, the Applicable Borrower shall pay the break funding payment required in accordance with Section 2.16. The Administrative Agent, the Collateral Agent and the Lenders shall have the continuing and exclusive right to apply and reverse and reapply any and all such received proceeds and payments to any portion of the Secured Obligations.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25" w:name="page126"/>
    <w:bookmarkEnd w:id="125"/>
    <w:p>
      <w:pPr>
        <w:jc w:val="both"/>
        <w:ind w:left="-20" w:firstLine="1304"/>
        <w:spacing w:after="0" w:line="268" w:lineRule="auto"/>
        <w:tabs>
          <w:tab w:leader="none" w:pos="192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except as provided in Section 2.26, to Holdings or any Subsidiary thereof (as to which the provisions of this paragraph shall apply) and (iii) nothing in this Section 2.18(c) shall be construed to limit the applicability of Section 2.18(b) in the circumstances where Section 2.18(b) is applicable in accordance with its terms.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79" w:lineRule="exact"/>
        <w:rPr>
          <w:rFonts w:ascii="Arial" w:cs="Arial" w:eastAsia="Arial" w:hAnsi="Arial"/>
          <w:sz w:val="17"/>
          <w:szCs w:val="17"/>
          <w:color w:val="auto"/>
        </w:rPr>
      </w:pPr>
    </w:p>
    <w:p>
      <w:pPr>
        <w:jc w:val="both"/>
        <w:ind w:left="-20" w:firstLine="1304"/>
        <w:spacing w:after="0" w:line="270" w:lineRule="auto"/>
        <w:tabs>
          <w:tab w:leader="none" w:pos="213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Applicable Borrower prior to the date on which any payment is due to the Administrative Agent for the account of the relevant Lenders or Issuing Banks hereunder that the Applicable Borrower will not make such payment, the Administrative Agent may assume that the Applicable Borrower has made such payment on such date in accordance herewith and may, in reliance upon such assumption, distribute to the relevant Lenders or Issuing Bank, as the case may be, the amount due. In such event, if the Applicable Borrower has not in fact made such payment, then each of the relevant Lenders or Issuing Bank, as the case may be,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w:t>
      </w:r>
    </w:p>
    <w:p>
      <w:pPr>
        <w:spacing w:after="0" w:line="180" w:lineRule="exact"/>
        <w:rPr>
          <w:rFonts w:ascii="Arial" w:cs="Arial" w:eastAsia="Arial" w:hAnsi="Arial"/>
          <w:sz w:val="17"/>
          <w:szCs w:val="17"/>
          <w:color w:val="auto"/>
        </w:rPr>
      </w:pPr>
    </w:p>
    <w:p>
      <w:pPr>
        <w:jc w:val="both"/>
        <w:ind w:left="-20" w:firstLine="1304"/>
        <w:spacing w:after="0" w:line="293" w:lineRule="auto"/>
        <w:tabs>
          <w:tab w:leader="none" w:pos="204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Subject to Section 2.26, if any Lender shall fail to make any payment required to be made by it pursuant to Section 2.05(c), 2.06(d) or (e), 2.07(b), 2.18(d) or 9.03(c), then the Administrative Agent may, in its discretion (notwithstanding any contrary provision hereof), (i) apply any amounts thereafter received by the Administrative Agent for the account of such Lender and for the benefit of the Administrative Agent, the Swingline Lender or any Issuing Bank to satisfy such Lender’s obligations to it under this Section 2.18 until all such unsatisfied obligations are fully paid and/or (ii) hold any such amounts in a segregated account as cash collateral for, and application to, any future funding obligations of such Lender under any this Section 2.18; in the case of each of clauses (i) and (ii) above, in any order as determined by the Administrative Agent in its discretion.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26" w:name="page127"/>
    <w:bookmarkEnd w:id="126"/>
    <w:p>
      <w:pPr>
        <w:ind w:left="640"/>
        <w:spacing w:after="0"/>
        <w:tabs>
          <w:tab w:leader="none" w:pos="192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u w:val="single" w:color="auto"/>
          <w:color w:val="auto"/>
        </w:rPr>
        <w:t>Mitigation Obligations; Replacement of Lenders.</w:t>
      </w:r>
    </w:p>
    <w:p>
      <w:pPr>
        <w:spacing w:after="0" w:line="225" w:lineRule="exact"/>
        <w:rPr>
          <w:sz w:val="20"/>
          <w:szCs w:val="20"/>
          <w:color w:val="auto"/>
        </w:rPr>
      </w:pPr>
    </w:p>
    <w:p>
      <w:pPr>
        <w:jc w:val="both"/>
        <w:ind w:left="-20" w:firstLine="1304"/>
        <w:spacing w:after="0" w:line="271" w:lineRule="auto"/>
        <w:tabs>
          <w:tab w:leader="none" w:pos="192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2.15, if any Applicable Borrower is required to pay any additional amount or indemnification payment to any Lender or any Governmental Authority for the account of any Lender pursuant to Section 2.17 or if any Lender delivers a notice pursuant to Section 2.25,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or avoid such illegality under Section 2.25 and (ii) would not subject such Lender to any material unreimbursed cost or expense and would not otherwise be materially disadvantageous to such Lender. The Applicable Borrower hereby agrees to pay all reasonable costs and expenses incurred by any Lender in connection with any such designation or assignment.</w:t>
      </w:r>
    </w:p>
    <w:p>
      <w:pPr>
        <w:spacing w:after="0" w:line="178" w:lineRule="exact"/>
        <w:rPr>
          <w:rFonts w:ascii="Arial" w:cs="Arial" w:eastAsia="Arial" w:hAnsi="Arial"/>
          <w:sz w:val="17"/>
          <w:szCs w:val="17"/>
          <w:color w:val="auto"/>
        </w:rPr>
      </w:pPr>
    </w:p>
    <w:p>
      <w:pPr>
        <w:jc w:val="both"/>
        <w:ind w:left="-20" w:firstLine="1304"/>
        <w:spacing w:after="0" w:line="268" w:lineRule="auto"/>
        <w:tabs>
          <w:tab w:leader="none" w:pos="210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If (i) any Lender requests compensation under Section 2.15, (ii) the Applicable Borrower is required to pay any additional amount to any Lender or any Governmental Authority for the account of any Lender pursuant to Section 2.17 or if any Lender delivers a notice pursuant to Section 2.25, or (iii) any Lender becomes a Defaulting Lender, then the Applicable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Applicable Borrower shall have received the prior written consent of the Administrative Agent (and if a Revolving Commitment is being assigned, the Issuing Banks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(including any amounts under Sections 2.12 and 2.16 but subject to Section 2.26(a)), from the assignee (to the extent of such outstanding principal and accrued interest and fees) or the Applicable Borrower (in the case of all other amounts including the fees set forth in Section 2.12, which shall be payable and calculated as if the Applicable Borrower were making a prepayment to such assigning Lender), (iii) in the case of any such assignment resulting from a claim for compensation under Section 2.15 or payments required to be made pursuant to Section 2.17, such assignment will result in a reduction in such compensation or payments and (iv) such assignment does not conflict with applicable law.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80"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Incremental Credit Extensions.</w:t>
      </w:r>
    </w:p>
    <w:p>
      <w:pPr>
        <w:spacing w:after="0" w:line="225" w:lineRule="exact"/>
        <w:rPr>
          <w:sz w:val="20"/>
          <w:szCs w:val="20"/>
          <w:color w:val="auto"/>
        </w:rPr>
      </w:pPr>
    </w:p>
    <w:p>
      <w:pPr>
        <w:jc w:val="both"/>
        <w:ind w:left="-20" w:firstLine="1304"/>
        <w:spacing w:after="0" w:line="267" w:lineRule="auto"/>
        <w:tabs>
          <w:tab w:leader="none" w:pos="217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Borrower may, by written notice to the Administrative Agent from time to time after the Closing Date, request (i) commitments to provide Term Loans of the same Tranche as any outstanding Term Loans (a “</w:t>
      </w:r>
      <w:r>
        <w:rPr>
          <w:rFonts w:ascii="Arial" w:cs="Arial" w:eastAsia="Arial" w:hAnsi="Arial"/>
          <w:sz w:val="17"/>
          <w:szCs w:val="17"/>
          <w:u w:val="single" w:color="auto"/>
          <w:color w:val="auto"/>
        </w:rPr>
        <w:t>Term Loan Increase</w:t>
      </w:r>
      <w:r>
        <w:rPr>
          <w:rFonts w:ascii="Arial" w:cs="Arial" w:eastAsia="Arial" w:hAnsi="Arial"/>
          <w:sz w:val="17"/>
          <w:szCs w:val="17"/>
          <w:color w:val="auto"/>
        </w:rPr>
        <w:t>”), (ii) commitments to provide term Loans of a new Tranche denominated in an Agreed Currency (“</w:t>
      </w:r>
      <w:r>
        <w:rPr>
          <w:rFonts w:ascii="Arial" w:cs="Arial" w:eastAsia="Arial" w:hAnsi="Arial"/>
          <w:sz w:val="17"/>
          <w:szCs w:val="17"/>
          <w:u w:val="single" w:color="auto"/>
          <w:color w:val="auto"/>
        </w:rPr>
        <w:t>Other Term Loan Commitments</w:t>
      </w:r>
      <w:r>
        <w:rPr>
          <w:rFonts w:ascii="Arial" w:cs="Arial" w:eastAsia="Arial" w:hAnsi="Arial"/>
          <w:sz w:val="17"/>
          <w:szCs w:val="17"/>
          <w:color w:val="auto"/>
        </w:rPr>
        <w:t>” and collectively with any Term Loan Increase, “</w:t>
      </w:r>
      <w:r>
        <w:rPr>
          <w:rFonts w:ascii="Arial" w:cs="Arial" w:eastAsia="Arial" w:hAnsi="Arial"/>
          <w:sz w:val="17"/>
          <w:szCs w:val="17"/>
          <w:u w:val="single" w:color="auto"/>
          <w:color w:val="auto"/>
        </w:rPr>
        <w:t>Incremental Term Loan Commitments</w:t>
      </w:r>
      <w:r>
        <w:rPr>
          <w:rFonts w:ascii="Arial" w:cs="Arial" w:eastAsia="Arial" w:hAnsi="Arial"/>
          <w:sz w:val="17"/>
          <w:szCs w:val="17"/>
          <w:color w:val="auto"/>
        </w:rPr>
        <w:t>”), (iii) increases in the amount of Initial Revolving Commitments or then outstanding Other Revolving Loan Commitments (a “</w:t>
      </w:r>
      <w:r>
        <w:rPr>
          <w:rFonts w:ascii="Arial" w:cs="Arial" w:eastAsia="Arial" w:hAnsi="Arial"/>
          <w:sz w:val="17"/>
          <w:szCs w:val="17"/>
          <w:u w:val="single" w:color="auto"/>
          <w:color w:val="auto"/>
        </w:rPr>
        <w:t>Revolving Commitment Increase</w:t>
      </w:r>
      <w:r>
        <w:rPr>
          <w:rFonts w:ascii="Arial" w:cs="Arial" w:eastAsia="Arial" w:hAnsi="Arial"/>
          <w:sz w:val="17"/>
          <w:szCs w:val="17"/>
          <w:color w:val="auto"/>
        </w:rPr>
        <w:t>”) or (iv) commitments to provide revolving Loans of a new Tranche available in one or more Agreed Currencies (“</w:t>
      </w:r>
      <w:r>
        <w:rPr>
          <w:rFonts w:ascii="Arial" w:cs="Arial" w:eastAsia="Arial" w:hAnsi="Arial"/>
          <w:sz w:val="17"/>
          <w:szCs w:val="17"/>
          <w:u w:val="single" w:color="auto"/>
          <w:color w:val="auto"/>
        </w:rPr>
        <w:t>Other Revolving Loan Commitments</w:t>
      </w:r>
      <w:r>
        <w:rPr>
          <w:rFonts w:ascii="Arial" w:cs="Arial" w:eastAsia="Arial" w:hAnsi="Arial"/>
          <w:sz w:val="17"/>
          <w:szCs w:val="17"/>
          <w:color w:val="auto"/>
        </w:rPr>
        <w:t>” and collectively with any Revolving Commitment Increase, “</w:t>
      </w:r>
      <w:r>
        <w:rPr>
          <w:rFonts w:ascii="Arial" w:cs="Arial" w:eastAsia="Arial" w:hAnsi="Arial"/>
          <w:sz w:val="17"/>
          <w:szCs w:val="17"/>
          <w:u w:val="single" w:color="auto"/>
          <w:color w:val="auto"/>
        </w:rPr>
        <w:t>Incremental Revolving Commitments</w:t>
      </w:r>
      <w:r>
        <w:rPr>
          <w:rFonts w:ascii="Arial" w:cs="Arial" w:eastAsia="Arial" w:hAnsi="Arial"/>
          <w:sz w:val="17"/>
          <w:szCs w:val="17"/>
          <w:color w:val="auto"/>
        </w:rPr>
        <w:t>”), in each case from one or more Incremental Term Lenders and/or Incremental Revolving Lenders (which, in each case, may include any existing Lender or any other bank or other financial institution (any such other bank or other financial institution, an “</w:t>
      </w:r>
      <w:r>
        <w:rPr>
          <w:rFonts w:ascii="Arial" w:cs="Arial" w:eastAsia="Arial" w:hAnsi="Arial"/>
          <w:sz w:val="17"/>
          <w:szCs w:val="17"/>
          <w:u w:val="single" w:color="auto"/>
          <w:color w:val="auto"/>
        </w:rPr>
        <w:t>Additional Lender</w:t>
      </w:r>
      <w:r>
        <w:rPr>
          <w:rFonts w:ascii="Arial" w:cs="Arial" w:eastAsia="Arial" w:hAnsi="Arial"/>
          <w:sz w:val="17"/>
          <w:szCs w:val="17"/>
          <w:color w:val="auto"/>
        </w:rPr>
        <w:t>”), but shall be required to be Persons which would qualify as assignees of a Lender in accordance with Section 9.04) willing to provide such Incremental Term Loans and/or Incremental Revolving Commitments, as the case may be, in their own discretion. For the avoidance of doubt, with respect to any Incremental Loans incurred by a Borrower that is organized in Ireland, each Incremental Lender shall comply with the requirements of Section 2.17, including the provision of an Irish Qualifying Lender Confirmation substantially in the form of Exhibit H (pursuant to which such Incremental Lender shall acknowledge that if it is not an Irish Qualifying Lender it will not be grossed up for any Irish withholding Tax applicable under relevant law as of the date such Incremental Lender becomes a party with respect to the Incremental Loans). Each notice provided pursuant to this Section 2.20 shall set forth (i) the type and amount of the Incremental Term Loan Commitments and/or Incremental Revolving Commitments being requested (which shall be in minimum increments of $1,000,000 and a minimum amount of $10,000,000), (ii) the date on which such Incremental Term Loan Commitments and/or Incremental Revolving Commitments are requested to become effective, (iii) in the case of Other Term Loan Commitments or Other Revolving Loan Commitments, the Agreed Currency or Agreed Currencies and (iv) whether such Incremental Commitments constitute a Term Loan Increase, Other Term Loan Commitments, a Revolving Commitment Increase or Other Revolving Loan Commitments.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27" w:name="page128"/>
    <w:bookmarkEnd w:id="127"/>
    <w:p>
      <w:pPr>
        <w:jc w:val="both"/>
        <w:ind w:left="-20" w:firstLine="1304"/>
        <w:spacing w:after="0" w:line="284" w:lineRule="auto"/>
        <w:tabs>
          <w:tab w:leader="none" w:pos="226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(A) The Applicable Borrower and each Incremental Lender shall execute and deliver to the Administrative Agent an Incremental Amendment and such other documentation as the Administrative Agent shall reasonably specify to evidence the Incremental Commitment of such Incremental Lender. Each Incremental Amendment providing for Incremental Term Loans shall specify the terms of the applicable Incremental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final maturity date of any Other Term Loans (excluding (x) Term A Facilities and (y) customary “bridge loan” facilities with a tenor of no longer than one year (provided that such facilities automatically convert or exchange into long-term debt otherwise meeting the requirements of this clause (i)) shall be no earlier than the Latest Maturity Date of any Class of Term Loans, (ii) such Class of Other Term Loans shall be denominated in an Agreed Currency, (iii) the Weighted Average Life to Maturity of any Other Term Loans (excluding (x) Term A Facilities and (y) customary “bridge loan” facilities with a tenor of no longer than one year (provided that such facilities automatically convert or exchange into long-term debt otherwise meeting the requirements of this clause (iii)) shall be no shorter than the remaining Weighted Average Life to Maturity of the Class of Term Loans with the Latest Maturity Date, (iv) with respect to any Other Term Loans made on or after the Closing Date, the Effective Yield of any Other Term Loans may be less than or exceed the Effective Yield then applicable to the Initial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Other Term Loans that are secured by Liens on Collateral that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Liens securing the Initial Term Loans made prior to the date that is 24 months after the Closing Date (other than Term A Facilities) the Effective Yield of which exceeds the Effective Yield then applicable to the Initial Term Loans, the Applicable Margin for the Initial Term Loans is increased (to the extent necessary) such that the Effective Yield thereof is not less than the Effective Yield of such Other Term Loans minus 0.50%, (v) the covenants and events of default of any Other Term Loans shall be reasonably acceptable to the Administrative Agent or shall not, when taken as a whole, be materially more favorable to the lenders or holders thereof than the relevant terms applicable to the Initial Term Loans then outstanding unless such terms are added for the benefit of the Lenders of the Term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Other Term Loans shall have mandatory prepayment requirements in amounts that are less than or equal to those required under Section 2.11(c);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Term A Facilities may be subject to (x) the Financial Covenant set forth in Section 6.12(a) or (y) one or more financial maintenance covenants (and related events of default) (provided that such covenants shall be included for the benefit of the Revolving Commitments) and (vi) the terms of Incremental Term Loans under a Term Loan Increase shall be the same as the terms of the Term Loans of the Tranche that the Term Loan Increase is increasing (other than upfront fees and/or original issue discount). The Incremental Term Loans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in right of payment with the Initial Term Loans, shall be unsecured or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to the Initial Term Loans and shall not be (x) secured by any property or assets of Holdings or any Subsidiary other than the Collateral or (y) guaranteed by Holdings or any of its Subsidiaries other than any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Incremental Term Loans are unsecured or secured on a junior basis to the Initial Term Loans, such Incremental Term Loans will be established as a separate Tranche from the Term Loans. In the case of any junior lien Incremental Term Loans, such Indebtedness shall be subject to the terms of a First-Second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28" w:name="page129"/>
    <w:bookmarkEnd w:id="128"/>
    <w:p>
      <w:pPr>
        <w:jc w:val="both"/>
        <w:ind w:left="-20" w:firstLine="1304"/>
        <w:spacing w:after="0" w:line="285" w:lineRule="auto"/>
        <w:tabs>
          <w:tab w:leader="none" w:pos="161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Each Incremental Amendment providing for Incremental Revolving Commitments shall specify the terms of the applicable Incremental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final maturity date of any Other Revolving Loans shall be no earlier than the Latest Maturity Date of any Class of Revolving Loans, (ii) such Class of Other Revolving Loans shall be denominated in one or more Agreed Currencies, (iii) such Other Revolving Loans may have mandatory commitment reduction terms that are not identical to the Initial Revolving Loans, (iv) the covenants and events of default of any Other Revolving Loans shall be reasonably acceptable to the Administrative Agent or shall not, when taken as a whole, be materially more favorable to the lenders or holders thereof than the relevant terms applicable to the Initial Revolving Loans unless such terms are added for the benefit of the Lenders of the Initial Revolving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Other Revolving Loans may benefit from one or more financial maintenance covenants (and related events of default) (provided that such covenants shall be included for the benefit of the Initial Revolving Loans) and (iv) the terms of Incremental Revolving Loans under a Revolving Commitment Increase shall be the same as the terms of the Revolving Loans of the Tranche that the Revolving Commitment Increase is increasing (other than upfront fees and/or original issue discount). The Incremental Revolving Loans shall rank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in right of payment with the Initial Revolving Loans, shall be secured on a</w:t>
      </w:r>
      <w:r>
        <w:rPr>
          <w:rFonts w:ascii="Arial" w:cs="Arial" w:eastAsia="Arial" w:hAnsi="Arial"/>
          <w:sz w:val="16"/>
          <w:szCs w:val="16"/>
          <w:i w:val="1"/>
          <w:iCs w:val="1"/>
          <w:color w:val="auto"/>
        </w:rPr>
        <w:t xml:space="preserve"> pari passu </w:t>
      </w:r>
      <w:r>
        <w:rPr>
          <w:rFonts w:ascii="Arial" w:cs="Arial" w:eastAsia="Arial" w:hAnsi="Arial"/>
          <w:sz w:val="16"/>
          <w:szCs w:val="16"/>
          <w:color w:val="auto"/>
        </w:rPr>
        <w:t>with the Initial Revolving Loans and shall not be (x)</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by any property or assets of Holdings or any Subsidiary other than the Collateral or (y) guaranteed by Holdings or any of its Subsidiaries other than any Guarantor. The Incremental Revolving Loans shall be subject to the provisions of Section 2.05(d) and 2.06(k) to the extent dealing with Swingline Loans and Letters of Credit which mature or expire after a Maturity Date when there exists Incremental Revolving Commitments with a longer Maturity Date. Upon the effectiveness of any Incremental Amendment with respect to Incremental Revolving Commitments, all Swingline Loans and Letters of Credit shall be participated on a pro rata basis by all Revolving Lenders in accordance with their Revolving Credit Exposure existing on such date.</w:t>
      </w:r>
    </w:p>
    <w:p>
      <w:pPr>
        <w:spacing w:after="0" w:line="176" w:lineRule="exact"/>
        <w:rPr>
          <w:sz w:val="20"/>
          <w:szCs w:val="20"/>
          <w:color w:val="auto"/>
        </w:rPr>
      </w:pPr>
    </w:p>
    <w:p>
      <w:pPr>
        <w:jc w:val="both"/>
        <w:ind w:left="-20" w:firstLine="1304"/>
        <w:spacing w:after="0" w:line="293" w:lineRule="auto"/>
        <w:tabs>
          <w:tab w:leader="none" w:pos="199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Subject to Section 2.19, each Lender may, at its option, make any Loan available to the Applicable Borrower or an Additional Borrower by causing any foreign or domestic branch or Affiliate of such Lender to make such Loan (in which case such branch or Affiliate shall be treated as the “Lender” with respect to such Loan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exercise of such option shall not affect the obligation of the Applicable Borrower or such Additional Borrower to repay such Loan in accordance with the terms of this Agreement, (y) if the respective branch or Affiliate is a Foreign Lender, the same shall comply with the requirements of Section 2.17, and (z) with respect to any Revolving Loans advanced to an Additional Borrower that is tax resident in Ireland, the Affiliate, whether or not a Foreign Lender, shall comply with the requirements of Section 2.17.</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29" w:name="page130"/>
    <w:bookmarkEnd w:id="129"/>
    <w:p>
      <w:pPr>
        <w:jc w:val="both"/>
        <w:ind w:left="-20" w:firstLine="1304"/>
        <w:spacing w:after="0" w:line="283" w:lineRule="auto"/>
        <w:tabs>
          <w:tab w:leader="none" w:pos="193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Notwithstanding the foregoing, no Incremental Commitment shall become effective under this Section 2.20 unless (i) at the time that any such Incremental Commitment is made (and after giving effect thereto), (A) no Event of Default shall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tranche of Incremental Term Loans is used to finance a Limited Condition Transaction and to the extent the Incremental Term Lenders participating in such tranche of Incremental Term Loans agree, the foregoing clause (A) shall be tested solely as of the LCT Test Date, and (B) the representations and warranties of the Applicable Borrower set forth in this Agreement shall be true and correct in all material respects (other than to the extent qualified by materiality or “Material Adverse Effect”, in which case, such representations and warranties shall be true and correct);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the tranche of Incremental Term Loans is used to finance a Limited Condition Transaction, the foregoing clause (B) shall be limited to the Specified Representations at the discretion of the applicable Incremental Lenders, (ii) the aggregate principal amount of all Incremental Term Loan Commitments and Incremental Revolving Commitments established under this Agreement, together with any Alternative Incremental Facility Indebtedness incurred and any Permitted Refinancing Indebtedness in respect thereof, shall not exceed, as of any date of determination, the sum of (A) the greater of $1,160,000,000 and 100% of Consolidated EBITDA for the Test Period most recently ended on or prior to the date of such determination (the “</w:t>
      </w:r>
      <w:r>
        <w:rPr>
          <w:rFonts w:ascii="Arial" w:cs="Arial" w:eastAsia="Arial" w:hAnsi="Arial"/>
          <w:sz w:val="16"/>
          <w:szCs w:val="16"/>
          <w:u w:val="single" w:color="auto"/>
          <w:color w:val="auto"/>
        </w:rPr>
        <w:t>Fixed Incremental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 amount equal to the sum of all voluntary prepayments of Term Loans, Revolving Loans and Alternative Incremental Facility Indebtedness that is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Lien on the Collateral securing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Revolving Loans and Alternative Incremental Facility Indebtedness in the form of revolving loans, such prepayment is accompanied by a permanent reduction in the revolving commitments therefore (the “</w:t>
      </w:r>
      <w:r>
        <w:rPr>
          <w:rFonts w:ascii="Arial" w:cs="Arial" w:eastAsia="Arial" w:hAnsi="Arial"/>
          <w:sz w:val="16"/>
          <w:szCs w:val="16"/>
          <w:u w:val="single" w:color="auto"/>
          <w:color w:val="auto"/>
        </w:rPr>
        <w:t>Prepayment Incremental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an unlimited amount so long as (1) in the case of any Indebtedness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Lien on the Collateral securing the Obligations, the First Lien Net Leverage Ratio, determined on a Pro Forma Basis for the most recently ended Test Period prior to such date, would not exceed 5.00:1.00, (2) in the case of any Indebtedness secured by the Collateral on a junior lien basis relative to the Liens on such Collateral securing the Obligations, the Secured Net Leverage Ratio, determined on a Pro Forma Basis for the most recently ended Test Period prior to such date, would not exceed 5.25:1.00, and (3) in the case of unsecured Indebtedness, either (a) the Total Net Leverage Ratio, determined on a Pro Forma Basis for the most recently ended Test Period prior to such date, would not exceed 5.25:1.00 or (b) the Fixed Charge Coverage Ratio, determined on a Pro Forma Basis for the most recently ended Test Period prior to such date, would not be less than 2.00:1.00 (the amount pursuant to this clause (C), the “</w:t>
      </w:r>
      <w:r>
        <w:rPr>
          <w:rFonts w:ascii="Arial" w:cs="Arial" w:eastAsia="Arial" w:hAnsi="Arial"/>
          <w:sz w:val="16"/>
          <w:szCs w:val="16"/>
          <w:u w:val="single" w:color="auto"/>
          <w:color w:val="auto"/>
        </w:rPr>
        <w:t>Incurrence-Based Incremental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for the avoidance of doubt, if, as part of the same transaction or series of related transactions, the Applicable Borrower incurs Indebtedness pursuant to the Incurrence-Based Incremental Amount and substantially concurrently also incurs Indebtedness (x) pursuant to the Fixed Incremental Amount and/or the Prepayment Incremental Amount or (y) otherwise constituting a Fixed Amount, then the First Lien Net Leverage Ratio, Secured Net Leverage Ratio and/or Total Net Leverage Ratio, as applicable, will be calculated with respect to such incurrence pursuant to the Incurrence-Based Incremental Amount without regard to any such substantially concurrent incurrence of Indebtedness under the Fixed Incremental Amount, Prepayment Incremental Amount or any other Fixed Amount, (ii) the Applicable Borrower may elect to use the Incurrence-Based Incremental Amount regardless of whether there is capacity under the Fixed Incremental Amount and/or the Prepayment Incremental Amount, and if any Incremental Loans may be incurred under the Incurrence-Based Incremental Amount, the Fixed Incremental Amount or the Prepayment Incremental Amount and the Applicable Borrower does not make an election, the Applicable Borrower shall be deemed to have incurred such Incremental Loans under the Incurrence-Based Incremental Amount and (iii) if at any time after any Borrower has incurred Incremental Loans under the Fixed Incremental Amount and/or the Prepayment Incremental Amount, any portion of such Incremental Loans could then be incurred under the Incurrence-Based Incremental Amount, such amounts shall automatically be reclassified to the Incurrence-Based Incremental Amount (the sum of the Fixed Incremental Amount, the Prepayment Incremental Amount and the Incurrence-Based Incremental Amount, after giving effect to any reclassification, the “</w:t>
      </w:r>
      <w:r>
        <w:rPr>
          <w:rFonts w:ascii="Arial" w:cs="Arial" w:eastAsia="Arial" w:hAnsi="Arial"/>
          <w:sz w:val="16"/>
          <w:szCs w:val="16"/>
          <w:u w:val="single" w:color="auto"/>
          <w:color w:val="auto"/>
        </w:rPr>
        <w:t>Maximum Incremental Amount</w:t>
      </w:r>
      <w:r>
        <w:rPr>
          <w:rFonts w:ascii="Arial" w:cs="Arial" w:eastAsia="Arial" w:hAnsi="Arial"/>
          <w:sz w:val="16"/>
          <w:szCs w:val="16"/>
          <w:color w:val="auto"/>
        </w:rPr>
        <w:t>”). The Administrative Agent shall promptly notify each Lender as to the effectiveness of each Incremental Amendment. Each of the parties hereto hereby agrees that, upon the effectiveness of any Incremental Amendment, this Agreement shall be amended to the extent (but only to the extent) necessary to reflect the existence and terms of the Incremental Commitments (including any mechanical or other amendments necessary to reflect the establishment of the Incremental Revolving Commitments) evidenced thereby. Any such deemed amendment may be memorialized in writing by the Administrative Agent with the Applicable Borrower’s consent (not to be unreasonably withheld, delayed or conditioned) and furnished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30" w:name="page131"/>
    <w:bookmarkEnd w:id="130"/>
    <w:p>
      <w:pPr>
        <w:jc w:val="both"/>
        <w:ind w:firstLine="1304"/>
        <w:spacing w:after="0" w:line="268" w:lineRule="auto"/>
        <w:tabs>
          <w:tab w:leader="none" w:pos="195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Incremental Amendment may, without the consent of any Agents (unless it directly adversely amends or modifies the rights or duties of any Agent) or Lenders, effect such amendments to this Agreement and the other Loan Documents as may be necessary or appropriate, in the reasonable opinion of the Administrative Agent and the Applicable Borrower, to effect the provisions of this Section 2.20 (including without limitation, (i) the addition of customary letter of credit, swingline and Defaulting Lender provisions with respect to any Incremental Revolving Lenders, (ii) the addition of a class vote of the Incremental Revolving Lenders for acceleration, waiver and amendment with respect to any particular Class of Incremental Revolving Loans), (iii) in the case of a Term Loan Increase, modifications to the amortization payment amount and/or the Applicable Margin of the applicable Tranche of Term Loans to provide that the then outstanding Term Loans and the Incremental Term Loans are fungible, (iv) to reset the terms of a Repricing Event to give effect to Incremental Term Loan Commitments and (iv) to implement any additional covenants applicable to the Incremental Loans and Incremental Commitments that, pursuant to this Section 2.20, may be applied to the then existing Loans and Commitments. The Applicable Borrower will use the proceeds of the Incremental Loans for general corporate purposes (including loans and other Investments in Holdings and its Subsidiaries as permitted herein, Permitted Acquisitions and Investments). Incremental Loans may be made by any existing Lender (but no existing Lender will have any obligation to make or provide any portion of any Incremental Loan) or by any other bank or other financial institution. No Lender shall be obligated to provide any Incremental Loans unless it so agrees.</w:t>
      </w:r>
    </w:p>
    <w:p>
      <w:pPr>
        <w:spacing w:after="0" w:line="186" w:lineRule="exact"/>
        <w:rPr>
          <w:rFonts w:ascii="Arial" w:cs="Arial" w:eastAsia="Arial" w:hAnsi="Arial"/>
          <w:sz w:val="17"/>
          <w:szCs w:val="17"/>
          <w:color w:val="auto"/>
        </w:rPr>
      </w:pPr>
    </w:p>
    <w:p>
      <w:pPr>
        <w:ind w:left="1980" w:hanging="676"/>
        <w:spacing w:after="0"/>
        <w:tabs>
          <w:tab w:leader="none" w:pos="1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This Section 2.20 shall supersede any provisions in Section 2.18 or 9.02 to the contrary.</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5"/>
          <w:szCs w:val="15"/>
          <w:u w:val="single" w:color="auto"/>
          <w:color w:val="auto"/>
        </w:rPr>
        <w:t>Judgment Currency.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for the purposes of obtaining judgment in any court it is necessary to convert a sum due from an Applicable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Applicable Borrower and any Additional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Applicable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the Borrowers.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1" w:name="page132"/>
    <w:bookmarkEnd w:id="131"/>
    <w:p>
      <w:pPr>
        <w:ind w:left="640"/>
        <w:spacing w:after="0"/>
        <w:tabs>
          <w:tab w:leader="none" w:pos="192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u w:val="single" w:color="auto"/>
          <w:color w:val="auto"/>
        </w:rPr>
        <w:t>Extensions of Loans and Commitments.</w:t>
      </w:r>
    </w:p>
    <w:p>
      <w:pPr>
        <w:spacing w:after="0" w:line="225" w:lineRule="exact"/>
        <w:rPr>
          <w:sz w:val="20"/>
          <w:szCs w:val="20"/>
          <w:color w:val="auto"/>
        </w:rPr>
      </w:pPr>
    </w:p>
    <w:p>
      <w:pPr>
        <w:jc w:val="both"/>
        <w:ind w:left="-20" w:firstLine="1304"/>
        <w:spacing w:after="0" w:line="269" w:lineRule="auto"/>
        <w:tabs>
          <w:tab w:leader="none" w:pos="197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pursuant to one or more offers (each, an “</w:t>
      </w:r>
      <w:r>
        <w:rPr>
          <w:rFonts w:ascii="Arial" w:cs="Arial" w:eastAsia="Arial" w:hAnsi="Arial"/>
          <w:sz w:val="17"/>
          <w:szCs w:val="17"/>
          <w:u w:val="single" w:color="auto"/>
          <w:color w:val="auto"/>
        </w:rPr>
        <w:t>Extension Offer</w:t>
      </w:r>
      <w:r>
        <w:rPr>
          <w:rFonts w:ascii="Arial" w:cs="Arial" w:eastAsia="Arial" w:hAnsi="Arial"/>
          <w:sz w:val="17"/>
          <w:szCs w:val="17"/>
          <w:color w:val="auto"/>
        </w:rPr>
        <w:t>”) made from time to time by the Applicable Borrower to (i) all Term Lenders of Term Loans of any Tranche with a like Maturity Date, and/or (ii) all Incremental Revolving Lenders with a like Maturity Date, in each case on a pro rata basis (based on the aggregate outstanding principal amount of the respective Loans or the aggregate amount of the Commitments with the same Maturity Date, as the case may be, and using Dollar Amounts in the case of any amounts denominated in an Agreed Currency other than Dollars) and on the same terms to each such Lender, the Applicable Borrower may from time to time offer to extend the Maturity Date for any such Loans and otherwise modify the terms of such Loans and/or Commitments pursuant to the terms of the relevant Extension Offer (including by increasing the interest rate or fees payable in respect of such Loans and/or Commitments (and related outstandings) (each, an “</w:t>
      </w:r>
      <w:r>
        <w:rPr>
          <w:rFonts w:ascii="Arial" w:cs="Arial" w:eastAsia="Arial" w:hAnsi="Arial"/>
          <w:sz w:val="17"/>
          <w:szCs w:val="17"/>
          <w:u w:val="single" w:color="auto"/>
          <w:color w:val="auto"/>
        </w:rPr>
        <w:t>Extension</w:t>
      </w:r>
      <w:r>
        <w:rPr>
          <w:rFonts w:ascii="Arial" w:cs="Arial" w:eastAsia="Arial" w:hAnsi="Arial"/>
          <w:sz w:val="17"/>
          <w:szCs w:val="17"/>
          <w:color w:val="auto"/>
        </w:rPr>
        <w:t>”), and each group of Loans or Commitments, as applicable, in each case of a given Tranche as so extended, as well as the original Loans and Commitments of the original respective Tranche (in each case not so extended), shall (for the avoidance of doubt) be part of a single Tranche; and any Extended Loans shall constitute a separate Class of Loans from the Class of Loans from which they were converted, so long as the following terms are satisfied:</w:t>
      </w:r>
    </w:p>
    <w:p>
      <w:pPr>
        <w:spacing w:after="0" w:line="181" w:lineRule="exact"/>
        <w:rPr>
          <w:rFonts w:ascii="Arial" w:cs="Arial" w:eastAsia="Arial" w:hAnsi="Arial"/>
          <w:sz w:val="17"/>
          <w:szCs w:val="17"/>
          <w:color w:val="auto"/>
        </w:rPr>
      </w:pPr>
    </w:p>
    <w:p>
      <w:pPr>
        <w:ind w:left="2560" w:hanging="628"/>
        <w:spacing w:after="0"/>
        <w:tabs>
          <w:tab w:leader="none" w:pos="25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40" w:firstLine="1292"/>
        <w:spacing w:after="0" w:line="259" w:lineRule="auto"/>
        <w:tabs>
          <w:tab w:leader="none" w:pos="257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except as to interest rates, fees, amortization, final maturity date, premium, required prepayment dates and participation in prepayments (which shall, subject to the succeeding clauses (iii), (iv), (v), and (vi), be determined by the Applicable Borrower and set forth in the relevant Extension Offer), the Loans of any Term Lender extended pursuant to any Extension (“</w:t>
      </w:r>
      <w:r>
        <w:rPr>
          <w:rFonts w:ascii="Arial" w:cs="Arial" w:eastAsia="Arial" w:hAnsi="Arial"/>
          <w:sz w:val="18"/>
          <w:szCs w:val="18"/>
          <w:u w:val="single" w:color="auto"/>
          <w:color w:val="auto"/>
        </w:rPr>
        <w:t>Extended Term Loans</w:t>
      </w:r>
      <w:r>
        <w:rPr>
          <w:rFonts w:ascii="Arial" w:cs="Arial" w:eastAsia="Arial" w:hAnsi="Arial"/>
          <w:sz w:val="18"/>
          <w:szCs w:val="18"/>
          <w:color w:val="auto"/>
        </w:rPr>
        <w:t>”) shall have the same terms as the Tranche of Loans subject to such Extension Offer;</w:t>
      </w:r>
    </w:p>
    <w:p>
      <w:pPr>
        <w:spacing w:after="0" w:line="186" w:lineRule="exact"/>
        <w:rPr>
          <w:rFonts w:ascii="Arial" w:cs="Arial" w:eastAsia="Arial" w:hAnsi="Arial"/>
          <w:sz w:val="18"/>
          <w:szCs w:val="18"/>
          <w:color w:val="auto"/>
        </w:rPr>
      </w:pPr>
    </w:p>
    <w:p>
      <w:pPr>
        <w:jc w:val="both"/>
        <w:ind w:left="640" w:firstLine="1292"/>
        <w:spacing w:after="0" w:line="285" w:lineRule="auto"/>
        <w:tabs>
          <w:tab w:leader="none" w:pos="269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except as to interest rates, fees and final maturity (which shall, subject to the requirements of this Section 2.22, be determined by the Applicable Borrower and set forth in the relevant Extension Offer), the Revolving Commitment, the Incremental Revolving Commitment or Other Refinancing Revolving Commitment of any Revolving Lender (an “</w:t>
      </w:r>
      <w:r>
        <w:rPr>
          <w:rFonts w:ascii="Arial" w:cs="Arial" w:eastAsia="Arial" w:hAnsi="Arial"/>
          <w:sz w:val="16"/>
          <w:szCs w:val="16"/>
          <w:u w:val="single" w:color="auto"/>
          <w:color w:val="auto"/>
        </w:rPr>
        <w:t>Extending Revolving Lender</w:t>
      </w:r>
      <w:r>
        <w:rPr>
          <w:rFonts w:ascii="Arial" w:cs="Arial" w:eastAsia="Arial" w:hAnsi="Arial"/>
          <w:sz w:val="16"/>
          <w:szCs w:val="16"/>
          <w:color w:val="auto"/>
        </w:rPr>
        <w:t>”) extended pursuant to an Extension (an “</w:t>
      </w:r>
      <w:r>
        <w:rPr>
          <w:rFonts w:ascii="Arial" w:cs="Arial" w:eastAsia="Arial" w:hAnsi="Arial"/>
          <w:sz w:val="16"/>
          <w:szCs w:val="16"/>
          <w:u w:val="single" w:color="auto"/>
          <w:color w:val="auto"/>
        </w:rPr>
        <w:t>Extended Revolving Commitment</w:t>
      </w:r>
      <w:r>
        <w:rPr>
          <w:rFonts w:ascii="Arial" w:cs="Arial" w:eastAsia="Arial" w:hAnsi="Arial"/>
          <w:sz w:val="16"/>
          <w:szCs w:val="16"/>
          <w:color w:val="auto"/>
        </w:rPr>
        <w:t xml:space="preserve">”), and the related outstanding, shall be a Revolving Commitment, Incremental Revolving Commitment or Other Refinancing Revolving Commitment (or related outstandings, as the case may be) with the same terms as the original Revolving Commitments of the same Class, the Incremental Revolving Commitments or Other Refinancing Revolving Commitments (and related outstandings);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subject to the provisions of Sections 2.05(d) and 2.06(k) to the extent dealing with Letters of Credit and Swingline Loans which mature or expire after a Maturity Date when there exist Extended Revolving Commitments with a longer Maturity Date, all Letters of Credit and Swingline Loans shall be participated in on a pro rata basis by all Lenders with Revolving Commitments and Incremental Revolving Commitments in accordance with their pro rata share of the aggregate Revolving Commitments and Incremental Revolving Commitments (and except as provided in Sections 2.05(d) and 2.06(k), without giving effect to changes thereto on an earlier Maturity Date with respect to Swingline Loans and Letters of Credit theretofore incurred or issued;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 of the Issuing Banks to issue Letters of Credit can only be extended with the appropriate Issuing Banks’s consent) and all borrowings under Revolving Commitments of such Class and any related Incremental Revolving Commitments or Extended Revolving Commitments and repayments thereunder shall be made on a pro rata basis (except for (A) payments of interest and fees at different rates on Extended Revolving Commitments (and related outstandings) and (B) repayments required upon the Maturity Date for the non-extending Revolving Commitments of the same Class, or any related Incremental Revolving Commitments or Extended Revolving Commitments) and (y) at no time shall there be Revolving Commitments, Extended Revolving Commitments, Incremental Revolving Commitments and/or Other Refinancing Revolving Commitments hereunder (including Extended Revolving Commitments and any original Revolving Commitments) which have more than three different Maturity Dates;</w:t>
      </w:r>
    </w:p>
    <w:p>
      <w:pPr>
        <w:spacing w:after="0" w:line="168" w:lineRule="exact"/>
        <w:rPr>
          <w:rFonts w:ascii="Arial" w:cs="Arial" w:eastAsia="Arial" w:hAnsi="Arial"/>
          <w:sz w:val="16"/>
          <w:szCs w:val="16"/>
          <w:color w:val="auto"/>
        </w:rPr>
      </w:pPr>
    </w:p>
    <w:p>
      <w:pPr>
        <w:ind w:left="2600" w:hanging="668"/>
        <w:spacing w:after="0"/>
        <w:tabs>
          <w:tab w:leader="none" w:pos="26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final maturity date for any Extended Term Loans shall be no earlier than the then Maturity Date for the Tranche of</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Loans so extended;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32" w:name="page133"/>
    <w:bookmarkEnd w:id="132"/>
    <w:p>
      <w:pPr>
        <w:ind w:left="640" w:right="20" w:firstLine="1292"/>
        <w:spacing w:after="0" w:line="277" w:lineRule="auto"/>
        <w:tabs>
          <w:tab w:leader="none" w:pos="262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Weighted Average Life to Maturity of any Extended Term Loans shall be no shorter than the remaining Weighted Average Life to Maturity of the Tranche of Term Loans extended thereby;</w:t>
      </w:r>
    </w:p>
    <w:p>
      <w:pPr>
        <w:spacing w:after="0" w:line="170" w:lineRule="exact"/>
        <w:rPr>
          <w:rFonts w:ascii="Arial" w:cs="Arial" w:eastAsia="Arial" w:hAnsi="Arial"/>
          <w:sz w:val="18"/>
          <w:szCs w:val="18"/>
          <w:color w:val="auto"/>
        </w:rPr>
      </w:pPr>
    </w:p>
    <w:p>
      <w:pPr>
        <w:jc w:val="both"/>
        <w:ind w:left="640" w:right="20" w:firstLine="1292"/>
        <w:spacing w:after="0" w:line="263" w:lineRule="auto"/>
        <w:tabs>
          <w:tab w:leader="none" w:pos="255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Extended Term Loans may participate on a pro rata basis or a less than pro rata basis (but not greater than a pro rata basis) with the existing Tranches of Term Loans mandatory repayments or prepayments hereunder, in each case as specified in the respective Extension Offer;</w:t>
      </w:r>
    </w:p>
    <w:p>
      <w:pPr>
        <w:spacing w:after="0" w:line="183" w:lineRule="exact"/>
        <w:rPr>
          <w:rFonts w:ascii="Arial" w:cs="Arial" w:eastAsia="Arial" w:hAnsi="Arial"/>
          <w:sz w:val="18"/>
          <w:szCs w:val="18"/>
          <w:color w:val="auto"/>
        </w:rPr>
      </w:pPr>
    </w:p>
    <w:p>
      <w:pPr>
        <w:jc w:val="both"/>
        <w:ind w:left="640" w:firstLine="1292"/>
        <w:spacing w:after="0" w:line="272" w:lineRule="auto"/>
        <w:tabs>
          <w:tab w:leader="none" w:pos="2714"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the aggregate principal amount of applicable Term Loans (calculated on the face amount thereof) or Revolving Commitments, as the case may be, in respect of which applicable Term Lenders or Revolving Lenders, as the case may be, shall have accepted the relevant Extension Offer shall exceed the maximum aggregate principal amount of applicable Term Loans or Revolving Commitments, as the case may be, offered to be extended by the Applicable Borrower pursuant to such Extension Offer, then the applicable Term Loans or Revolving Loans, as the case may be, of the applicable Term Lenders or Revolving Lenders, as the case may be, shall be extended rateably up to such maximum amount based on the respective principal amounts (but not to exceed actual holdings of record) with respect to which such Term Lenders or Revolving Lenders, as the case may be, have accepted such Extension Offer;</w:t>
      </w:r>
    </w:p>
    <w:p>
      <w:pPr>
        <w:spacing w:after="0" w:line="177" w:lineRule="exact"/>
        <w:rPr>
          <w:rFonts w:ascii="Arial" w:cs="Arial" w:eastAsia="Arial" w:hAnsi="Arial"/>
          <w:sz w:val="17"/>
          <w:szCs w:val="17"/>
          <w:color w:val="auto"/>
        </w:rPr>
      </w:pPr>
    </w:p>
    <w:p>
      <w:pPr>
        <w:ind w:left="2560" w:hanging="628"/>
        <w:spacing w:after="0"/>
        <w:tabs>
          <w:tab w:leader="none" w:pos="25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documentation in respect of such Extension shall be consistent with the foregoing,</w:t>
      </w:r>
    </w:p>
    <w:p>
      <w:pPr>
        <w:spacing w:after="0" w:line="225" w:lineRule="exact"/>
        <w:rPr>
          <w:rFonts w:ascii="Arial" w:cs="Arial" w:eastAsia="Arial" w:hAnsi="Arial"/>
          <w:sz w:val="18"/>
          <w:szCs w:val="18"/>
          <w:color w:val="auto"/>
        </w:rPr>
      </w:pPr>
    </w:p>
    <w:p>
      <w:pPr>
        <w:jc w:val="both"/>
        <w:ind w:left="640" w:firstLine="1292"/>
        <w:spacing w:after="0" w:line="254" w:lineRule="auto"/>
        <w:tabs>
          <w:tab w:leader="none" w:pos="271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Extension shall not become effective unless, on the proposed effective date of the Extension, (x) the Applicable Borrower shall deliver to the Administrative Agent one or more legal opinions reasonably satisfactory to the Administrative Agent and a certificate of an authorized officer of each Loan Party dated the applicable date of the Extension and executed by an authorized officer of such Loan Party certifying and attaching the resolutions adopted by such Loan Party approving or consenting to such Extension and (y) the conditions set forth in Section 4.02 shall be satisfied (with all references therein to any Credit Event being deemed to be references to the Extension on the applicable date of the Extension) and the Administrative Agent shall have received a certificate to that effect dated the applicable date of the Extension and executed by a Financial Officer of Holdings;</w:t>
      </w:r>
    </w:p>
    <w:p>
      <w:pPr>
        <w:spacing w:after="0" w:line="194" w:lineRule="exact"/>
        <w:rPr>
          <w:rFonts w:ascii="Arial" w:cs="Arial" w:eastAsia="Arial" w:hAnsi="Arial"/>
          <w:sz w:val="18"/>
          <w:szCs w:val="18"/>
          <w:color w:val="auto"/>
        </w:rPr>
      </w:pPr>
    </w:p>
    <w:p>
      <w:pPr>
        <w:ind w:left="2600" w:hanging="668"/>
        <w:spacing w:after="0"/>
        <w:tabs>
          <w:tab w:leader="none" w:pos="26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any applicable Minimum Extension Condition shall be satisfied unless waived by the Applicable Borrower; and</w:t>
      </w:r>
    </w:p>
    <w:p>
      <w:pPr>
        <w:spacing w:after="0" w:line="236" w:lineRule="exact"/>
        <w:rPr>
          <w:rFonts w:ascii="Arial" w:cs="Arial" w:eastAsia="Arial" w:hAnsi="Arial"/>
          <w:sz w:val="17"/>
          <w:szCs w:val="17"/>
          <w:color w:val="auto"/>
        </w:rPr>
      </w:pPr>
    </w:p>
    <w:p>
      <w:pPr>
        <w:ind w:left="2600" w:hanging="668"/>
        <w:spacing w:after="0"/>
        <w:tabs>
          <w:tab w:leader="none" w:pos="26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Minimum Tranche Amount shall be satisfied unless waived by the Administrative Agent.</w:t>
      </w:r>
    </w:p>
    <w:p>
      <w:pPr>
        <w:spacing w:after="0" w:line="225" w:lineRule="exact"/>
        <w:rPr>
          <w:rFonts w:ascii="Arial" w:cs="Arial" w:eastAsia="Arial" w:hAnsi="Arial"/>
          <w:sz w:val="18"/>
          <w:szCs w:val="18"/>
          <w:color w:val="auto"/>
        </w:rPr>
      </w:pPr>
    </w:p>
    <w:p>
      <w:pPr>
        <w:jc w:val="both"/>
        <w:ind w:left="-20" w:firstLine="1304"/>
        <w:spacing w:after="0" w:line="287" w:lineRule="auto"/>
        <w:tabs>
          <w:tab w:leader="none" w:pos="196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With respect to all Extensions consummated by an Applicable Borrower pursuant to this Section 2.22, (i) such Extensions shall not constitute voluntary or mandatory payments or prepayments for purposes of Section 2.11 and (ii) no Extension Offer is required to be in any minimum amount or any minimum increment;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Applicable Borrower may at its election specify as a condition (a “</w:t>
      </w:r>
      <w:r>
        <w:rPr>
          <w:rFonts w:ascii="Arial" w:cs="Arial" w:eastAsia="Arial" w:hAnsi="Arial"/>
          <w:sz w:val="16"/>
          <w:szCs w:val="16"/>
          <w:u w:val="single" w:color="auto"/>
          <w:color w:val="auto"/>
        </w:rPr>
        <w:t>Minimum Extension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Condition</w:t>
      </w:r>
      <w:r>
        <w:rPr>
          <w:rFonts w:ascii="Arial" w:cs="Arial" w:eastAsia="Arial" w:hAnsi="Arial"/>
          <w:sz w:val="16"/>
          <w:szCs w:val="16"/>
          <w:color w:val="auto"/>
        </w:rPr>
        <w:t>”) to consummating any such Extension that a minimum amount (to be determined and specified in the relevant Extension Offer in Borrowers’ sole discretion and may be waived by Applicable Borrower) of Loans or Commitments of any or all applicable Tranches and Classes be tendered and (B) no Tranche of Extended Loans or Extended Commitments shall be in an amount (taking the Dollar Amount of any amounts denominated in Agreed Currencies other than Dollars) of less than $2,500,000 (the “</w:t>
      </w:r>
      <w:r>
        <w:rPr>
          <w:rFonts w:ascii="Arial" w:cs="Arial" w:eastAsia="Arial" w:hAnsi="Arial"/>
          <w:sz w:val="16"/>
          <w:szCs w:val="16"/>
          <w:u w:val="single" w:color="auto"/>
          <w:color w:val="auto"/>
        </w:rPr>
        <w:t>Minimum Tranche Amount</w:t>
      </w:r>
      <w:r>
        <w:rPr>
          <w:rFonts w:ascii="Arial" w:cs="Arial" w:eastAsia="Arial" w:hAnsi="Arial"/>
          <w:sz w:val="16"/>
          <w:szCs w:val="16"/>
          <w:color w:val="auto"/>
        </w:rPr>
        <w:t>”), unless such Minimum Tranche Amount is waived by the Administrative Agent. Subject to compliance with the terms of this Section 2.22, the Administrative Agent, the Issuing Banks and the Lenders hereby consent to the Extensions and the other transactions contemplated by this Section 2.22 (including, for the avoidance of doubt, payment of any interest, fees or premium in respect of any Extended Term Loans and/or Extended Revolving Commitments on such terms as may be set forth in the relevant Extension Offer) and hereby waive the requirements of any provision of this Agreement (including, without limitation, Sections 2.11 and 2.18) or any other Loan Document that may otherwise prohibit any such Extension or any other transaction contemplated by this Section 2.22.</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33" w:name="page134"/>
    <w:bookmarkEnd w:id="133"/>
    <w:p>
      <w:pPr>
        <w:jc w:val="both"/>
        <w:ind w:left="-20" w:firstLine="1304"/>
        <w:spacing w:after="0" w:line="287" w:lineRule="auto"/>
        <w:tabs>
          <w:tab w:leader="none" w:pos="202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No consent of any Lender, Issuing Bank or the Administrative Agent, the Collateral Agent shall be required to effectuate any Extension, other than the consent of each Lender agreeing to such Extension with respect to one or more of its Loans of any Class, Revolving Commitments or any Class and/or Other Refinancing Loans (or a portion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the Issuing Banks and the Swingline Lender shall be required to effect an Extension of Revolving Commitments. All Extended Loans and all obligations in respect thereof shall be Secured Obligations under this Agreement and the other Loan Documents that are secured by all or a portion of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lien basis with all other applicable Obligations under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Extended Loans rank junior in right of security with any other Obligations, such Extended Loans will be subject to the terms of a First-Second Lien Intercreditor Agreement. The Lenders hereby irrevocably authorize the Administrative Agent to enter into amendments to this Agreement and the other Loan Documents with the Borrowers as may be necessary in order to establish new Tranches or sub-tranches in respect of Term Loans or Revolving Commitments so extended and such other amendments as may be necessary or appropriate in the reasonable opinion of the Administrative Agent and the Applicable Borrower in connection with the establishment of such new Tranches or subtranches, in each case on terms consistent with this Section 2.22 (each an “</w:t>
      </w:r>
      <w:r>
        <w:rPr>
          <w:rFonts w:ascii="Arial" w:cs="Arial" w:eastAsia="Arial" w:hAnsi="Arial"/>
          <w:sz w:val="16"/>
          <w:szCs w:val="16"/>
          <w:u w:val="single" w:color="auto"/>
          <w:color w:val="auto"/>
        </w:rPr>
        <w:t>Extension Amendment</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left="-20" w:firstLine="1304"/>
        <w:spacing w:after="0" w:line="311" w:lineRule="auto"/>
        <w:tabs>
          <w:tab w:leader="none" w:pos="20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connection with any Extension, the Applicable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Section 2.22.</w:t>
      </w:r>
    </w:p>
    <w:p>
      <w:pPr>
        <w:spacing w:after="0" w:line="148" w:lineRule="exact"/>
        <w:rPr>
          <w:rFonts w:ascii="Arial" w:cs="Arial" w:eastAsia="Arial" w:hAnsi="Arial"/>
          <w:sz w:val="16"/>
          <w:szCs w:val="16"/>
          <w:color w:val="auto"/>
        </w:rPr>
      </w:pPr>
    </w:p>
    <w:p>
      <w:pPr>
        <w:ind w:left="1940" w:hanging="656"/>
        <w:spacing w:after="0"/>
        <w:tabs>
          <w:tab w:leader="none" w:pos="19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no Lender shall be required to accept an Extension Offer.</w:t>
      </w:r>
    </w:p>
    <w:p>
      <w:pPr>
        <w:spacing w:after="0" w:line="22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2.23</w:t>
      </w:r>
      <w:r>
        <w:rPr>
          <w:sz w:val="20"/>
          <w:szCs w:val="20"/>
          <w:color w:val="auto"/>
        </w:rPr>
        <w:tab/>
      </w:r>
      <w:r>
        <w:rPr>
          <w:rFonts w:ascii="Arial" w:cs="Arial" w:eastAsia="Arial" w:hAnsi="Arial"/>
          <w:sz w:val="15"/>
          <w:szCs w:val="15"/>
          <w:u w:val="single" w:color="auto"/>
          <w:color w:val="auto"/>
        </w:rPr>
        <w:t>Loan Repurchases.</w:t>
      </w:r>
    </w:p>
    <w:p>
      <w:pPr>
        <w:spacing w:after="0" w:line="225" w:lineRule="exact"/>
        <w:rPr>
          <w:sz w:val="20"/>
          <w:szCs w:val="20"/>
          <w:color w:val="auto"/>
        </w:rPr>
      </w:pPr>
    </w:p>
    <w:p>
      <w:pPr>
        <w:jc w:val="both"/>
        <w:ind w:left="-20" w:firstLine="1304"/>
        <w:spacing w:after="0" w:line="279" w:lineRule="auto"/>
        <w:tabs>
          <w:tab w:leader="none" w:pos="203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Subject to the terms and conditions set forth or referred to below, a Purchasing Borrower Party may from time to time, at its discretion, conduct modified Dutch auctions in order to purchase its Term Loans of one or more Classes (as determined by the Purchasing Borrower Party) (each, a “</w:t>
      </w:r>
      <w:r>
        <w:rPr>
          <w:rFonts w:ascii="Arial" w:cs="Arial" w:eastAsia="Arial" w:hAnsi="Arial"/>
          <w:sz w:val="17"/>
          <w:szCs w:val="17"/>
          <w:u w:val="single" w:color="auto"/>
          <w:color w:val="auto"/>
        </w:rPr>
        <w:t>Purchase Offer</w:t>
      </w:r>
      <w:r>
        <w:rPr>
          <w:rFonts w:ascii="Arial" w:cs="Arial" w:eastAsia="Arial" w:hAnsi="Arial"/>
          <w:sz w:val="17"/>
          <w:szCs w:val="17"/>
          <w:color w:val="auto"/>
        </w:rPr>
        <w:t>”), each such Purchase Offer to be managed exclusively by the Administrative Agent (or such other financial institution chosen by the Purchasing Borrower Party) (in such capacity, the “</w:t>
      </w:r>
      <w:r>
        <w:rPr>
          <w:rFonts w:ascii="Arial" w:cs="Arial" w:eastAsia="Arial" w:hAnsi="Arial"/>
          <w:sz w:val="17"/>
          <w:szCs w:val="17"/>
          <w:u w:val="single" w:color="auto"/>
          <w:color w:val="auto"/>
        </w:rPr>
        <w:t>Auction Manager</w:t>
      </w:r>
      <w:r>
        <w:rPr>
          <w:rFonts w:ascii="Arial" w:cs="Arial" w:eastAsia="Arial" w:hAnsi="Arial"/>
          <w:sz w:val="17"/>
          <w:szCs w:val="17"/>
          <w:color w:val="auto"/>
        </w:rPr>
        <w:t>”), so long as the following conditions are satisfied:</w:t>
      </w:r>
    </w:p>
    <w:p>
      <w:pPr>
        <w:spacing w:after="0" w:line="171" w:lineRule="exact"/>
        <w:rPr>
          <w:rFonts w:ascii="Arial" w:cs="Arial" w:eastAsia="Arial" w:hAnsi="Arial"/>
          <w:sz w:val="17"/>
          <w:szCs w:val="17"/>
          <w:color w:val="auto"/>
        </w:rPr>
      </w:pPr>
    </w:p>
    <w:p>
      <w:pPr>
        <w:ind w:left="640" w:firstLine="1292"/>
        <w:spacing w:after="0" w:line="277" w:lineRule="auto"/>
        <w:tabs>
          <w:tab w:leader="none" w:pos="277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each Purchase Offer shall be conducted in accordance with the procedures, terms and conditions set forth in this Section 2.23 and the Auction Procedures;</w:t>
      </w:r>
    </w:p>
    <w:p>
      <w:pPr>
        <w:spacing w:after="0" w:line="170" w:lineRule="exact"/>
        <w:rPr>
          <w:rFonts w:ascii="Arial" w:cs="Arial" w:eastAsia="Arial" w:hAnsi="Arial"/>
          <w:sz w:val="18"/>
          <w:szCs w:val="18"/>
          <w:color w:val="auto"/>
        </w:rPr>
      </w:pPr>
    </w:p>
    <w:p>
      <w:pPr>
        <w:ind w:left="640" w:firstLine="1292"/>
        <w:spacing w:after="0" w:line="308" w:lineRule="auto"/>
        <w:tabs>
          <w:tab w:leader="none" w:pos="256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on the date of the delivery of each notice of an auction and at the time of (and immediately after giving effect to) the purchase of any Term Loans in connection with any Purchase Offer);</w:t>
      </w:r>
    </w:p>
    <w:p>
      <w:pPr>
        <w:spacing w:after="0" w:line="146" w:lineRule="exact"/>
        <w:rPr>
          <w:rFonts w:ascii="Arial" w:cs="Arial" w:eastAsia="Arial" w:hAnsi="Arial"/>
          <w:sz w:val="17"/>
          <w:szCs w:val="17"/>
          <w:color w:val="auto"/>
        </w:rPr>
      </w:pPr>
    </w:p>
    <w:p>
      <w:pPr>
        <w:jc w:val="both"/>
        <w:ind w:left="640" w:firstLine="1292"/>
        <w:spacing w:after="0" w:line="263" w:lineRule="auto"/>
        <w:tabs>
          <w:tab w:leader="none" w:pos="259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principal amount (calculated on the face amount thereof) of each and all Classes of Term Loans that the Purchasing Borrower Party offers to purchase in any such Purchase Offer shall be no less than U.S. $10,000,000 (unless another amount is agreed to by the Administrative Agent) (across all such Classes);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34" w:name="page135"/>
    <w:bookmarkEnd w:id="134"/>
    <w:p>
      <w:pPr>
        <w:ind w:left="2560" w:hanging="628"/>
        <w:spacing w:after="0"/>
        <w:tabs>
          <w:tab w:leader="none" w:pos="25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40" w:firstLine="1292"/>
        <w:spacing w:after="0" w:line="259" w:lineRule="auto"/>
        <w:tabs>
          <w:tab w:leader="none" w:pos="267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aggregate principal amount (calculated on the face amount thereof) of all Term Loans of the applicable Class or Classes so purchased by the Purchasing Borrower Party shall automatically be cancelled and retired by the Purchasing Borrower Party on the settlement date of the relevant purchase (and may not be resold), and in no event shall the Purchasing Borrower Party be entitled to any vote hereunder in connection with such Term Loans;</w:t>
      </w:r>
    </w:p>
    <w:p>
      <w:pPr>
        <w:spacing w:after="0" w:line="186" w:lineRule="exact"/>
        <w:rPr>
          <w:rFonts w:ascii="Arial" w:cs="Arial" w:eastAsia="Arial" w:hAnsi="Arial"/>
          <w:sz w:val="18"/>
          <w:szCs w:val="18"/>
          <w:color w:val="auto"/>
        </w:rPr>
      </w:pPr>
    </w:p>
    <w:p>
      <w:pPr>
        <w:ind w:left="2560" w:hanging="628"/>
        <w:spacing w:after="0"/>
        <w:tabs>
          <w:tab w:leader="none" w:pos="25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 more than one Purchase Offer with respect to any Class may be ongoing at any one time;</w:t>
      </w:r>
    </w:p>
    <w:p>
      <w:pPr>
        <w:spacing w:after="0" w:line="225" w:lineRule="exact"/>
        <w:rPr>
          <w:rFonts w:ascii="Arial" w:cs="Arial" w:eastAsia="Arial" w:hAnsi="Arial"/>
          <w:sz w:val="18"/>
          <w:szCs w:val="18"/>
          <w:color w:val="auto"/>
        </w:rPr>
      </w:pPr>
    </w:p>
    <w:p>
      <w:pPr>
        <w:ind w:left="2560" w:hanging="628"/>
        <w:spacing w:after="0"/>
        <w:tabs>
          <w:tab w:leader="none" w:pos="256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any Purchase Offer with respect to any Class shall be offered to all Term Lenders holding Term Loans of such Class on</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 pro rata basis; and</w:t>
      </w:r>
    </w:p>
    <w:p>
      <w:pPr>
        <w:spacing w:after="0" w:line="210" w:lineRule="exact"/>
        <w:rPr>
          <w:rFonts w:ascii="Arial" w:cs="Arial" w:eastAsia="Arial" w:hAnsi="Arial"/>
          <w:sz w:val="16"/>
          <w:szCs w:val="16"/>
          <w:color w:val="auto"/>
        </w:rPr>
      </w:pPr>
    </w:p>
    <w:p>
      <w:pPr>
        <w:ind w:left="2560" w:hanging="628"/>
        <w:spacing w:after="0"/>
        <w:tabs>
          <w:tab w:leader="none" w:pos="25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 purchase of any Term Loans shall be made from the proceeds of any Revolving Loan or Swingline Loan.</w:t>
      </w:r>
    </w:p>
    <w:p>
      <w:pPr>
        <w:spacing w:after="0" w:line="225" w:lineRule="exact"/>
        <w:rPr>
          <w:rFonts w:ascii="Arial" w:cs="Arial" w:eastAsia="Arial" w:hAnsi="Arial"/>
          <w:sz w:val="18"/>
          <w:szCs w:val="18"/>
          <w:color w:val="auto"/>
        </w:rPr>
      </w:pPr>
    </w:p>
    <w:p>
      <w:pPr>
        <w:jc w:val="both"/>
        <w:ind w:left="-20" w:firstLine="1304"/>
        <w:spacing w:after="0" w:line="268" w:lineRule="auto"/>
        <w:tabs>
          <w:tab w:leader="none" w:pos="201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Purchasing Borrower Party must terminate any Purchase Offer if it fails to satisfy one or more of the conditions set forth above which are required to be met at the time which otherwise would have been the time of purchase of Term Loans pursuant to such Purchase Offer. If the Purchasing Borrower Party commences any Purchase Offer (and all relevant requirements set forth above which are required to be satisfied at the time of the commencement of such Purchase Offer have in fact been satisfied), and if at such time of commencement the Purchasing Borrower Party reasonably believes that all required conditions set forth above which are required to be satisfied at the time of the consummation of such Purchase Offer shall be satisfied, then the Purchasing Borrower Party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the Purchasing Borrower Party pursuant to this Section 2.23, (x) the Purchasing Borrower Party shall pay on the settlement date of each such purchase all accrued and unpaid interest (except to the extent otherwise set forth in the relevant offering documents), if any, on the purchased Term Loans of the applicable Class or Classes up to the settlement date of such purchase, (y) such purchases (and the payments made by the Purchasing Borrower Party and the cancellation of the purchased Loans, in each case in connection therewith) shall not constitute voluntary or mandatory payments or prepayments for purposes of Section 2.11 hereof and (z) such purchases of Initial Term Loans shall be made on a pro rata basis between the two Tranches of Initial Term Loans.</w:t>
      </w:r>
    </w:p>
    <w:p>
      <w:pPr>
        <w:spacing w:after="0" w:line="184" w:lineRule="exact"/>
        <w:rPr>
          <w:rFonts w:ascii="Arial" w:cs="Arial" w:eastAsia="Arial" w:hAnsi="Arial"/>
          <w:sz w:val="17"/>
          <w:szCs w:val="17"/>
          <w:color w:val="auto"/>
        </w:rPr>
      </w:pPr>
    </w:p>
    <w:p>
      <w:pPr>
        <w:jc w:val="both"/>
        <w:ind w:left="-20" w:firstLine="1304"/>
        <w:spacing w:after="0" w:line="254" w:lineRule="auto"/>
        <w:tabs>
          <w:tab w:leader="none" w:pos="19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Lenders hereby consent to the Purchase Offers and the other transactions effected pursuant to and in accordance with the terms of this Section 2.23;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contained herein, no Lender shall have an obligation to participate in any such Purchase Offer. For the avoidance of doubt, it is understood and agreed that the provisions of Sections 2.11, 2.12, 2.16, 2.18 and 9.04 will not apply to the purchases of Term Loans pursuant to Purchase Offers made pursuant to and in accordance with the provisions of this Section 2.23. The Auction Manager acting in its capacity as such hereunder shall be entitled to the benefits of the provisions of Article VIII and Section 9.03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35" w:name="page136"/>
    <w:bookmarkEnd w:id="135"/>
    <w:p>
      <w:pPr>
        <w:ind w:left="1960" w:hanging="656"/>
        <w:spacing w:after="0"/>
        <w:tabs>
          <w:tab w:leader="none" w:pos="1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Section 2.23 shall supersede any provisions in Section 2.18 or 9.02 to the contrary.</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 2.24</w:t>
      </w:r>
      <w:r>
        <w:rPr>
          <w:rFonts w:ascii="Arial" w:cs="Arial" w:eastAsia="Arial" w:hAnsi="Arial"/>
          <w:sz w:val="16"/>
          <w:szCs w:val="16"/>
          <w:u w:val="single" w:color="auto"/>
          <w:color w:val="auto"/>
        </w:rPr>
        <w:t>Refinancing Amendment.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At any time after the Closing Date, the Applicable Borrower may obtain, from any Lender or any Refinancing Lender, Credit Agreement Refinancing Indebtedness in respect of all or any portion of the Loans or Commitments of the Applicable Borrower then outstanding under this Agreement, in the form of Other Refinancing Loans or Other Refinancing Commitments in each case pursuant to a Refinancing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Credit Agreement Refinancing Indebtedness (i) will rank pari passu or, other than in the case of Other Refinancing Revolving Commitments and Other Refinancing Revolving Loans, junior in right of payment and of security with the other Loans and Commitments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Credit Agreement Refinancing Indebtedness ranks junior in right of security with any other Loans or Commitments hereunder, such Credit Agreement Refinancing Indebtedness will be subject to the terms of a First-Second Lien Intercreditor Agreement, (ii) will have such maturity dates, pricing, interest rate margins, rate floors, discounts, premiums and optional prepayment or redemption terms as may be agreed by the Applicable Borrower and the Lenders thereof; and (iii) will otherwise comply with the proviso to the definition of “Credit Agreement Refinancing Indebtedness”;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Person that provides any Credit Agreement Refinancing Indebtedness in the form of Other Refinancing Revolving Loans or Other Refinancing Revolving Commitments to an Additional Borrower that is organized in Ireland shall comply with the requirements of Section 2.17, including the provision of an Irish Qualifying Lender Confirmation substantially in the form of Exhibit H (pursuant to which such Person shall acknowledge that if it is not an Irish Qualifying Lender it will not be grossed up for any Irish withholding Tax applicable under relevant law as of the date such Person provides such Credit Agreement Refinancing Indebtedness). Any Other Refinancing Loans or Other Refinancing Commitments, as applicable, may participate on a pro rata basis or on a less than pro rata basis (but not on a greater than pro rata basis) in any mandatory prepayments hereunder, as specified in the applicable Refinancing Amendment. The effectiveness of any Refinancing Amendment shall be subject to the satisfaction on the date thereof of each of the conditions set forth in Section 4.02 and, if reasonably requested by the Administrative Agent at its option, receipt by the Administrative Agent of legal opinions, board resolutions, officers’ certificates and/or reaffirmation agreements generally consistent with those delivered on the Closing Date pursuant to Sections 4.01(b), (e) and (g) (other than changes to such legal opinions resulting from a change in law, change in fact or change to counsel’s form of opinion reasonably satisfactory to the Administrative Agent). Each Tranche of Credit Agreement Refinancing Indebtedness pursuant to this Section 2.24 shall be in an aggregate principal amount that is not less than $5,000,000 (unless such Credit Agreement Refinancing Indebtedness is incurred to refinance all outstanding Loans with respect to a Tranche). The Administrative Agent shall promptly notify each Lender and the Collateral Agent as to the effectiveness of each Refinancing Amendment. Each of the parties hereto hereby agrees that, upon the effectiveness of any Refinancing Amendment, this Agreement shall be deemed amended and restated or amended to the extent (but only to the extent) necessary to reflect the existence and terms of the Credit Agreement Refinancing Indebtedness incurred pursuant thereto (including any amendments necessary to treat the Loans and Commitments subject thereto as Other Refinancing Term Loans and/or Other Refinancing Term Commitments). Any Refinancing Amendment may, without the consent of any other Lenders or any Agents (unless it directly adversely amends or modifies the rights or duties of any Agent), effect such amendments to this Agreement and the other Loan Documents as may be necessary or appropriate, in the reasonable opinion of the Administrative Agent and the Applicable Borrower, to effect the provisions of this Section 2.24 (including without limitation, the addition of customary Defaulting Lender provisions with respect to any Lenders providing Other Refinancing Revolving Loans and Other Refinancing Revolving Commitments). This Section 2.24 shall supersede any provisions in Section 2.18 or 9.02 to the contrary.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6" w:name="page137"/>
    <w:bookmarkEnd w:id="136"/>
    <w:p>
      <w:pPr>
        <w:ind w:left="660"/>
        <w:spacing w:after="0"/>
        <w:tabs>
          <w:tab w:leader="none" w:pos="1940" w:val="left"/>
        </w:tabs>
        <w:rPr>
          <w:sz w:val="20"/>
          <w:szCs w:val="20"/>
          <w:color w:val="auto"/>
        </w:rPr>
      </w:pPr>
      <w:r>
        <w:rPr>
          <w:rFonts w:ascii="Arial" w:cs="Arial" w:eastAsia="Arial" w:hAnsi="Arial"/>
          <w:sz w:val="18"/>
          <w:szCs w:val="18"/>
          <w:color w:val="auto"/>
        </w:rPr>
        <w:t>Section 2.25</w:t>
      </w:r>
      <w:r>
        <w:rPr>
          <w:sz w:val="20"/>
          <w:szCs w:val="20"/>
          <w:color w:val="auto"/>
        </w:rPr>
        <w:tab/>
      </w:r>
      <w:r>
        <w:rPr>
          <w:rFonts w:ascii="Arial" w:cs="Arial" w:eastAsia="Arial" w:hAnsi="Arial"/>
          <w:sz w:val="17"/>
          <w:szCs w:val="17"/>
          <w:u w:val="single" w:color="auto"/>
          <w:color w:val="auto"/>
        </w:rPr>
        <w:t>Illegality.</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applicable lending office to make, maintain or fund Loans whose interest is determined by reference to the Eurocurrency Rate or Daily Simple RFR with respect to any Agreed Currency, or to determine or charge interest rates based upon the Eurocurrency Rate or Daily Simple RFR with respect to any Agreed Currency, or any Governmental Authority has imposed material restrictions on the authority of such Lender to purchase or sell, or to take deposits of, any Agreed Currency in the London interbank market, then, on notice thereof by such Lender to the Applicable Borrower through the Administrative Agent,</w:t>
      </w:r>
    </w:p>
    <w:p>
      <w:pPr>
        <w:spacing w:after="0" w:line="2" w:lineRule="exact"/>
        <w:rPr>
          <w:sz w:val="20"/>
          <w:szCs w:val="20"/>
          <w:color w:val="auto"/>
        </w:rPr>
      </w:pPr>
    </w:p>
    <w:p>
      <w:pPr>
        <w:jc w:val="both"/>
        <w:ind w:firstLine="8"/>
        <w:spacing w:after="0" w:line="284" w:lineRule="auto"/>
        <w:tabs>
          <w:tab w:leader="none" w:pos="25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obligation of such Lender to make or continue Eurocurrency Loans or RFR Loans in such Agreed Currency or to convert ABR Loans to Eurocurrency Loans or RFR Loans in such Agreed Currency shall be suspended and (ii) if such notice asserts the illegality of such Lender making or maintaining ABR Loans the interest rate on which is determined by reference to the Eurocurrency Rate component of the Alternate Base Rate, the interest rate on which ABR Loans of such Lender shall, if necessary to avoid such illegality, be determined by the Administrative Agent without reference to the Eurocurrency Rate component of the Alternate Base Rate. Upon receipt of such notice, (x) the Applicable Borrower shall, upon demand from such Lender (with a copy to the Administrative Agent), prepay or, if applicable, convert all Eurocurrency Loans or RFR Loans in such Agreed Currency of such Lender to ABR Loans (the interest rate on which ABR Loans of such Lender shall, if necessary to avoid such illegality, be determined by the Administrative Agent without reference to the Eurocurrency Rate component of the Alternate Base Rate), either on the last day of the Interest Period therefor, if such Lender may lawfully continue to maintain such Eurocurrency Loans or RFR Loans to such day, or immediately, if such Lender may not lawfully continue to maintain such Eurocurrency Loans or RFR Loans and (y) if such notice asserts the illegality of such Lender determining or charging interest rates based upon the Eurocurrency Rate, the Administrative Agent shall during the period of such suspension compute the Alternate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Applicable Borrower shall also pay accrued interest on the amount so prepaid or converted.</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2.26</w:t>
      </w:r>
      <w:r>
        <w:rPr>
          <w:sz w:val="20"/>
          <w:szCs w:val="20"/>
          <w:color w:val="auto"/>
        </w:rPr>
        <w:tab/>
      </w:r>
      <w:r>
        <w:rPr>
          <w:rFonts w:ascii="Arial" w:cs="Arial" w:eastAsia="Arial" w:hAnsi="Arial"/>
          <w:sz w:val="16"/>
          <w:szCs w:val="16"/>
          <w:u w:val="single" w:color="auto"/>
          <w:color w:val="auto"/>
        </w:rPr>
        <w:t>Defaulting Lenders.</w:t>
      </w:r>
    </w:p>
    <w:p>
      <w:pPr>
        <w:spacing w:after="0" w:line="225" w:lineRule="exact"/>
        <w:rPr>
          <w:sz w:val="20"/>
          <w:szCs w:val="20"/>
          <w:color w:val="auto"/>
        </w:rPr>
      </w:pPr>
    </w:p>
    <w:p>
      <w:pPr>
        <w:ind w:right="20" w:firstLine="1304"/>
        <w:spacing w:after="0" w:line="277" w:lineRule="auto"/>
        <w:tabs>
          <w:tab w:leader="none" w:pos="201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Arial" w:cs="Arial" w:eastAsia="Arial" w:hAnsi="Arial"/>
          <w:sz w:val="18"/>
          <w:szCs w:val="18"/>
          <w:color w:val="auto"/>
        </w:rPr>
      </w:pPr>
    </w:p>
    <w:p>
      <w:pPr>
        <w:ind w:left="660" w:firstLine="1292"/>
        <w:spacing w:after="0" w:line="277" w:lineRule="auto"/>
        <w:tabs>
          <w:tab w:leader="none" w:pos="282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such Defaulting Lender’s right to approve or disapprove any amendment, waiver or consent with respect to this Agreement shall be restricted as set forth in the definition of “Required Lenders”.</w:t>
      </w:r>
    </w:p>
    <w:p>
      <w:pPr>
        <w:spacing w:after="0" w:line="170" w:lineRule="exact"/>
        <w:rPr>
          <w:rFonts w:ascii="Arial" w:cs="Arial" w:eastAsia="Arial" w:hAnsi="Arial"/>
          <w:sz w:val="18"/>
          <w:szCs w:val="18"/>
          <w:color w:val="auto"/>
        </w:rPr>
      </w:pPr>
    </w:p>
    <w:p>
      <w:pPr>
        <w:ind w:firstLine="1304"/>
        <w:spacing w:after="0" w:line="277" w:lineRule="auto"/>
        <w:tabs>
          <w:tab w:leader="none" w:pos="202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if any Revolving Lender becomes a Defaulting Lender, then the following provisions shall apply for so long as such Revolving Lender is a Defaulting Lender:</w:t>
      </w:r>
    </w:p>
    <w:p>
      <w:pPr>
        <w:spacing w:after="0" w:line="170" w:lineRule="exact"/>
        <w:rPr>
          <w:rFonts w:ascii="Arial" w:cs="Arial" w:eastAsia="Arial" w:hAnsi="Arial"/>
          <w:sz w:val="18"/>
          <w:szCs w:val="18"/>
          <w:color w:val="auto"/>
        </w:rPr>
      </w:pPr>
    </w:p>
    <w:p>
      <w:pPr>
        <w:ind w:left="2580" w:hanging="628"/>
        <w:spacing w:after="0"/>
        <w:tabs>
          <w:tab w:leader="none" w:pos="258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fees shall cease to accrue on the unfunded portion of the Revolving Commitment of such Defaulting Lender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2.12(a);</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7" w:name="page138"/>
    <w:bookmarkEnd w:id="137"/>
    <w:p>
      <w:pPr>
        <w:jc w:val="both"/>
        <w:ind w:left="4" w:firstLine="1292"/>
        <w:spacing w:after="0" w:line="287" w:lineRule="auto"/>
        <w:tabs>
          <w:tab w:leader="none" w:pos="2265" w:val="left"/>
        </w:tabs>
        <w:numPr>
          <w:ilvl w:val="2"/>
          <w:numId w:val="137"/>
        </w:numPr>
        <w:rPr>
          <w:rFonts w:ascii="Arial" w:cs="Arial" w:eastAsia="Arial" w:hAnsi="Arial"/>
          <w:sz w:val="16"/>
          <w:szCs w:val="16"/>
          <w:color w:val="auto"/>
        </w:rPr>
      </w:pPr>
      <w:r>
        <w:rPr>
          <w:rFonts w:ascii="Arial" w:cs="Arial" w:eastAsia="Arial" w:hAnsi="Arial"/>
          <w:sz w:val="16"/>
          <w:szCs w:val="16"/>
          <w:color w:val="auto"/>
        </w:rPr>
        <w:t xml:space="preserve">the unused Commitment and Revolving Credit Exposure of such Defaulting Lender shall not be included in determining whether the Required Lenders or Required Revolving Lenders or Majority in Interest of Revolving Lenders have taken or may take any action hereunder (including any consent to any amendment, waiver or other modification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w:t>
      </w:r>
    </w:p>
    <w:p>
      <w:pPr>
        <w:spacing w:after="0" w:line="2" w:lineRule="exact"/>
        <w:rPr>
          <w:rFonts w:ascii="Arial" w:cs="Arial" w:eastAsia="Arial" w:hAnsi="Arial"/>
          <w:sz w:val="16"/>
          <w:szCs w:val="16"/>
          <w:color w:val="auto"/>
        </w:rPr>
      </w:pPr>
    </w:p>
    <w:p>
      <w:pPr>
        <w:ind w:left="4" w:hanging="4"/>
        <w:spacing w:after="0" w:line="260" w:lineRule="auto"/>
        <w:tabs>
          <w:tab w:leader="none" w:pos="28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shall not apply to the vote of a Defaulting Lender in the case of an amendment, waiver or other modification requiring the consent of such Lender or each Lender affected thereby under Section 9.02;</w:t>
      </w:r>
    </w:p>
    <w:p>
      <w:pPr>
        <w:spacing w:after="0" w:line="185" w:lineRule="exact"/>
        <w:rPr>
          <w:rFonts w:ascii="Arial" w:cs="Arial" w:eastAsia="Arial" w:hAnsi="Arial"/>
          <w:sz w:val="18"/>
          <w:szCs w:val="18"/>
          <w:color w:val="auto"/>
        </w:rPr>
      </w:pPr>
    </w:p>
    <w:p>
      <w:pPr>
        <w:ind w:left="2044" w:hanging="748"/>
        <w:spacing w:after="0"/>
        <w:tabs>
          <w:tab w:leader="none" w:pos="2044" w:val="left"/>
        </w:tabs>
        <w:numPr>
          <w:ilvl w:val="2"/>
          <w:numId w:val="138"/>
        </w:numPr>
        <w:rPr>
          <w:rFonts w:ascii="Arial" w:cs="Arial" w:eastAsia="Arial" w:hAnsi="Arial"/>
          <w:sz w:val="16"/>
          <w:szCs w:val="16"/>
          <w:color w:val="auto"/>
        </w:rPr>
      </w:pPr>
      <w:r>
        <w:rPr>
          <w:rFonts w:ascii="Arial" w:cs="Arial" w:eastAsia="Arial" w:hAnsi="Arial"/>
          <w:sz w:val="16"/>
          <w:szCs w:val="16"/>
          <w:color w:val="auto"/>
        </w:rPr>
        <w:t>if any Swingline Exposure or LC Exposure exists at the time such Revolving Lender becomes a Defaulting Lender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then:</w:t>
      </w:r>
    </w:p>
    <w:p>
      <w:pPr>
        <w:spacing w:after="0" w:line="210" w:lineRule="exact"/>
        <w:rPr>
          <w:rFonts w:ascii="Arial" w:cs="Arial" w:eastAsia="Arial" w:hAnsi="Arial"/>
          <w:sz w:val="16"/>
          <w:szCs w:val="16"/>
          <w:color w:val="auto"/>
        </w:rPr>
      </w:pPr>
    </w:p>
    <w:p>
      <w:pPr>
        <w:jc w:val="both"/>
        <w:ind w:left="644" w:firstLine="1300"/>
        <w:spacing w:after="0" w:line="269" w:lineRule="auto"/>
        <w:tabs>
          <w:tab w:leader="none" w:pos="2777" w:val="left"/>
        </w:tabs>
        <w:numPr>
          <w:ilvl w:val="3"/>
          <w:numId w:val="138"/>
        </w:numPr>
        <w:rPr>
          <w:rFonts w:ascii="Arial" w:cs="Arial" w:eastAsia="Arial" w:hAnsi="Arial"/>
          <w:sz w:val="17"/>
          <w:szCs w:val="17"/>
          <w:color w:val="auto"/>
        </w:rPr>
      </w:pPr>
      <w:r>
        <w:rPr>
          <w:rFonts w:ascii="Arial" w:cs="Arial" w:eastAsia="Arial" w:hAnsi="Arial"/>
          <w:sz w:val="17"/>
          <w:szCs w:val="17"/>
          <w:color w:val="auto"/>
        </w:rPr>
        <w:t xml:space="preserve">so long as no Default has occurred and is continuing: all or any part of the Swingline Exposure of such Defaulting Lender shall be reallocated among the non-Defaulting Lenders in accordance with their respective Revolving Percentages (after giving effect to the reallocation provisions of Sections 2.05(d) and 2.06(k)) but only to the extent (A) the sum of all non-Defaulting Lenders’ Revolving Credit Exposures </w:t>
      </w:r>
      <w:r>
        <w:rPr>
          <w:rFonts w:ascii="Arial" w:cs="Arial" w:eastAsia="Arial" w:hAnsi="Arial"/>
          <w:sz w:val="17"/>
          <w:szCs w:val="17"/>
          <w:i w:val="1"/>
          <w:iCs w:val="1"/>
          <w:color w:val="auto"/>
        </w:rPr>
        <w:t>plus</w:t>
      </w:r>
      <w:r>
        <w:rPr>
          <w:rFonts w:ascii="Arial" w:cs="Arial" w:eastAsia="Arial" w:hAnsi="Arial"/>
          <w:sz w:val="17"/>
          <w:szCs w:val="17"/>
          <w:color w:val="auto"/>
        </w:rPr>
        <w:t xml:space="preserve"> such Defaulting Lender’s Swingline Exposure does not exceed the total of all non-Defaulting Lenders’ Revolving Commitments and (B) each non-Defaulting Lender’s Revolving Credit Exposure in respect of any Class does not exceed such non-Defaulting Lender’s Revolving Commitment in respect of such Class; and all or any part of the LC Exposure of such Defaulting Lender shall be reallocated among the non-Defaulting Lenders in accordance with their respective Revolving Percentages (after giving effect to the reallocation provisions of Sections 2.05(d) and 2.06(k)) but only to the extent (C) the sum of all non-Defaulting Lenders’ Revolving Credit Exposures </w:t>
      </w:r>
      <w:r>
        <w:rPr>
          <w:rFonts w:ascii="Arial" w:cs="Arial" w:eastAsia="Arial" w:hAnsi="Arial"/>
          <w:sz w:val="17"/>
          <w:szCs w:val="17"/>
          <w:i w:val="1"/>
          <w:iCs w:val="1"/>
          <w:color w:val="auto"/>
        </w:rPr>
        <w:t>plus</w:t>
      </w:r>
      <w:r>
        <w:rPr>
          <w:rFonts w:ascii="Arial" w:cs="Arial" w:eastAsia="Arial" w:hAnsi="Arial"/>
          <w:sz w:val="17"/>
          <w:szCs w:val="17"/>
          <w:color w:val="auto"/>
        </w:rPr>
        <w:t xml:space="preserve"> such Defaulting Lender’s LC Exposure does not exceed the total of all non-Defaulting Lenders’ Revolving Commitments;</w:t>
      </w:r>
    </w:p>
    <w:p>
      <w:pPr>
        <w:spacing w:after="0" w:line="185" w:lineRule="exact"/>
        <w:rPr>
          <w:rFonts w:ascii="Arial" w:cs="Arial" w:eastAsia="Arial" w:hAnsi="Arial"/>
          <w:sz w:val="17"/>
          <w:szCs w:val="17"/>
          <w:color w:val="auto"/>
        </w:rPr>
      </w:pPr>
    </w:p>
    <w:p>
      <w:pPr>
        <w:jc w:val="both"/>
        <w:ind w:left="644" w:firstLine="1300"/>
        <w:spacing w:after="0" w:line="291" w:lineRule="auto"/>
        <w:tabs>
          <w:tab w:leader="none" w:pos="2718" w:val="left"/>
        </w:tabs>
        <w:numPr>
          <w:ilvl w:val="3"/>
          <w:numId w:val="138"/>
        </w:numPr>
        <w:rPr>
          <w:rFonts w:ascii="Arial" w:cs="Arial" w:eastAsia="Arial" w:hAnsi="Arial"/>
          <w:sz w:val="16"/>
          <w:szCs w:val="16"/>
          <w:color w:val="auto"/>
        </w:rPr>
      </w:pPr>
      <w:r>
        <w:rPr>
          <w:rFonts w:ascii="Arial" w:cs="Arial" w:eastAsia="Arial" w:hAnsi="Arial"/>
          <w:sz w:val="16"/>
          <w:szCs w:val="16"/>
          <w:color w:val="auto"/>
        </w:rPr>
        <w:t>if the reallocations described in clause (A) above cannot, or can only partially, be effected, the Applicable Borrower shall within one (1) Business Day following notice by the Administrative Agent (x) first, prepay such Swingline Exposure and</w:t>
      </w:r>
    </w:p>
    <w:p>
      <w:pPr>
        <w:jc w:val="both"/>
        <w:ind w:left="644" w:firstLine="4"/>
        <w:spacing w:after="0" w:line="255" w:lineRule="auto"/>
        <w:tabs>
          <w:tab w:leader="none" w:pos="89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second, Cash Collateralize for the benefit of the applicable Issuing Bank only the Applicable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9" w:lineRule="exact"/>
        <w:rPr>
          <w:rFonts w:ascii="Arial" w:cs="Arial" w:eastAsia="Arial" w:hAnsi="Arial"/>
          <w:sz w:val="18"/>
          <w:szCs w:val="18"/>
          <w:color w:val="auto"/>
        </w:rPr>
      </w:pPr>
    </w:p>
    <w:p>
      <w:pPr>
        <w:jc w:val="both"/>
        <w:ind w:left="644" w:firstLine="1300"/>
        <w:spacing w:after="0" w:line="259" w:lineRule="auto"/>
        <w:tabs>
          <w:tab w:leader="none" w:pos="2585" w:val="left"/>
        </w:tabs>
        <w:numPr>
          <w:ilvl w:val="3"/>
          <w:numId w:val="139"/>
        </w:numPr>
        <w:rPr>
          <w:rFonts w:ascii="Arial" w:cs="Arial" w:eastAsia="Arial" w:hAnsi="Arial"/>
          <w:sz w:val="18"/>
          <w:szCs w:val="18"/>
          <w:color w:val="auto"/>
        </w:rPr>
      </w:pPr>
      <w:r>
        <w:rPr>
          <w:rFonts w:ascii="Arial" w:cs="Arial" w:eastAsia="Arial" w:hAnsi="Arial"/>
          <w:sz w:val="18"/>
          <w:szCs w:val="18"/>
          <w:color w:val="auto"/>
        </w:rPr>
        <w:t>if the Applicable Borrower Cash Collateralizes any portion of such Defaulting Lender’s LC Exposure pursuant to clause (B) above, the Applicable Borrower shall not be required to pay any fees to such Defaulting Lender pursuant to Section 2.12(b) with respect to such Defaulting Lender’s LC Exposure during the period (and to the extent) such Defaulting Lender’s LC Exposure is Cash Collateralized;</w:t>
      </w:r>
    </w:p>
    <w:p>
      <w:pPr>
        <w:spacing w:after="0" w:line="186" w:lineRule="exact"/>
        <w:rPr>
          <w:rFonts w:ascii="Arial" w:cs="Arial" w:eastAsia="Arial" w:hAnsi="Arial"/>
          <w:sz w:val="18"/>
          <w:szCs w:val="18"/>
          <w:color w:val="auto"/>
        </w:rPr>
      </w:pPr>
    </w:p>
    <w:p>
      <w:pPr>
        <w:jc w:val="both"/>
        <w:ind w:left="644" w:firstLine="1300"/>
        <w:spacing w:after="0" w:line="286" w:lineRule="auto"/>
        <w:tabs>
          <w:tab w:leader="none" w:pos="2680" w:val="left"/>
        </w:tabs>
        <w:numPr>
          <w:ilvl w:val="3"/>
          <w:numId w:val="139"/>
        </w:numPr>
        <w:rPr>
          <w:rFonts w:ascii="Arial" w:cs="Arial" w:eastAsia="Arial" w:hAnsi="Arial"/>
          <w:sz w:val="17"/>
          <w:szCs w:val="17"/>
          <w:color w:val="auto"/>
        </w:rPr>
      </w:pPr>
      <w:r>
        <w:rPr>
          <w:rFonts w:ascii="Arial" w:cs="Arial" w:eastAsia="Arial" w:hAnsi="Arial"/>
          <w:sz w:val="17"/>
          <w:szCs w:val="17"/>
          <w:color w:val="auto"/>
        </w:rPr>
        <w:t>if the LC Exposure of the non-Defaulting Lenders is reallocated pursuant to clause (A) above, then the fees payable to the Lenders pursuant to Section 2.12(a) and Section 2.12(b) shall be adjusted in accordance with such non-Defaulting Lenders’ Applicable Percentages (after giving effect to the reallocation provisions of Sections 2.05(d) and 2.06(k)); and</w:t>
      </w:r>
    </w:p>
    <w:p>
      <w:pPr>
        <w:spacing w:after="0" w:line="165" w:lineRule="exact"/>
        <w:rPr>
          <w:rFonts w:ascii="Arial" w:cs="Arial" w:eastAsia="Arial" w:hAnsi="Arial"/>
          <w:sz w:val="17"/>
          <w:szCs w:val="17"/>
          <w:color w:val="auto"/>
        </w:rPr>
      </w:pPr>
    </w:p>
    <w:p>
      <w:pPr>
        <w:jc w:val="both"/>
        <w:ind w:left="644" w:firstLine="1300"/>
        <w:spacing w:after="0" w:line="301" w:lineRule="auto"/>
        <w:tabs>
          <w:tab w:leader="none" w:pos="2660" w:val="left"/>
        </w:tabs>
        <w:numPr>
          <w:ilvl w:val="3"/>
          <w:numId w:val="139"/>
        </w:numPr>
        <w:rPr>
          <w:rFonts w:ascii="Arial" w:cs="Arial" w:eastAsia="Arial" w:hAnsi="Arial"/>
          <w:sz w:val="16"/>
          <w:szCs w:val="16"/>
          <w:color w:val="auto"/>
        </w:rPr>
      </w:pPr>
      <w:r>
        <w:rPr>
          <w:rFonts w:ascii="Arial" w:cs="Arial" w:eastAsia="Arial" w:hAnsi="Arial"/>
          <w:sz w:val="16"/>
          <w:szCs w:val="16"/>
          <w:color w:val="auto"/>
        </w:rPr>
        <w:t>if all or any portion of such Defaulting Lender’s LC Exposure is neither reallocated nor Cash Collateralized pursuant to clause (A) or (B) above, then, without prejudice to any rights or remedies of the applicable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373"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4"/>
          </w:cols>
          <w:pgMar w:left="976" w:top="800" w:right="339" w:bottom="1440" w:gutter="0" w:footer="0" w:header="0"/>
        </w:sectPr>
      </w:pPr>
    </w:p>
    <w:bookmarkStart w:id="138" w:name="page139"/>
    <w:bookmarkEnd w:id="138"/>
    <w:p>
      <w:pPr>
        <w:jc w:val="both"/>
        <w:ind w:left="660" w:firstLine="1292"/>
        <w:spacing w:after="0" w:line="273" w:lineRule="auto"/>
        <w:tabs>
          <w:tab w:leader="none" w:pos="2612" w:val="left"/>
        </w:tabs>
        <w:numPr>
          <w:ilvl w:val="1"/>
          <w:numId w:val="140"/>
        </w:numPr>
        <w:rPr>
          <w:rFonts w:ascii="Arial" w:cs="Arial" w:eastAsia="Arial" w:hAnsi="Arial"/>
          <w:sz w:val="17"/>
          <w:szCs w:val="17"/>
          <w:color w:val="auto"/>
        </w:rPr>
      </w:pPr>
      <w:r>
        <w:rPr>
          <w:rFonts w:ascii="Arial" w:cs="Arial" w:eastAsia="Arial" w:hAnsi="Arial"/>
          <w:sz w:val="17"/>
          <w:szCs w:val="17"/>
          <w:color w:val="auto"/>
        </w:rPr>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Borrowers in accordance with Section 2.26(b)(iii), and participating interests in any such newly made Swingline Loan or any newly issued or increased Letter of Credit shall be allocated among non-Defaulting Lenders in a manner consistent with Section 2.26(b)(iii)(A) (and such Defaulting Lender shall not participate therein).</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194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Defaulting Lender Cure. If a Lender ceases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take such actions as the Administrative Agent may determine to be necessary to cause the applicable Loans to be held pro rata by the applicable Lenders in accordance with the applicable Commitments, whereupon such Lender will cease to be a Defaulting Lender, the Swingline Exposure and LC Exposure of the Lenders shall be readjusted to reflect the inclusion of such Lender’s Commitment and on such date such Lender shall purchase at par such of the Revolving Loans of any Class (other than Swingline Loans) of the other Lenders as the Administrative Agent shall determine may be necessary in order for such Lender to hold such Loans in accordance with its Applicable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order to induce the Administrative Agent, the Collateral Agent and the Lenders to enter into this Agreement on the Closing Date and to make each Loan or other extension of credit to be made hereunder on the Closing Date and on the date of each other Credit Event, each of the Loan Parties represents and warrants to the Administrative Agent, the Collateral Agent and Lenders that, (i) on the Closing Date (after giving effect to the Transactions), solely with respect to the Specified Representations, and (ii) on the date of each other Borrowing (other than as provided in Section 2.20), that each of the following statements are true and correct in all material respects: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9" w:name="page140"/>
    <w:bookmarkEnd w:id="139"/>
    <w:p>
      <w:pPr>
        <w:jc w:val="both"/>
        <w:ind w:firstLine="648"/>
        <w:spacing w:after="0" w:line="286"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 Subsidiaries.</w:t>
      </w:r>
      <w:r>
        <w:rPr>
          <w:rFonts w:ascii="Arial" w:cs="Arial" w:eastAsia="Arial" w:hAnsi="Arial"/>
          <w:sz w:val="16"/>
          <w:szCs w:val="16"/>
          <w:color w:val="auto"/>
        </w:rPr>
        <w:t xml:space="preserve"> Each of Holdings and its Material Subsidiaries is duly organized or incorporated, as the case may be, and validly existing and (to the extent the concept is applicable in such jurisdiction)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(to the extent the concept is applicable in such jurisdiction) is in good standing in, every jurisdiction where such qualification is required. Schedule 3.01 hereto identifies each Subsidiary (other than Subsidiaries in respect of which Holdings and its Subsidiaries own less than 50% of the Equity Interests thereof) as of the Closing Date, noting whether such Subsidiary is a Material Subsidiary, whether such Subsidiary is an Unrestricted Subsidiary, the jurisdiction of its incorporation or organization, as the case may be, the percentage of issued and outstanding shares of each class of its capital stock or other equity interests owned by Holdings and the other Subsidiaries and, if such percentage is not 100% (excluding directors’ qualifying shares as required by law), a description of each class issued and outstanding. All of the outstanding shares of capital stock and other equity interests of each Material Subsidiary are validly issued and outstanding and fully paid and non-assessable (as such term is determined under applicable law) and all such shares and other equity interests owned by Holdings or another Material Subsidiary are owned, beneficially and of record, by Holdings or such Material Subsidiary free and clear of all Liens, other than Liens created under the Loan Documents and Liens permitted by Section 6.02. As of the Closing Date (and except pursuant to the Acquisition Agreement), there are no outstanding commitments or other obligations of any Material Subsidiary to issue, and no options, warrants or other rights of any Person to acquire, any shares of any class of capital stock or other equity interests of any Material Subsidiary.</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subject to the Legal Reservations, within each Loan Party’s corporate or other organizational powers and have been (or, except with respect to the Loan Documents executed by one or more Loan Parties on the Closing Date, will on or prior to the Closing Date be) duly authorized by all necessary corporate or other organizational actions and, if required, actions by shareholders, members or equity holders. The Loan Documents to which each Loan Party is a party have been duly executed and delivered by such Loan Party and, subject to the Legal Reservations, constitute a legal, valid and binding obligation of such Loan Party and, subject to the Legal Reservations and the Perfection Requirements, enforceable in accordance with its terms, subject to (i) applicable bankruptcy, insolvency, reorganization, moratorium or other laws affecting creditors’ rights generally and subject to general principles of equity, regardless of whether considered in a proceeding in equity or at law, and (ii) the effect of foreign laws, rules and regulations as they relate to pledges of Equity Interests in or Indebtedness owed by Foreign Subsidiaries (other than with respect to those pledges and security interests made under the laws of the jurisdiction of formation of the applicable Foreign Subsidiary).</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Governmental Approvals; No Conflicts</w:t>
      </w:r>
      <w:r>
        <w:rPr>
          <w:rFonts w:ascii="Arial" w:cs="Arial" w:eastAsia="Arial" w:hAnsi="Arial"/>
          <w:sz w:val="17"/>
          <w:szCs w:val="17"/>
          <w:color w:val="auto"/>
        </w:rPr>
        <w:t>. The Transactions (a) do not require any consent or approval of, registration or filing with, or any other action by, any Governmental Authority, except such as have been obtained or made and are in full force and effect and except for (x) filings, notifications or registrations necessary to perfect Liens created pursuant to the Loan Documents and (y) consents, approvals, registrations, filings or other actions that will be obtained or made in connection with the Acquisition on or prior to the Closing Date, (b) will not violate any applicable law or regulation (except such non-compliance that, individually or in the aggregate, could not reasonably be expected to result in a Material Adverse Effect) or the charter, by-laws or other Organizational Documents of Holdings or any of its Material Subsidiaries or any order of any Governmental Authority, (c) will not violate in any material respect or result in a default under any indenture, any material agreement or other material instrument (except such non-compliance that, individually or in the aggregate, could not reasonably be expected to result in a Material Adverse Effect) binding upon Holdings or any of its Material Subsidiaries or its assets, or give rise to a right thereunder to require any payment to be made by Holdings or any of its Material Subsidiaries (other than the Indebtedness set forth on Schedule 3.03), and (d) will not result in the creation or imposition of any Lien on any asset of Holdings or any of its Material Subsidiaries, other than Liens created under the Loan Documents.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0" w:name="page141"/>
    <w:bookmarkEnd w:id="140"/>
    <w:p>
      <w:pPr>
        <w:ind w:left="640"/>
        <w:spacing w:after="0"/>
        <w:tabs>
          <w:tab w:leader="none" w:pos="19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54" w:lineRule="auto"/>
        <w:tabs>
          <w:tab w:leader="none" w:pos="215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Holdings has heretofore furnished to the Lenders (i) the audited condensed consolidated balance sheet and statements of operations, changes in stockholders’ equity (deficit) and cash flows as of and for the fiscal years ended December 31, 2018, December 31, 2019 and December 31, 2020 for Target and its subsidiaries, and (ii) the audited consolidated balance sheet and statements of comprehensive loss, stockholders’ equity (loss) and cash flows as of and for the fiscal years ended December 31, 2018, December 31, 2019 and December 31, 2020 for the Group. Such financial statements present fairly, in all material respects, the financial position and results of operations and cash flows of Target and its subsidiaries and the financial position and results of operations and cash flows of the Group, as the case may be, as of such dates and for such periods in accordance with GAAP.</w:t>
      </w:r>
    </w:p>
    <w:p>
      <w:pPr>
        <w:spacing w:after="0" w:line="194" w:lineRule="exact"/>
        <w:rPr>
          <w:rFonts w:ascii="Arial" w:cs="Arial" w:eastAsia="Arial" w:hAnsi="Arial"/>
          <w:sz w:val="18"/>
          <w:szCs w:val="18"/>
          <w:color w:val="auto"/>
        </w:rPr>
      </w:pPr>
    </w:p>
    <w:p>
      <w:pPr>
        <w:ind w:left="-20" w:firstLine="1304"/>
        <w:spacing w:after="0" w:line="277" w:lineRule="auto"/>
        <w:tabs>
          <w:tab w:leader="none" w:pos="210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Since December 31, 2020, there has been no material adverse change in the business, operations or condition, financial or otherwise, of the Group, taken as a whole.</w:t>
      </w:r>
    </w:p>
    <w:p>
      <w:pPr>
        <w:spacing w:after="0" w:line="170"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311" w:lineRule="auto"/>
        <w:tabs>
          <w:tab w:leader="none" w:pos="197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Each of Holdings and its Material Subsidiaries has good title to, or (to the knowledge of Holdings) valid leasehold interests in, all its real and personal property (excluding intellectual property, which is considered in Section 3.05(b)) material to its business, except for minor defects in title that do not interfere with its ability to conduct its business as currently conducted or to utilize such properties for their intended purposes.</w:t>
      </w:r>
    </w:p>
    <w:p>
      <w:pPr>
        <w:spacing w:after="0" w:line="148" w:lineRule="exact"/>
        <w:rPr>
          <w:rFonts w:ascii="Arial" w:cs="Arial" w:eastAsia="Arial" w:hAnsi="Arial"/>
          <w:sz w:val="16"/>
          <w:szCs w:val="16"/>
          <w:color w:val="auto"/>
        </w:rPr>
      </w:pPr>
    </w:p>
    <w:p>
      <w:pPr>
        <w:jc w:val="both"/>
        <w:ind w:left="-20" w:firstLine="1304"/>
        <w:spacing w:after="0" w:line="268" w:lineRule="auto"/>
        <w:tabs>
          <w:tab w:leader="none" w:pos="209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Each of Holdings and its Subsidiaries owns without restriction, free and clear of all Liens other than Permitted Liens, or is licensed to use, all trademarks, trade names, copyrights, patents and other intellectual property used in or necessary to the business of Holdings and its Subsidiaries, except as could not, individually or in the aggregate, reasonably be expected to have a Material Adverse Effect. All such intellectual property is, to the knowledge of Holdings, valid and enforceable and all registrations and applications for such intellectual property are, to the knowledge of Holdings (to the extent such intellectual property is licensed from third parties), subsisting and have not expired or been abandoned except as could not, individually or in the aggregate, reasonably be expected to have a Material Adverse Effect. Except as set forth in Schedule 3.05 attached hereto, Holdings’ Annual Report on Form 20-F for the year ended December 31, 2020 and the Target’s Annual Report on Form 10-K for the year ended December 31, 2020, no claim has been asserted or is pending by any Person challenging or questioning the use, scope, validity, effectiveness or ownership of any such intellectual property or alleging infringement, misappropriation, dilution or other violation by Holdings or any of its Subsidiaries of any intellectual property owned by any other Person, nor does Holdings know of any valid basis for any such claim, except for such claims that, individually or in the aggregate, could not reasonably be expected to result in a Material Adverse Effect. Except as would not reasonably be expected to have, individually or in the aggregate, a Material Adverse Effect, to the knowledge of Holdings, neither Holdings, its Subsidiaries, nor the operations of their businesses infringes upon, misappropriates, dilutes or otherwise violates any intellectual property of any Person.</w:t>
      </w:r>
    </w:p>
    <w:p>
      <w:pPr>
        <w:spacing w:after="0" w:line="18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Litigation, Environmental and Labor Matters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79" w:lineRule="auto"/>
        <w:tabs>
          <w:tab w:leader="none" w:pos="195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3.06</w:t>
      </w:r>
      <w:r>
        <w:rPr>
          <w:rFonts w:ascii="Arial" w:cs="Arial" w:eastAsia="Arial" w:hAnsi="Arial"/>
          <w:sz w:val="17"/>
          <w:szCs w:val="17"/>
          <w:color w:val="auto"/>
        </w:rPr>
        <w:t xml:space="preserve"> hereto, Holdings’ Annual Report on Form 20-F for the year ended December 31, 2020 and the Target’s Annual Report on Form 10-K for the year ended December 31, 2020, there are no actions, suits, proceedings or investigations by or before any arbitrator or Governmental Authority pending against or, to the knowledge of Holdings, threatened against or affecting Holdings or any of its Subsidiaries that could reasonably be expected, individually or in the aggregate, to result in a Material Adverse Effect.</w:t>
      </w:r>
    </w:p>
    <w:p>
      <w:pPr>
        <w:spacing w:after="0" w:line="171" w:lineRule="exact"/>
        <w:rPr>
          <w:rFonts w:ascii="Arial" w:cs="Arial" w:eastAsia="Arial" w:hAnsi="Arial"/>
          <w:sz w:val="17"/>
          <w:szCs w:val="17"/>
          <w:color w:val="auto"/>
        </w:rPr>
      </w:pPr>
    </w:p>
    <w:p>
      <w:pPr>
        <w:jc w:val="both"/>
        <w:ind w:left="-20" w:firstLine="1304"/>
        <w:spacing w:after="0" w:line="257" w:lineRule="auto"/>
        <w:tabs>
          <w:tab w:leader="none" w:pos="203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with respect to matters that, individually or in the aggregate, would not reasonably be expected to result in a Material Adverse Effect, neither Holdings nor any of its Subsidiaries (i) has failed to comply with any Environmental Law or to obtain, maintain or comply with any permit, license or other approval required under any Environmental Law, (ii) has received written notice of any pending or threatened claim with respect to any Environmental Liability or (iii) has knowledge of any existing facts or circumstances that would reasonably be expected to result in Holdings or any of its Subsidiaries becoming subject to any Environmental Liability.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41" w:name="page142"/>
    <w:bookmarkEnd w:id="141"/>
    <w:p>
      <w:pPr>
        <w:jc w:val="both"/>
        <w:ind w:firstLine="1304"/>
        <w:spacing w:after="0" w:line="301" w:lineRule="auto"/>
        <w:tabs>
          <w:tab w:leader="none" w:pos="194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As of the Closing Date, there are no strikes, lockouts or slowdowns against Holdings or any of its Subsidiaries pending or, to the knowledge of Holdings, threatened that have resulted in, or could reasonably be expected to result in, a Material Adverse Effect. The hours worked by and payments made to employees of Holdings and its Subsidiaries have not been in violation of the Fair Labor Standards Act or any other applicable Federal, state, local or foreign law relating to such matters that has resulted in, or could reasonably be expected to result in, a Material Adverse Effect.</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3.07</w:t>
      </w:r>
      <w:r>
        <w:rPr>
          <w:rFonts w:ascii="Arial" w:cs="Arial" w:eastAsia="Arial" w:hAnsi="Arial"/>
          <w:sz w:val="18"/>
          <w:szCs w:val="18"/>
          <w:color w:val="auto"/>
        </w:rPr>
        <w:t xml:space="preserve"> hereto, each of Holdings and its Subsidiaries is in compliance with all laws, regulations and orders of any Governmental Authority applicable to it or its property, operations or assets and all indentures, agreements and other instruments binding upon it or its property, except where such non-compliance would not reasonably be expected to result, individually or in the aggregate, in a Material Adverse Effect.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the Loan Parties is required to be registered as an “investment company” as defined in the Investment Company Act of 1940.</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Except as would not reasonably be expected to result in a Material Adverse Effect, each of Holdings and its Subsidiaries has timely filed or caused to be filed all Tax returns and reports required to have been filed by it and has paid or caused to be paid all Taxes required to have been paid by it, except Taxes that are being contested in good faith by appropriate proceedings diligently conducted and for which Holdings or such Subsidiary, as applicable, has set aside on its books adequate reserves in accordance with, and to the extent required by, applicable accounting principles.</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301" w:lineRule="auto"/>
        <w:tabs>
          <w:tab w:leader="none" w:pos="203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Except as would not, either individually or in the aggregate, reasonably be expected to result in a Material Adverse Effect, (i) each Plan is in compliance in all material respects with the applicable provisions of ERISA and the Code and the regulations and published interpretations thereunder, and (ii) all contributions required to be made under the terms of any Plan as of the date of this Agreement have been timely made, or if not yet due, have been properly reflected on the most recent consolidated balance sheet filed or incorporated by reference in the Companies’ financial statements.</w:t>
      </w:r>
    </w:p>
    <w:p>
      <w:pPr>
        <w:spacing w:after="0" w:line="157" w:lineRule="exact"/>
        <w:rPr>
          <w:rFonts w:ascii="Arial" w:cs="Arial" w:eastAsia="Arial" w:hAnsi="Arial"/>
          <w:sz w:val="16"/>
          <w:szCs w:val="16"/>
          <w:color w:val="auto"/>
        </w:rPr>
      </w:pPr>
    </w:p>
    <w:p>
      <w:pPr>
        <w:jc w:val="both"/>
        <w:ind w:firstLine="1304"/>
        <w:spacing w:after="0" w:line="311" w:lineRule="auto"/>
        <w:tabs>
          <w:tab w:leader="none" w:pos="199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 No ERISA Event has occurred or is reasonably expected to occur and (ii) none of the Loan Parties or any of their respective ERISA Affiliates has engaged in a transaction that is subject to Sections 4069 or 4212(c) of ERISA, except, with respect to each of the foregoing clauses of this Section 3.10(b), as would not, either individually or in the aggregate, reasonably be expected to result in a Material Adverse Effect.</w:t>
      </w:r>
    </w:p>
    <w:p>
      <w:pPr>
        <w:spacing w:after="0" w:line="148" w:lineRule="exact"/>
        <w:rPr>
          <w:rFonts w:ascii="Arial" w:cs="Arial" w:eastAsia="Arial" w:hAnsi="Arial"/>
          <w:sz w:val="16"/>
          <w:szCs w:val="16"/>
          <w:color w:val="auto"/>
        </w:rPr>
      </w:pPr>
    </w:p>
    <w:p>
      <w:pPr>
        <w:jc w:val="both"/>
        <w:ind w:firstLine="1304"/>
        <w:spacing w:after="0" w:line="286" w:lineRule="auto"/>
        <w:tabs>
          <w:tab w:leader="none" w:pos="200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To the knowledge of Holdings and the Borrowers, there has been no prohibited transaction (within the meaning of Section 406 of ERISA or Section 4975 of the Code) with respect to any Plan, other than a transaction that is exempt under a statutory or administrative exemption, except as would not, either individually or in the aggregate, reasonably be expected to result in a Material Adverse Effect.</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204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where noncompliance or the incurrence of an obligation, in each case, would not reasonably be expected to result in a Material Adverse Effect, (i) each Non-U.S. Plan and each Irish Pension Scheme has been maintained in compliance with its terms and with the requirements of any and all applicable laws, statutes, rules, regulations and orders, and (ii) neither Holdings nor any Subsidiary has incurred any obligation in connection with the termination of or withdrawal from any Non-U.S. Plan or Irish Pension Scheme.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2" w:name="page143"/>
    <w:bookmarkEnd w:id="142"/>
    <w:p>
      <w:pPr>
        <w:jc w:val="both"/>
        <w:ind w:firstLine="648"/>
        <w:spacing w:after="0" w:line="269"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Disclosure</w:t>
      </w:r>
      <w:r>
        <w:rPr>
          <w:rFonts w:ascii="Arial" w:cs="Arial" w:eastAsia="Arial" w:hAnsi="Arial"/>
          <w:sz w:val="17"/>
          <w:szCs w:val="17"/>
          <w:color w:val="auto"/>
        </w:rPr>
        <w:t>. None of the factual information and data contemporaneously furnished in writing by or on behalf of any Loan Party (other than projected financial information, pro forma financial information, budgets, estimates, information based on third-party reports and information of a general economic or industry nature) to the Administrative Agent, Collateral Agent or any Lender in connection with the transactions contemplated hereby and the negotiation of this Agreement as of the Closing Date when taken as a whole contains, as of the date of such statement, certificate or other information was furnished, any material misstatement of fact or omits to state any material fact necessary to make the statements therein (when taken as a whole), in the light of the circumstances under which they were made, not materially misleading. With respect to projected financial information and pro forma financial information furnished in writing by or on behalf of any Loan Party to the Administrative Agent on or prior to the Closing Date, the Collateral Agent or any Lender, Holdings represents that such information was prepared in good faith based upon assumptions believed to be reasonable at the time such information was furnished, it being understood that such projected financial information and pro forma financial information are subject to significant uncertainties and contingencies, many of which are beyond Holdings’ control, are not to be viewed as facts, that actual results during the period or periods covered by any such information may differ from the projected results and such differences may be material, and that no assurance can be given that any projection will be realized.</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any Loan have been used or will be used, whether directly or indirectly, for any purpose that entails a violation of any of the Regulations of the Board, including Regulation T, U or X.</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Security Interest in Collateral</w:t>
      </w:r>
      <w:r>
        <w:rPr>
          <w:rFonts w:ascii="Arial" w:cs="Arial" w:eastAsia="Arial" w:hAnsi="Arial"/>
          <w:sz w:val="16"/>
          <w:szCs w:val="16"/>
          <w:color w:val="auto"/>
        </w:rPr>
        <w:t>. To the extent the U.S. Security Agreement has been executed and delivered by the parties thereto and is then in effect, the U.S. Security Agreement will create in favor of the Collateral Agent, for the benefit of the Secured Parties, a valid and enforceable security interest in the Collateral covered thereby and (i) when the Collateral constituting certificated securities (as defined in the UCC) is delivered to the Collateral Agent, together with instruments of transfer duly endorsed in blank, the Liens under the U.S. Security Agreement will constitute a fully perfected security interest in all right, title and interest of the pledgors thereunder in such Collateral, prior and superior in right to any other Person, (ii) when a copyright security agreement is executed and delivered to the Collateral Agent and recorded with the U.S. Copyright Office, (iii) when a trademark security agreement or a patent security agreement is executed and delivered to the Collateral Agent and recorded with the U.S. Patent and Trademark Office, and</w:t>
      </w:r>
    </w:p>
    <w:p>
      <w:pPr>
        <w:spacing w:after="0" w:line="2" w:lineRule="exact"/>
        <w:rPr>
          <w:sz w:val="20"/>
          <w:szCs w:val="20"/>
          <w:color w:val="auto"/>
        </w:rPr>
      </w:pPr>
    </w:p>
    <w:p>
      <w:pPr>
        <w:jc w:val="both"/>
        <w:ind w:firstLine="8"/>
        <w:spacing w:after="0" w:line="267" w:lineRule="auto"/>
        <w:tabs>
          <w:tab w:leader="none" w:pos="3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(x) when financing statements in appropriate form are filed in the applicable filing offices and (y) to the extent applicable, when the registration of particulars of the U.S. Security Agreement at the Companies Registration Office of Ireland under section 409 of the Companies Act and payment of associated fees have been made and paid, the security interest created under the U.S. Security Agreement will constitute a fully perfected or recorded security interest in all right, title and interest of the Loan Parties in the remaining Collateral covered by the U.S. Security Agreement to the extent perfection can be obtained by filing UCC financing statements or filings with the U.S. Copyright Office or the U.S. Patent and Trademark Office, prior and superior to the rights of any other Person, except for (x) Permitted Liens and (y) certain items of Collateral located in or otherwise subject to foreign law where the grant of a Lien or priority and perfection thereof in accordance with the UCC may not be recognized or enforceable. For the avoidance of doubt, no Loan Party shall be required to take any action other than pursuant to the UCC or recordation with the U.S. Patent and Trademark Office or U.S. Copyright Office, as applicable, to perfect or record any security interest in Collateral constituting intellectual property (including the execution of any agreement, document or other instrument governed by the law of any jurisdiction other than the United States, any State thereof or the District of Columbia). As to any Collateral, the representations and the warranties with respect thereto contained in the relevant Collateral Documents shall be true and correct in all material respects.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3" w:name="page144"/>
    <w:bookmarkEnd w:id="143"/>
    <w:p>
      <w:pPr>
        <w:jc w:val="both"/>
        <w:ind w:firstLine="648"/>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Solvency</w:t>
      </w:r>
      <w:r>
        <w:rPr>
          <w:rFonts w:ascii="Arial" w:cs="Arial" w:eastAsia="Arial" w:hAnsi="Arial"/>
          <w:sz w:val="18"/>
          <w:szCs w:val="18"/>
          <w:color w:val="auto"/>
        </w:rPr>
        <w:t>. On the Closing Date immediately after the consummation of the Transactions, Holdings and its Subsidiaries, on a consolidated basis, are Solvent.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Compliance with Anti-Corruption Laws and Sanctions</w:t>
      </w:r>
      <w:r>
        <w:rPr>
          <w:rFonts w:ascii="Arial" w:cs="Arial" w:eastAsia="Arial" w:hAnsi="Arial"/>
          <w:sz w:val="16"/>
          <w:szCs w:val="16"/>
          <w:color w:val="auto"/>
        </w:rPr>
        <w:t>. Neither Holdings nor any of its Restricted Subsidiaries or, to the knowledge of Holdings and the Borrowers, any of their respective Affiliates over which any of the foregoing exercises management control (each, a “</w:t>
      </w:r>
      <w:r>
        <w:rPr>
          <w:rFonts w:ascii="Arial" w:cs="Arial" w:eastAsia="Arial" w:hAnsi="Arial"/>
          <w:sz w:val="16"/>
          <w:szCs w:val="16"/>
          <w:u w:val="single" w:color="auto"/>
          <w:color w:val="auto"/>
        </w:rPr>
        <w:t>Controlled Affiliate</w:t>
      </w:r>
      <w:r>
        <w:rPr>
          <w:rFonts w:ascii="Arial" w:cs="Arial" w:eastAsia="Arial" w:hAnsi="Arial"/>
          <w:sz w:val="16"/>
          <w:szCs w:val="16"/>
          <w:color w:val="auto"/>
        </w:rPr>
        <w:t>”): (i) is the target of Sanctions; (ii) is owned or controlled by, or acts on behalf of, any Person that is the target of Sanctions; (iii) is a Sanctioned Person; (iv) is operating from, organized or resident in a Sanctioned Country; or (v) to their knowledge, has violated Anti-Corruption Laws or Sanctions in the past five years. Holdings, its Restricted Subsidiaries and their respective Controlled Affiliates will maintain in effect and enforce policies and procedures reasonably designed to promote and ensure compliance by Holding, its Restricted Subsidiaries, their respective Controlled Affiliates, and each of their respective directors, officers, employees and agents with Anti-Corruption Laws and Sanctions. Holdings will not, directly or knowingly, indirectly, use the proceeds of the Loans or Letters of Credit, or lend, contribute or otherwise make available such proceeds to any subsidiary, joint venture partner or other Person, (i) to fund any activities or business of or with a Sanctioned Person or in a Sanctioned Country or (ii) in any other manner that would result in a violation of Sanctions by any Person (including any Person participating in the Loans or Letters of Credit, whether as Administrative Agent, arranger, Issuing Bank, Lender, underwriter, advisor, investor, or otherwise). No part of the proceeds of the Loans or Letters of Credit will be used, directly or, knowingly, indirectly, for any payments to any person, including any governmental official or employee, political party, official of a political party, candidate for political office, or anyone else acting in an official capacity, in order to obtain, retain or direct business or obtain any improper advantage, in violation of Anti-Corruption Laws, including the United States Foreign Corrupt Practices Act of 1977, as amended.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No Irish Financial Assistance</w:t>
      </w:r>
      <w:r>
        <w:rPr>
          <w:rFonts w:ascii="Arial" w:cs="Arial" w:eastAsia="Arial" w:hAnsi="Arial"/>
          <w:sz w:val="18"/>
          <w:szCs w:val="18"/>
          <w:color w:val="auto"/>
        </w:rPr>
        <w:t>. None of the proceeds of the Term Loans made on the Closing Date and the financing which is the subject matter of the Loan Documents has been used, is being used or will be used at any time in any way which would constitute unlawful “financial assistance” within the meaning of, and as prohibited by, Section 82 of the Companies Act (as from time to time amended, replaced or re-enacted,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or which would result in the Loan Documents or the transactions thereby recorded (including without limitation any guarantees and indemnities thereby created) contravening Section 82.</w:t>
      </w:r>
    </w:p>
    <w:p>
      <w:pPr>
        <w:spacing w:after="0" w:line="18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Luxembourg Matters</w:t>
      </w:r>
      <w:r>
        <w:rPr>
          <w:rFonts w:ascii="Arial" w:cs="Arial" w:eastAsia="Arial" w:hAnsi="Arial"/>
          <w:sz w:val="17"/>
          <w:szCs w:val="17"/>
          <w:color w:val="auto"/>
        </w:rPr>
        <w:t>. Each Luxembourg Loan Party is in compliance with all requirements of the Luxembourg legislation and regulations on the domiciliation of companies, and in particular with the Luxembourg Act dated May 31, 1999 on the domiciliation of companies, as amended from time to time, except where failure to comply with any such requirement could not reasonably be expected to result in a Material Adverse Effect. No Luxembourg Loan Party is subject to bankruptcy (</w:t>
      </w:r>
      <w:r>
        <w:rPr>
          <w:rFonts w:ascii="Arial" w:cs="Arial" w:eastAsia="Arial" w:hAnsi="Arial"/>
          <w:sz w:val="17"/>
          <w:szCs w:val="17"/>
          <w:i w:val="1"/>
          <w:iCs w:val="1"/>
          <w:color w:val="auto"/>
        </w:rPr>
        <w:t>faillite</w:t>
      </w:r>
      <w:r>
        <w:rPr>
          <w:rFonts w:ascii="Arial" w:cs="Arial" w:eastAsia="Arial" w:hAnsi="Arial"/>
          <w:sz w:val="17"/>
          <w:szCs w:val="17"/>
          <w:color w:val="auto"/>
        </w:rPr>
        <w:t>), general settlement or composition with creditors (</w:t>
      </w:r>
      <w:r>
        <w:rPr>
          <w:rFonts w:ascii="Arial" w:cs="Arial" w:eastAsia="Arial" w:hAnsi="Arial"/>
          <w:sz w:val="17"/>
          <w:szCs w:val="17"/>
          <w:i w:val="1"/>
          <w:iCs w:val="1"/>
          <w:color w:val="auto"/>
        </w:rPr>
        <w:t>concordat préventif de faillite</w:t>
      </w:r>
      <w:r>
        <w:rPr>
          <w:rFonts w:ascii="Arial" w:cs="Arial" w:eastAsia="Arial" w:hAnsi="Arial"/>
          <w:sz w:val="17"/>
          <w:szCs w:val="17"/>
          <w:color w:val="auto"/>
        </w:rPr>
        <w:t>) controlled management (</w:t>
      </w:r>
      <w:r>
        <w:rPr>
          <w:rFonts w:ascii="Arial" w:cs="Arial" w:eastAsia="Arial" w:hAnsi="Arial"/>
          <w:sz w:val="17"/>
          <w:szCs w:val="17"/>
          <w:i w:val="1"/>
          <w:iCs w:val="1"/>
          <w:color w:val="auto"/>
        </w:rPr>
        <w:t>gestion contrôlée</w:t>
      </w:r>
      <w:r>
        <w:rPr>
          <w:rFonts w:ascii="Arial" w:cs="Arial" w:eastAsia="Arial" w:hAnsi="Arial"/>
          <w:sz w:val="17"/>
          <w:szCs w:val="17"/>
          <w:color w:val="auto"/>
        </w:rPr>
        <w:t>), reprieve from payment (</w:t>
      </w:r>
      <w:r>
        <w:rPr>
          <w:rFonts w:ascii="Arial" w:cs="Arial" w:eastAsia="Arial" w:hAnsi="Arial"/>
          <w:sz w:val="17"/>
          <w:szCs w:val="17"/>
          <w:i w:val="1"/>
          <w:iCs w:val="1"/>
          <w:color w:val="auto"/>
        </w:rPr>
        <w:t>sursis de paiement</w:t>
      </w:r>
      <w:r>
        <w:rPr>
          <w:rFonts w:ascii="Arial" w:cs="Arial" w:eastAsia="Arial" w:hAnsi="Arial"/>
          <w:sz w:val="17"/>
          <w:szCs w:val="17"/>
          <w:color w:val="auto"/>
        </w:rPr>
        <w:t>), judicial or voluntary liquidation (</w:t>
      </w:r>
      <w:r>
        <w:rPr>
          <w:rFonts w:ascii="Arial" w:cs="Arial" w:eastAsia="Arial" w:hAnsi="Arial"/>
          <w:sz w:val="17"/>
          <w:szCs w:val="17"/>
          <w:i w:val="1"/>
          <w:iCs w:val="1"/>
          <w:color w:val="auto"/>
        </w:rPr>
        <w:t>liquidation judiciaire ou</w:t>
      </w:r>
      <w:r>
        <w:rPr>
          <w:rFonts w:ascii="Arial" w:cs="Arial" w:eastAsia="Arial" w:hAnsi="Arial"/>
          <w:sz w:val="17"/>
          <w:szCs w:val="17"/>
          <w:color w:val="auto"/>
        </w:rPr>
        <w:t xml:space="preserve"> </w:t>
      </w:r>
      <w:r>
        <w:rPr>
          <w:rFonts w:ascii="Arial" w:cs="Arial" w:eastAsia="Arial" w:hAnsi="Arial"/>
          <w:sz w:val="17"/>
          <w:szCs w:val="17"/>
          <w:i w:val="1"/>
          <w:iCs w:val="1"/>
          <w:color w:val="auto"/>
        </w:rPr>
        <w:t>volontaire</w:t>
      </w:r>
      <w:r>
        <w:rPr>
          <w:rFonts w:ascii="Arial" w:cs="Arial" w:eastAsia="Arial" w:hAnsi="Arial"/>
          <w:sz w:val="17"/>
          <w:szCs w:val="17"/>
          <w:color w:val="auto"/>
        </w:rPr>
        <w:t>), such other proceedings listed at Articles 13, items 2 to 12, and 14 of the Luxembourg Act dated December 19, 2002 on the Register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Commerce and Companies, on Accounting and on Annual Accounts of the Companies (as amended from time to time) (and which include foreign court decisions as to </w:t>
      </w:r>
      <w:r>
        <w:rPr>
          <w:rFonts w:ascii="Arial" w:cs="Arial" w:eastAsia="Arial" w:hAnsi="Arial"/>
          <w:sz w:val="17"/>
          <w:szCs w:val="17"/>
          <w:i w:val="1"/>
          <w:iCs w:val="1"/>
          <w:color w:val="auto"/>
        </w:rPr>
        <w:t>faillite</w:t>
      </w:r>
      <w:r>
        <w:rPr>
          <w:rFonts w:ascii="Arial" w:cs="Arial" w:eastAsia="Arial" w:hAnsi="Arial"/>
          <w:sz w:val="17"/>
          <w:szCs w:val="17"/>
          <w:color w:val="auto"/>
        </w:rPr>
        <w:t xml:space="preserve">, </w:t>
      </w:r>
      <w:r>
        <w:rPr>
          <w:rFonts w:ascii="Arial" w:cs="Arial" w:eastAsia="Arial" w:hAnsi="Arial"/>
          <w:sz w:val="17"/>
          <w:szCs w:val="17"/>
          <w:i w:val="1"/>
          <w:iCs w:val="1"/>
          <w:color w:val="auto"/>
        </w:rPr>
        <w:t>concordat</w:t>
      </w:r>
      <w:r>
        <w:rPr>
          <w:rFonts w:ascii="Arial" w:cs="Arial" w:eastAsia="Arial" w:hAnsi="Arial"/>
          <w:sz w:val="17"/>
          <w:szCs w:val="17"/>
          <w:color w:val="auto"/>
        </w:rPr>
        <w:t xml:space="preserve"> or analogous procedures according to Council Regulation (EC) N° 2015/848 of May 20, 2015 on insolvency proceedings as amended (the “</w:t>
      </w:r>
      <w:r>
        <w:rPr>
          <w:rFonts w:ascii="Arial" w:cs="Arial" w:eastAsia="Arial" w:hAnsi="Arial"/>
          <w:sz w:val="17"/>
          <w:szCs w:val="17"/>
          <w:u w:val="single" w:color="auto"/>
          <w:color w:val="auto"/>
        </w:rPr>
        <w:t>Insolvency Regulation</w:t>
      </w:r>
      <w:r>
        <w:rPr>
          <w:rFonts w:ascii="Arial" w:cs="Arial" w:eastAsia="Arial" w:hAnsi="Arial"/>
          <w:sz w:val="17"/>
          <w:szCs w:val="17"/>
          <w:color w:val="auto"/>
        </w:rPr>
        <w:t>”)). No Luxembourg Loan Party is in a state of cessation of payments (</w:t>
      </w:r>
      <w:r>
        <w:rPr>
          <w:rFonts w:ascii="Arial" w:cs="Arial" w:eastAsia="Arial" w:hAnsi="Arial"/>
          <w:sz w:val="17"/>
          <w:szCs w:val="17"/>
          <w:i w:val="1"/>
          <w:iCs w:val="1"/>
          <w:color w:val="auto"/>
        </w:rPr>
        <w:t>cessation de paiements</w:t>
      </w:r>
      <w:r>
        <w:rPr>
          <w:rFonts w:ascii="Arial" w:cs="Arial" w:eastAsia="Arial" w:hAnsi="Arial"/>
          <w:sz w:val="17"/>
          <w:szCs w:val="17"/>
          <w:color w:val="auto"/>
        </w:rPr>
        <w:t xml:space="preserve">) and no Luxembourg Loan Party has lost its creditworthiness. No application has been made by any Luxembourg Loan Party or, as far as it is aware, by any other person for the appointment of a </w:t>
      </w:r>
      <w:r>
        <w:rPr>
          <w:rFonts w:ascii="Arial" w:cs="Arial" w:eastAsia="Arial" w:hAnsi="Arial"/>
          <w:sz w:val="17"/>
          <w:szCs w:val="17"/>
          <w:i w:val="1"/>
          <w:iCs w:val="1"/>
          <w:color w:val="auto"/>
        </w:rPr>
        <w:t>commissaire</w:t>
      </w:r>
      <w:r>
        <w:rPr>
          <w:rFonts w:ascii="Arial" w:cs="Arial" w:eastAsia="Arial" w:hAnsi="Arial"/>
          <w:sz w:val="17"/>
          <w:szCs w:val="17"/>
          <w:color w:val="auto"/>
        </w:rPr>
        <w:t xml:space="preserve">, </w:t>
      </w:r>
      <w:r>
        <w:rPr>
          <w:rFonts w:ascii="Arial" w:cs="Arial" w:eastAsia="Arial" w:hAnsi="Arial"/>
          <w:sz w:val="17"/>
          <w:szCs w:val="17"/>
          <w:i w:val="1"/>
          <w:iCs w:val="1"/>
          <w:color w:val="auto"/>
        </w:rPr>
        <w:t>juge commissaire</w:t>
      </w:r>
      <w:r>
        <w:rPr>
          <w:rFonts w:ascii="Arial" w:cs="Arial" w:eastAsia="Arial" w:hAnsi="Arial"/>
          <w:sz w:val="17"/>
          <w:szCs w:val="17"/>
          <w:color w:val="auto"/>
        </w:rPr>
        <w:t xml:space="preserve">, </w:t>
      </w:r>
      <w:r>
        <w:rPr>
          <w:rFonts w:ascii="Arial" w:cs="Arial" w:eastAsia="Arial" w:hAnsi="Arial"/>
          <w:sz w:val="17"/>
          <w:szCs w:val="17"/>
          <w:i w:val="1"/>
          <w:iCs w:val="1"/>
          <w:color w:val="auto"/>
        </w:rPr>
        <w:t>liquidateur</w:t>
      </w:r>
      <w:r>
        <w:rPr>
          <w:rFonts w:ascii="Arial" w:cs="Arial" w:eastAsia="Arial" w:hAnsi="Arial"/>
          <w:sz w:val="17"/>
          <w:szCs w:val="17"/>
          <w:color w:val="auto"/>
        </w:rPr>
        <w:t xml:space="preserve">, </w:t>
      </w:r>
      <w:r>
        <w:rPr>
          <w:rFonts w:ascii="Arial" w:cs="Arial" w:eastAsia="Arial" w:hAnsi="Arial"/>
          <w:sz w:val="17"/>
          <w:szCs w:val="17"/>
          <w:i w:val="1"/>
          <w:iCs w:val="1"/>
          <w:color w:val="auto"/>
        </w:rPr>
        <w:t>curateur</w:t>
      </w:r>
      <w:r>
        <w:rPr>
          <w:rFonts w:ascii="Arial" w:cs="Arial" w:eastAsia="Arial" w:hAnsi="Arial"/>
          <w:sz w:val="17"/>
          <w:szCs w:val="17"/>
          <w:color w:val="auto"/>
        </w:rPr>
        <w:t xml:space="preserve"> or similar officer pursuant to any insolvency or similar proceedings. No application has been made by any Luxembourg Loan Party for a voluntary or judicial winding up or liquidation. The head office (</w:t>
      </w:r>
      <w:r>
        <w:rPr>
          <w:rFonts w:ascii="Arial" w:cs="Arial" w:eastAsia="Arial" w:hAnsi="Arial"/>
          <w:sz w:val="17"/>
          <w:szCs w:val="17"/>
          <w:i w:val="1"/>
          <w:iCs w:val="1"/>
          <w:color w:val="auto"/>
        </w:rPr>
        <w:t>administration</w:t>
      </w:r>
      <w:r>
        <w:rPr>
          <w:rFonts w:ascii="Arial" w:cs="Arial" w:eastAsia="Arial" w:hAnsi="Arial"/>
          <w:sz w:val="17"/>
          <w:szCs w:val="17"/>
          <w:color w:val="auto"/>
        </w:rPr>
        <w:t xml:space="preserve"> </w:t>
      </w:r>
      <w:r>
        <w:rPr>
          <w:rFonts w:ascii="Arial" w:cs="Arial" w:eastAsia="Arial" w:hAnsi="Arial"/>
          <w:sz w:val="17"/>
          <w:szCs w:val="17"/>
          <w:i w:val="1"/>
          <w:iCs w:val="1"/>
          <w:color w:val="auto"/>
        </w:rPr>
        <w:t>centrale</w:t>
      </w:r>
      <w:r>
        <w:rPr>
          <w:rFonts w:ascii="Arial" w:cs="Arial" w:eastAsia="Arial" w:hAnsi="Arial"/>
          <w:sz w:val="17"/>
          <w:szCs w:val="17"/>
          <w:color w:val="auto"/>
        </w:rPr>
        <w:t>), the place of effective management (</w:t>
      </w:r>
      <w:r>
        <w:rPr>
          <w:rFonts w:ascii="Arial" w:cs="Arial" w:eastAsia="Arial" w:hAnsi="Arial"/>
          <w:sz w:val="17"/>
          <w:szCs w:val="17"/>
          <w:i w:val="1"/>
          <w:iCs w:val="1"/>
          <w:color w:val="auto"/>
        </w:rPr>
        <w:t>siège de direction effective</w:t>
      </w:r>
      <w:r>
        <w:rPr>
          <w:rFonts w:ascii="Arial" w:cs="Arial" w:eastAsia="Arial" w:hAnsi="Arial"/>
          <w:sz w:val="17"/>
          <w:szCs w:val="17"/>
          <w:color w:val="auto"/>
        </w:rPr>
        <w:t>) and (for the purposes of the Insolvency Regulation) the center of main interests</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centre des intérets principaux</w:t>
      </w:r>
      <w:r>
        <w:rPr>
          <w:rFonts w:ascii="Arial" w:cs="Arial" w:eastAsia="Arial" w:hAnsi="Arial"/>
          <w:sz w:val="17"/>
          <w:szCs w:val="17"/>
          <w:color w:val="auto"/>
        </w:rPr>
        <w:t xml:space="preserve">) of each Luxembourg Loan Party in Luxembourg is located at the place of its registered office </w:t>
      </w:r>
      <w:r>
        <w:rPr>
          <w:rFonts w:ascii="Arial" w:cs="Arial" w:eastAsia="Arial" w:hAnsi="Arial"/>
          <w:sz w:val="17"/>
          <w:szCs w:val="17"/>
          <w:i w:val="1"/>
          <w:iCs w:val="1"/>
          <w:color w:val="auto"/>
        </w:rPr>
        <w:t>(siège statutaire</w:t>
      </w:r>
      <w:r>
        <w:rPr>
          <w:rFonts w:ascii="Arial" w:cs="Arial" w:eastAsia="Arial" w:hAnsi="Arial"/>
          <w:sz w:val="17"/>
          <w:szCs w:val="17"/>
          <w:color w:val="auto"/>
        </w:rPr>
        <w:t>) in Luxembourg and it has no “establishment” (as that term is used in Article 2(10) of the Insolvency Regulation) in any other jurisdiction. In addition, each Luxembourg Loan Party is in compliance with any reporting requirements applicable to it pursuant to the Central Bank of Luxembourg regulation 2011/8 (as amended by regulation 2014/17) or the Regulation (EU) No 648/2012 of the European Parliament and of the Council of 4 July 2012 on OTC derivatives, central counterparties (CCPs) and trade repositories (TRs), as amended, except where the failure to do so, individually or in the aggregate, could not reasonably be expected to result in a Material Adverse Effect.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4" w:name="page145"/>
    <w:bookmarkEnd w:id="144"/>
    <w:p>
      <w:pPr>
        <w:jc w:val="both"/>
        <w:ind w:firstLine="648"/>
        <w:spacing w:after="0" w:line="286" w:lineRule="auto"/>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u w:val="single" w:color="auto"/>
          <w:color w:val="auto"/>
        </w:rPr>
        <w:t>PATRIOT Act, etc</w:t>
      </w:r>
      <w:r>
        <w:rPr>
          <w:rFonts w:ascii="Arial" w:cs="Arial" w:eastAsia="Arial" w:hAnsi="Arial"/>
          <w:sz w:val="17"/>
          <w:szCs w:val="17"/>
          <w:color w:val="auto"/>
        </w:rPr>
        <w:t xml:space="preserve">. To the extent applicable, each Loan Party is in compliance, in all material respects, with (i) The Trading with the Enemy Act, 50 U.S.C. §§ 1701 </w:t>
      </w:r>
      <w:r>
        <w:rPr>
          <w:rFonts w:ascii="Arial" w:cs="Arial" w:eastAsia="Arial" w:hAnsi="Arial"/>
          <w:sz w:val="17"/>
          <w:szCs w:val="17"/>
          <w:i w:val="1"/>
          <w:iCs w:val="1"/>
          <w:color w:val="auto"/>
        </w:rPr>
        <w:t>et seq.</w:t>
      </w:r>
      <w:r>
        <w:rPr>
          <w:rFonts w:ascii="Arial" w:cs="Arial" w:eastAsia="Arial" w:hAnsi="Arial"/>
          <w:sz w:val="17"/>
          <w:szCs w:val="17"/>
          <w:color w:val="auto"/>
        </w:rPr>
        <w:t>, as amended, and each of the foreign assets control regulations of the United States Treasury Department (31 CFR, Subtitle B, Chapter V, as amended) and any other enabling legislation or executive order relating thereto, and (ii) the PATRIOT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Precedent to the Closing Date</w:t>
      </w:r>
      <w:r>
        <w:rPr>
          <w:rFonts w:ascii="Arial" w:cs="Arial" w:eastAsia="Arial" w:hAnsi="Arial"/>
          <w:sz w:val="18"/>
          <w:szCs w:val="18"/>
          <w:color w:val="auto"/>
        </w:rPr>
        <w:t>. The obligations of the Lenders to extend Loans in respect of the Commitments on the date of the first Borrowing hereunder are subject to the satisfaction of the following conditions precedent, subject to the next to last paragraph of this Section 4.01:</w:t>
      </w:r>
    </w:p>
    <w:p>
      <w:pPr>
        <w:spacing w:after="0" w:line="184" w:lineRule="exact"/>
        <w:rPr>
          <w:sz w:val="20"/>
          <w:szCs w:val="20"/>
          <w:color w:val="auto"/>
        </w:rPr>
      </w:pPr>
    </w:p>
    <w:p>
      <w:pPr>
        <w:jc w:val="both"/>
        <w:ind w:firstLine="1304"/>
        <w:spacing w:after="0" w:line="259" w:lineRule="auto"/>
        <w:tabs>
          <w:tab w:leader="none" w:pos="2013"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The Administrative Agent (or its counsel) shall have received (i) this Agreement, executed and delivered by a duly authorized officer of Holdings, each Borrower and each Guarantor, (ii) the U.S. Security Agreement, executed and delivered by a duly authorized officer of the U.S. Borrower and each Guarantor organized in the United States and (iii) each of the Foreign Security Documents, executed and delivered by a duly authorized officer of the Borrowers or Holdings (as appropriate).</w:t>
      </w:r>
    </w:p>
    <w:p>
      <w:pPr>
        <w:spacing w:after="0" w:line="186" w:lineRule="exact"/>
        <w:rPr>
          <w:rFonts w:ascii="Arial" w:cs="Arial" w:eastAsia="Arial" w:hAnsi="Arial"/>
          <w:sz w:val="18"/>
          <w:szCs w:val="18"/>
          <w:color w:val="auto"/>
        </w:rPr>
      </w:pPr>
    </w:p>
    <w:p>
      <w:pPr>
        <w:jc w:val="both"/>
        <w:ind w:firstLine="1304"/>
        <w:spacing w:after="0" w:line="285" w:lineRule="auto"/>
        <w:tabs>
          <w:tab w:leader="none" w:pos="2023"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Organizational Documents and Necessary Consents</w:t>
      </w:r>
      <w:r>
        <w:rPr>
          <w:rFonts w:ascii="Arial" w:cs="Arial" w:eastAsia="Arial" w:hAnsi="Arial"/>
          <w:sz w:val="16"/>
          <w:szCs w:val="16"/>
          <w:color w:val="auto"/>
        </w:rPr>
        <w:t>. The Administrative Agent shall have received (i) a copy of the certificate of incorporation, memorandum of association or articles of incorporation and all applicable, if any, certificates of incorporation on a change of name or certificates of re-registration or other formation documents, including all amendments thereto, of each Loan Party as of the Closing Date, certified as of a recent date by the Secretary of State of the state of its organization in the case of a corporation incorporated in the United States, and (a certificate as to or of compliance evidencing the good standing of each such Loan Party as of a recent date, from such Secretary of State in the case of a corporation incorporated in the United States; (ii) a certificate of the secretary or assistant secretary or director of each Loan Party as of the Closing Date dated the Closing Date and certifying (A) that attached thereto is a true and complete copy of the by-laws (or similar governing documentation) of such Loan Party as in effect on the Closing Date and at all times since a date prior to the date of the resolutions described in clause (B) below, (B) that attached thereto is a true and complete copy of resolutions duly adopted by the board of directors or similar governing body of such Loan Party authorizing the execution, delivery and performance of the Loan Documents to which such Person is a party, (in the case of each Borrower) the borrowings hereunder, (in the case of each such Loan Party) the granting of the Liens contemplated to be granted by it under the Collateral Documents and (in the case of each Guarantor) the Guaranteeing of the Secured Obligations as contemplated by this Agreement, the Collateral Documents and other Loan Documents, and that such resolutions have not been modified, rescinded or amended and are in full force and effect, (C) if applicable, that the certificate or articles of incorporation or other formation documents of such Loan Party have not been amended since the date of the last amendment thereto shown on the certificate of good standing furnished pursuant to clause (i) above or where a certificate of good standing is not applicable in its jurisdiction of incorporation that attach a true, up to date and correct copy of the certificate or articles of incorporation or other formation documents of each Loan Party duly certified as being true, up to date and correct and (D) as to the incumbency and specimen signature of each officer executing any Loan Document or any other document delivered in connection herewith on behalf of such Loan Party; and (iii) a certificate of another officer as to the incumbency and specimen signature of the secretary or assistant secretary (or manager or director, if applicable) executing the certificate pursuant to clause (ii) above.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5" w:name="page146"/>
    <w:bookmarkEnd w:id="145"/>
    <w:p>
      <w:pPr>
        <w:jc w:val="both"/>
        <w:ind w:left="-20" w:firstLine="1304"/>
        <w:spacing w:after="0" w:line="311" w:lineRule="auto"/>
        <w:tabs>
          <w:tab w:leader="none" w:pos="2222"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KYC</w:t>
      </w:r>
      <w:r>
        <w:rPr>
          <w:rFonts w:ascii="Arial" w:cs="Arial" w:eastAsia="Arial" w:hAnsi="Arial"/>
          <w:sz w:val="16"/>
          <w:szCs w:val="16"/>
          <w:color w:val="auto"/>
        </w:rPr>
        <w:t>. To the extent requested at least 10 business days prior to the Closing Date, the Lenders shall have received all documentation and other information required by bank regulatory authorities under applicable “know-your-customer” and anti-money laundering rules and regulations, including the Patriot Act and, if applicable, the requirements of 31 C.F.R. § 1010.230, at least three business days prior to the Closing Date.</w:t>
      </w:r>
    </w:p>
    <w:p>
      <w:pPr>
        <w:spacing w:after="0" w:line="148" w:lineRule="exact"/>
        <w:rPr>
          <w:rFonts w:ascii="Arial" w:cs="Arial" w:eastAsia="Arial" w:hAnsi="Arial"/>
          <w:sz w:val="16"/>
          <w:szCs w:val="16"/>
          <w:color w:val="auto"/>
        </w:rPr>
      </w:pPr>
    </w:p>
    <w:p>
      <w:pPr>
        <w:ind w:left="1940" w:hanging="656"/>
        <w:spacing w:after="0"/>
        <w:tabs>
          <w:tab w:leader="none" w:pos="19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Additional Requirements for Foreign Subsidiary Guarantors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1292"/>
        <w:spacing w:after="0" w:line="263" w:lineRule="auto"/>
        <w:tabs>
          <w:tab w:leader="none" w:pos="261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in respect of each Luxembourg Loan Party, a manager’s certificate in a form satisfactory to the Administrative Agent, dated as of the Closing Date and signed by a manager of each such Luxembourg Loan Party, certifying, </w:t>
      </w:r>
      <w:r>
        <w:rPr>
          <w:rFonts w:ascii="Arial" w:cs="Arial" w:eastAsia="Arial" w:hAnsi="Arial"/>
          <w:sz w:val="18"/>
          <w:szCs w:val="18"/>
          <w:i w:val="1"/>
          <w:iCs w:val="1"/>
          <w:color w:val="auto"/>
        </w:rPr>
        <w:t>inter alia</w:t>
      </w:r>
      <w:r>
        <w:rPr>
          <w:rFonts w:ascii="Arial" w:cs="Arial" w:eastAsia="Arial" w:hAnsi="Arial"/>
          <w:sz w:val="18"/>
          <w:szCs w:val="18"/>
          <w:color w:val="auto"/>
        </w:rPr>
        <w:t>, the following items:</w:t>
      </w:r>
    </w:p>
    <w:p>
      <w:pPr>
        <w:spacing w:after="0" w:line="183" w:lineRule="exact"/>
        <w:rPr>
          <w:rFonts w:ascii="Arial" w:cs="Arial" w:eastAsia="Arial" w:hAnsi="Arial"/>
          <w:sz w:val="18"/>
          <w:szCs w:val="18"/>
          <w:color w:val="auto"/>
        </w:rPr>
      </w:pPr>
    </w:p>
    <w:p>
      <w:pPr>
        <w:ind w:left="3240" w:hanging="660"/>
        <w:spacing w:after="0"/>
        <w:tabs>
          <w:tab w:leader="none" w:pos="324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a true, correct, complete and up-to-date copy of its articles of association;</w:t>
      </w:r>
    </w:p>
    <w:p>
      <w:pPr>
        <w:spacing w:after="0" w:line="225" w:lineRule="exact"/>
        <w:rPr>
          <w:rFonts w:ascii="Arial" w:cs="Arial" w:eastAsia="Arial" w:hAnsi="Arial"/>
          <w:sz w:val="18"/>
          <w:szCs w:val="18"/>
          <w:color w:val="auto"/>
        </w:rPr>
      </w:pPr>
    </w:p>
    <w:p>
      <w:pPr>
        <w:ind w:left="1280" w:firstLine="1300"/>
        <w:spacing w:after="0" w:line="277" w:lineRule="auto"/>
        <w:tabs>
          <w:tab w:leader="none" w:pos="3245" w:val="left"/>
        </w:tabs>
        <w:numPr>
          <w:ilvl w:val="2"/>
          <w:numId w:val="149"/>
        </w:numPr>
        <w:rPr>
          <w:rFonts w:ascii="Arial" w:cs="Arial" w:eastAsia="Arial" w:hAnsi="Arial"/>
          <w:sz w:val="18"/>
          <w:szCs w:val="18"/>
          <w:color w:val="auto"/>
        </w:rPr>
      </w:pPr>
      <w:r>
        <w:rPr>
          <w:rFonts w:ascii="Arial" w:cs="Arial" w:eastAsia="Arial" w:hAnsi="Arial"/>
          <w:sz w:val="18"/>
          <w:szCs w:val="18"/>
          <w:color w:val="auto"/>
        </w:rPr>
        <w:t xml:space="preserve">a true, correct, complete and up-to-date copy of the resolutions of the board of managers of each Luxembourg Loan Party approving, </w:t>
      </w:r>
      <w:r>
        <w:rPr>
          <w:rFonts w:ascii="Arial" w:cs="Arial" w:eastAsia="Arial" w:hAnsi="Arial"/>
          <w:sz w:val="18"/>
          <w:szCs w:val="18"/>
          <w:i w:val="1"/>
          <w:iCs w:val="1"/>
          <w:color w:val="auto"/>
        </w:rPr>
        <w:t>inter alia</w:t>
      </w:r>
      <w:r>
        <w:rPr>
          <w:rFonts w:ascii="Arial" w:cs="Arial" w:eastAsia="Arial" w:hAnsi="Arial"/>
          <w:sz w:val="18"/>
          <w:szCs w:val="18"/>
          <w:color w:val="auto"/>
        </w:rPr>
        <w:t>, its entry into the Loan Documents to which it is a party;</w:t>
      </w:r>
    </w:p>
    <w:p>
      <w:pPr>
        <w:spacing w:after="0" w:line="170" w:lineRule="exact"/>
        <w:rPr>
          <w:rFonts w:ascii="Arial" w:cs="Arial" w:eastAsia="Arial" w:hAnsi="Arial"/>
          <w:sz w:val="18"/>
          <w:szCs w:val="18"/>
          <w:color w:val="auto"/>
        </w:rPr>
      </w:pPr>
    </w:p>
    <w:p>
      <w:pPr>
        <w:ind w:left="1280" w:firstLine="1300"/>
        <w:spacing w:after="0" w:line="277" w:lineRule="auto"/>
        <w:tabs>
          <w:tab w:leader="none" w:pos="3281" w:val="left"/>
        </w:tabs>
        <w:numPr>
          <w:ilvl w:val="2"/>
          <w:numId w:val="149"/>
        </w:numPr>
        <w:rPr>
          <w:rFonts w:ascii="Arial" w:cs="Arial" w:eastAsia="Arial" w:hAnsi="Arial"/>
          <w:sz w:val="18"/>
          <w:szCs w:val="18"/>
          <w:color w:val="auto"/>
        </w:rPr>
      </w:pPr>
      <w:r>
        <w:rPr>
          <w:rFonts w:ascii="Arial" w:cs="Arial" w:eastAsia="Arial" w:hAnsi="Arial"/>
          <w:sz w:val="18"/>
          <w:szCs w:val="18"/>
          <w:color w:val="auto"/>
        </w:rPr>
        <w:t>a true, correct, complete and up-to-date copy of an excerpt of the Luxembourg Companies Register dated on the Closing Date or at the earliest one (1) Business Day before the Closing Date;</w:t>
      </w:r>
    </w:p>
    <w:p>
      <w:pPr>
        <w:spacing w:after="0" w:line="170" w:lineRule="exact"/>
        <w:rPr>
          <w:rFonts w:ascii="Arial" w:cs="Arial" w:eastAsia="Arial" w:hAnsi="Arial"/>
          <w:sz w:val="18"/>
          <w:szCs w:val="18"/>
          <w:color w:val="auto"/>
        </w:rPr>
      </w:pPr>
    </w:p>
    <w:p>
      <w:pPr>
        <w:jc w:val="both"/>
        <w:ind w:left="1280" w:firstLine="1300"/>
        <w:spacing w:after="0" w:line="263" w:lineRule="auto"/>
        <w:tabs>
          <w:tab w:leader="none" w:pos="3352" w:val="left"/>
        </w:tabs>
        <w:numPr>
          <w:ilvl w:val="2"/>
          <w:numId w:val="149"/>
        </w:numPr>
        <w:rPr>
          <w:rFonts w:ascii="Arial" w:cs="Arial" w:eastAsia="Arial" w:hAnsi="Arial"/>
          <w:sz w:val="18"/>
          <w:szCs w:val="18"/>
          <w:color w:val="auto"/>
        </w:rPr>
      </w:pPr>
      <w:r>
        <w:rPr>
          <w:rFonts w:ascii="Arial" w:cs="Arial" w:eastAsia="Arial" w:hAnsi="Arial"/>
          <w:sz w:val="18"/>
          <w:szCs w:val="18"/>
          <w:color w:val="auto"/>
        </w:rPr>
        <w:t>a true, correct, complete and up-to-date copy of a certified true certificate of non-registration of judgments (</w:t>
      </w:r>
      <w:r>
        <w:rPr>
          <w:rFonts w:ascii="Arial" w:cs="Arial" w:eastAsia="Arial" w:hAnsi="Arial"/>
          <w:sz w:val="18"/>
          <w:szCs w:val="18"/>
          <w:i w:val="1"/>
          <w:iCs w:val="1"/>
          <w:color w:val="auto"/>
        </w:rPr>
        <w:t>certificat de non-inscription d’une décision judiciaire</w:t>
      </w:r>
      <w:r>
        <w:rPr>
          <w:rFonts w:ascii="Arial" w:cs="Arial" w:eastAsia="Arial" w:hAnsi="Arial"/>
          <w:sz w:val="18"/>
          <w:szCs w:val="18"/>
          <w:color w:val="auto"/>
        </w:rPr>
        <w:t>) dated on the Closing Date or at the earliest one (1) Business Day before the Closing Date, issued by the Luxembourg Companies Register;</w:t>
      </w:r>
    </w:p>
    <w:p>
      <w:pPr>
        <w:spacing w:after="0" w:line="183" w:lineRule="exact"/>
        <w:rPr>
          <w:rFonts w:ascii="Arial" w:cs="Arial" w:eastAsia="Arial" w:hAnsi="Arial"/>
          <w:sz w:val="18"/>
          <w:szCs w:val="18"/>
          <w:color w:val="auto"/>
        </w:rPr>
      </w:pPr>
    </w:p>
    <w:p>
      <w:pPr>
        <w:ind w:left="3220" w:hanging="640"/>
        <w:spacing w:after="0"/>
        <w:tabs>
          <w:tab w:leader="none" w:pos="3220" w:val="left"/>
        </w:tabs>
        <w:numPr>
          <w:ilvl w:val="2"/>
          <w:numId w:val="149"/>
        </w:numPr>
        <w:rPr>
          <w:rFonts w:ascii="Arial" w:cs="Arial" w:eastAsia="Arial" w:hAnsi="Arial"/>
          <w:sz w:val="17"/>
          <w:szCs w:val="17"/>
          <w:color w:val="auto"/>
        </w:rPr>
      </w:pPr>
      <w:r>
        <w:rPr>
          <w:rFonts w:ascii="Arial" w:cs="Arial" w:eastAsia="Arial" w:hAnsi="Arial"/>
          <w:sz w:val="17"/>
          <w:szCs w:val="17"/>
          <w:color w:val="auto"/>
        </w:rPr>
        <w:t>a true, correct, complete and up-to-date copy of the specimen signatures of all authorized signatories;</w:t>
      </w:r>
    </w:p>
    <w:p>
      <w:pPr>
        <w:spacing w:after="0" w:line="236" w:lineRule="exact"/>
        <w:rPr>
          <w:rFonts w:ascii="Arial" w:cs="Arial" w:eastAsia="Arial" w:hAnsi="Arial"/>
          <w:sz w:val="17"/>
          <w:szCs w:val="17"/>
          <w:color w:val="auto"/>
        </w:rPr>
      </w:pPr>
    </w:p>
    <w:p>
      <w:pPr>
        <w:ind w:left="1280" w:firstLine="1300"/>
        <w:spacing w:after="0" w:line="277" w:lineRule="auto"/>
        <w:tabs>
          <w:tab w:leader="none" w:pos="3213" w:val="left"/>
        </w:tabs>
        <w:numPr>
          <w:ilvl w:val="2"/>
          <w:numId w:val="149"/>
        </w:numPr>
        <w:rPr>
          <w:rFonts w:ascii="Arial" w:cs="Arial" w:eastAsia="Arial" w:hAnsi="Arial"/>
          <w:sz w:val="18"/>
          <w:szCs w:val="18"/>
          <w:color w:val="auto"/>
        </w:rPr>
      </w:pPr>
      <w:r>
        <w:rPr>
          <w:rFonts w:ascii="Arial" w:cs="Arial" w:eastAsia="Arial" w:hAnsi="Arial"/>
          <w:sz w:val="18"/>
          <w:szCs w:val="18"/>
          <w:color w:val="auto"/>
        </w:rPr>
        <w:t>each Luxembourg Loan Party complies with, and adheres to, the provisions applicable to it of the Luxembourg Law dated May 31, 1999 concerning the domiciliation of companies, as amended and the relevant regulations;</w:t>
      </w:r>
    </w:p>
    <w:p>
      <w:pPr>
        <w:spacing w:after="0" w:line="170" w:lineRule="exact"/>
        <w:rPr>
          <w:rFonts w:ascii="Arial" w:cs="Arial" w:eastAsia="Arial" w:hAnsi="Arial"/>
          <w:sz w:val="18"/>
          <w:szCs w:val="18"/>
          <w:color w:val="auto"/>
        </w:rPr>
      </w:pPr>
    </w:p>
    <w:p>
      <w:pPr>
        <w:ind w:left="1280" w:firstLine="1300"/>
        <w:spacing w:after="0" w:line="277" w:lineRule="auto"/>
        <w:tabs>
          <w:tab w:leader="none" w:pos="3231" w:val="left"/>
        </w:tabs>
        <w:numPr>
          <w:ilvl w:val="2"/>
          <w:numId w:val="149"/>
        </w:numPr>
        <w:rPr>
          <w:rFonts w:ascii="Arial" w:cs="Arial" w:eastAsia="Arial" w:hAnsi="Arial"/>
          <w:sz w:val="18"/>
          <w:szCs w:val="18"/>
          <w:color w:val="auto"/>
        </w:rPr>
      </w:pPr>
      <w:r>
        <w:rPr>
          <w:rFonts w:ascii="Arial" w:cs="Arial" w:eastAsia="Arial" w:hAnsi="Arial"/>
          <w:sz w:val="18"/>
          <w:szCs w:val="18"/>
          <w:color w:val="auto"/>
        </w:rPr>
        <w:t>the entry by such Luxembourg Loan Party into the Loan Documents to which it is a party would not cause any borrowing, guaranteeing, security or similar limit binding on such Luxembourg Loan Party to be exceeded;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46" w:name="page147"/>
    <w:bookmarkEnd w:id="146"/>
    <w:p>
      <w:pPr>
        <w:ind w:left="1300" w:firstLine="1300"/>
        <w:spacing w:after="0" w:line="277" w:lineRule="auto"/>
        <w:tabs>
          <w:tab w:leader="none" w:pos="3324" w:val="left"/>
        </w:tabs>
        <w:numPr>
          <w:ilvl w:val="3"/>
          <w:numId w:val="150"/>
        </w:numPr>
        <w:rPr>
          <w:rFonts w:ascii="Arial" w:cs="Arial" w:eastAsia="Arial" w:hAnsi="Arial"/>
          <w:sz w:val="18"/>
          <w:szCs w:val="18"/>
          <w:color w:val="auto"/>
        </w:rPr>
      </w:pPr>
      <w:r>
        <w:rPr>
          <w:rFonts w:ascii="Arial" w:cs="Arial" w:eastAsia="Arial" w:hAnsi="Arial"/>
          <w:sz w:val="18"/>
          <w:szCs w:val="18"/>
          <w:color w:val="auto"/>
        </w:rPr>
        <w:t>each copy document relating to it specified in the manager’s certificate is correct, complete and in full force and effect and has not been amended or superseded as at a date no earlier than the Closing Date.</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735" w:val="left"/>
        </w:tabs>
        <w:numPr>
          <w:ilvl w:val="2"/>
          <w:numId w:val="15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in respect of each Guarantor organized under the laws of Ireland, a director’s certificate in a form satisfactory to the Administrative Agent, dated as of the Closing Date and signed by a director or secretary of such Guarantor, certifying, </w:t>
      </w:r>
      <w:r>
        <w:rPr>
          <w:rFonts w:ascii="Arial" w:cs="Arial" w:eastAsia="Arial" w:hAnsi="Arial"/>
          <w:sz w:val="18"/>
          <w:szCs w:val="18"/>
          <w:i w:val="1"/>
          <w:iCs w:val="1"/>
          <w:color w:val="auto"/>
        </w:rPr>
        <w:t>inter alia</w:t>
      </w:r>
      <w:r>
        <w:rPr>
          <w:rFonts w:ascii="Arial" w:cs="Arial" w:eastAsia="Arial" w:hAnsi="Arial"/>
          <w:sz w:val="18"/>
          <w:szCs w:val="18"/>
          <w:color w:val="auto"/>
        </w:rPr>
        <w:t>, the following items</w:t>
      </w:r>
    </w:p>
    <w:p>
      <w:pPr>
        <w:spacing w:after="0" w:line="183" w:lineRule="exact"/>
        <w:rPr>
          <w:rFonts w:ascii="Arial" w:cs="Arial" w:eastAsia="Arial" w:hAnsi="Arial"/>
          <w:sz w:val="18"/>
          <w:szCs w:val="18"/>
          <w:color w:val="auto"/>
        </w:rPr>
      </w:pPr>
    </w:p>
    <w:p>
      <w:pPr>
        <w:ind w:left="3260" w:hanging="660"/>
        <w:spacing w:after="0"/>
        <w:tabs>
          <w:tab w:leader="none" w:pos="326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that the entry by such Guarantor into the Loan Documents would:</w:t>
      </w:r>
    </w:p>
    <w:p>
      <w:pPr>
        <w:spacing w:after="0" w:line="225" w:lineRule="exact"/>
        <w:rPr>
          <w:rFonts w:ascii="Arial" w:cs="Arial" w:eastAsia="Arial" w:hAnsi="Arial"/>
          <w:sz w:val="18"/>
          <w:szCs w:val="18"/>
          <w:color w:val="auto"/>
        </w:rPr>
      </w:pPr>
    </w:p>
    <w:p>
      <w:pPr>
        <w:ind w:left="4020" w:hanging="772"/>
        <w:spacing w:after="0"/>
        <w:tabs>
          <w:tab w:leader="none" w:pos="4020" w:val="left"/>
        </w:tabs>
        <w:numPr>
          <w:ilvl w:val="4"/>
          <w:numId w:val="151"/>
        </w:numPr>
        <w:rPr>
          <w:rFonts w:ascii="Arial" w:cs="Arial" w:eastAsia="Arial" w:hAnsi="Arial"/>
          <w:sz w:val="17"/>
          <w:szCs w:val="17"/>
          <w:color w:val="auto"/>
        </w:rPr>
      </w:pPr>
      <w:r>
        <w:rPr>
          <w:rFonts w:ascii="Arial" w:cs="Arial" w:eastAsia="Arial" w:hAnsi="Arial"/>
          <w:sz w:val="17"/>
          <w:szCs w:val="17"/>
          <w:color w:val="auto"/>
        </w:rPr>
        <w:t>not cause any borrowing, guaranteeing, security or similar limit binding on such Guarantor to be</w:t>
      </w:r>
    </w:p>
    <w:p>
      <w:pPr>
        <w:spacing w:after="0" w:line="34"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exceeded;</w:t>
      </w:r>
    </w:p>
    <w:p>
      <w:pPr>
        <w:spacing w:after="0" w:line="210" w:lineRule="exact"/>
        <w:rPr>
          <w:rFonts w:ascii="Arial" w:cs="Arial" w:eastAsia="Arial" w:hAnsi="Arial"/>
          <w:sz w:val="17"/>
          <w:szCs w:val="17"/>
          <w:color w:val="auto"/>
        </w:rPr>
      </w:pPr>
    </w:p>
    <w:p>
      <w:pPr>
        <w:ind w:left="3860" w:hanging="612"/>
        <w:spacing w:after="0"/>
        <w:tabs>
          <w:tab w:leader="none" w:pos="3860" w:val="left"/>
        </w:tabs>
        <w:numPr>
          <w:ilvl w:val="4"/>
          <w:numId w:val="151"/>
        </w:numPr>
        <w:rPr>
          <w:rFonts w:ascii="Arial" w:cs="Arial" w:eastAsia="Arial" w:hAnsi="Arial"/>
          <w:sz w:val="18"/>
          <w:szCs w:val="18"/>
          <w:color w:val="auto"/>
        </w:rPr>
      </w:pPr>
      <w:r>
        <w:rPr>
          <w:rFonts w:ascii="Arial" w:cs="Arial" w:eastAsia="Arial" w:hAnsi="Arial"/>
          <w:sz w:val="18"/>
          <w:szCs w:val="18"/>
          <w:color w:val="auto"/>
        </w:rPr>
        <w:t>not constitute unlawful financial assistance for the purposes of Section 82; and</w:t>
      </w:r>
    </w:p>
    <w:p>
      <w:pPr>
        <w:spacing w:after="0" w:line="225" w:lineRule="exact"/>
        <w:rPr>
          <w:rFonts w:ascii="Arial" w:cs="Arial" w:eastAsia="Arial" w:hAnsi="Arial"/>
          <w:sz w:val="18"/>
          <w:szCs w:val="18"/>
          <w:color w:val="auto"/>
        </w:rPr>
      </w:pPr>
    </w:p>
    <w:p>
      <w:pPr>
        <w:ind w:left="3860" w:hanging="612"/>
        <w:spacing w:after="0"/>
        <w:tabs>
          <w:tab w:leader="none" w:pos="3860" w:val="left"/>
        </w:tabs>
        <w:numPr>
          <w:ilvl w:val="4"/>
          <w:numId w:val="151"/>
        </w:numPr>
        <w:rPr>
          <w:rFonts w:ascii="Arial" w:cs="Arial" w:eastAsia="Arial" w:hAnsi="Arial"/>
          <w:sz w:val="18"/>
          <w:szCs w:val="18"/>
          <w:color w:val="auto"/>
        </w:rPr>
      </w:pPr>
      <w:r>
        <w:rPr>
          <w:rFonts w:ascii="Arial" w:cs="Arial" w:eastAsia="Arial" w:hAnsi="Arial"/>
          <w:sz w:val="18"/>
          <w:szCs w:val="18"/>
          <w:color w:val="auto"/>
        </w:rPr>
        <w:t>not be prohibited by Section 239 of the Companies Act;</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a true, correct and up-to-date list of the present directors and secretary of such Guarantor;</w:t>
      </w:r>
    </w:p>
    <w:p>
      <w:pPr>
        <w:spacing w:after="0" w:line="225" w:lineRule="exact"/>
        <w:rPr>
          <w:rFonts w:ascii="Arial" w:cs="Arial" w:eastAsia="Arial" w:hAnsi="Arial"/>
          <w:sz w:val="18"/>
          <w:szCs w:val="18"/>
          <w:color w:val="auto"/>
        </w:rPr>
      </w:pPr>
    </w:p>
    <w:p>
      <w:pPr>
        <w:jc w:val="both"/>
        <w:ind w:left="1300" w:firstLine="1300"/>
        <w:spacing w:after="0" w:line="263" w:lineRule="auto"/>
        <w:tabs>
          <w:tab w:leader="none" w:pos="3374" w:val="left"/>
        </w:tabs>
        <w:numPr>
          <w:ilvl w:val="3"/>
          <w:numId w:val="151"/>
        </w:numPr>
        <w:rPr>
          <w:rFonts w:ascii="Arial" w:cs="Arial" w:eastAsia="Arial" w:hAnsi="Arial"/>
          <w:sz w:val="18"/>
          <w:szCs w:val="18"/>
          <w:color w:val="auto"/>
        </w:rPr>
      </w:pPr>
      <w:r>
        <w:rPr>
          <w:rFonts w:ascii="Arial" w:cs="Arial" w:eastAsia="Arial" w:hAnsi="Arial"/>
          <w:sz w:val="18"/>
          <w:szCs w:val="18"/>
          <w:color w:val="auto"/>
        </w:rPr>
        <w:t>that neither the Guarantor nor any of its directors or secretaries, is a company or a person to whom either Chapter 3 (</w:t>
      </w:r>
      <w:r>
        <w:rPr>
          <w:rFonts w:ascii="Arial" w:cs="Arial" w:eastAsia="Arial" w:hAnsi="Arial"/>
          <w:sz w:val="18"/>
          <w:szCs w:val="18"/>
          <w:i w:val="1"/>
          <w:iCs w:val="1"/>
          <w:color w:val="auto"/>
        </w:rPr>
        <w:t>Restriction on directors of insolvent companies</w:t>
      </w:r>
      <w:r>
        <w:rPr>
          <w:rFonts w:ascii="Arial" w:cs="Arial" w:eastAsia="Arial" w:hAnsi="Arial"/>
          <w:sz w:val="18"/>
          <w:szCs w:val="18"/>
          <w:color w:val="auto"/>
        </w:rPr>
        <w:t>) or Chapter 4 (</w:t>
      </w:r>
      <w:r>
        <w:rPr>
          <w:rFonts w:ascii="Arial" w:cs="Arial" w:eastAsia="Arial" w:hAnsi="Arial"/>
          <w:sz w:val="18"/>
          <w:szCs w:val="18"/>
          <w:i w:val="1"/>
          <w:iCs w:val="1"/>
          <w:color w:val="auto"/>
        </w:rPr>
        <w:t>Disqualification generally</w:t>
      </w:r>
      <w:r>
        <w:rPr>
          <w:rFonts w:ascii="Arial" w:cs="Arial" w:eastAsia="Arial" w:hAnsi="Arial"/>
          <w:sz w:val="18"/>
          <w:szCs w:val="18"/>
          <w:color w:val="auto"/>
        </w:rPr>
        <w:t>) or Chapter 5 (</w:t>
      </w:r>
      <w:r>
        <w:rPr>
          <w:rFonts w:ascii="Arial" w:cs="Arial" w:eastAsia="Arial" w:hAnsi="Arial"/>
          <w:sz w:val="18"/>
          <w:szCs w:val="18"/>
          <w:i w:val="1"/>
          <w:iCs w:val="1"/>
          <w:color w:val="auto"/>
        </w:rPr>
        <w:t>Disqualification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 undertakings</w:t>
      </w:r>
      <w:r>
        <w:rPr>
          <w:rFonts w:ascii="Arial" w:cs="Arial" w:eastAsia="Arial" w:hAnsi="Arial"/>
          <w:sz w:val="18"/>
          <w:szCs w:val="18"/>
          <w:color w:val="auto"/>
        </w:rPr>
        <w:t>) of Part 14 of the Companies Act 2014 applies; and</w:t>
      </w:r>
    </w:p>
    <w:p>
      <w:pPr>
        <w:spacing w:after="0" w:line="183" w:lineRule="exact"/>
        <w:rPr>
          <w:rFonts w:ascii="Arial" w:cs="Arial" w:eastAsia="Arial" w:hAnsi="Arial"/>
          <w:sz w:val="18"/>
          <w:szCs w:val="18"/>
          <w:color w:val="auto"/>
        </w:rPr>
      </w:pPr>
    </w:p>
    <w:p>
      <w:pPr>
        <w:ind w:left="1300" w:firstLine="1300"/>
        <w:spacing w:after="0" w:line="277" w:lineRule="auto"/>
        <w:tabs>
          <w:tab w:leader="none" w:pos="3348" w:val="left"/>
        </w:tabs>
        <w:numPr>
          <w:ilvl w:val="3"/>
          <w:numId w:val="151"/>
        </w:numPr>
        <w:rPr>
          <w:rFonts w:ascii="Arial" w:cs="Arial" w:eastAsia="Arial" w:hAnsi="Arial"/>
          <w:sz w:val="18"/>
          <w:szCs w:val="18"/>
          <w:color w:val="auto"/>
        </w:rPr>
      </w:pPr>
      <w:r>
        <w:rPr>
          <w:rFonts w:ascii="Arial" w:cs="Arial" w:eastAsia="Arial" w:hAnsi="Arial"/>
          <w:sz w:val="18"/>
          <w:szCs w:val="18"/>
          <w:color w:val="auto"/>
        </w:rPr>
        <w:t>each copy document relating to it specified in the director’s certificate is correct, complete and in full force and effect and has not been amended or superseded as at a date no earlier than the date of this Agreement.</w:t>
      </w:r>
    </w:p>
    <w:p>
      <w:pPr>
        <w:spacing w:after="0" w:line="170" w:lineRule="exact"/>
        <w:rPr>
          <w:rFonts w:ascii="Arial" w:cs="Arial" w:eastAsia="Arial" w:hAnsi="Arial"/>
          <w:sz w:val="18"/>
          <w:szCs w:val="18"/>
          <w:color w:val="auto"/>
        </w:rPr>
      </w:pPr>
    </w:p>
    <w:p>
      <w:pPr>
        <w:jc w:val="both"/>
        <w:ind w:firstLine="1304"/>
        <w:spacing w:after="0" w:line="284" w:lineRule="auto"/>
        <w:tabs>
          <w:tab w:leader="none" w:pos="1945"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The Administrative Agent shall have received, on behalf of itself, the Collateral Agent, the Lead Arrangers and the Lenders, (i) a written opinion of Cahill Gordon &amp; Reindel LLP, New York counsel for the Loan Parties, in form and substance reasonably acceptable to the Administrative Agent, (ii) a capacity and authority opinion of A&amp;L Goodbody LLP, Irish counsel for the Loan Parties, in form and substance reasonably acceptable to the Administrative Agent, (iii) an enforceability opinion of Matheson, Irish counsel for the Lead Arrangers, the Administrative Agent and the Lenders, in form and substance reasonably acceptable to the Administrative Agent, (iv) a capacity and authority opinion of Loyens &amp; Loeff Luxembourg S.à r.l., Luxembourg counsel for the Loan Parties, in form and substance reasonably acceptable to the Administrative Agent,</w:t>
      </w:r>
    </w:p>
    <w:p>
      <w:pPr>
        <w:spacing w:after="0" w:line="4" w:lineRule="exact"/>
        <w:rPr>
          <w:rFonts w:ascii="Arial" w:cs="Arial" w:eastAsia="Arial" w:hAnsi="Arial"/>
          <w:sz w:val="16"/>
          <w:szCs w:val="16"/>
          <w:color w:val="auto"/>
        </w:rPr>
      </w:pPr>
    </w:p>
    <w:p>
      <w:pPr>
        <w:jc w:val="both"/>
        <w:ind w:firstLine="8"/>
        <w:spacing w:after="0" w:line="281" w:lineRule="auto"/>
        <w:tabs>
          <w:tab w:leader="none" w:pos="26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 enforceability opinion of NautaDutilh Avocats Luxembourg S.à r.l., Luxembourg counsel for the Lead Arrangers, the Administrative Agent and the Lenders, in form and substance reasonably acceptable to the Administrative Agent, and (vi) a written opinion of McGuire Woods LLP, Virginia counsel for the Loan Parties, in form and substance reasonably acceptable to the Administrative Agent, in each case (A) dated the Closing Date, (B) addressed to the Administrative Agent, the Collateral Agent, the Lead Arrangers, the Lenders and the Issuing Banks, and, in each case, each of their permitted assigns, and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 each Borrower and each other Loan Party and the Administrative Agent hereby request such counsel to deliver such opinions.</w:t>
      </w:r>
    </w:p>
    <w:p>
      <w:pPr>
        <w:spacing w:after="0" w:line="210" w:lineRule="exact"/>
        <w:rPr>
          <w:rFonts w:ascii="Arial" w:cs="Arial" w:eastAsia="Arial" w:hAnsi="Arial"/>
          <w:sz w:val="16"/>
          <w:szCs w:val="16"/>
          <w:color w:val="auto"/>
        </w:rPr>
      </w:pPr>
    </w:p>
    <w:p>
      <w:pPr>
        <w:ind w:left="1980" w:hanging="676"/>
        <w:spacing w:after="0"/>
        <w:tabs>
          <w:tab w:leader="none" w:pos="1980"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Specified Representations</w:t>
      </w:r>
      <w:r>
        <w:rPr>
          <w:rFonts w:ascii="Arial" w:cs="Arial" w:eastAsia="Arial" w:hAnsi="Arial"/>
          <w:sz w:val="16"/>
          <w:szCs w:val="16"/>
          <w:color w:val="auto"/>
        </w:rPr>
        <w:t>. The Specified Representations shall be true and correct in all material respects on the Closing Date.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7" w:name="page148"/>
    <w:bookmarkEnd w:id="147"/>
    <w:p>
      <w:pPr>
        <w:jc w:val="both"/>
        <w:ind w:left="-20" w:firstLine="1304"/>
        <w:spacing w:after="0" w:line="255" w:lineRule="auto"/>
        <w:tabs>
          <w:tab w:leader="none" w:pos="204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Acquisition Agreement Representations</w:t>
      </w:r>
      <w:r>
        <w:rPr>
          <w:rFonts w:ascii="Arial" w:cs="Arial" w:eastAsia="Arial" w:hAnsi="Arial"/>
          <w:sz w:val="18"/>
          <w:szCs w:val="18"/>
          <w:color w:val="auto"/>
        </w:rPr>
        <w:t>. The Acquisition Agreement Representations shall be true and correct in all material respects on the Closing Date (except to the extent such representations and warranties speak as of an earlier date, in which case representations and warranties shall be true and correct in all material respects as of such earlier date), but only to the extent that Holdings (or its applicable subsidiaries) have the right (taking into account any applicable cure periods) to terminate its obligation to consummate the Acquisition under the Acquisition Agreement or the right not to consummate the Acquisition pursuant to the Acquisition Agreement as a result of a breach of such representations and warranties, in each case, in accordance with the terms thereof.</w:t>
      </w:r>
    </w:p>
    <w:p>
      <w:pPr>
        <w:spacing w:after="0" w:line="192" w:lineRule="exact"/>
        <w:rPr>
          <w:rFonts w:ascii="Arial" w:cs="Arial" w:eastAsia="Arial" w:hAnsi="Arial"/>
          <w:sz w:val="18"/>
          <w:szCs w:val="18"/>
          <w:color w:val="auto"/>
        </w:rPr>
      </w:pPr>
    </w:p>
    <w:p>
      <w:pPr>
        <w:ind w:left="-20" w:firstLine="1304"/>
        <w:spacing w:after="0" w:line="277" w:lineRule="auto"/>
        <w:tabs>
          <w:tab w:leader="none" w:pos="203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xml:space="preserve"> The Acquisition shall have been consummated, or substantially simultaneously with the Borrowing of the Loans hereunder shall be consummated, in accordance with the Acquisition Agreement in all material respects.</w:t>
      </w:r>
    </w:p>
    <w:p>
      <w:pPr>
        <w:spacing w:after="0" w:line="170" w:lineRule="exact"/>
        <w:rPr>
          <w:rFonts w:ascii="Arial" w:cs="Arial" w:eastAsia="Arial" w:hAnsi="Arial"/>
          <w:sz w:val="18"/>
          <w:szCs w:val="18"/>
          <w:color w:val="auto"/>
        </w:rPr>
      </w:pPr>
    </w:p>
    <w:p>
      <w:pPr>
        <w:jc w:val="both"/>
        <w:ind w:left="-20" w:firstLine="1304"/>
        <w:spacing w:after="0" w:line="272" w:lineRule="auto"/>
        <w:tabs>
          <w:tab w:leader="none" w:pos="1994"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No Company Material Adverse Effect</w:t>
      </w:r>
      <w:r>
        <w:rPr>
          <w:rFonts w:ascii="Arial" w:cs="Arial" w:eastAsia="Arial" w:hAnsi="Arial"/>
          <w:sz w:val="17"/>
          <w:szCs w:val="17"/>
          <w:color w:val="auto"/>
        </w:rPr>
        <w:t>. Except (a) as disclosed in the Company SEC Documents (as defined in the Acquisition Agreement as in effect on February 24, 2021) prior to the date of the Acquisition Agreement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or (b) as set forth in the Company Disclosure Letter (as defined in the Acquisition Agreement as in effect on February 24, 2021), since the date of the Company Balance Sheet (as defined in the Acquisition Agreement as in effect on the February 24, 2021) there has not been or occurred any Company Material Adverse Effect (as defined in the Acquisition Agreement as in effect February 24, 2021).</w:t>
      </w:r>
    </w:p>
    <w:p>
      <w:pPr>
        <w:spacing w:after="0" w:line="177" w:lineRule="exact"/>
        <w:rPr>
          <w:rFonts w:ascii="Arial" w:cs="Arial" w:eastAsia="Arial" w:hAnsi="Arial"/>
          <w:sz w:val="17"/>
          <w:szCs w:val="17"/>
          <w:color w:val="auto"/>
        </w:rPr>
      </w:pPr>
    </w:p>
    <w:p>
      <w:pPr>
        <w:jc w:val="both"/>
        <w:ind w:left="-20" w:firstLine="1304"/>
        <w:spacing w:after="0" w:line="286" w:lineRule="auto"/>
        <w:tabs>
          <w:tab w:leader="none" w:pos="210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Solvency Certificate</w:t>
      </w:r>
      <w:r>
        <w:rPr>
          <w:rFonts w:ascii="Arial" w:cs="Arial" w:eastAsia="Arial" w:hAnsi="Arial"/>
          <w:sz w:val="17"/>
          <w:szCs w:val="17"/>
          <w:color w:val="auto"/>
        </w:rPr>
        <w:t xml:space="preserve">. The Administrative Agent shall have received a certificate of Holdings, signed by a director or senior financial officer of Holdings, in substantially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attesting to the solvency of Holdings and its Subsidiaries (including the Borrowers and their respective Subsidiaries), taken as a whole, after giving effect to the proposed Transactions on the Closing Date.</w:t>
      </w:r>
    </w:p>
    <w:p>
      <w:pPr>
        <w:spacing w:after="0" w:line="165" w:lineRule="exact"/>
        <w:rPr>
          <w:rFonts w:ascii="Arial" w:cs="Arial" w:eastAsia="Arial" w:hAnsi="Arial"/>
          <w:sz w:val="17"/>
          <w:szCs w:val="17"/>
          <w:color w:val="auto"/>
        </w:rPr>
      </w:pPr>
    </w:p>
    <w:p>
      <w:pPr>
        <w:jc w:val="both"/>
        <w:ind w:left="-20" w:firstLine="1304"/>
        <w:spacing w:after="0" w:line="311" w:lineRule="auto"/>
        <w:tabs>
          <w:tab w:leader="none" w:pos="2111"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To the extent invoiced at least three (3) Business Days prior to the Closing Date (except as otherwise agreed by the Borrowers), all costs, fees, expenses (including, without limitation, legal fees and expenses) and other compensation payable to each Lead Arranger, each Agent and the Lenders pursuant to any written agreement among any such parties and Holdings, shall have been paid to the extent due.</w:t>
      </w:r>
    </w:p>
    <w:p>
      <w:pPr>
        <w:spacing w:after="0" w:line="148" w:lineRule="exact"/>
        <w:rPr>
          <w:rFonts w:ascii="Arial" w:cs="Arial" w:eastAsia="Arial" w:hAnsi="Arial"/>
          <w:sz w:val="16"/>
          <w:szCs w:val="16"/>
          <w:color w:val="auto"/>
        </w:rPr>
      </w:pPr>
    </w:p>
    <w:p>
      <w:pPr>
        <w:ind w:left="-20" w:right="20" w:firstLine="1304"/>
        <w:spacing w:after="0" w:line="277" w:lineRule="auto"/>
        <w:tabs>
          <w:tab w:leader="none" w:pos="2008"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Refinancing.</w:t>
      </w:r>
      <w:r>
        <w:rPr>
          <w:rFonts w:ascii="Arial" w:cs="Arial" w:eastAsia="Arial" w:hAnsi="Arial"/>
          <w:sz w:val="18"/>
          <w:szCs w:val="18"/>
          <w:color w:val="auto"/>
        </w:rPr>
        <w:t xml:space="preserve"> The Refinancing shall have been consummated, or substantially simultaneously with the Borrowing of the Loans hereunder shall be consummated.</w:t>
      </w:r>
    </w:p>
    <w:p>
      <w:pPr>
        <w:spacing w:after="0" w:line="170" w:lineRule="exact"/>
        <w:rPr>
          <w:rFonts w:ascii="Arial" w:cs="Arial" w:eastAsia="Arial" w:hAnsi="Arial"/>
          <w:sz w:val="18"/>
          <w:szCs w:val="18"/>
          <w:color w:val="auto"/>
        </w:rPr>
      </w:pPr>
    </w:p>
    <w:p>
      <w:pPr>
        <w:jc w:val="both"/>
        <w:ind w:left="-20" w:firstLine="1304"/>
        <w:spacing w:after="0" w:line="263" w:lineRule="auto"/>
        <w:tabs>
          <w:tab w:leader="none" w:pos="2021"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The Administrative Agent shall have received unaudited consolidated financial statements of the Target and its subsidiaries for the fiscal quarter ended March 31,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filing of the required financial statements on form 10-Q by the Target will satisfy the foregoing requirements.</w:t>
      </w:r>
    </w:p>
    <w:p>
      <w:pPr>
        <w:spacing w:after="0" w:line="183" w:lineRule="exact"/>
        <w:rPr>
          <w:rFonts w:ascii="Arial" w:cs="Arial" w:eastAsia="Arial" w:hAnsi="Arial"/>
          <w:sz w:val="18"/>
          <w:szCs w:val="18"/>
          <w:color w:val="auto"/>
        </w:rPr>
      </w:pPr>
    </w:p>
    <w:p>
      <w:pPr>
        <w:ind w:left="1940" w:hanging="656"/>
        <w:spacing w:after="0"/>
        <w:tabs>
          <w:tab w:leader="none" w:pos="19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A Borrowing Request shall have been delivered in accordance with the terms of Section 2.03.</w:t>
      </w:r>
    </w:p>
    <w:p>
      <w:pPr>
        <w:spacing w:after="0" w:line="225" w:lineRule="exact"/>
        <w:rPr>
          <w:rFonts w:ascii="Arial" w:cs="Arial" w:eastAsia="Arial" w:hAnsi="Arial"/>
          <w:sz w:val="18"/>
          <w:szCs w:val="18"/>
          <w:color w:val="auto"/>
        </w:rPr>
      </w:pPr>
    </w:p>
    <w:p>
      <w:pPr>
        <w:jc w:val="both"/>
        <w:ind w:left="-20" w:firstLine="1304"/>
        <w:spacing w:after="0" w:line="257" w:lineRule="auto"/>
        <w:tabs>
          <w:tab w:leader="none" w:pos="2003"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The Administrative Agent (or its counsel) shall have received (i) certificates evidencing Equity Interests of wholly-owned Domestic Subsidiaries that are Material Subsidiaries of Holdings (to the extent available to Holdings) and the Target and its Domestic Subsidiaries (in the case of the Target and its Domestic Subsidiaries, to the extent delivered to Holdings by the Target prior to the Closing Date), to the extent certificated and required to be pledged as set out in the Loan Documents, and (ii) copies of UCC financing statements for entities organized in the United States.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48" w:name="page149"/>
    <w:bookmarkEnd w:id="148"/>
    <w:p>
      <w:pPr>
        <w:jc w:val="both"/>
        <w:ind w:firstLine="1296"/>
        <w:spacing w:after="0" w:line="269" w:lineRule="auto"/>
        <w:rPr>
          <w:sz w:val="20"/>
          <w:szCs w:val="20"/>
          <w:color w:val="auto"/>
        </w:rPr>
      </w:pPr>
      <w:r>
        <w:rPr>
          <w:rFonts w:ascii="Arial" w:cs="Arial" w:eastAsia="Arial" w:hAnsi="Arial"/>
          <w:sz w:val="17"/>
          <w:szCs w:val="17"/>
          <w:color w:val="auto"/>
        </w:rPr>
        <w:t>Notwithstanding anything in this Agreement to the contrary, it is understood that only Holdings, the Borrowers and the other Loan Parties organized under the laws of the United States shall be required to provide guarantees and Collateral (subject to the terms set forth in this paragraph) on the Closing Date and the other Loan Parties may instead provide guarantees and Collateral within forty-five (45) Business Days after the Closing Date (subject to extensions to be reasonably agreed upon by the Administrative Agent), and to the extent any Collateral (including the grant or perfection of any security interest, other than (x) the delivery of certificates evidencing Equity Interests of wholly-owned Domestic Subsidiaries that are Material Subsidiaries of Holdings (to the extent available to Holdings) and the Target and its Domestic Subsidiaries (in the case of the Target and its Domestic Subsidiaries, to the extent delivered to Holdings by the Target prior to the Closing Date), to the extent certificated and required to be pledged as set out in the Loan Documents, and (y) any Collateral the security interest in which may be perfected by the filing of a UCC financing statement for entities organized in the United States) is not or cannot reasonably be provided on the Closing Date after Holdings’ use of commercially reasonable efforts to do so or without undue burden or expense, then the provision of such collateral and perfection therein shall not constitute a condition precedent to the availability of the Loans on the Closing Date, but may instead be provided or perfected within ninety (90) days after the Closing Date (in each case, subject to extensions to be reasonably agreed upon by the Administrative Agent).</w:t>
      </w:r>
    </w:p>
    <w:p>
      <w:pPr>
        <w:spacing w:after="0" w:line="17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Without limiting the generality of the provisions of Section 9.03(b), for purposes of determining compliance with the conditions specified in this Section 4.01, each Lender that has signed this Agreement shall be deemed to have consented to, approved or accepted or the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 after the Closing Date</w:t>
      </w:r>
      <w:r>
        <w:rPr>
          <w:rFonts w:ascii="Arial" w:cs="Arial" w:eastAsia="Arial" w:hAnsi="Arial"/>
          <w:sz w:val="18"/>
          <w:szCs w:val="18"/>
          <w:color w:val="auto"/>
        </w:rPr>
        <w:t>. Subject to Section 1.07(f), the obligation of each Lender to make a Loan on the occasion of any Borrowing, and of any Issuing Bank to issue, amend, renew or extend any Letter of Credit, after the Closing Date is subject to the satisfaction of the following conditions:</w:t>
      </w:r>
    </w:p>
    <w:p>
      <w:pPr>
        <w:spacing w:after="0" w:line="184" w:lineRule="exact"/>
        <w:rPr>
          <w:sz w:val="20"/>
          <w:szCs w:val="20"/>
          <w:color w:val="auto"/>
        </w:rPr>
      </w:pPr>
    </w:p>
    <w:p>
      <w:pPr>
        <w:jc w:val="both"/>
        <w:ind w:firstLine="1304"/>
        <w:spacing w:after="0" w:line="273" w:lineRule="auto"/>
        <w:tabs>
          <w:tab w:leader="none" w:pos="203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Except as set forth in Section 2.20(d) with respect to Incremental Loans used to finance a Limited Condition Transaction, the representations and warranties of Holdings, each Borrower and their respective Restricted Subsidiaries set forth in this Agreement shall be true and correct in all material respects (or, if qualified as to “materiality” or “Material Adverse Effect”, in all respects) on and as of the date of such Borrowing or the date of issuance, amendment, renewal or extension of such Letter of Credit, as applicable, except in the case of any such representation and warranty that expressly relates to an earlier date, in which case such representation and warranty shall be true and correct in all material respects (or, if qualified by materiality or “Material Adverse Effect”, in all respects) as of such earlier date.</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9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as set forth in Section 2.20(d) with respect to Incremental Loans used to finance a Limited Condition Transaction, at the time of and immediately after giving effect to such Borrowing or the date of issuance, amendment, renewal or extension of such Letter of Credit, as applicable, no Default or Event of Default shall have occurred and be continuing.</w:t>
      </w:r>
    </w:p>
    <w:p>
      <w:pPr>
        <w:spacing w:after="0" w:line="183" w:lineRule="exact"/>
        <w:rPr>
          <w:rFonts w:ascii="Arial" w:cs="Arial" w:eastAsia="Arial" w:hAnsi="Arial"/>
          <w:sz w:val="18"/>
          <w:szCs w:val="18"/>
          <w:color w:val="auto"/>
        </w:rPr>
      </w:pPr>
    </w:p>
    <w:p>
      <w:pPr>
        <w:ind w:firstLine="1304"/>
        <w:spacing w:after="0" w:line="277" w:lineRule="auto"/>
        <w:tabs>
          <w:tab w:leader="none" w:pos="1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Borrowing Request shall have been delivered in accordance with the terms of Section 2.03 or a Letter of Credit application in accordance with the terms of Section 2.06(b).</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9" w:name="page150"/>
    <w:bookmarkEnd w:id="149"/>
    <w:p>
      <w:pPr>
        <w:jc w:val="both"/>
        <w:ind w:right="20" w:firstLine="1296"/>
        <w:spacing w:after="0" w:line="308" w:lineRule="auto"/>
        <w:rPr>
          <w:sz w:val="20"/>
          <w:szCs w:val="20"/>
          <w:color w:val="auto"/>
        </w:rPr>
      </w:pPr>
      <w:r>
        <w:rPr>
          <w:rFonts w:ascii="Arial" w:cs="Arial" w:eastAsia="Arial" w:hAnsi="Arial"/>
          <w:sz w:val="17"/>
          <w:szCs w:val="17"/>
          <w:color w:val="auto"/>
        </w:rPr>
        <w:t>Each Borrowing and each issuance, amendment, renewal or extension of a Letter of Credit shall be deemed to constitute a representation and warranty by the Applicable Borrower on the date thereof as to the matters specified in paragraphs (a) and (b) of this Section 4.02.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From the Closing Date until the Commitments have expired or been terminated and the principal of and interest on each Loan and all fees payable hereunder shall have been paid in full, and all Letters of Credit shall have expired, terminated or been Cash Collateralized and all LC Disbursements shall have been reimbursed, the Loan Parties covenant and agree with the Lenders that:</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Holdings will furnish to the Administrative Agent, on behalf of each Lender:</w:t>
      </w:r>
    </w:p>
    <w:p>
      <w:pPr>
        <w:spacing w:after="0" w:line="225" w:lineRule="exact"/>
        <w:rPr>
          <w:sz w:val="20"/>
          <w:szCs w:val="20"/>
          <w:color w:val="auto"/>
        </w:rPr>
      </w:pPr>
    </w:p>
    <w:p>
      <w:pPr>
        <w:jc w:val="both"/>
        <w:ind w:firstLine="1304"/>
        <w:spacing w:after="0" w:line="254" w:lineRule="auto"/>
        <w:tabs>
          <w:tab w:leader="none" w:pos="201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within one hundred twenty (120) days after the end of each fiscal year of Holdings, an audited consolidated balance sheet and related statements of operations, shareholders’ equity and cash flows for Holdings and its consolidated Subsidiaries as of the end of and for such year, setting forth in each case in comparative form the figures for the previous fiscal year (if any), with such audited balance sheet and related consolidated financial statements audited by KPMG LLP or other independent public accountants of recognized national standing (without a “going concern” or like qualification or exception and without any qualification or exception as to the scope of such audit, except to the extent solely due to the scheduled occurrence of a Maturity Date within one year from the date of such audit or failure to comply with Section 6.12) to the effect that such consolidated financial statements present fairly in all material respects the financial condition and results of operations of Holdings and its consolidated Subsidiaries on a consolidated basis in accordance with GAAP consistently applied;</w:t>
      </w:r>
    </w:p>
    <w:p>
      <w:pPr>
        <w:spacing w:after="0" w:line="191" w:lineRule="exact"/>
        <w:rPr>
          <w:rFonts w:ascii="Arial" w:cs="Arial" w:eastAsia="Arial" w:hAnsi="Arial"/>
          <w:sz w:val="18"/>
          <w:szCs w:val="18"/>
          <w:color w:val="auto"/>
        </w:rPr>
      </w:pPr>
    </w:p>
    <w:p>
      <w:pPr>
        <w:jc w:val="both"/>
        <w:ind w:firstLine="1304"/>
        <w:spacing w:after="0" w:line="273" w:lineRule="auto"/>
        <w:tabs>
          <w:tab w:leader="none" w:pos="211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within sixty (60) days after the end of each of the first three fiscal quarters of each fiscal year of Holdings, a consolidated balance sheet and related statements of operations and cash flows for Holdings and its consolidated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177" w:lineRule="exact"/>
        <w:rPr>
          <w:rFonts w:ascii="Arial" w:cs="Arial" w:eastAsia="Arial" w:hAnsi="Arial"/>
          <w:sz w:val="17"/>
          <w:szCs w:val="17"/>
          <w:color w:val="auto"/>
        </w:rPr>
      </w:pPr>
    </w:p>
    <w:p>
      <w:pPr>
        <w:jc w:val="both"/>
        <w:ind w:firstLine="1304"/>
        <w:spacing w:after="0" w:line="271" w:lineRule="auto"/>
        <w:tabs>
          <w:tab w:leader="none" w:pos="2252"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within five (5) Business Days after any delivery of financial statements under clause (a) or (b) above, a certificate (a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of a Financial Officer of Holdings (1) certifying as to whether a Default has occurred and, if a Default has occurred, specifying the details thereof and any action taken or proposed to be taken with respect thereto, (2) commencing with the certificate delivered pursuant to clause (b) above for the first full fiscal quarter ending after the Closing Date setting forth (i) a calculation of the Total Net Leverage Ratio as of the last day of the most recent Test Period (ii) a calculation of the First Lien Net Leverage Ratio as of the last day of the most recent Test Period and (iii) a calculation of the Secured Net Leverage Ratio as of the last day of the most recent Test Period and (3) solely in the case of Compliance Certificates accompanying financial statements referred to in clause (a) above, (i) confirming whether the Guarantor Coverage Test is satisfied and setting forth computations thereof in reasonable detail and (ii) setting forth a calculation of Excess Cash Flow with respect to such fiscal year;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0" w:name="page151"/>
    <w:bookmarkEnd w:id="150"/>
    <w:p>
      <w:pPr>
        <w:jc w:val="both"/>
        <w:ind w:firstLine="1304"/>
        <w:spacing w:after="0" w:line="257" w:lineRule="auto"/>
        <w:tabs>
          <w:tab w:leader="none" w:pos="201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any period for which the Unrestricted Subsidiaries, taken together, are reasonably anticipated to have had revenues or total assets in an amount that is equal to or greater than 10% of the consolidated revenues or total assets, as applicable, of Holdings and its Restricted Subsidiaries, concurrently with the delivery of each set of consolidated financial statements referred to in Sections 5.01(a) and 5.01(b) above, if applicable, the related consolidating financial statements reflecting the adjustments necessary to eliminate the accounts of such Unrestricted Subsidiaries from such consolidated financial statements;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9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promptly after any request therefor, such other information regarding the operations, business affairs and financial condition of Holdings or any Restricted Subsidiary, or compliance with the terms of any Loan Document, as may be reasonably requested by the Administrative Agent or by any Lender through the Administrative Agent;</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218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concurrently with the delivery of the certificate of a Financial Officer of Holdings under clause (c) above with respect to financial statements delivered pursuant to clause (a) above, a Perfection Certificate Supplement reflecting all changes since the Closing Date or the date of the information most recently received pursuant to this Section 5.01(f), as applicable (or, if there have been no changes to any such schedules since the Closing Date or the previous update required hereby, as applicable, a certification of a Financial Officer of Holdings (which may, at the option of Holdings, be included in the Compliance Certificate) as to the absence of any changes);</w:t>
      </w:r>
    </w:p>
    <w:p>
      <w:pPr>
        <w:spacing w:after="0" w:line="187" w:lineRule="exact"/>
        <w:rPr>
          <w:rFonts w:ascii="Arial" w:cs="Arial" w:eastAsia="Arial" w:hAnsi="Arial"/>
          <w:sz w:val="18"/>
          <w:szCs w:val="18"/>
          <w:color w:val="auto"/>
        </w:rPr>
      </w:pPr>
    </w:p>
    <w:p>
      <w:pPr>
        <w:ind w:firstLine="1304"/>
        <w:spacing w:after="0" w:line="277" w:lineRule="auto"/>
        <w:tabs>
          <w:tab w:leader="none" w:pos="196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concurrently with the delivery of each set of consolidated financial statements referred to in Sections 5.01(a) and 5.01(b) above, the related customary management discussion and analysis; and</w:t>
      </w:r>
    </w:p>
    <w:p>
      <w:pPr>
        <w:spacing w:after="0" w:line="170" w:lineRule="exact"/>
        <w:rPr>
          <w:rFonts w:ascii="Arial" w:cs="Arial" w:eastAsia="Arial" w:hAnsi="Arial"/>
          <w:sz w:val="18"/>
          <w:szCs w:val="18"/>
          <w:color w:val="auto"/>
        </w:rPr>
      </w:pPr>
    </w:p>
    <w:p>
      <w:pPr>
        <w:ind w:firstLine="1304"/>
        <w:spacing w:after="0" w:line="277" w:lineRule="auto"/>
        <w:tabs>
          <w:tab w:leader="none" w:pos="1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within five (5) Business Days of receipt of notice thereof by Holdings, written notice of any announcement by S&amp;P of a change in Holdings’ corporate credit rating.</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In no event shall the requirements set forth in this Section 5.01 require Holdings, the Borrowers or any of their Restricted Subsidiaries to provide any such information (i) which constitutes non-financial trade secrets or non-financial proprietary information, (ii) in respect of which disclosure to the Administrative Agent or any Lender (or their respective representatives or contractors) is prohibited by Law or (iii) which is subject to attorney-client or similar privilege or constitutes attorney work-product; provided that Holdings or a Restricted Subsidiary shall provide notice to the Administrative Agent that information has not been provided pursuant to this paragraph to the extent permitted by Law and not in contravention of such privilege.</w:t>
      </w:r>
    </w:p>
    <w:p>
      <w:pPr>
        <w:spacing w:after="0" w:line="16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Information required to be delivered pursuant to Sections 5.01(a), 5.01(b) and 5.01(f) shall be deemed to have been delivered if such information, or one or more annual, quarterly or other periodic reports containing such information, shall have been posted by the Administrative Agent on an IntraLinks or similar site to which the Lenders have been granted access or be available on the website of the SEC at http://www.sec.gov;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Holdings shall be required to provide copies of the Compliance Certificate. Information required to be delivered pursuant to this Section 5.01 may also be delivered by electronic communications pursuant to procedures approved by the Administrative Agent. In the event any financial statements delivered under clause (a) or (b) above shall be restated, the Borrowers shall deliver, promptly after such restated financial statements become available, revised Compliance Certificates with respect to the periods covered thereby that give effect to such restatement, signed by a Financial Officer of Holdings.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1" w:name="page152"/>
    <w:bookmarkEnd w:id="151"/>
    <w:p>
      <w:pPr>
        <w:jc w:val="both"/>
        <w:ind w:firstLine="1296"/>
        <w:spacing w:after="0" w:line="268" w:lineRule="auto"/>
        <w:rPr>
          <w:sz w:val="20"/>
          <w:szCs w:val="20"/>
          <w:color w:val="auto"/>
        </w:rPr>
      </w:pPr>
      <w:r>
        <w:rPr>
          <w:rFonts w:ascii="Arial" w:cs="Arial" w:eastAsia="Arial" w:hAnsi="Arial"/>
          <w:sz w:val="17"/>
          <w:szCs w:val="17"/>
          <w:color w:val="auto"/>
        </w:rPr>
        <w:t>Holdings and each Borrower hereby acknowledges that (a) the Administrative Agent and the Lead Arrangers will make available to the Lenders materials and/or information provided by or on behalf of Holdings and the Borrowers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Holdings, the Borrowers or their respective Subsidiaries, or the respective securities of any of the foregoing, and who may be engaged in investment and other market-related activities with respect to such Persons’ securities. Holdings and each Borrower hereby agrees that (w) all Borrower Materials that are to be made available to Public Lenders (other than materials made available on the website of the SEC) shall be clearly and conspicuously marked “PUBLIC” which, at a minimum, shall mean that the word “PUBLIC” shall appear prominently on the first page thereof; (x) by marking Borrower Materials “PUBLIC,” Holdings and each Borrower shall be deemed to have authorized the Administrative Agent, the Lead Arrangers and the Lenders to treat the Borrower Materials as not containing any material non-public information with respect to Holdings, each Borrower or their respective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 Borrower Materials constitute Information, they shall be treated as set forth in Section 9.12); (y) all Borrower Materials marked “PUBLIC” are permitted to be made available through a portion of the Platform designated “Public Side Information”; and (z) the Administrative Agent and the Lead Arrangers shall be entitled to treat any Borrower Materials that are not marked “PUBLIC” as being suitable only for posting on a portion of the Platform not designated “Public Side Information”.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Holdings and each Restricted Subsidiary will, upon knowledge thereof by a Responsible Officer, furnish to the Administrative Agent prompt written notice of the following:</w:t>
      </w:r>
    </w:p>
    <w:p>
      <w:pPr>
        <w:spacing w:after="0" w:line="170" w:lineRule="exact"/>
        <w:rPr>
          <w:sz w:val="20"/>
          <w:szCs w:val="20"/>
          <w:color w:val="auto"/>
        </w:rPr>
      </w:pPr>
    </w:p>
    <w:p>
      <w:pPr>
        <w:ind w:left="1960" w:hanging="656"/>
        <w:spacing w:after="0"/>
        <w:tabs>
          <w:tab w:leader="none" w:pos="1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firstLine="1304"/>
        <w:spacing w:after="0" w:line="308" w:lineRule="auto"/>
        <w:tabs>
          <w:tab w:leader="none" w:pos="200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Holdings, Borrower or any Subsidiary or Affiliate thereof that could reasonably be expected to result in a Material Adverse Effect;</w:t>
      </w:r>
    </w:p>
    <w:p>
      <w:pPr>
        <w:spacing w:after="0" w:line="146" w:lineRule="exact"/>
        <w:rPr>
          <w:rFonts w:ascii="Arial" w:cs="Arial" w:eastAsia="Arial" w:hAnsi="Arial"/>
          <w:sz w:val="17"/>
          <w:szCs w:val="17"/>
          <w:color w:val="auto"/>
        </w:rPr>
      </w:pPr>
    </w:p>
    <w:p>
      <w:pPr>
        <w:ind w:firstLine="1304"/>
        <w:spacing w:after="0" w:line="277" w:lineRule="auto"/>
        <w:tabs>
          <w:tab w:leader="none" w:pos="200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or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any contribution required to be made with respect to a Non-U.S. Plan has not been timely made or (ii) Holdings or any Subsidiary has incurred any obligation in connection with the termination of, or withdrawal from, any Non-U.S. Plan, in each case, to the extent that such event could reasonably be expected to result in a Material Adverse Effect.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notice delivered under this Section 5.02 shall be accompanied by a statement of a Responsible Officer of Holdings setting forth the details of the event or development requiring such notice and any action taken or proposed to be taken with respect thereto. Information required to be delivered pursuant to clause (b) of this Section 5.02 shall be deemed to have been delivered if such information, or one or more annual or quarterly or other periodic reports containing such information, shall have been posted by the Administrative Agent on an IntraLinks or similar site to which the Lenders have been granted access or shall be available on the website of the SEC at http://www.sec.gov. Information required to be delivered pursuant to this Section 5.02 may also be delivered by electronic communications pursuant to procedures approved by the Administrative Agent.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2" w:name="page153"/>
    <w:bookmarkEnd w:id="152"/>
    <w:p>
      <w:pPr>
        <w:jc w:val="both"/>
        <w:ind w:firstLine="648"/>
        <w:spacing w:after="0" w:line="271"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Existence; Conduct of Business</w:t>
      </w:r>
      <w:r>
        <w:rPr>
          <w:rFonts w:ascii="Arial" w:cs="Arial" w:eastAsia="Arial" w:hAnsi="Arial"/>
          <w:sz w:val="17"/>
          <w:szCs w:val="17"/>
          <w:color w:val="auto"/>
        </w:rPr>
        <w:t xml:space="preserve">. Holdings and the Borrowers will, and will cause each of their respective Material Subsidiaries to, do or cause to be done all things necessary to preserve, renew and keep in full force and effect its legal existence and the rights, qualifications, licenses, permits, privileges, franchises, governmental authorizations and intellectual property rights material to the conduct of its business, and maintain all requisite authority to conduct its business in each jurisdiction in which its business is conducted;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foregoing shall not prohibit any Disposition, merger, amalgamation, consolidation, liquidation or dissolution permitted under Section 6.03 or Section 6.11 and (ii) neither Holdings nor any of its Material Subsidiaries shall be required to preserve any right, license, permit, privilege, franchise, patent, copyright, trademark, trade name or other intellectual property rights which in the reasonable good faith determination of Holdings are not useful or material to the conduct of the business of Holdings or its Material Subsidiaries, taken as a whole.</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Payment of Obligations</w:t>
      </w:r>
      <w:r>
        <w:rPr>
          <w:rFonts w:ascii="Arial" w:cs="Arial" w:eastAsia="Arial" w:hAnsi="Arial"/>
          <w:sz w:val="17"/>
          <w:szCs w:val="17"/>
          <w:color w:val="auto"/>
        </w:rPr>
        <w:t>. Holdings and the Borrowers will, and will cause each of their Restricted Subsidiaries to, pay, discharge or otherwise satisfy, as the same shall become due and payable, all of their obligations and liabilities, including Tax liabilities, except where (a) the validity or amount thereof is being contested in good faith by appropriate proceedings diligently conducted and Holdings, the Borrowers or such Restricted Subsidiary has set aside on its books adequate reserves with respect thereto in accordance with, and to the extent required by, applicable accounting principles or (b) the failure to do so could not reasonably be expected to result in a Material Adverse Effect.</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 Holdings will, and will cause each of the Material Subsidiaries to, (a) keep and maintain all tangible property material to the conduct of its business in good working order and condition, ordinary wear and tear excepted, and (b) maintain with financially sound and reputable carriers (i) insurance in such amounts (with no greater risk retention) and against such risks and such other hazards, as is customarily maintained by companies of established repute engaged in the same or similar businesses operating in the same or similar locations and (ii) all insurance required pursuant to the Collateral Documents. Holdings and the Borrowers will furnish to the Lenders, upon request of the Administrative Agent, information in reasonable detail as to the insurance so maintained. Holdings and the Borrowers shall, within 90 days following the Closing Date (or such later date to which the Administrative Agent consents, such consent not to be unreasonably withheld or delayed) deliver to the Administrative Agent and the Collateral Agent endorsements (x) to all “All Risk” physical damage insurance policies on all of the Loan Parties’ tangible personal property and assets located in the United States of America naming the Collateral Agent as lender loss payee, and (y) to all general liability policies naming the Administrative Agent and the Collateral Agent an additional insured. In the event Holdings, the Borrowers or any of their respective Material Subsidiaries at any time or times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Holdings and the Borrowers will, and will cause each of their respective Material Subsidiaries to, keep proper books of record and account in which full, true and correct entries in conformity with GAAP and applicable law are made of all material financial dealings and transactions in relation to its business and activities. Holdings and the Borrowers will, and will cause each of their respective Material Subsidiaries to, permit any representatives designated by the Administrative Agent (pursuant to a request made through the Administrative Agent), at reasonable times upon reasonable prior notice (but not more than once annually if no Event of Default shall exist), to visit and inspect its properties, to examine and make extracts from its books and records, including examination of its existing assessment reports and Phase I or Phase II studies, and to discuss its affairs, finances and condition with its officers and independent accountants, all at such reasonable times and as often as reasonably requested. Holdings and the Borrowers acknowledge that the Administrative Agent, after exercising its rights of inspection, may prepare and distribute to the Lenders certain reports pertaining to Holdings and its Material Subsidiaries’ assets for internal use by the Administrative Agent and the Lenders.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3" w:name="page154"/>
    <w:bookmarkEnd w:id="153"/>
    <w:p>
      <w:pPr>
        <w:jc w:val="both"/>
        <w:ind w:firstLine="648"/>
        <w:spacing w:after="0" w:line="293"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Holdings and the Borrowers will, and will cause each of their respective Subsidiaries to, (i) comply with all laws, rules, regulations and orders of any Governmental Authority applicable to it or its property (including without limitation, Benefit Plan Laws and Environmental Laws); (ii) complete any investigation, study, sampling and testing and undertake any clean up, removal, remediation or other response necessary to remove and clean up any Release of Hazardous Materials, to the extent required under Environmental Laws; and (iii) respond to any action, suit or proceeding asserting any Environmental Liability against Holdings, the Borrowers and each of their respective Subsidiaries, except, in each case of clause (i)-(iii), where the failure to do so, either individually or in the aggregate, would not reasonably be expected to result in a Material Adverse Effect.</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Borrowers shall use the proceeds of (i) the Term Loans, together with the proceeds of the New Notes and available cash, to finance the Transactions and the Refinancing and to pay any related fees and expenses and (ii) the Revolving Loans and the Letters of Credit for any purpose not otherwise prohibited under this Agreement, including for general corporate purposes, working capital needs, the repayment of Indebtedness, the making of Restricted Payments and the making of Investments.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Subsidiary Guarantors; Pledges; Additional Collateral; Further Assurances; Guarantor Coverage Test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7" w:lineRule="auto"/>
        <w:tabs>
          <w:tab w:leader="none" w:pos="197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Within the time periods specified in Section 5.09(e) below, as applicable, after any Person becomes a Restricted Subsidiary that is not an Excluded Subsidiary or any Excluded Subsidiary that is not an Unrestricted Subsidiary ceases to be an Excluded Subsidiary (in each case, solely if such Person or Subsidiary is organized in any Covered Jurisdiction) (including by qualifying independently as, or being designated by the Borrowers as, a Material Subsidiary, which in the case of a qualification shall be the date on which financial statements have been delivered pursuant to Section 5.01 that demonstrate such qualification) or is required to become a Guarantor pursuant to Section 5.09(f) (in each case, a “</w:t>
      </w:r>
      <w:r>
        <w:rPr>
          <w:rFonts w:ascii="Arial" w:cs="Arial" w:eastAsia="Arial" w:hAnsi="Arial"/>
          <w:sz w:val="16"/>
          <w:szCs w:val="16"/>
          <w:u w:val="single" w:color="auto"/>
          <w:color w:val="auto"/>
        </w:rPr>
        <w:t>New Loan Party</w:t>
      </w:r>
      <w:r>
        <w:rPr>
          <w:rFonts w:ascii="Arial" w:cs="Arial" w:eastAsia="Arial" w:hAnsi="Arial"/>
          <w:sz w:val="16"/>
          <w:szCs w:val="16"/>
          <w:color w:val="auto"/>
        </w:rPr>
        <w:t>”), Holdings and the Borrowers shall (subject to the Agreed Guarantee and Security Principles, in the case of any Foreign Subsidiary) cause each such New Loan Party to deliver to the Administrative Agent and the Collateral Agent a Joinder Agreement and a supplement to (i) in the case of a Domestic Subsidiary, the U.S. Security Agreement and (ii) each other applicable Collateral Document (in each case in the form contemplated thereby and modified as required in order to comply with local laws in accordance with the Agreed Guarantee and Security Principles, if applicable) pursuant to which such Subsidiary agrees to be bound by the terms and provisions of this Agreement, the U.S. Security Agreement (if applicable) and other applicable Collateral Document, to be accompanied by appropriate corporate resolutions, other corporate documentation and legal opinions as may be reasonably requested by, and in form and substance reasonably satisfactory to, the Administrative Agent, the Collateral Agent and their counsel.</w:t>
      </w:r>
    </w:p>
    <w:p>
      <w:pPr>
        <w:spacing w:after="0" w:line="167" w:lineRule="exact"/>
        <w:rPr>
          <w:rFonts w:ascii="Arial" w:cs="Arial" w:eastAsia="Arial" w:hAnsi="Arial"/>
          <w:sz w:val="16"/>
          <w:szCs w:val="16"/>
          <w:color w:val="auto"/>
        </w:rPr>
      </w:pPr>
    </w:p>
    <w:p>
      <w:pPr>
        <w:jc w:val="both"/>
        <w:ind w:firstLine="1304"/>
        <w:spacing w:after="0" w:line="270" w:lineRule="auto"/>
        <w:tabs>
          <w:tab w:leader="none" w:pos="205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 Subject to the Agreed Guarantee and Security Principles (where applicable) and Section 5.09(e), Holdings will cause, and will cause each other Loan Party to cause, all of its owned property (whether personal, tangible, intangible, or mixed but excluding Excluded Assets) to be subject at all times to perfected Liens in favor of the Collateral Agent for the benefit of the Secured Parties to secure the Secured Obligations in accordance with the terms and conditions of the Collateral Documents on a first priority basis, subject to no other Liens other than Permitted Liens and (ii) without limiting the generality of the foregoing, and subject to the Agreed Guarantee and Security Principles (where applicable) and Section 5.09(e), Holdings will cause the issued and outstanding Equity Interests of each Subsidiary directly owned by Holdings or any other Loan Party (other than Excluded Assets) to be subject at all times to a first priority (subject to Permitted Liens), perfected Lien in favor of the Collateral Agent to secure the Secured Obligations in accordance with the terms and conditions of the Collateral Documents or such other pledge and security documents as the Administrative Agent or Collateral Agent shall reasonably request.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4" w:name="page155"/>
    <w:bookmarkEnd w:id="154"/>
    <w:p>
      <w:pPr>
        <w:jc w:val="both"/>
        <w:ind w:left="-20" w:firstLine="1304"/>
        <w:spacing w:after="0" w:line="254" w:lineRule="auto"/>
        <w:tabs>
          <w:tab w:leader="none" w:pos="195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Without limiting the foregoing, but subject to the Agreed Guarantee and Security Principles and Section 5.09(e), Holdings will, and will cause each other Loan Party to, execute and deliver, or cause to be executed and delivered, to the Collateral Agent such documents, agreements and instruments, and will take or cause to be taken such further actions (including the filing and recording of financing statements, fixture filings, deeds of trust and other documents and such other actions or deliveries of the type required by Section 4.01, as applicable), which may be required by law or which the Administrative Agent or the Collateral Agent may, from time to time, reasonably request to carry out the terms and conditions of this Agreement and the other Loan Documents and to ensure perfection and priority of the Liens created or intended to be created by the Collateral Documents, all at the expense of Holdings.</w:t>
      </w:r>
    </w:p>
    <w:p>
      <w:pPr>
        <w:spacing w:after="0" w:line="194" w:lineRule="exact"/>
        <w:rPr>
          <w:rFonts w:ascii="Arial" w:cs="Arial" w:eastAsia="Arial" w:hAnsi="Arial"/>
          <w:sz w:val="18"/>
          <w:szCs w:val="18"/>
          <w:color w:val="auto"/>
        </w:rPr>
      </w:pPr>
    </w:p>
    <w:p>
      <w:pPr>
        <w:jc w:val="both"/>
        <w:ind w:left="-20" w:firstLine="1304"/>
        <w:spacing w:after="0" w:line="296" w:lineRule="auto"/>
        <w:tabs>
          <w:tab w:leader="none" w:pos="199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Subject to the Agreed Guarantee and Security Principles and Section 5.09(e), if any assets are acquired by a Loan Party (other than Excluded Assets and assets constituting Collateral that become subject to the Lien in favor of the Collateral Agent upon acquisition thereof), Holdings will notify the Administrative Agent thereof, and, if requested by the Administrative Agent, Holdings will cause such assets to be subjected to a Lien securing the Secured Obligations and will take, and cause the other Loan Parties to take, such actions as shall be necessary or reasonably requested by the Administrative Agent to grant and perfect such Liens, including actions described in paragraph (b) of this Section 5.09, all at the expense of Holdings.</w:t>
      </w:r>
    </w:p>
    <w:p>
      <w:pPr>
        <w:spacing w:after="0" w:line="161" w:lineRule="exact"/>
        <w:rPr>
          <w:rFonts w:ascii="Arial" w:cs="Arial" w:eastAsia="Arial" w:hAnsi="Arial"/>
          <w:sz w:val="16"/>
          <w:szCs w:val="16"/>
          <w:color w:val="auto"/>
        </w:rPr>
      </w:pPr>
    </w:p>
    <w:p>
      <w:pPr>
        <w:jc w:val="both"/>
        <w:ind w:left="-20" w:firstLine="1304"/>
        <w:spacing w:after="0" w:line="285" w:lineRule="auto"/>
        <w:tabs>
          <w:tab w:leader="none" w:pos="195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or in any other Loan Document but subject to clause (f) of this Section 5.09, (i) any deliverables delivered pursuant to this Section 5.09 as of the Closing Date shall be subject to the penultimate paragraph of Section 4.01, (ii) with respect to any property or assets acquired after the Closing Date or with respect to any New Loan Party, the Loan Parties shall have sixty (60) days, or ninety (90) days in the case of the Equity Interests, property or assets of, or actions required to be taken by, any Foreign Subsidiary, after the acquisition thereof or such Person becoming a New Loan Party (or such later date as may be agreed upon by the Administrative Agent in the exercise of its reasonable discretion with respect thereto) to take the actions required by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Equity Interests, property or assets of any Foreign Subsidiary acquired or any Foreign Subsidiary becoming a New Loan Party within ninety (90) days after the Closing Date, the Loan Parties shall have the longer of (A) ninety (90) days after the Closing Date and (B) ninety (90) days after such acquisition or such Person becoming a New Loan Party to take any such actions (or, in each case such later date as may be agreed upon by the Administrative Agent in the exercise of its reasonable discretion with respect thereto), and (iii) no Loan Party shall have any obligation to (A) enter into control agreements with respect to any security interest or lien in any Deposit Account or Securities Account (in each case, as defined in the UCC) included in the Collateral or provide fixed security over bank accounts, (B) perfect any security interest or lien in any intellectual property included in the Collateral in any jurisdiction other than in the United States, and solely with respect to Material Intellectual Property, Ireland or Luxembourg, (C) to obtain any landlord waivers, estoppels or collateral access letters, (D) perfect a security interest in any letter of credit rights, other than the filing of a UCC financing statement, (E) pledge Equity Interests of any partnership, joint venture or non-wholly-owned Subsidiary which are not permitted to be pledged pursuant to the terms of such partnership’s, joint venture’s or non-wholly-owned Subsidiary’s organizational, joint venture or equivalent documents (after giving effect to the applicable anti-assignment provisions of the UCC or other applicable law) and (F) no Loan Party shall be required to enter into any Collateral Documents or take any perfection steps outside of the jurisdiction of organization of such Loan Party (other than in Covered Jurisdictions, including the recordation of patent, trademark and copyright security agreements in the United States Patent and Trademark Office and the United States Copyright Office).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55" w:name="page156"/>
    <w:bookmarkEnd w:id="155"/>
    <w:p>
      <w:pPr>
        <w:jc w:val="both"/>
        <w:ind w:firstLine="1304"/>
        <w:spacing w:after="0" w:line="268" w:lineRule="auto"/>
        <w:tabs>
          <w:tab w:leader="none" w:pos="209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Subject to the proceeding sentence, Holdings shall ensure that the Guarantor Coverage Test is satisfied as of each Guarantor Coverage Test Date. If the Guarantor Coverage Test is not satisfied on any Guarantor Coverage Test Date: (i) Holdings shall ensure that within ninety (90) days after such Guarantor Coverage Test Date (or such later date as may be agreed upon by the Administrative Agent in the exercise of its reasonable discretion with respect thereto), such other Restricted Subsidiaries (as Holdings may elect in its sole discretion) shall, subject to and on terms consistent with the Agreed Guarantee and Security Principles, accede as Subsidiary Guarantors to ensure that the Guarantor Coverage Test is satisfied (calculated as if such Subsidiary Guarantors had been Subsidiary Guarantors at such Guarantor Coverage Test Date) by executing and delivering to the Collateral Agent (x) a Joinder Agreement substantially in the form of Exhibit D (each a “</w:t>
      </w:r>
      <w:r>
        <w:rPr>
          <w:rFonts w:ascii="Arial" w:cs="Arial" w:eastAsia="Arial" w:hAnsi="Arial"/>
          <w:sz w:val="17"/>
          <w:szCs w:val="17"/>
          <w:u w:val="single" w:color="auto"/>
          <w:color w:val="auto"/>
        </w:rPr>
        <w:t>Joinder Agreement</w:t>
      </w:r>
      <w:r>
        <w:rPr>
          <w:rFonts w:ascii="Arial" w:cs="Arial" w:eastAsia="Arial" w:hAnsi="Arial"/>
          <w:sz w:val="17"/>
          <w:szCs w:val="17"/>
          <w:color w:val="auto"/>
        </w:rPr>
        <w:t>”) and (y) each applicable Collateral Document (or a supplement thereto) (in each case in the form contemplated thereby and modified as required in order to comply with local laws in accordance with the Agreed Guarantee and Security Principles, if applicable) and (ii) if Holdings has satisfied its obligations under clause (i) above within such ninety (90) days after such Guarantor Coverage Test Date (or such later date as may be agreed upon by the Administrative Agent in the exercise of its reasonable discretion with respect thereto), no Default, Event of Default or other breach of the Loan Documents shall arise from failure to satisfy the Guarantor Coverage Test as of such Guarantor Coverage Test Date (and for avoidance of doubt, no Default or Event of Default shall arise prior to such 90th day after such Guarantor Coverage Test Date (or such later date as may be agreed upon by the Administrative Agent in the exercise of its reasonable discretion with respect thereto)).</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 xml:space="preserve">. Holdings may, at any time from and after the Closing Date, designate any Restricted Subsidiary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immediately before and after such designation, no Event of Default shall have occurred and be continuing, (ii) no Restricted Subsidiary may be designated as an Unrestricted Subsidiary unless such Subsidiary is also an “unrestricted subsidiary” (or similar concept) for purposes of the New Notes, (iii) no Restricted Subsidiary that owns any Material Intellectual Property may be designated as an Unrestricted Subsidiary and (iv) no Restricted Subsidiary may be designated as an Unrestricted Subsidiary if it was previously designated as an Unrestricted Subsidiary pursuant to this Section 5.10. The designation of any Restricted Subsidiary as an Unrestricted Subsidiary after the Closing Date shall constitute an Investment by the applicable Loan Party therein at the date of designation in an amount equal to the fair market value (as determined in good faith by Holdings) of the applicable Loan Party’s (or any of its Restricted Subsidiaries’) investment therein. The designation of any Unrestricted Subsidiary as a Restricted Subsidiary after the Closing Date shall constitute (i) the incurrence at the time of designation of any Indebtedness or Liens of such Subsidiary existing at such time and (ii) a return on any Investment by the applicable Loan Party in Unrestricted Subsidiaries pursuant to the preceding sentence in an amount equal to the fair market value at the date of such designation of such Loan Party’s Investment in such Subsidiary. Notwithstanding the foregoing, no Borrower shall be permitted to be an Unrestricted Subsidiary.</w:t>
      </w:r>
    </w:p>
    <w:p>
      <w:pPr>
        <w:spacing w:after="0" w:line="1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Maintenance of Ratings</w:t>
      </w:r>
      <w:r>
        <w:rPr>
          <w:rFonts w:ascii="Arial" w:cs="Arial" w:eastAsia="Arial" w:hAnsi="Arial"/>
          <w:sz w:val="18"/>
          <w:szCs w:val="18"/>
          <w:color w:val="auto"/>
        </w:rPr>
        <w:t>. Use commercially reasonable efforts to cause the Term Loans and Holdings’ corporate credit and corporate family credit rating to continue to be rated by S&amp;P and Moody’s (but not to maintain a specific rating).</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11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Holdings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or advance with or guarantee for the benefit of, any Affiliate of Holdings (each, an “</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involving aggregate payments or consideration in excess of the greater of $95,000,000 and 8% of Consolidated EBITDA for the Test Period most recently ended on or prior to the date of such determination, unless: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6" w:name="page157"/>
    <w:bookmarkEnd w:id="156"/>
    <w:p>
      <w:pPr>
        <w:jc w:val="both"/>
        <w:ind w:left="-460" w:firstLine="1292"/>
        <w:spacing w:after="0" w:line="263" w:lineRule="auto"/>
        <w:tabs>
          <w:tab w:leader="none" w:pos="165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such Affiliate Transaction is on terms that are not materially less favorable to Holdings or the relevant Restricted Subsidiary than those that would have been obtained in a comparable transaction by Holdings or such Restricted Subsidiary with an unrelated Person (as determined by Holdings in good faith); and</w:t>
      </w:r>
    </w:p>
    <w:p>
      <w:pPr>
        <w:spacing w:after="0" w:line="183" w:lineRule="exact"/>
        <w:rPr>
          <w:rFonts w:ascii="Arial" w:cs="Arial" w:eastAsia="Arial" w:hAnsi="Arial"/>
          <w:sz w:val="18"/>
          <w:szCs w:val="18"/>
          <w:color w:val="auto"/>
        </w:rPr>
      </w:pPr>
    </w:p>
    <w:p>
      <w:pPr>
        <w:jc w:val="both"/>
        <w:ind w:left="-460" w:firstLine="1292"/>
        <w:spacing w:after="0" w:line="275" w:lineRule="auto"/>
        <w:tabs>
          <w:tab w:leader="none" w:pos="1485" w:val="left"/>
        </w:tabs>
        <w:numPr>
          <w:ilvl w:val="1"/>
          <w:numId w:val="163"/>
        </w:numPr>
        <w:rPr>
          <w:rFonts w:ascii="Arial" w:cs="Arial" w:eastAsia="Arial" w:hAnsi="Arial"/>
          <w:sz w:val="17"/>
          <w:szCs w:val="17"/>
          <w:color w:val="auto"/>
        </w:rPr>
      </w:pPr>
      <w:r>
        <w:rPr>
          <w:rFonts w:ascii="Arial" w:cs="Arial" w:eastAsia="Arial" w:hAnsi="Arial"/>
          <w:sz w:val="17"/>
          <w:szCs w:val="17"/>
          <w:color w:val="auto"/>
        </w:rPr>
        <w:t>with respect to any Affiliate Transaction or series of related Affiliate Transactions involving aggregate consideration in excess of the greater of $175,000,000 and 15% of Consolidated EBITDA for the Test Period most recently ended on or prior to the date of such determination, Holdings delivers to the Administrative Agent a resolution adopted in good faith by the majority of the Board of Directors of Holdings approving such Affiliate Transaction, together with a certificate signed by a Responsible Officer of Holdings certifying that the Board of Directors of Holdings determined or resolved that such Affiliate Transaction complies with Section 5.12(a)(i).</w:t>
      </w:r>
    </w:p>
    <w:p>
      <w:pPr>
        <w:spacing w:after="0" w:line="176" w:lineRule="exact"/>
        <w:rPr>
          <w:rFonts w:ascii="Arial" w:cs="Arial" w:eastAsia="Arial" w:hAnsi="Arial"/>
          <w:sz w:val="17"/>
          <w:szCs w:val="17"/>
          <w:color w:val="auto"/>
        </w:rPr>
      </w:pPr>
    </w:p>
    <w:p>
      <w:pPr>
        <w:ind w:left="840" w:hanging="656"/>
        <w:spacing w:after="0"/>
        <w:tabs>
          <w:tab w:leader="none" w:pos="8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following items will not be deemed to be Affiliate Transactions and, therefore, will not be subject to Section 5.12(a):</w:t>
      </w:r>
    </w:p>
    <w:p>
      <w:pPr>
        <w:spacing w:after="0" w:line="236" w:lineRule="exact"/>
        <w:rPr>
          <w:rFonts w:ascii="Arial" w:cs="Arial" w:eastAsia="Arial" w:hAnsi="Arial"/>
          <w:sz w:val="17"/>
          <w:szCs w:val="17"/>
          <w:color w:val="auto"/>
        </w:rPr>
      </w:pPr>
    </w:p>
    <w:p>
      <w:pPr>
        <w:jc w:val="both"/>
        <w:ind w:left="-460" w:firstLine="1292"/>
        <w:spacing w:after="0" w:line="263" w:lineRule="auto"/>
        <w:tabs>
          <w:tab w:leader="none" w:pos="149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employment or consulting agreement, incentive agreement, employee benefit plan, severance agreement, officer or director indemnification agreement or any similar arrangement entered into by Holdings or any of its Restricted Subsidiaries in the ordinary course of business or approved by the Board of Directors of Holdings and payments pursuant thereto;</w:t>
      </w:r>
    </w:p>
    <w:p>
      <w:pPr>
        <w:spacing w:after="0" w:line="183" w:lineRule="exact"/>
        <w:rPr>
          <w:rFonts w:ascii="Arial" w:cs="Arial" w:eastAsia="Arial" w:hAnsi="Arial"/>
          <w:sz w:val="18"/>
          <w:szCs w:val="18"/>
          <w:color w:val="auto"/>
        </w:rPr>
      </w:pPr>
    </w:p>
    <w:p>
      <w:pPr>
        <w:ind w:left="1460" w:hanging="628"/>
        <w:spacing w:after="0"/>
        <w:tabs>
          <w:tab w:leader="none" w:pos="146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transactions between or among (A) Holdings and its Restricted Subsidiaries or (B) one or more Restricted Subsidiaries;</w:t>
      </w:r>
    </w:p>
    <w:p>
      <w:pPr>
        <w:spacing w:after="0" w:line="248" w:lineRule="exact"/>
        <w:rPr>
          <w:rFonts w:ascii="Arial" w:cs="Arial" w:eastAsia="Arial" w:hAnsi="Arial"/>
          <w:sz w:val="16"/>
          <w:szCs w:val="16"/>
          <w:color w:val="auto"/>
        </w:rPr>
      </w:pPr>
    </w:p>
    <w:p>
      <w:pPr>
        <w:ind w:left="-460" w:right="20" w:firstLine="1292"/>
        <w:spacing w:after="0" w:line="277" w:lineRule="auto"/>
        <w:tabs>
          <w:tab w:leader="none" w:pos="164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transactions with any Person that is an Affiliate of Holdings solely because Holdings owns, directly or through a Restricted Subsidiary, an Equity Interest in, or controls, such Person;</w:t>
      </w:r>
    </w:p>
    <w:p>
      <w:pPr>
        <w:spacing w:after="0" w:line="170" w:lineRule="exact"/>
        <w:rPr>
          <w:rFonts w:ascii="Arial" w:cs="Arial" w:eastAsia="Arial" w:hAnsi="Arial"/>
          <w:sz w:val="18"/>
          <w:szCs w:val="18"/>
          <w:color w:val="auto"/>
        </w:rPr>
      </w:pPr>
    </w:p>
    <w:p>
      <w:pPr>
        <w:jc w:val="both"/>
        <w:ind w:left="-460" w:firstLine="1292"/>
        <w:spacing w:after="0" w:line="311" w:lineRule="auto"/>
        <w:tabs>
          <w:tab w:leader="none" w:pos="1456" w:val="left"/>
        </w:tabs>
        <w:numPr>
          <w:ilvl w:val="1"/>
          <w:numId w:val="164"/>
        </w:numPr>
        <w:rPr>
          <w:rFonts w:ascii="Arial" w:cs="Arial" w:eastAsia="Arial" w:hAnsi="Arial"/>
          <w:sz w:val="16"/>
          <w:szCs w:val="16"/>
          <w:color w:val="auto"/>
        </w:rPr>
      </w:pPr>
      <w:r>
        <w:rPr>
          <w:rFonts w:ascii="Arial" w:cs="Arial" w:eastAsia="Arial" w:hAnsi="Arial"/>
          <w:sz w:val="16"/>
          <w:szCs w:val="16"/>
          <w:color w:val="auto"/>
        </w:rPr>
        <w:t>payment of reasonable fees or other reasonable compensation (including bonuses) to, provision of customary benefits or indemnification agreements to, and the reimbursements of expenses (pursuant to indemnity arrangements or otherwise) of officers, directors, employees or consultants of Holdings, any of its Restricted Subsidiaries or any of Holdings’ direct or indirect parent companies;</w:t>
      </w:r>
    </w:p>
    <w:p>
      <w:pPr>
        <w:spacing w:after="0" w:line="148" w:lineRule="exact"/>
        <w:rPr>
          <w:rFonts w:ascii="Arial" w:cs="Arial" w:eastAsia="Arial" w:hAnsi="Arial"/>
          <w:sz w:val="16"/>
          <w:szCs w:val="16"/>
          <w:color w:val="auto"/>
        </w:rPr>
      </w:pPr>
    </w:p>
    <w:p>
      <w:pPr>
        <w:ind w:left="1440" w:hanging="608"/>
        <w:spacing w:after="0"/>
        <w:tabs>
          <w:tab w:leader="none" w:pos="144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any capital contribution in, or issuance of Equity Interests (other than Disqualified Equity Interests), of Holdings;</w:t>
      </w:r>
    </w:p>
    <w:p>
      <w:pPr>
        <w:spacing w:after="0" w:line="236" w:lineRule="exact"/>
        <w:rPr>
          <w:rFonts w:ascii="Arial" w:cs="Arial" w:eastAsia="Arial" w:hAnsi="Arial"/>
          <w:sz w:val="17"/>
          <w:szCs w:val="17"/>
          <w:color w:val="auto"/>
        </w:rPr>
      </w:pPr>
    </w:p>
    <w:p>
      <w:pPr>
        <w:ind w:left="-460" w:right="20" w:firstLine="1292"/>
        <w:spacing w:after="0" w:line="277" w:lineRule="auto"/>
        <w:tabs>
          <w:tab w:leader="none" w:pos="145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Restricted Payments (or transfers or issuances that would constitute Restricted Payments but for the exclusions from the definition thereof) that do not violate Section 6.04 hereof and Permitted Investments;</w:t>
      </w:r>
    </w:p>
    <w:p>
      <w:pPr>
        <w:spacing w:after="0" w:line="170" w:lineRule="exact"/>
        <w:rPr>
          <w:rFonts w:ascii="Arial" w:cs="Arial" w:eastAsia="Arial" w:hAnsi="Arial"/>
          <w:sz w:val="18"/>
          <w:szCs w:val="18"/>
          <w:color w:val="auto"/>
        </w:rPr>
      </w:pPr>
    </w:p>
    <w:p>
      <w:pPr>
        <w:ind w:left="-460" w:right="20" w:firstLine="1292"/>
        <w:spacing w:after="0" w:line="277" w:lineRule="auto"/>
        <w:tabs>
          <w:tab w:leader="none" w:pos="154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loans or advances to employees of Holdings, any of its Restricted Subsidiaries or any of Holdings’ direct or indirect parent companies in the ordinary course of business of Holdings or its Restricted Subsidiaries;</w:t>
      </w:r>
    </w:p>
    <w:p>
      <w:pPr>
        <w:spacing w:after="0" w:line="170" w:lineRule="exact"/>
        <w:rPr>
          <w:rFonts w:ascii="Arial" w:cs="Arial" w:eastAsia="Arial" w:hAnsi="Arial"/>
          <w:sz w:val="18"/>
          <w:szCs w:val="18"/>
          <w:color w:val="auto"/>
        </w:rPr>
      </w:pPr>
    </w:p>
    <w:p>
      <w:pPr>
        <w:jc w:val="both"/>
        <w:ind w:left="-460" w:firstLine="1292"/>
        <w:spacing w:after="0" w:line="263" w:lineRule="auto"/>
        <w:tabs>
          <w:tab w:leader="none" w:pos="147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transactions in which Holdings or any Restricted Subsidiary, as the case may be, delivers to the Administrative Agent a letter from an accounting, appraisal or investment banking firm of national standing stating that such transaction meets the requirements of Section 5.12(a);</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57" w:name="page158"/>
    <w:bookmarkEnd w:id="157"/>
    <w:p>
      <w:pPr>
        <w:jc w:val="both"/>
        <w:ind w:left="-460" w:firstLine="1292"/>
        <w:spacing w:after="0" w:line="257" w:lineRule="auto"/>
        <w:tabs>
          <w:tab w:leader="none" w:pos="150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transactions with customers, clients, suppliers, or purchasers or sellers of goods or services, in each case in the ordinary course of business and otherwise in compliance with the terms hereof which are fair to Holdings and its Restricted Subsidiaries, in the reasonable determination of the Board of Directors of Holdings or the senior management thereof, or are on terms at least as favorable as might reasonably have been obtained at such time from an unaffiliated party (as determined by the Board of Directors of Holdings or the senior management thereof in good faith);</w:t>
      </w:r>
    </w:p>
    <w:p>
      <w:pPr>
        <w:spacing w:after="0" w:line="187" w:lineRule="exact"/>
        <w:rPr>
          <w:rFonts w:ascii="Arial" w:cs="Arial" w:eastAsia="Arial" w:hAnsi="Arial"/>
          <w:sz w:val="18"/>
          <w:szCs w:val="18"/>
          <w:color w:val="auto"/>
        </w:rPr>
      </w:pPr>
    </w:p>
    <w:p>
      <w:pPr>
        <w:jc w:val="both"/>
        <w:ind w:left="-460" w:firstLine="1292"/>
        <w:spacing w:after="0" w:line="259" w:lineRule="auto"/>
        <w:tabs>
          <w:tab w:leader="none" w:pos="1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transactions in the ordinary course with (i) Unrestricted Subsidiaries or (ii) joint ventures in which Holdings or a Restricted Subsidiary of Holdings make a loan or other Investments to such joint venture (to the extent any such joint venture is only an Affiliate as a result of Investments by Holdings and its Restricted Subsidiaries in such joint venture) to the extent otherwise permitted under the definition of “Permitted Investments”;</w:t>
      </w:r>
    </w:p>
    <w:p>
      <w:pPr>
        <w:spacing w:after="0" w:line="186" w:lineRule="exact"/>
        <w:rPr>
          <w:rFonts w:ascii="Arial" w:cs="Arial" w:eastAsia="Arial" w:hAnsi="Arial"/>
          <w:sz w:val="18"/>
          <w:szCs w:val="18"/>
          <w:color w:val="auto"/>
        </w:rPr>
      </w:pPr>
    </w:p>
    <w:p>
      <w:pPr>
        <w:ind w:left="1500" w:hanging="668"/>
        <w:spacing w:after="0"/>
        <w:tabs>
          <w:tab w:leader="none" w:pos="15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granting of registration and other customary rights in connection with the issuance of Equity Interests by Holdings;</w:t>
      </w:r>
    </w:p>
    <w:p>
      <w:pPr>
        <w:spacing w:after="0" w:line="248" w:lineRule="exact"/>
        <w:rPr>
          <w:rFonts w:ascii="Arial" w:cs="Arial" w:eastAsia="Arial" w:hAnsi="Arial"/>
          <w:sz w:val="16"/>
          <w:szCs w:val="16"/>
          <w:color w:val="auto"/>
        </w:rPr>
      </w:pPr>
    </w:p>
    <w:p>
      <w:pPr>
        <w:jc w:val="both"/>
        <w:ind w:left="-460" w:firstLine="1292"/>
        <w:spacing w:after="0" w:line="263" w:lineRule="auto"/>
        <w:tabs>
          <w:tab w:leader="none" w:pos="162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provision of services to directors or officers of Holdings, any of its Restricted Subsidiaries or any of Holdings’ direct or indirect parent companies of the nature provided by Holdings or any of its Restricted Subsidiaries to customers in the ordinary course of business;</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5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agreement as in effect on the Closing Date or any renewals, events or extensions of any such agreement (so long as such renewals or extensions are not less favorable in any material respect to Holdings or the Restricted Subsidiaries as determined by Holdings in good faith) and the transactions evidenced thereby;</w:t>
      </w:r>
    </w:p>
    <w:p>
      <w:pPr>
        <w:spacing w:after="0" w:line="183" w:lineRule="exact"/>
        <w:rPr>
          <w:rFonts w:ascii="Arial" w:cs="Arial" w:eastAsia="Arial" w:hAnsi="Arial"/>
          <w:sz w:val="18"/>
          <w:szCs w:val="18"/>
          <w:color w:val="auto"/>
        </w:rPr>
      </w:pPr>
    </w:p>
    <w:p>
      <w:pPr>
        <w:jc w:val="both"/>
        <w:ind w:left="-460" w:firstLine="1292"/>
        <w:spacing w:after="0" w:line="271" w:lineRule="auto"/>
        <w:tabs>
          <w:tab w:leader="none" w:pos="146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the existence of, or the performance by Holdings or any of the Restricted Subsidiaries of its obligations under the terms of, any limited liability company agreement, limited partnership or other organizational documents or stockholders agreement (including any purchase agreement, put option agreements or call option agreements related thereto) to which it is a party as of the Closing Date and any similar agreements which it may enter into thereafter;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existence of, or the performance by Holdings or any Restricted Subsidiary of obligations under any future amendment to any such existing agreement or under any similar agreement entered into after such date shall only be permitted by this clause (xiv) to the extent that the terms of any such amendment or new agreement, taken as a whole, is no less favorable to Holdings and the Restricted Subsidiaries than the agreement in effect on the Closing Date (as determined by the Board of Directors of Holdings or the senior management thereof in good faith);</w:t>
      </w:r>
    </w:p>
    <w:p>
      <w:pPr>
        <w:spacing w:after="0" w:line="178" w:lineRule="exact"/>
        <w:rPr>
          <w:rFonts w:ascii="Arial" w:cs="Arial" w:eastAsia="Arial" w:hAnsi="Arial"/>
          <w:sz w:val="17"/>
          <w:szCs w:val="17"/>
          <w:color w:val="auto"/>
        </w:rPr>
      </w:pPr>
    </w:p>
    <w:p>
      <w:pPr>
        <w:ind w:left="1440" w:hanging="608"/>
        <w:spacing w:after="0"/>
        <w:tabs>
          <w:tab w:leader="none" w:pos="14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460" w:hanging="628"/>
        <w:spacing w:after="0"/>
        <w:tabs>
          <w:tab w:leader="none" w:pos="1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transactions undertaken in connection with the Transactions;</w:t>
      </w:r>
    </w:p>
    <w:p>
      <w:pPr>
        <w:spacing w:after="0" w:line="225" w:lineRule="exact"/>
        <w:rPr>
          <w:rFonts w:ascii="Arial" w:cs="Arial" w:eastAsia="Arial" w:hAnsi="Arial"/>
          <w:sz w:val="18"/>
          <w:szCs w:val="18"/>
          <w:color w:val="auto"/>
        </w:rPr>
      </w:pPr>
    </w:p>
    <w:p>
      <w:pPr>
        <w:ind w:left="1460" w:hanging="628"/>
        <w:spacing w:after="0"/>
        <w:tabs>
          <w:tab w:leader="none" w:pos="14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customary transactions with a Securitization Subsidiary effected as part of a Qualified Securitization Financing;</w:t>
      </w:r>
    </w:p>
    <w:p>
      <w:pPr>
        <w:spacing w:after="0" w:line="236" w:lineRule="exact"/>
        <w:rPr>
          <w:rFonts w:ascii="Arial" w:cs="Arial" w:eastAsia="Arial" w:hAnsi="Arial"/>
          <w:sz w:val="17"/>
          <w:szCs w:val="17"/>
          <w:color w:val="auto"/>
        </w:rPr>
      </w:pPr>
    </w:p>
    <w:p>
      <w:pPr>
        <w:jc w:val="both"/>
        <w:ind w:left="-460" w:firstLine="1292"/>
        <w:spacing w:after="0" w:line="263" w:lineRule="auto"/>
        <w:tabs>
          <w:tab w:leader="none" w:pos="149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payment of reasonable out-of-pocket costs and expenses relating to registration rights and indemnities provided to shareholders of Holdings or any direct or indirect parent thereof pursuant to the stockholders agreement or the registration rights agreement entered into on or after the Closing Date in connection therewith;</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58" w:name="page159"/>
    <w:bookmarkEnd w:id="158"/>
    <w:p>
      <w:pPr>
        <w:jc w:val="both"/>
        <w:ind w:left="660" w:firstLine="1292"/>
        <w:spacing w:after="0" w:line="286" w:lineRule="auto"/>
        <w:tabs>
          <w:tab w:leader="none" w:pos="269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transactions (including, for the avoidance of doubt, the entering into of a tax sharing agreement) undertaken in good faith (as certified by a Responsible Officer of a Borrower in an officer’s certificate) for the purposes of improving the consolidated tax efficiency of Holdings and its Subsidiaries and not for the purpose of circumventing any provision of this Agreement;</w:t>
      </w:r>
    </w:p>
    <w:p>
      <w:pPr>
        <w:spacing w:after="0" w:line="165" w:lineRule="exact"/>
        <w:rPr>
          <w:rFonts w:ascii="Arial" w:cs="Arial" w:eastAsia="Arial" w:hAnsi="Arial"/>
          <w:sz w:val="17"/>
          <w:szCs w:val="17"/>
          <w:color w:val="auto"/>
        </w:rPr>
      </w:pPr>
    </w:p>
    <w:p>
      <w:pPr>
        <w:ind w:left="2620" w:hanging="668"/>
        <w:spacing w:after="0"/>
        <w:tabs>
          <w:tab w:leader="none" w:pos="2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repurchases by Holdings of the Term Loans or New Notes to the extent permitted hereunder; and</w:t>
      </w:r>
    </w:p>
    <w:p>
      <w:pPr>
        <w:spacing w:after="0" w:line="225" w:lineRule="exact"/>
        <w:rPr>
          <w:rFonts w:ascii="Arial" w:cs="Arial" w:eastAsia="Arial" w:hAnsi="Arial"/>
          <w:sz w:val="18"/>
          <w:szCs w:val="18"/>
          <w:color w:val="auto"/>
        </w:rPr>
      </w:pPr>
    </w:p>
    <w:p>
      <w:pPr>
        <w:ind w:left="660" w:firstLine="1292"/>
        <w:spacing w:after="0" w:line="277" w:lineRule="auto"/>
        <w:tabs>
          <w:tab w:leader="none" w:pos="26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Indebtedness permitted under Section 6.01, Liens permitted under Section 6.02, Asset Sales permitted under Section 6.03, Permitted Investments and Restricted Payments permitted under Section 6.04.</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Fiscal Periods</w:t>
      </w:r>
      <w:r>
        <w:rPr>
          <w:rFonts w:ascii="Arial" w:cs="Arial" w:eastAsia="Arial" w:hAnsi="Arial"/>
          <w:sz w:val="16"/>
          <w:szCs w:val="16"/>
          <w:color w:val="auto"/>
        </w:rPr>
        <w:t>. With respect to Holdings and its Restricted Subsidiaries, change its fiscal year-end to dates other than December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Anti-Terrorism and Anti-Money Laundering</w:t>
      </w:r>
      <w:r>
        <w:rPr>
          <w:rFonts w:ascii="Arial" w:cs="Arial" w:eastAsia="Arial" w:hAnsi="Arial"/>
          <w:sz w:val="18"/>
          <w:szCs w:val="18"/>
          <w:color w:val="auto"/>
        </w:rPr>
        <w:t>. With respect to Holdings and its Restricted Subsidiaries, directly or indirectly, (i) conduct any business or engage in making or receiving any contribution of funds, goods or services to or for the benefit of any person described in Section 3.18, (ii) deal in, or otherwise engage in any transaction relating to, any property or interests in property blocked pursuant to the Executive Order or any other Anti-Terrorism Law, or (iii) engage in or conspire to engage in any transaction that evades or avoids, or has the purpose of evading or avoiding, or attempts to violate, any of the prohibitions set forth in any Anti-Terrorism Law (and the Loan Parties shall deliver to the Lenders any certification or other evidence requested from time to time by any Lender in its reasonable discretion, confirming Holdings’ and its Restricted Subsidiaries’ compliance with this Section 5.14).</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Post-Closing Schedule</w:t>
      </w:r>
      <w:r>
        <w:rPr>
          <w:rFonts w:ascii="Arial" w:cs="Arial" w:eastAsia="Arial" w:hAnsi="Arial"/>
          <w:sz w:val="18"/>
          <w:szCs w:val="18"/>
          <w:color w:val="auto"/>
        </w:rPr>
        <w:t>. Within the time periods specified on Schedule 5.15 hereto (as each may be extended by the Administrative Agent in its reasonable discretion), provide such Collateral Documents and complete such undertakings as are set forth on Schedule 5.15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From the Closing Date until the Commitments have expired or terminated and the principal of and interest on each Loan and all fees payable hereunder have been paid in full and all Letters of Credit have expired, terminated or been Cash Collateralized and all LC Disbursements shall have been reimbursed, the Loan Parties covenant and agree with the Lenders that: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9" w:name="page160"/>
    <w:bookmarkEnd w:id="159"/>
    <w:p>
      <w:pPr>
        <w:ind w:left="640"/>
        <w:spacing w:after="0"/>
        <w:tabs>
          <w:tab w:leader="none" w:pos="192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4"/>
        <w:spacing w:after="0" w:line="267" w:lineRule="auto"/>
        <w:tabs>
          <w:tab w:leader="none" w:pos="195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Holdings will not, and will not permit any Restricted Subsidiary to, incur, directly or indirectly, any Indebtedness, and Holdings will not issue any Disqualified Equity Interests and will not permit any of its Restricted Subsidiaries to issue any shares of Preferred Equity (other than the issuance of Preferred Equity by any Restricted Subsidiary to Holdings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Holdings will be entitled to incur Indebtedness or issue Disqualified Equity Interests and any Restricted Subsidiary will be entitled to incur Indebtedness or issue Preferred Equity, so long as (i) both before and after giving effect to such incurrence or issuance, no Event of Default shall have occurred and be continuing and (ii) after giving effect to such incurrence or issuance on a Pro Forma Basis (and any Permitted Acquisition or Investment incurred in connection therewith) for the most recently ended Test Period prior to such incurrence or issuance (or, in the event the proceeds thereof are to be used to finance a Limited Condition Transaction (after giving effect to the incurrence of such Indebtedness and any Permitted Acquisition or Investment incurred in connection therewith), on the LCT Test Date), such Indebtedness shall not exceed an unlimited amount so long as (1) in the case of any Indebtedness secured by a Lien on the Collateral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any Lien on the Collateral securing the Obligations, the First Lien Net Leverage Ratio, determined on a Pro Forma Basis for the most recently ended Test Period prior to such date, would not exceed 5.00:1.00, (2) in the case of any Indebtedness secured by the Collateral on a junior lien basis relative to the Liens on such Collateral securing the Obligations, the Secured Net Leverage Ratio, determined on a Pro Forma Basis for the most recently ended Test Period prior to such date, would not exceed 5.25:1.00, and (3) in the case of unsecured Indebtedness or Indebtedness that is secured by assets that do not constitute Collateral, either (a) the Total Net Leverage Ratio, determined on a Pro Forma Basis for the most recently ended Test Period prior to such date, would not exceed 5.25:1.00 or (b) the Fixed Charge Coverage Ratio, determined on a Pro Forma Basis for the most recently ended Test Period prior to such date, would not be less than 2.00:1.00;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such Indebtedness of non-Guarantor Subsidiaries, when combined with all outstanding Indebtedness incurred by non-Guarantor Subsidiaries pursuant to Section 6.01(b)(xi) hereof, shall not exceed, in the aggregate, the greater of (x) $175,000,000 and (y) 15% of Consolidated EBITDA for the Test Period most recently ended on or prior to the date of such determination at any time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to the extent such Indebtedness is incurred prior to the date that is 24 months after the Closing Date and is comprised of term loans funded in Dollars that are secured by a Lien on the Collateral that is pari passu with Lien on the Collateral securing the Obligations, the provisions set forth in Section 2.20(b)(A)(iv) shall apply as if such Indebtedness had been incurred as Incremental Term Loans under Section 2.20.</w:t>
      </w:r>
    </w:p>
    <w:p>
      <w:pPr>
        <w:spacing w:after="0" w:line="183" w:lineRule="exact"/>
        <w:rPr>
          <w:rFonts w:ascii="Arial" w:cs="Arial" w:eastAsia="Arial" w:hAnsi="Arial"/>
          <w:sz w:val="17"/>
          <w:szCs w:val="17"/>
          <w:color w:val="auto"/>
        </w:rPr>
      </w:pPr>
    </w:p>
    <w:p>
      <w:pPr>
        <w:ind w:left="-20" w:firstLine="1304"/>
        <w:spacing w:after="0" w:line="277" w:lineRule="auto"/>
        <w:tabs>
          <w:tab w:leader="none" w:pos="20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Notwithstanding Section 6.01(a), Holdings and its Restricted Subsidiaries will be entitled to incur any or all of the following Indebtedness (collectively “</w:t>
      </w:r>
      <w:r>
        <w:rPr>
          <w:rFonts w:ascii="Arial" w:cs="Arial" w:eastAsia="Arial" w:hAnsi="Arial"/>
          <w:sz w:val="18"/>
          <w:szCs w:val="18"/>
          <w:u w:val="single" w:color="auto"/>
          <w:color w:val="auto"/>
        </w:rPr>
        <w:t>Permitted Debt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540" w:hanging="608"/>
        <w:spacing w:after="0"/>
        <w:tabs>
          <w:tab w:leader="none" w:pos="25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Secured Obligations (including any Incremental Loans) and any Credit Agreement Refinancing Indebtedness;</w:t>
      </w:r>
    </w:p>
    <w:p>
      <w:pPr>
        <w:spacing w:after="0" w:line="236" w:lineRule="exact"/>
        <w:rPr>
          <w:rFonts w:ascii="Arial" w:cs="Arial" w:eastAsia="Arial" w:hAnsi="Arial"/>
          <w:sz w:val="17"/>
          <w:szCs w:val="17"/>
          <w:color w:val="auto"/>
        </w:rPr>
      </w:pPr>
    </w:p>
    <w:p>
      <w:pPr>
        <w:jc w:val="both"/>
        <w:ind w:left="640" w:firstLine="1292"/>
        <w:spacing w:after="0" w:line="257" w:lineRule="auto"/>
        <w:tabs>
          <w:tab w:leader="none" w:pos="256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Indebtedness owed to and held by Holdings or a Restricted Subsidiary as permitted under Section 6.04 or as a Permitted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that (x) any subsequent issuance or transfer of any Equity Interest that results in any such Indebtedness being held by a Person other than Holdings or a Restricted Subsidiary and (y) any subsequent transfer of such Indebtedness (other than to Holdings or a Restricted Subsidiary) shall be deemed, in each case, to constitute the incurrence of such Indebtedness by the obligor thereon that was not permitted by this clause (ii);</w:t>
      </w:r>
    </w:p>
    <w:p>
      <w:pPr>
        <w:spacing w:after="0" w:line="187" w:lineRule="exact"/>
        <w:rPr>
          <w:rFonts w:ascii="Arial" w:cs="Arial" w:eastAsia="Arial" w:hAnsi="Arial"/>
          <w:sz w:val="18"/>
          <w:szCs w:val="18"/>
          <w:color w:val="auto"/>
        </w:rPr>
      </w:pPr>
    </w:p>
    <w:p>
      <w:pPr>
        <w:jc w:val="both"/>
        <w:ind w:left="640" w:firstLine="1292"/>
        <w:spacing w:after="0" w:line="257" w:lineRule="auto"/>
        <w:tabs>
          <w:tab w:leader="none" w:pos="274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Indebtedness of Holdings to any Restricted Subsidiary and of any Restricted Subsidiary to Holdings or any other Restricted Subsidiary (including, without limitation, to consummate the Transactions (including, without limitation, the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Indebtedness owing by any Loan Party to a Restricted Subsidiary which is not a Loan Party shall be subordinated in right of payment to the Secured Obligations pursuant to the Intercompany Subordination Agreement or any other agreement reasonably satisfactory to the Administrative Agent and Holdings;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60" w:name="page161"/>
    <w:bookmarkEnd w:id="160"/>
    <w:p>
      <w:pPr>
        <w:jc w:val="both"/>
        <w:ind w:left="-460" w:firstLine="1292"/>
        <w:spacing w:after="0" w:line="267" w:lineRule="auto"/>
        <w:tabs>
          <w:tab w:leader="none" w:pos="150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Indebtedness of a Restricted Subsidiary incurred prior to the date on which such Subsidiary was acquired by Holdings or a Restricted Subsidiary of Holdings (other than Indebtedness incurred in contemplation of such acquisition) and outstanding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secured, such Indebtedness shall be secured solely by Liens existing at the time such Restricted Subsidiary is acquired by Holdings or a Restricted Subsidiary of Holdings and shall not extend to any other property owned by Holdings or any of its other Restricted Subsidiaries and (II) (x) if such Indebtedness is secured by a Lien on the Collateral that is pari passu with the Lien on the Collateral securing the Secured Obligations that are secured on a first lien basis, the First Lien Net Leverage Ratio, determined on a Pro Forma Basis for the most recently ended Test Period prior to such date, would not exceed the First Lien Net Leverage Ratio in effect immediately prior to the consummation of such acquisition calculated on a Pro Forma Basis as of the most recently ended Test Period, (y) if such Indebtedness is secured by a Lien on the Collateral that is junior to the Lien on the Collateral securing the Secured Obligations that are secured on a first lien basis, the Secured Net Leverage Ratio, determined on a Pro Forma Basis for the most recently ended Test Period prior to such date, would not exceed the Secured Net Leverage Ratio in effect immediately prior to the consummation of such acquisition calculated on a Pro Forma basis as of the most recently ended Test Period or (z) if such Indebtedness is unsecured or is secured by assets that do not constitute Collateral, either (a) the Total Net Leverage Ratio, determined on a Pro Forma Basis for the most recently ended Test Period prior to such date, would not exceed the Total Net Leverage Ratio in effect immediately prior to the consummation of such acquisition calculated on a Pro Forma Basis as of the most recently ended Test Period or (b) the Fixed Charge Coverage Ratio, determined on a Pro Forma Basis for the most recently ended Test Period prior to such date, would not be less than the Fixed Charge Coverage Ratio in effect immediately prior to the consummation of such acquisition calculated on a Pro Forma Basis as of the most recently ended Test Period;</w:t>
      </w:r>
    </w:p>
    <w:p>
      <w:pPr>
        <w:spacing w:after="0" w:line="191" w:lineRule="exact"/>
        <w:rPr>
          <w:rFonts w:ascii="Arial" w:cs="Arial" w:eastAsia="Arial" w:hAnsi="Arial"/>
          <w:sz w:val="17"/>
          <w:szCs w:val="17"/>
          <w:color w:val="auto"/>
        </w:rPr>
      </w:pPr>
    </w:p>
    <w:p>
      <w:pPr>
        <w:ind w:left="-460" w:firstLine="1292"/>
        <w:spacing w:after="0" w:line="277" w:lineRule="auto"/>
        <w:tabs>
          <w:tab w:leader="none" w:pos="15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Permitted Refinancing Indebtedness in respect of Indebtedness incurred pursuant to Section 6.01(a), Sections 6.01(b) (iv), (xvii), (xxii) or (xxvii) or this clause (v);</w:t>
      </w:r>
    </w:p>
    <w:p>
      <w:pPr>
        <w:spacing w:after="0" w:line="170" w:lineRule="exact"/>
        <w:rPr>
          <w:rFonts w:ascii="Arial" w:cs="Arial" w:eastAsia="Arial" w:hAnsi="Arial"/>
          <w:sz w:val="18"/>
          <w:szCs w:val="18"/>
          <w:color w:val="auto"/>
        </w:rPr>
      </w:pPr>
    </w:p>
    <w:p>
      <w:pPr>
        <w:ind w:left="1460" w:hanging="628"/>
        <w:spacing w:after="0"/>
        <w:tabs>
          <w:tab w:leader="none" w:pos="14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Obligations under and in respect of non-speculative Swap Agreements (including Permitted Hedging Obligations);</w:t>
      </w:r>
    </w:p>
    <w:p>
      <w:pPr>
        <w:spacing w:after="0" w:line="236" w:lineRule="exact"/>
        <w:rPr>
          <w:rFonts w:ascii="Arial" w:cs="Arial" w:eastAsia="Arial" w:hAnsi="Arial"/>
          <w:sz w:val="17"/>
          <w:szCs w:val="17"/>
          <w:color w:val="auto"/>
        </w:rPr>
      </w:pPr>
    </w:p>
    <w:p>
      <w:pPr>
        <w:jc w:val="both"/>
        <w:ind w:left="-460" w:firstLine="1292"/>
        <w:spacing w:after="0" w:line="279" w:lineRule="auto"/>
        <w:tabs>
          <w:tab w:leader="none" w:pos="156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 obligations in respect of worker’s compensation and self-insurance and performance, bid, stay, customs, appeal, replevin and surety bonds and performance and completion guarantees provided by Holdings or any Restricted Subsidiary in the ordinary course of business, and (B) reimbursement and indemnification obligations in respect of letters of credit, banker’s acceptances and other similar instruments issued in respect of obligations specified in clause (A) or to landlords or vendors in the ordinary course of business;</w:t>
      </w:r>
    </w:p>
    <w:p>
      <w:pPr>
        <w:spacing w:after="0" w:line="171" w:lineRule="exact"/>
        <w:rPr>
          <w:rFonts w:ascii="Arial" w:cs="Arial" w:eastAsia="Arial" w:hAnsi="Arial"/>
          <w:sz w:val="17"/>
          <w:szCs w:val="17"/>
          <w:color w:val="auto"/>
        </w:rPr>
      </w:pPr>
    </w:p>
    <w:p>
      <w:pPr>
        <w:ind w:left="-460" w:right="20" w:firstLine="1292"/>
        <w:spacing w:after="0" w:line="277" w:lineRule="auto"/>
        <w:tabs>
          <w:tab w:leader="none" w:pos="162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ACH Indebtedness and Indebtedness owed in respect of business credit card programs and any netting services, overdrafts and related liabilities arising from treasury, depository and cash management services;</w:t>
      </w:r>
    </w:p>
    <w:p>
      <w:pPr>
        <w:spacing w:after="0" w:line="170" w:lineRule="exact"/>
        <w:rPr>
          <w:rFonts w:ascii="Arial" w:cs="Arial" w:eastAsia="Arial" w:hAnsi="Arial"/>
          <w:sz w:val="18"/>
          <w:szCs w:val="18"/>
          <w:color w:val="auto"/>
        </w:rPr>
      </w:pPr>
    </w:p>
    <w:p>
      <w:pPr>
        <w:jc w:val="both"/>
        <w:ind w:left="-460" w:firstLine="1292"/>
        <w:spacing w:after="0" w:line="286" w:lineRule="auto"/>
        <w:tabs>
          <w:tab w:leader="none" w:pos="181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Indebtedness consisting of any Guarantee by Holdings or any Restricted Subsidiary of Indebtedness or other obligations of Holdings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Indebtedness being guaranteed is subordinated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Loans, then the Guarantee must be subordinated or </w:t>
      </w:r>
      <w:r>
        <w:rPr>
          <w:rFonts w:ascii="Arial" w:cs="Arial" w:eastAsia="Arial" w:hAnsi="Arial"/>
          <w:sz w:val="17"/>
          <w:szCs w:val="17"/>
          <w:i w:val="1"/>
          <w:iCs w:val="1"/>
          <w:color w:val="auto"/>
        </w:rPr>
        <w:t>pari passu</w:t>
      </w:r>
      <w:r>
        <w:rPr>
          <w:rFonts w:ascii="Arial" w:cs="Arial" w:eastAsia="Arial" w:hAnsi="Arial"/>
          <w:sz w:val="17"/>
          <w:szCs w:val="17"/>
          <w:color w:val="auto"/>
        </w:rPr>
        <w:t>, as applicable, to the same extent as the Indebtedness guaranteed;</w:t>
      </w:r>
    </w:p>
    <w:p>
      <w:pPr>
        <w:spacing w:after="0" w:line="165" w:lineRule="exact"/>
        <w:rPr>
          <w:rFonts w:ascii="Arial" w:cs="Arial" w:eastAsia="Arial" w:hAnsi="Arial"/>
          <w:sz w:val="17"/>
          <w:szCs w:val="17"/>
          <w:color w:val="auto"/>
        </w:rPr>
      </w:pPr>
    </w:p>
    <w:p>
      <w:pPr>
        <w:jc w:val="both"/>
        <w:ind w:left="-460" w:firstLine="1292"/>
        <w:spacing w:after="0" w:line="271" w:lineRule="auto"/>
        <w:tabs>
          <w:tab w:leader="none" w:pos="15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Capital Lease Obligations and Indebtedness incurred after the Closing Date in respect of purchase money indebtedness or Sale and Leaseback Transactions and Permitted Refinancing Indebtedness in respect thereof and in an aggregate principal amount on the date of incurrence that, when taken together with the principal amount of all other Indebtedness then outstanding and incurred pursuant to this clause (x), does not exceed the greater of $235,000,000 and 20% of Consolidated EBITDA for the Test Period most recently ended on or prior to the date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(x) shall not apply to any Capital Lease Obligations or Indebtedness in respect of Sale and Leaseback Transactions, the proceeds of which are used to prepay, on a pro rata basis, Indebtedness hereunder and, to the extent required under the terms of such Indebtedness, Indebtedness that is secured by a Lien on the Collateral that is pari passu with the Lien on the Collateral securing the Secured Obligations that are secured on a first lien basis;</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61" w:name="page162"/>
    <w:bookmarkEnd w:id="161"/>
    <w:p>
      <w:pPr>
        <w:jc w:val="both"/>
        <w:ind w:firstLine="1292"/>
        <w:spacing w:after="0" w:line="257" w:lineRule="auto"/>
        <w:tabs>
          <w:tab w:leader="none" w:pos="207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other Indebtedness of non-Guarantor Subsidiaries and Foreign Subsidiaries in an aggregate principal amount on the date of incurrence that, when taken together with the principal amount of all other Indebtedness then outstanding and incurred pursuant to this clause (xi) and the principal amount of all Indebtedness of non-Guarantor Subsidiaries then outstanding and incurred pursuant to Section 6.01(a) hereof, does not exceed the greater of $175,000,000 and 15% of Consolidated EBITDA for the Test Period most recently ended on or prior to the date of such determination;</w:t>
      </w:r>
    </w:p>
    <w:p>
      <w:pPr>
        <w:spacing w:after="0" w:line="187" w:lineRule="exact"/>
        <w:rPr>
          <w:rFonts w:ascii="Arial" w:cs="Arial" w:eastAsia="Arial" w:hAnsi="Arial"/>
          <w:sz w:val="18"/>
          <w:szCs w:val="18"/>
          <w:color w:val="auto"/>
        </w:rPr>
      </w:pPr>
    </w:p>
    <w:p>
      <w:pPr>
        <w:jc w:val="both"/>
        <w:ind w:firstLine="1292"/>
        <w:spacing w:after="0" w:line="263" w:lineRule="auto"/>
        <w:tabs>
          <w:tab w:leader="none" w:pos="20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Indebtedness of Holdings or any of its Restricted Subsidiaries consisting of (i) the financing of insurance premiums with the providers of such insurance or their affiliates or (ii) take-or-pay obligations contained in supply agreements, in each case, in the ordinary course of business;</w:t>
      </w:r>
    </w:p>
    <w:p>
      <w:pPr>
        <w:spacing w:after="0" w:line="183" w:lineRule="exact"/>
        <w:rPr>
          <w:rFonts w:ascii="Arial" w:cs="Arial" w:eastAsia="Arial" w:hAnsi="Arial"/>
          <w:sz w:val="18"/>
          <w:szCs w:val="18"/>
          <w:color w:val="auto"/>
        </w:rPr>
      </w:pPr>
    </w:p>
    <w:p>
      <w:pPr>
        <w:ind w:left="2000" w:hanging="708"/>
        <w:spacing w:after="0"/>
        <w:tabs>
          <w:tab w:leader="none" w:pos="20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Indebtedness incurred in connection with judgments, decrees, attachments or awards that do not constitute an Event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Default;</w:t>
      </w:r>
    </w:p>
    <w:p>
      <w:pPr>
        <w:spacing w:after="0" w:line="210" w:lineRule="exact"/>
        <w:rPr>
          <w:rFonts w:ascii="Arial" w:cs="Arial" w:eastAsia="Arial" w:hAnsi="Arial"/>
          <w:sz w:val="16"/>
          <w:szCs w:val="16"/>
          <w:color w:val="auto"/>
        </w:rPr>
      </w:pPr>
    </w:p>
    <w:p>
      <w:pPr>
        <w:jc w:val="both"/>
        <w:ind w:firstLine="1292"/>
        <w:spacing w:after="0" w:line="286" w:lineRule="auto"/>
        <w:tabs>
          <w:tab w:leader="none" w:pos="196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Indebtedness in the form of (i) guarantees of loans and advances to officers, directors, consultants and employees that constitute Permitted Investments pursuant to and in accordance with clause (9) of the definition thereof, and (ii) reimbursements owed to officers, directors, consultants and employees of Holdings or any of its Subsidiaries or Holdings’ direct or indirect parent companies;</w:t>
      </w:r>
    </w:p>
    <w:p>
      <w:pPr>
        <w:spacing w:after="0" w:line="165" w:lineRule="exact"/>
        <w:rPr>
          <w:rFonts w:ascii="Arial" w:cs="Arial" w:eastAsia="Arial" w:hAnsi="Arial"/>
          <w:sz w:val="17"/>
          <w:szCs w:val="17"/>
          <w:color w:val="auto"/>
        </w:rPr>
      </w:pPr>
    </w:p>
    <w:p>
      <w:pPr>
        <w:jc w:val="both"/>
        <w:ind w:firstLine="1292"/>
        <w:spacing w:after="0" w:line="259" w:lineRule="auto"/>
        <w:tabs>
          <w:tab w:leader="none" w:pos="20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Indebtedness consisting of obligations to make payments to current or former officers, directors and employees of Holdings, any of its Subsidiaries or Holdings’ direct or indirect parent companies, their respective estates, spouses or former spouses with respect to the cancellation, purchase or redemption of Equity Interests of Holdings, any of its Subsidiaries, or any of Holdings’ direct or indirect parent companies to the extent permitted under Section 6.04;</w:t>
      </w:r>
    </w:p>
    <w:p>
      <w:pPr>
        <w:spacing w:after="0" w:line="186" w:lineRule="exact"/>
        <w:rPr>
          <w:rFonts w:ascii="Arial" w:cs="Arial" w:eastAsia="Arial" w:hAnsi="Arial"/>
          <w:sz w:val="18"/>
          <w:szCs w:val="18"/>
          <w:color w:val="auto"/>
        </w:rPr>
      </w:pPr>
    </w:p>
    <w:p>
      <w:pPr>
        <w:jc w:val="both"/>
        <w:ind w:firstLine="1292"/>
        <w:spacing w:after="0" w:line="255" w:lineRule="auto"/>
        <w:tabs>
          <w:tab w:leader="none" w:pos="20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Indebtedness (A) incurred in connection with a Qualified Securitization Financing that is not recourse (except for Standard Securitization Undertakings and Limited Originator Recourse) to Holdings or any Restricted Subsidiary, (B) incurred in connection with a Qualified Receivables Factoring or (C) incurred for working capital purposes, in an aggregate principal amount on the date of incurrence that, when taken together with the principal amount of all other Indebtedness then outstanding and incurred pursuant to this clause (xvi)(C), does not exceed the greater of $120,000,000 or 10% of Consolidated EBITDA for the Test Period most recently ended on or prior to the date of such determination;</w:t>
      </w:r>
    </w:p>
    <w:p>
      <w:pPr>
        <w:spacing w:after="0" w:line="192" w:lineRule="exact"/>
        <w:rPr>
          <w:rFonts w:ascii="Arial" w:cs="Arial" w:eastAsia="Arial" w:hAnsi="Arial"/>
          <w:sz w:val="18"/>
          <w:szCs w:val="18"/>
          <w:color w:val="auto"/>
        </w:rPr>
      </w:pPr>
    </w:p>
    <w:p>
      <w:pPr>
        <w:jc w:val="both"/>
        <w:ind w:firstLine="1292"/>
        <w:spacing w:after="0" w:line="275" w:lineRule="auto"/>
        <w:tabs>
          <w:tab w:leader="none" w:pos="1954"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(A) the New Notes (and any Guarantees thereof by the Guarantors), (B) any other Indebtedness that is outstanding on the Closing Date, which, in the case of Indebtedness with an outstanding principal amount in excess of $5,000,000, shall be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w:t>
      </w:r>
      <w:r>
        <w:rPr>
          <w:rFonts w:ascii="Arial" w:cs="Arial" w:eastAsia="Arial" w:hAnsi="Arial"/>
          <w:sz w:val="17"/>
          <w:szCs w:val="17"/>
          <w:color w:val="auto"/>
        </w:rPr>
        <w:t>, and (C) any refinancing, extensions, renewals or replacements of any such Indebtedness described in (A) or (B) that does not increase the outstanding principal amount thereof (other than with respect to unpaid accrued interest and premium thereon, any committed or undrawn amounts and underwriting discounts, fees, commissions and expenses, associated with such Indebtedness);</w:t>
      </w:r>
    </w:p>
    <w:p>
      <w:pPr>
        <w:spacing w:after="0" w:line="176" w:lineRule="exact"/>
        <w:rPr>
          <w:rFonts w:ascii="Arial" w:cs="Arial" w:eastAsia="Arial" w:hAnsi="Arial"/>
          <w:sz w:val="17"/>
          <w:szCs w:val="17"/>
          <w:color w:val="auto"/>
        </w:rPr>
      </w:pPr>
    </w:p>
    <w:p>
      <w:pPr>
        <w:jc w:val="both"/>
        <w:ind w:firstLine="1292"/>
        <w:spacing w:after="0" w:line="286" w:lineRule="auto"/>
        <w:tabs>
          <w:tab w:leader="none" w:pos="213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Indebtedness arising from agreements providing for indemnification, adjustment of purchase price or similar obligations, or from guaranties, surety bonds or performance bonds securing the performance of Holdings or any of its Restricted Subsidiaries pursuant to such agreements, in connection with Permitted Acquisitions, the Acquisition or permitted Dispositions;</w:t>
      </w:r>
    </w:p>
    <w:p>
      <w:pPr>
        <w:spacing w:after="0" w:line="38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162" w:name="page163"/>
    <w:bookmarkEnd w:id="162"/>
    <w:p>
      <w:pPr>
        <w:jc w:val="both"/>
        <w:ind w:left="-460" w:firstLine="1292"/>
        <w:spacing w:after="0" w:line="290" w:lineRule="auto"/>
        <w:tabs>
          <w:tab w:leader="none" w:pos="151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Alternative Incremental Facility Indebtedness and Permitted Refinancing Indebtedness in respect thereof provided that as of the end of the most recently ended Test Period prior to the effectiveness of such Alternative Incremental Facility Indebtedness (or in the case the proceeds thereof are used to finance a Limited Condition Transaction, as of the LCT Test Date) on a Pro Forma Basis (after giving effect to the use of proceeds of such Alternative Incremental Facility Indebtedness and any Permitted Acquisition or other acquisition or Investment to be consummated in connection therewith) in an aggregate principal amount, together with the principal amount of Incremental Loans incurred, shall not exceed the Maximum Incremental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Indebtedness is incurred prior to the date that is 24 months after the Closing Date and is comprised of term loans funded in Dollars that are secured pari passu with the Obligations, the provisions set forth in Section 2.20(b)(A)(iv) shall apply as if such Indebtedness had been incurred as Incremental Term Loans under Section 2.20;</w:t>
      </w:r>
    </w:p>
    <w:p>
      <w:pPr>
        <w:spacing w:after="0" w:line="165" w:lineRule="exact"/>
        <w:rPr>
          <w:rFonts w:ascii="Arial" w:cs="Arial" w:eastAsia="Arial" w:hAnsi="Arial"/>
          <w:sz w:val="16"/>
          <w:szCs w:val="16"/>
          <w:color w:val="auto"/>
        </w:rPr>
      </w:pPr>
    </w:p>
    <w:p>
      <w:pPr>
        <w:jc w:val="both"/>
        <w:ind w:left="-460" w:firstLine="1292"/>
        <w:spacing w:after="0" w:line="257" w:lineRule="auto"/>
        <w:tabs>
          <w:tab w:leader="none" w:pos="150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Indebtedness in the form of an intercompany note issued in connection with a Permitted Acquisition involving a tender offer followed by a short form merger (i.e. a statutory short form merger that requires no further approvals to consummate);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short form merger is consummated within five (5) Business Days of the incurrence of such Indebtedness and (ii) not later than three (3) Business Days after consummation of the related short form merger, such Indebtedness (x) is extinguished or retired or (y) otherwise constitutes a Permitted Investment;</w:t>
      </w:r>
    </w:p>
    <w:p>
      <w:pPr>
        <w:spacing w:after="0" w:line="187" w:lineRule="exact"/>
        <w:rPr>
          <w:rFonts w:ascii="Arial" w:cs="Arial" w:eastAsia="Arial" w:hAnsi="Arial"/>
          <w:sz w:val="18"/>
          <w:szCs w:val="18"/>
          <w:color w:val="auto"/>
        </w:rPr>
      </w:pPr>
    </w:p>
    <w:p>
      <w:pPr>
        <w:jc w:val="both"/>
        <w:ind w:left="-460" w:firstLine="1292"/>
        <w:spacing w:after="0" w:line="279" w:lineRule="auto"/>
        <w:tabs>
          <w:tab w:leader="none" w:pos="153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Indebtedness, Disqualified Equity Interests or Preferred Equity of Holdings or of any of the Restricted Subsidiaries in an aggregate principal amount on the date of incurrence that, when taken together with all other Indebtedness of Holdings and the Restricted Subsidiaries then outstanding and incurred pursuant to this clause (xxi), does not exceed the greater of $405,000,000 and 35% of Consolidated EBITDA for the Test Period most recently ended on or prior to the date of such determination;</w:t>
      </w:r>
    </w:p>
    <w:p>
      <w:pPr>
        <w:spacing w:after="0" w:line="171" w:lineRule="exact"/>
        <w:rPr>
          <w:rFonts w:ascii="Arial" w:cs="Arial" w:eastAsia="Arial" w:hAnsi="Arial"/>
          <w:sz w:val="17"/>
          <w:szCs w:val="17"/>
          <w:color w:val="auto"/>
        </w:rPr>
      </w:pPr>
    </w:p>
    <w:p>
      <w:pPr>
        <w:ind w:left="-460" w:firstLine="1292"/>
        <w:spacing w:after="0" w:line="277" w:lineRule="auto"/>
        <w:tabs>
          <w:tab w:leader="none" w:pos="152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under guarantees of the obligations of other members of the Group once such guarantees are entered into the in the normal course of trading;</w:t>
      </w:r>
    </w:p>
    <w:p>
      <w:pPr>
        <w:spacing w:after="0" w:line="170" w:lineRule="exact"/>
        <w:rPr>
          <w:rFonts w:ascii="Arial" w:cs="Arial" w:eastAsia="Arial" w:hAnsi="Arial"/>
          <w:sz w:val="18"/>
          <w:szCs w:val="18"/>
          <w:color w:val="auto"/>
        </w:rPr>
      </w:pPr>
    </w:p>
    <w:p>
      <w:pPr>
        <w:ind w:left="1500" w:hanging="668"/>
        <w:spacing w:after="0"/>
        <w:tabs>
          <w:tab w:leader="none" w:pos="15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Indebtedness incurred in respect of trade credit in the normal course of trading activities (including within the Group);</w:t>
      </w:r>
    </w:p>
    <w:p>
      <w:pPr>
        <w:spacing w:after="0" w:line="248" w:lineRule="exact"/>
        <w:rPr>
          <w:rFonts w:ascii="Arial" w:cs="Arial" w:eastAsia="Arial" w:hAnsi="Arial"/>
          <w:sz w:val="16"/>
          <w:szCs w:val="16"/>
          <w:color w:val="auto"/>
        </w:rPr>
      </w:pPr>
    </w:p>
    <w:p>
      <w:pPr>
        <w:ind w:left="1460" w:hanging="628"/>
        <w:spacing w:after="0"/>
        <w:tabs>
          <w:tab w:leader="none" w:pos="1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intra-day facility arrangements in the ordinary course of business and consistent with past practice;</w:t>
      </w:r>
    </w:p>
    <w:p>
      <w:pPr>
        <w:spacing w:after="0" w:line="225" w:lineRule="exact"/>
        <w:rPr>
          <w:rFonts w:ascii="Arial" w:cs="Arial" w:eastAsia="Arial" w:hAnsi="Arial"/>
          <w:sz w:val="18"/>
          <w:szCs w:val="18"/>
          <w:color w:val="auto"/>
        </w:rPr>
      </w:pPr>
    </w:p>
    <w:p>
      <w:pPr>
        <w:ind w:left="-460" w:firstLine="1292"/>
        <w:spacing w:after="0" w:line="277" w:lineRule="auto"/>
        <w:tabs>
          <w:tab w:leader="none" w:pos="148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of, incurred on behalf of, or representing guarantees of Indebtedness of, joint ventures, in each case, that are Permitted Investments or are permitted under Section 6.04;</w:t>
      </w:r>
    </w:p>
    <w:p>
      <w:pPr>
        <w:spacing w:after="0" w:line="170" w:lineRule="exact"/>
        <w:rPr>
          <w:rFonts w:ascii="Arial" w:cs="Arial" w:eastAsia="Arial" w:hAnsi="Arial"/>
          <w:sz w:val="18"/>
          <w:szCs w:val="18"/>
          <w:color w:val="auto"/>
        </w:rPr>
      </w:pPr>
    </w:p>
    <w:p>
      <w:pPr>
        <w:ind w:left="-460" w:right="20" w:firstLine="1292"/>
        <w:spacing w:after="0" w:line="277" w:lineRule="auto"/>
        <w:tabs>
          <w:tab w:leader="none" w:pos="1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in respect of derivative transactions entered into by Group members to hedge currency or interest rate exposures and for other non-speculative purposes;</w:t>
      </w:r>
    </w:p>
    <w:p>
      <w:pPr>
        <w:spacing w:after="0" w:line="170" w:lineRule="exact"/>
        <w:rPr>
          <w:rFonts w:ascii="Arial" w:cs="Arial" w:eastAsia="Arial" w:hAnsi="Arial"/>
          <w:sz w:val="18"/>
          <w:szCs w:val="18"/>
          <w:color w:val="auto"/>
        </w:rPr>
      </w:pPr>
    </w:p>
    <w:p>
      <w:pPr>
        <w:ind w:left="1460" w:hanging="628"/>
        <w:spacing w:after="0"/>
        <w:tabs>
          <w:tab w:leader="none" w:pos="1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incurred in connection with any Sale and Leaseback Transaction related to the Headquarters;</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63" w:name="page164"/>
    <w:bookmarkEnd w:id="163"/>
    <w:p>
      <w:pPr>
        <w:jc w:val="both"/>
        <w:ind w:left="-460" w:firstLine="1292"/>
        <w:spacing w:after="0" w:line="279" w:lineRule="auto"/>
        <w:tabs>
          <w:tab w:leader="none" w:pos="157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Preferred Equity of a Restricted Subsidiary issued to Holdings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Holdings or another Restricted Subsidiary) shall be deemed in each case to be an issuance of such shares of preferred stock not permitted by this clause (xxviii);</w:t>
      </w:r>
    </w:p>
    <w:p>
      <w:pPr>
        <w:spacing w:after="0" w:line="171" w:lineRule="exact"/>
        <w:rPr>
          <w:rFonts w:ascii="Arial" w:cs="Arial" w:eastAsia="Arial" w:hAnsi="Arial"/>
          <w:sz w:val="17"/>
          <w:szCs w:val="17"/>
          <w:color w:val="auto"/>
        </w:rPr>
      </w:pPr>
    </w:p>
    <w:p>
      <w:pPr>
        <w:jc w:val="both"/>
        <w:ind w:left="-460" w:firstLine="1292"/>
        <w:spacing w:after="0" w:line="286" w:lineRule="auto"/>
        <w:tabs>
          <w:tab w:leader="none" w:pos="15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 obligations in respect of self-insurance, performance, bid, appeal and surety bonds and completion guarantees and similar obligations provided by Holdings or any Restricted Subsidiary or (ii) obligations in respect of letters of credit, bank guarantees or similar instruments related thereto, in each case, in the ordinary course of business or consistent with past practice;</w:t>
      </w:r>
    </w:p>
    <w:p>
      <w:pPr>
        <w:spacing w:after="0" w:line="165" w:lineRule="exact"/>
        <w:rPr>
          <w:rFonts w:ascii="Arial" w:cs="Arial" w:eastAsia="Arial" w:hAnsi="Arial"/>
          <w:sz w:val="17"/>
          <w:szCs w:val="17"/>
          <w:color w:val="auto"/>
        </w:rPr>
      </w:pPr>
    </w:p>
    <w:p>
      <w:pPr>
        <w:ind w:left="1500" w:hanging="668"/>
        <w:spacing w:after="0"/>
        <w:tabs>
          <w:tab w:leader="none" w:pos="15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1292"/>
        <w:spacing w:after="0" w:line="257" w:lineRule="auto"/>
        <w:tabs>
          <w:tab w:leader="none" w:pos="1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Indebtedness of Holdings or any Restricted Subsidiary supported by a letter of credit, in a principal amount not in excess of the stated amount of such letter of credit, so long as such letter of credit is otherwise permitted to be incurred pursuant to this Section 6.01 or (ii) obligations in respect of letters of support, guarantees or similar obligations issued, made or incurred for the benefit of any Restricted Subsidiary of Holdings to the extent required by law or in connection with any statutory filing or the delivery of audit opinions performed in jurisdictions other than within the United States;</w:t>
      </w:r>
    </w:p>
    <w:p>
      <w:pPr>
        <w:spacing w:after="0" w:line="187" w:lineRule="exact"/>
        <w:rPr>
          <w:rFonts w:ascii="Arial" w:cs="Arial" w:eastAsia="Arial" w:hAnsi="Arial"/>
          <w:sz w:val="18"/>
          <w:szCs w:val="18"/>
          <w:color w:val="auto"/>
        </w:rPr>
      </w:pPr>
    </w:p>
    <w:p>
      <w:pPr>
        <w:ind w:left="1540" w:hanging="708"/>
        <w:spacing w:after="0"/>
        <w:tabs>
          <w:tab w:leader="none" w:pos="1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1292"/>
        <w:spacing w:after="0" w:line="255" w:lineRule="auto"/>
        <w:tabs>
          <w:tab w:leader="none" w:pos="161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Indebtedness of Holdings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Agreement” and (ii) Indebtedness owed on a short term basis of no longer than 30 days to banks and other financial institutions incurred in the ordinary course of business of the Borrowers and their Restricted Subsidiaries with such banks or financial institutions that arises in connection with ordinary banking arrangements to manage cash balances of the Borrowers and their Restricted Subsidiaries;</w:t>
      </w:r>
    </w:p>
    <w:p>
      <w:pPr>
        <w:spacing w:after="0" w:line="192" w:lineRule="exact"/>
        <w:rPr>
          <w:rFonts w:ascii="Arial" w:cs="Arial" w:eastAsia="Arial" w:hAnsi="Arial"/>
          <w:sz w:val="18"/>
          <w:szCs w:val="18"/>
          <w:color w:val="auto"/>
        </w:rPr>
      </w:pPr>
    </w:p>
    <w:p>
      <w:pPr>
        <w:ind w:left="1500" w:hanging="668"/>
        <w:spacing w:after="0"/>
        <w:tabs>
          <w:tab w:leader="none" w:pos="15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1292"/>
        <w:spacing w:after="0" w:line="273" w:lineRule="auto"/>
        <w:tabs>
          <w:tab w:leader="none" w:pos="152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Indebtedness arising in the ordinary course of business from the honoring by a bank or other financial institution of a check, draft or similar instrument drawn against insufficient funds in the ordinary course of business, provided that such Indebtedness (x) is extinguished within two Business Days of its incurrence or (y) arises in respect of one or more accounts of any Subsidiary that is a Foreign Subsidiary with any bank or other financial institution subject to a pooling or similar arrangement with one or more accounts of any other Subsidiaries that are Foreign Subsidiaries with such bank or other financial institution to the extent the net aggregate amount of funds in all such accounts subject to such pooling or similar arrangement with such bank or other financial institution is positive;</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64" w:name="page165"/>
    <w:bookmarkEnd w:id="164"/>
    <w:p>
      <w:pPr>
        <w:ind w:left="2620" w:hanging="668"/>
        <w:spacing w:after="0"/>
        <w:tabs>
          <w:tab w:leader="none" w:pos="2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jc w:val="both"/>
        <w:ind w:left="660" w:firstLine="1292"/>
        <w:spacing w:after="0" w:line="291" w:lineRule="auto"/>
        <w:tabs>
          <w:tab w:leader="none" w:pos="263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Indebtedness or Disqualified Equity Interests of Holdings and Indebtedness, Disqualified Equity Interests or Preferred Equity of Holdings or any Restricted Subsidiary in an aggregate principal amount or liquidation preference up to 100.0% of the net cash proceeds received by Holdings after the Closing Date from the issue or sale of Equity Interests of Holdings or cash contributed to the capital of Holdings (in each case, other than proceeds of Disqualified Equity Interests, sales of Equity Interests to Holdings or any of its Subsidiaries or proceeds which have been designated as a Cure Amount) as determined in accordance with Section 6.04(a)(ii)(B) and (a)(ii)(D) to the extent such net cash proceeds or cash have not been applied pursuant to such clauses to make Restricted Payments pursuant to Section 6.04(b) or to make Permitted Investments (other than Permitted Investments specified in clauses (2), (3) or (4) of the definition thereof).</w:t>
      </w:r>
    </w:p>
    <w:p>
      <w:pPr>
        <w:spacing w:after="0" w:line="16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For purposes of determining compliance with this Section 6.01, in the event that an item of Indebtedness, Disqualified Equity Interests or Preferred Equity (or any portion thereof) at any time, whether at the time of incurrence or issuance or upon the application of all or a portion of the proceeds thereof or subsequently, meets the criteria of more than one of the categories of permitted Indebtedness, Disqualified Equity Interests or Preferred Equity described in Section 6.01(i) through (xxxvii) above, Holdings, in its sole discretion, will classify and may subsequently reclassify such item of Indebtedness, Disqualified Equity Interests or Preferred Equity (or any portion thereof) in any one or more of the types of Indebtedness, Disqualified Equity Interests or Preferred Equity described in Section 6.01(i) through (xxxvii) and will only be required to include the amount and type of such Indebtedness, Disqualified Equity Interests or Preferred Equity in such of the above clauses as determined by Holdings at such time. Holdings will be entitled to divide, classify and reclassify an item of Indebtedness in more than one of the types of Indebtedness described in clauses (i) through (xxxvii).</w:t>
      </w:r>
    </w:p>
    <w:p>
      <w:pPr>
        <w:spacing w:after="0" w:line="165" w:lineRule="exact"/>
        <w:rPr>
          <w:sz w:val="20"/>
          <w:szCs w:val="20"/>
          <w:color w:val="auto"/>
        </w:rPr>
      </w:pPr>
    </w:p>
    <w:p>
      <w:pPr>
        <w:jc w:val="both"/>
        <w:ind w:firstLine="1304"/>
        <w:spacing w:after="0" w:line="287" w:lineRule="auto"/>
        <w:tabs>
          <w:tab w:leader="none" w:pos="197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Indebtedness is incurred to extend, replace, refund,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plus the aggregate amount of fees, underwriting discounts, premiums and other costs and expenses incurred in connection with such refinancing.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71" w:lineRule="exact"/>
        <w:rPr>
          <w:rFonts w:ascii="Arial" w:cs="Arial" w:eastAsia="Arial" w:hAnsi="Arial"/>
          <w:sz w:val="16"/>
          <w:szCs w:val="16"/>
          <w:color w:val="auto"/>
        </w:rPr>
      </w:pPr>
    </w:p>
    <w:p>
      <w:pPr>
        <w:jc w:val="both"/>
        <w:ind w:firstLine="1304"/>
        <w:spacing w:after="0" w:line="259" w:lineRule="auto"/>
        <w:tabs>
          <w:tab w:leader="none" w:pos="201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accrual of interest, the accretion of accreted value and the payment of interest in the form of additional Indebtedness shall not be deemed to be an incurrence of Indebtedness for purposes of this Section 6.01. The principal amount of any non-interest bearing Indebtedness or other discount security constituting Indebtedness at any date shall be the principal amount thereof that would be shown on a balance sheet of Holdings dated such date prepared in accordance with GAAP.</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Holdings will not, and will not permit any Restricted Subsidiary to, directly or indirectly, incur or permit to exist any Lien (the “</w:t>
      </w:r>
      <w:r>
        <w:rPr>
          <w:rFonts w:ascii="Arial" w:cs="Arial" w:eastAsia="Arial" w:hAnsi="Arial"/>
          <w:sz w:val="18"/>
          <w:szCs w:val="18"/>
          <w:u w:val="single" w:color="auto"/>
          <w:color w:val="auto"/>
        </w:rPr>
        <w:t>Initial Lien</w:t>
      </w:r>
      <w:r>
        <w:rPr>
          <w:rFonts w:ascii="Arial" w:cs="Arial" w:eastAsia="Arial" w:hAnsi="Arial"/>
          <w:sz w:val="18"/>
          <w:szCs w:val="18"/>
          <w:color w:val="auto"/>
        </w:rPr>
        <w:t>”) of any nature whatsoever on any of its properties (including Equity Interests of a Restricted Subsidiary to secure Indebtedness), whether owned at the Closing Date or thereafter acquired, securing any Indebtedness, other than Permitted Liens.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5" w:name="page166"/>
    <w:bookmarkEnd w:id="165"/>
    <w:p>
      <w:pPr>
        <w:ind w:left="660"/>
        <w:spacing w:after="0"/>
        <w:tabs>
          <w:tab w:leader="none" w:pos="19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Asset Sales</w:t>
      </w:r>
      <w:r>
        <w:rPr>
          <w:rFonts w:ascii="Arial" w:cs="Arial" w:eastAsia="Arial" w:hAnsi="Arial"/>
          <w:sz w:val="15"/>
          <w:szCs w:val="15"/>
          <w:color w:val="auto"/>
        </w:rPr>
        <w:t>.</w:t>
      </w:r>
    </w:p>
    <w:p>
      <w:pPr>
        <w:spacing w:after="0" w:line="225" w:lineRule="exact"/>
        <w:rPr>
          <w:sz w:val="20"/>
          <w:szCs w:val="20"/>
          <w:color w:val="auto"/>
        </w:rPr>
      </w:pPr>
    </w:p>
    <w:p>
      <w:pPr>
        <w:ind w:left="1960" w:hanging="656"/>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Holdings will not, and will not permit any of its Restricted Subsidiaries to, consummate an Asset Sale unless:</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61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Holdings (or its Restricted Subsidiary, as the case may be) receives consideration at least equal to the fair market value (measured as of the date of the definitive agreement with respect to such Asset Sale) of the assets or shares of Equity Interests of a Restricted Subsidiary issued or sold or otherwise disposed of; and</w:t>
      </w:r>
    </w:p>
    <w:p>
      <w:pPr>
        <w:spacing w:after="0" w:line="183" w:lineRule="exact"/>
        <w:rPr>
          <w:rFonts w:ascii="Arial" w:cs="Arial" w:eastAsia="Arial" w:hAnsi="Arial"/>
          <w:sz w:val="18"/>
          <w:szCs w:val="18"/>
          <w:color w:val="auto"/>
        </w:rPr>
      </w:pPr>
    </w:p>
    <w:p>
      <w:pPr>
        <w:jc w:val="both"/>
        <w:ind w:left="660" w:firstLine="1292"/>
        <w:spacing w:after="0" w:line="285" w:lineRule="auto"/>
        <w:tabs>
          <w:tab w:leader="none" w:pos="2605" w:val="left"/>
        </w:tabs>
        <w:numPr>
          <w:ilvl w:val="1"/>
          <w:numId w:val="174"/>
        </w:numPr>
        <w:rPr>
          <w:rFonts w:ascii="Arial" w:cs="Arial" w:eastAsia="Arial" w:hAnsi="Arial"/>
          <w:sz w:val="16"/>
          <w:szCs w:val="16"/>
          <w:color w:val="auto"/>
        </w:rPr>
      </w:pPr>
      <w:r>
        <w:rPr>
          <w:rFonts w:ascii="Arial" w:cs="Arial" w:eastAsia="Arial" w:hAnsi="Arial"/>
          <w:sz w:val="16"/>
          <w:szCs w:val="16"/>
          <w:color w:val="auto"/>
        </w:rPr>
        <w:t>if the property or assets sold or otherwise disposed in a single transaction or series of related transactions of have a fair market value in excess of $75,000,000 at the time of such disposition, at least 75% of the consideration received in the Asset Sale by Holdings or such Restricted Subsidiary is in the form of cash or Cash Equivalents. For purposes of this clause (ii), the following consideration shall be deemed to be cash consideration: (A) any securities, notes or other obligations received by Holdings or any Restricted Subsidiary that are converted within 180 days into cash or Cash Equivalents shall be deemed to be cash or Cash Equivalents, (B) any consideration arising from the assumption of liabilities, (C) any liabilities (as reflected on Holdings’ most recent consolidated balance sheet or in the footnotes thereto, or if incurred or accrued subsequent to the date of such balance sheet, such liabilities that would have been reflected on Holdings’ consolidated balance sheet or in the footnotes thereto if such incurrence or accrual had taken place on or prior to the date of such consolidated balance sheet, as determined in good faith by Holdings) of Holdings, other than liabilities that are by their terms subordinated to the Loans, that are assumed by the transferee of any such assets (or are otherwise extinguished in connection with the transactions relating to such Asset Sale) and for which Holdings and all Restricted Subsidiaries have been validly released by all applicable creditors in writing; (D) any contingent or deferred consideration payable in cash or Cash Equivalents) and (E) any Designated Non-Cash Consideration received in respect of such Asset Sale having an aggregate fair market value, taken together with all other Designated Non-Cash Consideration received pursuant to this clause (E) that is at that time outstanding, not in excess of the greater of $205,000,000 and 17.5% of Consolidated EBITDA for the Test Period most recently ended on or prior to the time of the receipt of such Designated Non-Cash Consideration, with the fair market value of each item of Designated Non-Cash Consideration being measured at the time received and without giving effect to subsequent changes in value.</w:t>
      </w:r>
    </w:p>
    <w:p>
      <w:pPr>
        <w:spacing w:after="0" w:line="176" w:lineRule="exact"/>
        <w:rPr>
          <w:rFonts w:ascii="Arial" w:cs="Arial" w:eastAsia="Arial" w:hAnsi="Arial"/>
          <w:sz w:val="16"/>
          <w:szCs w:val="16"/>
          <w:color w:val="auto"/>
        </w:rPr>
      </w:pPr>
    </w:p>
    <w:p>
      <w:pPr>
        <w:ind w:firstLine="1304"/>
        <w:spacing w:after="0" w:line="277" w:lineRule="auto"/>
        <w:tabs>
          <w:tab w:leader="none" w:pos="217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Holdings (or the applicable Restricted Subsidiary) may invest the Net Proceeds in any manner that is not prohibited by this Agreement.</w:t>
      </w:r>
    </w:p>
    <w:p>
      <w:pPr>
        <w:spacing w:after="0" w:line="170" w:lineRule="exact"/>
        <w:rPr>
          <w:rFonts w:ascii="Arial" w:cs="Arial" w:eastAsia="Arial" w:hAnsi="Arial"/>
          <w:sz w:val="18"/>
          <w:szCs w:val="18"/>
          <w:color w:val="auto"/>
        </w:rPr>
      </w:pPr>
    </w:p>
    <w:p>
      <w:pPr>
        <w:ind w:firstLine="1304"/>
        <w:spacing w:after="0" w:line="277" w:lineRule="auto"/>
        <w:tabs>
          <w:tab w:leader="none" w:pos="206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anything to the contrary herein, Holdings will not, and will not permit any of its Restricted Subsidiaries to, transfer any Material Intellectual Property to any Unrestricted Subsidiary.</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Restricted Payments, Investments, Loans, Advances, Guarantees and Acquisitions</w:t>
      </w:r>
      <w:r>
        <w:rPr>
          <w:rFonts w:ascii="Arial" w:cs="Arial" w:eastAsia="Arial" w:hAnsi="Arial"/>
          <w:sz w:val="16"/>
          <w:szCs w:val="16"/>
          <w:color w:val="auto"/>
        </w:rPr>
        <w:t>.</w:t>
      </w:r>
    </w:p>
    <w:p>
      <w:pPr>
        <w:spacing w:after="0" w:line="225" w:lineRule="exact"/>
        <w:rPr>
          <w:sz w:val="20"/>
          <w:szCs w:val="20"/>
          <w:color w:val="auto"/>
        </w:rPr>
      </w:pPr>
    </w:p>
    <w:p>
      <w:pPr>
        <w:ind w:left="2000" w:hanging="696"/>
        <w:spacing w:after="0"/>
        <w:tabs>
          <w:tab w:leader="none" w:pos="20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Holdings will not, and will not permit any of its Restricted Subsidiaries to, directly or indirectly make any Restricted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unless:</w:t>
      </w:r>
    </w:p>
    <w:p>
      <w:pPr>
        <w:spacing w:after="0" w:line="211" w:lineRule="exact"/>
        <w:rPr>
          <w:sz w:val="20"/>
          <w:szCs w:val="20"/>
          <w:color w:val="auto"/>
        </w:rPr>
      </w:pPr>
    </w:p>
    <w:p>
      <w:pPr>
        <w:jc w:val="both"/>
        <w:ind w:left="660" w:firstLine="1292"/>
        <w:spacing w:after="0" w:line="291" w:lineRule="auto"/>
        <w:tabs>
          <w:tab w:leader="none" w:pos="260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(x) in the case of a Restricted Payment utilizing clause (a)(ii)(B) below, no Event of Default shall have occurred and be continuing or would occur as a consequence thereof and (y) in the case of a Restricted Payment (other than an Investment) utilizing clause (a)(ii)</w:t>
      </w:r>
    </w:p>
    <w:p>
      <w:pPr>
        <w:ind w:left="660" w:hanging="4"/>
        <w:spacing w:after="0" w:line="260" w:lineRule="auto"/>
        <w:tabs>
          <w:tab w:leader="none" w:pos="95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below, after giving effect to such Restricted Payment on a Pro Forma Basis, Holdings would have had a Fixed Charge Coverage Ratio of at least 2.00 to 1.00;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6" w:name="page167"/>
    <w:bookmarkEnd w:id="166"/>
    <w:p>
      <w:pPr>
        <w:jc w:val="both"/>
        <w:ind w:left="-460" w:firstLine="1292"/>
        <w:spacing w:after="0" w:line="263" w:lineRule="auto"/>
        <w:tabs>
          <w:tab w:leader="none" w:pos="146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Holdings and its Restricted Subsidiaries since the Closing Date (including Restricted Payments permitted by Section 6.04(b)(i), but excluding all other Restricted Payments permitted by Section 6.04(b)), is less than the sum, without duplication, of:</w:t>
      </w:r>
    </w:p>
    <w:p>
      <w:pPr>
        <w:spacing w:after="0" w:line="183" w:lineRule="exact"/>
        <w:rPr>
          <w:rFonts w:ascii="Arial" w:cs="Arial" w:eastAsia="Arial" w:hAnsi="Arial"/>
          <w:sz w:val="18"/>
          <w:szCs w:val="18"/>
          <w:color w:val="auto"/>
        </w:rPr>
      </w:pPr>
    </w:p>
    <w:p>
      <w:pPr>
        <w:ind w:left="180" w:firstLine="1300"/>
        <w:spacing w:after="0" w:line="277" w:lineRule="auto"/>
        <w:tabs>
          <w:tab w:leader="none" w:pos="216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greater of $405,000,000 and 35% of Consolidated EBITDA for the Test Period most recently ended on or prior to the date of such transactions, plus</w:t>
      </w:r>
    </w:p>
    <w:p>
      <w:pPr>
        <w:spacing w:after="0" w:line="170" w:lineRule="exact"/>
        <w:rPr>
          <w:rFonts w:ascii="Arial" w:cs="Arial" w:eastAsia="Arial" w:hAnsi="Arial"/>
          <w:sz w:val="18"/>
          <w:szCs w:val="18"/>
          <w:color w:val="auto"/>
        </w:rPr>
      </w:pPr>
    </w:p>
    <w:p>
      <w:pPr>
        <w:jc w:val="both"/>
        <w:ind w:left="180" w:firstLine="1300"/>
        <w:spacing w:after="0" w:line="259" w:lineRule="auto"/>
        <w:tabs>
          <w:tab w:leader="none" w:pos="212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50% of the Consolidated Net Income of Holdings for the period (taken as one accounting period) from the first day of the fiscal quarter in which the Closing Date occurs to the end of Holdings’ most recently ended fiscal quarter for which internal financial statements are available at the time of such Restricted Payment (or, if such Consolidated Net Income for such period is a deficit, less 100% of such deficit); plus</w:t>
      </w:r>
    </w:p>
    <w:p>
      <w:pPr>
        <w:spacing w:after="0" w:line="186" w:lineRule="exact"/>
        <w:rPr>
          <w:rFonts w:ascii="Arial" w:cs="Arial" w:eastAsia="Arial" w:hAnsi="Arial"/>
          <w:sz w:val="18"/>
          <w:szCs w:val="18"/>
          <w:color w:val="auto"/>
        </w:rPr>
      </w:pPr>
    </w:p>
    <w:p>
      <w:pPr>
        <w:jc w:val="both"/>
        <w:ind w:left="180" w:firstLine="1300"/>
        <w:spacing w:after="0" w:line="254" w:lineRule="auto"/>
        <w:tabs>
          <w:tab w:leader="none" w:pos="221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other than to the extent Restricted Payments have been made with respect to such Net Proceeds pursuant to Sections 6.04(b)(ii) or 6.04(b)(iv), 100% of the aggregate Net Proceeds and the fair market value of property received by Holdings since the Closing Date as a contribution to its common equity capital or from the issue or sale of Equity Interests (other than Disqualified Equity Interests) of Holdings or from the issue or sale of convertible or exchangeable Disqualified Equity Interests of Holdings or Convertible Debt Securities of Holdings, in each case that have been converted into or exchanged for Equity Interests of Holdings (other than Disqualified Equity Interests and Equity Interests and convertible or exchangeable Disqualified Equity Interests or debt securities sold to a Subsidiary of Holdings); plus</w:t>
      </w:r>
    </w:p>
    <w:p>
      <w:pPr>
        <w:spacing w:after="0" w:line="194" w:lineRule="exact"/>
        <w:rPr>
          <w:rFonts w:ascii="Arial" w:cs="Arial" w:eastAsia="Arial" w:hAnsi="Arial"/>
          <w:sz w:val="18"/>
          <w:szCs w:val="18"/>
          <w:color w:val="auto"/>
        </w:rPr>
      </w:pPr>
    </w:p>
    <w:p>
      <w:pPr>
        <w:jc w:val="both"/>
        <w:ind w:left="180" w:firstLine="1300"/>
        <w:spacing w:after="0" w:line="270" w:lineRule="auto"/>
        <w:tabs>
          <w:tab w:leader="none" w:pos="2228" w:val="left"/>
        </w:tabs>
        <w:numPr>
          <w:ilvl w:val="1"/>
          <w:numId w:val="178"/>
        </w:numPr>
        <w:rPr>
          <w:rFonts w:ascii="Arial" w:cs="Arial" w:eastAsia="Arial" w:hAnsi="Arial"/>
          <w:sz w:val="17"/>
          <w:szCs w:val="17"/>
          <w:color w:val="auto"/>
        </w:rPr>
      </w:pPr>
      <w:r>
        <w:rPr>
          <w:rFonts w:ascii="Arial" w:cs="Arial" w:eastAsia="Arial" w:hAnsi="Arial"/>
          <w:sz w:val="17"/>
          <w:szCs w:val="17"/>
          <w:color w:val="auto"/>
        </w:rPr>
        <w:t>100% of the aggregate amount received in cash and the fair market value of property (other than cash) and marketable securities received by Holdings or a Restricted Subsidiary after the Closing Date by means of (i) the sale or other disposition (other than to Holdings or a Restricted Subsidiary) of Restricted Investments made by Holdings or its Restricted Subsidiaries and repurchases and redemptions of such Restricted Investments from Holdings or its Restricted Subsidiaries and repayments of loans or advances which constitute Restricted Investments of Holdings or its Restricted Subsidiaries, (ii) the sale (other than to Holdings or a Restricted Subsidiary) of the Equity Interests of an Unrestricted Subsidiary, (iii) payments of interest, distributions or dividends in respect of Restricted Investments, in each case to the extent that such amounts were not otherwise included in the Consolidated Net Income of Holdings for such period and (iv) a distribution or dividend from an Unrestricted Subsidiary (other than in each case such Investment constituted a Permitted Investment); plus</w:t>
      </w:r>
    </w:p>
    <w:p>
      <w:pPr>
        <w:spacing w:after="0" w:line="180" w:lineRule="exact"/>
        <w:rPr>
          <w:rFonts w:ascii="Arial" w:cs="Arial" w:eastAsia="Arial" w:hAnsi="Arial"/>
          <w:sz w:val="17"/>
          <w:szCs w:val="17"/>
          <w:color w:val="auto"/>
        </w:rPr>
      </w:pPr>
    </w:p>
    <w:p>
      <w:pPr>
        <w:jc w:val="both"/>
        <w:ind w:left="180" w:right="20" w:firstLine="1300"/>
        <w:spacing w:after="0" w:line="263" w:lineRule="auto"/>
        <w:tabs>
          <w:tab w:leader="none" w:pos="218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to the extent that any Restricted Investment that was made after the Closing Date is made in an entity that is not a Restricted Subsidiary that subsequently becomes a Restricted Subsidiary, the initial amount of such Restricted Investment (or, if less, the amount of cash received upon repayment or sale); plus</w:t>
      </w:r>
    </w:p>
    <w:p>
      <w:pPr>
        <w:spacing w:after="0" w:line="183" w:lineRule="exact"/>
        <w:rPr>
          <w:rFonts w:ascii="Arial" w:cs="Arial" w:eastAsia="Arial" w:hAnsi="Arial"/>
          <w:sz w:val="18"/>
          <w:szCs w:val="18"/>
          <w:color w:val="auto"/>
        </w:rPr>
      </w:pPr>
    </w:p>
    <w:p>
      <w:pPr>
        <w:jc w:val="both"/>
        <w:ind w:left="180" w:firstLine="1300"/>
        <w:spacing w:after="0" w:line="301" w:lineRule="auto"/>
        <w:tabs>
          <w:tab w:leader="none" w:pos="2198"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to the extent that any Unrestricted Subsidiary designated as such after the Closing Date is redesignated as a Restricted Subsidiary after the Closing Date, the lesser of (i) the fair market value of the Restricted Investment in such Subsidiary as of the date of such redesignation or (ii) the aggregate amount of the Restricted Investments in such Subsidiary to the extent such Restricted Investments reduced the amount available under this clause (ii) and were not previously repaid or otherwise reduced; plus</w:t>
      </w:r>
    </w:p>
    <w:p>
      <w:pPr>
        <w:spacing w:after="0" w:line="37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67" w:name="page168"/>
    <w:bookmarkEnd w:id="167"/>
    <w:p>
      <w:pPr>
        <w:ind w:left="2140" w:hanging="660"/>
        <w:spacing w:after="0"/>
        <w:tabs>
          <w:tab w:leader="none" w:pos="21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aggregate amount of Subordinated Indebtedness repaid, defeased or satisfied and/or discharged; plus</w:t>
      </w:r>
    </w:p>
    <w:p>
      <w:pPr>
        <w:spacing w:after="0" w:line="236" w:lineRule="exact"/>
        <w:rPr>
          <w:rFonts w:ascii="Arial" w:cs="Arial" w:eastAsia="Arial" w:hAnsi="Arial"/>
          <w:sz w:val="17"/>
          <w:szCs w:val="17"/>
          <w:color w:val="auto"/>
        </w:rPr>
      </w:pPr>
    </w:p>
    <w:p>
      <w:pPr>
        <w:ind w:left="2200" w:hanging="720"/>
        <w:spacing w:after="0"/>
        <w:tabs>
          <w:tab w:leader="none" w:pos="22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Declined Prepayment Amount to the extent not applied to prepay the Term Loans of the Accepting Term</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ind w:left="840" w:hanging="656"/>
        <w:spacing w:after="0"/>
        <w:tabs>
          <w:tab w:leader="none" w:pos="8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Section 6.04(a) will not prohibit:</w:t>
      </w:r>
    </w:p>
    <w:p>
      <w:pPr>
        <w:spacing w:after="0" w:line="225" w:lineRule="exact"/>
        <w:rPr>
          <w:rFonts w:ascii="Arial" w:cs="Arial" w:eastAsia="Arial" w:hAnsi="Arial"/>
          <w:sz w:val="18"/>
          <w:szCs w:val="18"/>
          <w:color w:val="auto"/>
        </w:rPr>
      </w:pPr>
    </w:p>
    <w:p>
      <w:pPr>
        <w:jc w:val="both"/>
        <w:ind w:left="-460" w:firstLine="1292"/>
        <w:spacing w:after="0" w:line="255" w:lineRule="auto"/>
        <w:tabs>
          <w:tab w:leader="none" w:pos="173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(x) the payment of any dividend or distribution or the consummation of any irrevocable purchase, redemption, acquisition or retirement for value of any Equity Interests of Holdings within 60 days after the date of declaration thereof or giving of the irrevocable advance notice thereof, as the case may be, if at the date of declaration or notice, the applicable dividend, distribution or payment would have complied with the provisions of this Agreement and (y) the repurchase of Equity Interests of Holdings pursuant to a plan under Rule 10b5-1 under the Securities Exchange Act of 1934 if at the date Holdings establishes such plan, such repurchase would have complied with the provisions of this Agreement;</w:t>
      </w:r>
    </w:p>
    <w:p>
      <w:pPr>
        <w:spacing w:after="0" w:line="192" w:lineRule="exact"/>
        <w:rPr>
          <w:rFonts w:ascii="Arial" w:cs="Arial" w:eastAsia="Arial" w:hAnsi="Arial"/>
          <w:sz w:val="18"/>
          <w:szCs w:val="18"/>
          <w:color w:val="auto"/>
        </w:rPr>
      </w:pPr>
    </w:p>
    <w:p>
      <w:pPr>
        <w:jc w:val="both"/>
        <w:ind w:left="-460" w:firstLine="1292"/>
        <w:spacing w:after="0" w:line="257" w:lineRule="auto"/>
        <w:tabs>
          <w:tab w:leader="none" w:pos="171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or with the Net Proceeds of the substantially concurrent sale (other than to a Subsidiary of Holdings) of, Equity Interests of Holdings (other than Disqualified Equity Interests) or from the substantially concurrent contribution of common equity capital to Holdings;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any such Net Proceeds that are utilized for any such Restricted Payment will not be considered to be Net Proceeds of Equity Interests for purposes of Section 6.04(a)(ii)(B) or Section 6.04(b)(iv);</w:t>
      </w:r>
    </w:p>
    <w:p>
      <w:pPr>
        <w:spacing w:after="0" w:line="187" w:lineRule="exact"/>
        <w:rPr>
          <w:rFonts w:ascii="Arial" w:cs="Arial" w:eastAsia="Arial" w:hAnsi="Arial"/>
          <w:sz w:val="18"/>
          <w:szCs w:val="18"/>
          <w:color w:val="auto"/>
        </w:rPr>
      </w:pPr>
    </w:p>
    <w:p>
      <w:pPr>
        <w:ind w:left="-460" w:firstLine="1292"/>
        <w:spacing w:after="0" w:line="277" w:lineRule="auto"/>
        <w:tabs>
          <w:tab w:leader="none" w:pos="151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Subordinated Indebtedness with the Net Proceeds from a substantially concurrent incurrence of Permitted Refinancing Indebtedness;</w:t>
      </w:r>
    </w:p>
    <w:p>
      <w:pPr>
        <w:spacing w:after="0" w:line="170" w:lineRule="exact"/>
        <w:rPr>
          <w:rFonts w:ascii="Arial" w:cs="Arial" w:eastAsia="Arial" w:hAnsi="Arial"/>
          <w:sz w:val="18"/>
          <w:szCs w:val="18"/>
          <w:color w:val="auto"/>
        </w:rPr>
      </w:pPr>
    </w:p>
    <w:p>
      <w:pPr>
        <w:jc w:val="both"/>
        <w:ind w:left="-460" w:firstLine="1292"/>
        <w:spacing w:after="0" w:line="291" w:lineRule="auto"/>
        <w:tabs>
          <w:tab w:leader="none" w:pos="167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Equity Interests of Holdings, any Restricted Subsidiary or Holdings’ direct or indirect parent companies held by any current or former officer, director, manager, employee or consultant of Holdings or any of its Restricted Subsidiaries pursuant to any equity subscription agreement, stock option agreement, shareholders’ agreement or other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price paid for all such repurchased, redeemed, acquired or retired Equity Interests may not exceed in any calendar year the greater of $90,000,000 and 7.5% of Consolidated EBITDA for the Test Period most recently ended on or prior to the date of such determination (with any unused amount in any calendar year being carried forward and available in any succeeding calendar years);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amount in any twelve-month period may be increased by an amount not to exceed:</w:t>
      </w:r>
    </w:p>
    <w:p>
      <w:pPr>
        <w:spacing w:after="0" w:line="166" w:lineRule="exact"/>
        <w:rPr>
          <w:rFonts w:ascii="Arial" w:cs="Arial" w:eastAsia="Arial" w:hAnsi="Arial"/>
          <w:sz w:val="16"/>
          <w:szCs w:val="16"/>
          <w:color w:val="auto"/>
        </w:rPr>
      </w:pPr>
    </w:p>
    <w:p>
      <w:pPr>
        <w:jc w:val="both"/>
        <w:ind w:left="180" w:firstLine="1300"/>
        <w:spacing w:after="0" w:line="293" w:lineRule="auto"/>
        <w:tabs>
          <w:tab w:leader="none" w:pos="2179"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Net Proceeds from the sale of Equity Interests (other than Disqualified Equity Interests) of Holdings and, to the extent contributed to Holdings as common equity capital, the Net Proceeds from the sale of Equity Interests (other than Disqualified Equity Interests) of any of Holdings’ direct or indirect parent companies, in each case to any current or former officer, director, manager, employee or consultant of Holdings, any of its Restricted Subsidiaries or any of its direct or indirect parent companies that occurs after the Closing Date; provided that the amount of any such Net Proceeds that are utilized for any such Restricted Payment will not be considered to be Net Proceeds of Equity Interests for purposes of Section 6.04(a)(ii)(B) or Section 6.04(b)(ii); plus</w:t>
      </w:r>
    </w:p>
    <w:p>
      <w:pPr>
        <w:spacing w:after="0" w:line="38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68" w:name="page169"/>
    <w:bookmarkEnd w:id="168"/>
    <w:p>
      <w:pPr>
        <w:ind w:left="2640" w:hanging="700"/>
        <w:spacing w:after="0"/>
        <w:tabs>
          <w:tab w:leader="none" w:pos="26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cash proceeds of key man life insurance policies received by Holdings or its Restricted Subsidiaries after</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the Closing Date; and</w:t>
      </w:r>
    </w:p>
    <w:p>
      <w:pPr>
        <w:spacing w:after="0" w:line="211" w:lineRule="exact"/>
        <w:rPr>
          <w:sz w:val="20"/>
          <w:szCs w:val="20"/>
          <w:color w:val="auto"/>
        </w:rPr>
      </w:pPr>
    </w:p>
    <w:p>
      <w:pPr>
        <w:jc w:val="both"/>
        <w:ind w:left="640"/>
        <w:spacing w:after="0" w:line="301" w:lineRule="auto"/>
        <w:rPr>
          <w:sz w:val="20"/>
          <w:szCs w:val="20"/>
          <w:color w:val="auto"/>
        </w:rPr>
      </w:pPr>
      <w:r>
        <w:rPr>
          <w:rFonts w:ascii="Arial" w:cs="Arial" w:eastAsia="Arial" w:hAnsi="Arial"/>
          <w:sz w:val="16"/>
          <w:szCs w:val="16"/>
          <w:color w:val="auto"/>
        </w:rPr>
        <w:t>in addition, cancellation of Indebtedness owing to Holdings from any current or former officer, director, manager, employee or consultant (or any permitted transferees thereof) of Holdings or any of its Restricted Subsidiaries (or any direct or indirect parent company thereof), in connection with a repurchase of Equity Interests of Holdings or Holdings’ direct or indirect parent companies from such Persons will not be deemed to constitute a Restricted Payment for purposes of this Section 6.04 or any other provisions of this Agreement;</w:t>
      </w:r>
    </w:p>
    <w:p>
      <w:pPr>
        <w:spacing w:after="0" w:line="157" w:lineRule="exact"/>
        <w:rPr>
          <w:sz w:val="20"/>
          <w:szCs w:val="20"/>
          <w:color w:val="auto"/>
        </w:rPr>
      </w:pPr>
    </w:p>
    <w:p>
      <w:pPr>
        <w:jc w:val="both"/>
        <w:ind w:firstLine="1292"/>
        <w:spacing w:after="0" w:line="254" w:lineRule="auto"/>
        <w:tabs>
          <w:tab w:leader="none" w:pos="204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repurchase of Equity Interests of Holdings or Holdings’ direct or indirect parent companies (i) deemed to occur upon the exercise of options, warrants or other convertible securities upon the net exercise thereof or otherwise to the extent such Equity Interests represent a portion of the exercise price of those options, warrants or other convertible securities, (ii) upon the exercise of stock options, warrants or convertible securities in an equal or lesser amount to the amount exercised in order to reduce the dilutive effects of such exercise and (iii) deemed to occur upon the withholding of a portion of Equity Interests granted or awarded to any current or former officer, director, manager, employee or consultant to pay for taxes payable by such Person in connection with such grant or award (or the vesting thereof) (or, in each case, a Restricted Payment to any of Holdings’ direct or indirect parent companies in an amount sufficient to enable such company to repurchase any such Equity Interests);</w:t>
      </w:r>
    </w:p>
    <w:p>
      <w:pPr>
        <w:spacing w:after="0" w:line="191" w:lineRule="exact"/>
        <w:rPr>
          <w:rFonts w:ascii="Arial" w:cs="Arial" w:eastAsia="Arial" w:hAnsi="Arial"/>
          <w:sz w:val="18"/>
          <w:szCs w:val="18"/>
          <w:color w:val="auto"/>
        </w:rPr>
      </w:pPr>
    </w:p>
    <w:p>
      <w:pPr>
        <w:jc w:val="both"/>
        <w:ind w:firstLine="1292"/>
        <w:spacing w:after="0" w:line="301" w:lineRule="auto"/>
        <w:tabs>
          <w:tab w:leader="none" w:pos="196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payments of cash, dividends, distributions, advances or other Restricted Payments by Holdings or any of its Restricted Subsidiaries to allow the payment of cash in lieu of the issuance of fractional shares upon (i) the exercise of options or warrants or other securities convertible into or exercisable for Equity Interests of any such Person or (ii) the conversion or exchange of Equity Interests of any such Person (or a Restricted Payment to Holdings’ direct or indirect parent company in an amount sufficient to enable such company to make any such payments);</w:t>
      </w:r>
    </w:p>
    <w:p>
      <w:pPr>
        <w:spacing w:after="0" w:line="157" w:lineRule="exact"/>
        <w:rPr>
          <w:rFonts w:ascii="Arial" w:cs="Arial" w:eastAsia="Arial" w:hAnsi="Arial"/>
          <w:sz w:val="16"/>
          <w:szCs w:val="16"/>
          <w:color w:val="auto"/>
        </w:rPr>
      </w:pPr>
    </w:p>
    <w:p>
      <w:pPr>
        <w:ind w:left="2140" w:hanging="848"/>
        <w:spacing w:after="0"/>
        <w:tabs>
          <w:tab w:leader="none" w:pos="214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for the avoidance of doubt, payments of intercompany subordinated Indebtedness, the incurrence of which was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permitted under Section 6.01;</w:t>
      </w:r>
    </w:p>
    <w:p>
      <w:pPr>
        <w:spacing w:after="0" w:line="210" w:lineRule="exact"/>
        <w:rPr>
          <w:rFonts w:ascii="Arial" w:cs="Arial" w:eastAsia="Arial" w:hAnsi="Arial"/>
          <w:sz w:val="17"/>
          <w:szCs w:val="17"/>
          <w:color w:val="auto"/>
        </w:rPr>
      </w:pPr>
    </w:p>
    <w:p>
      <w:pPr>
        <w:jc w:val="both"/>
        <w:ind w:firstLine="1292"/>
        <w:spacing w:after="0" w:line="259" w:lineRule="auto"/>
        <w:tabs>
          <w:tab w:leader="none" w:pos="19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Subordinated Indebtedness pursuant to provisions similar to Section 6.03; </w:t>
      </w:r>
      <w:r>
        <w:rPr>
          <w:rFonts w:ascii="Arial" w:cs="Arial" w:eastAsia="Arial" w:hAnsi="Arial"/>
          <w:sz w:val="18"/>
          <w:szCs w:val="18"/>
          <w:u w:val="single" w:color="auto"/>
          <w:color w:val="auto"/>
        </w:rPr>
        <w:t>provided</w:t>
      </w:r>
      <w:r>
        <w:rPr>
          <w:rFonts w:ascii="Arial" w:cs="Arial" w:eastAsia="Arial" w:hAnsi="Arial"/>
          <w:sz w:val="18"/>
          <w:szCs w:val="18"/>
          <w:color w:val="auto"/>
        </w:rPr>
        <w:t>, that, prior to consummating, or concurrently with, any such repurchase, Holdings or the Applicable Borrower has made a Prepayment Event required by this Agreement and has prepaid all Obligations required to be repaid in connection with such offers;</w:t>
      </w:r>
    </w:p>
    <w:p>
      <w:pPr>
        <w:spacing w:after="0" w:line="186" w:lineRule="exact"/>
        <w:rPr>
          <w:rFonts w:ascii="Arial" w:cs="Arial" w:eastAsia="Arial" w:hAnsi="Arial"/>
          <w:sz w:val="18"/>
          <w:szCs w:val="18"/>
          <w:color w:val="auto"/>
        </w:rPr>
      </w:pPr>
    </w:p>
    <w:p>
      <w:pPr>
        <w:ind w:firstLine="1292"/>
        <w:spacing w:after="0" w:line="277" w:lineRule="auto"/>
        <w:tabs>
          <w:tab w:leader="none" w:pos="202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payments or distributions made in Equity Interests (other than Disqualified Equity Interests) of Holdings or any of its direct or indirect parent companies;</w:t>
      </w:r>
    </w:p>
    <w:p>
      <w:pPr>
        <w:spacing w:after="0" w:line="170" w:lineRule="exact"/>
        <w:rPr>
          <w:rFonts w:ascii="Arial" w:cs="Arial" w:eastAsia="Arial" w:hAnsi="Arial"/>
          <w:sz w:val="18"/>
          <w:szCs w:val="18"/>
          <w:color w:val="auto"/>
        </w:rPr>
      </w:pPr>
    </w:p>
    <w:p>
      <w:pPr>
        <w:jc w:val="both"/>
        <w:ind w:firstLine="1292"/>
        <w:spacing w:after="0" w:line="259" w:lineRule="auto"/>
        <w:tabs>
          <w:tab w:leader="none" w:pos="195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other Restricted Payments of the type described in clause (i), (ii) or (iv) of the definition thereof in an aggregate amount not to exceed the greater of $405,000,000 and 35% of Consolidated EBITDA for the Test Period most recently ended on or prior to the date of such determination since the Closing Date, so long as at the time of and after giving effect to such Restricted Payment, no Event of Default has occurred and is continuing;</w:t>
      </w:r>
    </w:p>
    <w:p>
      <w:pPr>
        <w:spacing w:after="0" w:line="200" w:lineRule="exact"/>
        <w:rPr>
          <w:sz w:val="20"/>
          <w:szCs w:val="20"/>
          <w:color w:val="auto"/>
        </w:rPr>
      </w:pPr>
    </w:p>
    <w:p>
      <w:pPr>
        <w:spacing w:after="0" w:line="20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169" w:name="page170"/>
    <w:bookmarkEnd w:id="169"/>
    <w:p>
      <w:pPr>
        <w:jc w:val="both"/>
        <w:ind w:left="-460" w:firstLine="1292"/>
        <w:spacing w:after="0" w:line="259" w:lineRule="auto"/>
        <w:tabs>
          <w:tab w:leader="none" w:pos="157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other Restricted Payments of the type described in clause (iii) of the definition thereof in an aggregate amount not to exceed the greater of $405,000,000 and 35% of Consolidated EBITDA for the Test Period most recently ended on or prior to the date of such determination since the Closing Date, so long as at the time of and after giving effect to such Restricted Payment, no Event of Default has occurred and is continuing;</w:t>
      </w:r>
    </w:p>
    <w:p>
      <w:pPr>
        <w:spacing w:after="0" w:line="186" w:lineRule="exact"/>
        <w:rPr>
          <w:rFonts w:ascii="Arial" w:cs="Arial" w:eastAsia="Arial" w:hAnsi="Arial"/>
          <w:sz w:val="18"/>
          <w:szCs w:val="18"/>
          <w:color w:val="auto"/>
        </w:rPr>
      </w:pPr>
    </w:p>
    <w:p>
      <w:pPr>
        <w:ind w:left="-460" w:firstLine="1292"/>
        <w:spacing w:after="0" w:line="277" w:lineRule="auto"/>
        <w:tabs>
          <w:tab w:leader="none" w:pos="167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payments or distributions to dissenting stockholders pursuant to applicable law in connection with any merger or consolidation with, or other acquisition of, another Person;</w:t>
      </w:r>
    </w:p>
    <w:p>
      <w:pPr>
        <w:spacing w:after="0" w:line="170" w:lineRule="exact"/>
        <w:rPr>
          <w:rFonts w:ascii="Arial" w:cs="Arial" w:eastAsia="Arial" w:hAnsi="Arial"/>
          <w:sz w:val="18"/>
          <w:szCs w:val="18"/>
          <w:color w:val="auto"/>
        </w:rPr>
      </w:pPr>
    </w:p>
    <w:p>
      <w:pPr>
        <w:jc w:val="both"/>
        <w:ind w:left="-460" w:firstLine="1292"/>
        <w:spacing w:after="0" w:line="263" w:lineRule="auto"/>
        <w:tabs>
          <w:tab w:leader="none" w:pos="151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purchase by Holdings or any Restricted Subsidiary of any remaining outstanding Equity Interests of any Subsidiary acquired in connection with a Permitted Investment structured as a tender offer pursuant to which not less than a majority of such Subsidiary’s Equity Interests was acquired;</w:t>
      </w:r>
    </w:p>
    <w:p>
      <w:pPr>
        <w:spacing w:after="0" w:line="183" w:lineRule="exact"/>
        <w:rPr>
          <w:rFonts w:ascii="Arial" w:cs="Arial" w:eastAsia="Arial" w:hAnsi="Arial"/>
          <w:sz w:val="18"/>
          <w:szCs w:val="18"/>
          <w:color w:val="auto"/>
        </w:rPr>
      </w:pPr>
    </w:p>
    <w:p>
      <w:pPr>
        <w:jc w:val="both"/>
        <w:ind w:left="-460" w:firstLine="1292"/>
        <w:spacing w:after="0" w:line="263" w:lineRule="auto"/>
        <w:tabs>
          <w:tab w:leader="none" w:pos="146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Restricted Payments in connection with the Transactions and any compensation payable to, and indemnification of, any current or former officer, director, manager, employee or stockholders of Holdings, any of its Subsidiaries and any of Holdings’ direct or indirect parent companies in respect of taxes owed by such Persons as a result of the Transactions;</w:t>
      </w:r>
    </w:p>
    <w:p>
      <w:pPr>
        <w:spacing w:after="0" w:line="183" w:lineRule="exact"/>
        <w:rPr>
          <w:rFonts w:ascii="Arial" w:cs="Arial" w:eastAsia="Arial" w:hAnsi="Arial"/>
          <w:sz w:val="18"/>
          <w:szCs w:val="18"/>
          <w:color w:val="auto"/>
        </w:rPr>
      </w:pPr>
    </w:p>
    <w:p>
      <w:pPr>
        <w:ind w:left="1440" w:hanging="608"/>
        <w:spacing w:after="0"/>
        <w:tabs>
          <w:tab w:leader="none" w:pos="14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right="20" w:firstLine="1292"/>
        <w:spacing w:after="0" w:line="286" w:lineRule="auto"/>
        <w:tabs>
          <w:tab w:leader="none" w:pos="151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payments to holders of Equity Interests (or to the holders of Indebtedness that is convertible into or exchangeable for Equity Interests upon such conversion or exchange) in lieu of the issuance of fractional shares (or a Restricted Payment to Holdings’ direct or indirect parent company in an amount sufficient to enable such company to make any such payments);</w:t>
      </w:r>
    </w:p>
    <w:p>
      <w:pPr>
        <w:spacing w:after="0" w:line="165" w:lineRule="exact"/>
        <w:rPr>
          <w:rFonts w:ascii="Arial" w:cs="Arial" w:eastAsia="Arial" w:hAnsi="Arial"/>
          <w:sz w:val="17"/>
          <w:szCs w:val="17"/>
          <w:color w:val="auto"/>
        </w:rPr>
      </w:pPr>
    </w:p>
    <w:p>
      <w:pPr>
        <w:ind w:left="1460" w:hanging="628"/>
        <w:spacing w:after="0"/>
        <w:tabs>
          <w:tab w:leader="none" w:pos="1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distribution, as a dividend or otherwise, of Equity Interests of Unrestricted Subsidiaries;</w:t>
      </w:r>
    </w:p>
    <w:p>
      <w:pPr>
        <w:spacing w:after="0" w:line="225" w:lineRule="exact"/>
        <w:rPr>
          <w:rFonts w:ascii="Arial" w:cs="Arial" w:eastAsia="Arial" w:hAnsi="Arial"/>
          <w:sz w:val="18"/>
          <w:szCs w:val="18"/>
          <w:color w:val="auto"/>
        </w:rPr>
      </w:pPr>
    </w:p>
    <w:p>
      <w:pPr>
        <w:ind w:left="1460" w:hanging="628"/>
        <w:spacing w:after="0"/>
        <w:tabs>
          <w:tab w:leader="none" w:pos="1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1292"/>
        <w:spacing w:after="0" w:line="279" w:lineRule="auto"/>
        <w:tabs>
          <w:tab w:leader="none" w:pos="15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purchase of any Permitted Equity Derivatives in connection with the issuance of any Convertible Debt Securities permitted under Section 6.01 (and the replacement of any such Permitted Equity Derivatives) provided that the purchase price for such Permitted Equity Derivatives, net of any proceeds relating to any concurrent sale or termination of any Permitted Equity Derivatives, in respect of any Convertible Debt Securities does not exceed the net cash proceeds from such issuance of Convertible Debt Securities;</w:t>
      </w:r>
    </w:p>
    <w:p>
      <w:pPr>
        <w:spacing w:after="0" w:line="171" w:lineRule="exact"/>
        <w:rPr>
          <w:rFonts w:ascii="Arial" w:cs="Arial" w:eastAsia="Arial" w:hAnsi="Arial"/>
          <w:sz w:val="17"/>
          <w:szCs w:val="17"/>
          <w:color w:val="auto"/>
        </w:rPr>
      </w:pPr>
    </w:p>
    <w:p>
      <w:pPr>
        <w:ind w:left="-460" w:right="20" w:firstLine="1292"/>
        <w:spacing w:after="0" w:line="277" w:lineRule="auto"/>
        <w:tabs>
          <w:tab w:leader="none" w:pos="155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settlement or termination of any Permitted Equity Derivatives; provided that the entry into such Permitted Equity Derivative was permitted under this covenant;</w:t>
      </w:r>
    </w:p>
    <w:p>
      <w:pPr>
        <w:spacing w:after="0" w:line="170" w:lineRule="exact"/>
        <w:rPr>
          <w:rFonts w:ascii="Arial" w:cs="Arial" w:eastAsia="Arial" w:hAnsi="Arial"/>
          <w:sz w:val="18"/>
          <w:szCs w:val="18"/>
          <w:color w:val="auto"/>
        </w:rPr>
      </w:pPr>
    </w:p>
    <w:p>
      <w:pPr>
        <w:jc w:val="both"/>
        <w:ind w:left="-460" w:firstLine="1292"/>
        <w:spacing w:after="0" w:line="263" w:lineRule="auto"/>
        <w:tabs>
          <w:tab w:leader="none" w:pos="15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Restricted Payments, excluding Restricted Investments, so long as (x) at the time of and after giving effect to such Restricted Payment, no Event of Default has occurred and is continuing and (y) on a Pro Forma Basis, as of the last day of the most recently ended Test Period, the Total Net Leverage Ratio does not exceed 4.00:1.00;</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70" w:name="page171"/>
    <w:bookmarkEnd w:id="170"/>
    <w:p>
      <w:pPr>
        <w:jc w:val="both"/>
        <w:ind w:left="660" w:firstLine="1292"/>
        <w:spacing w:after="0" w:line="289" w:lineRule="auto"/>
        <w:tabs>
          <w:tab w:leader="none" w:pos="271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for any taxable period for which Holdings and/or any of its Subsidiaries are members of a consolidated, combined, unitary or similar income Tax group for applicable income Tax purposes of which a direct or indirect parent company of Holdings is the common parent (a “</w:t>
      </w:r>
      <w:r>
        <w:rPr>
          <w:rFonts w:ascii="Arial" w:cs="Arial" w:eastAsia="Arial" w:hAnsi="Arial"/>
          <w:sz w:val="16"/>
          <w:szCs w:val="16"/>
          <w:u w:val="single" w:color="auto"/>
          <w:color w:val="auto"/>
        </w:rPr>
        <w:t>Tax Group</w:t>
      </w:r>
      <w:r>
        <w:rPr>
          <w:rFonts w:ascii="Arial" w:cs="Arial" w:eastAsia="Arial" w:hAnsi="Arial"/>
          <w:sz w:val="16"/>
          <w:szCs w:val="16"/>
          <w:color w:val="auto"/>
        </w:rPr>
        <w:t>”), dividends or distributions by Holdings to such direct or indirect parent company of Holdings in an amount not to exceed the portion of any income Taxes of such Tax Group for such taxable period that is attributable to the taxable income of Holdings and/or the applicable Subsidiaries; provided that for each taxable period, the total amount of such payments made in respect of such taxable period will not exceed the amount that Holdings and/or such Subsidiaries, as applicable, would have been required to pay in respect of such taxable income as stand-alone taxpayers or a stand-alone Tax Group, reduced by any such income Taxes directly paid by Holdings or such Subsidiaries; provided that distributions pursuant to this clause (xxii) in respect of an Unrestricted Subsidiary shall be permitted only to the extent that cash distributions were made by such Unrestricted Subsidiary to Holdings or any of its Restricted Subsidiaries for such purpose;</w:t>
      </w:r>
    </w:p>
    <w:p>
      <w:pPr>
        <w:spacing w:after="0" w:line="166" w:lineRule="exact"/>
        <w:rPr>
          <w:rFonts w:ascii="Arial" w:cs="Arial" w:eastAsia="Arial" w:hAnsi="Arial"/>
          <w:sz w:val="16"/>
          <w:szCs w:val="16"/>
          <w:color w:val="auto"/>
        </w:rPr>
      </w:pPr>
    </w:p>
    <w:p>
      <w:pPr>
        <w:ind w:left="2620" w:hanging="668"/>
        <w:spacing w:after="0"/>
        <w:tabs>
          <w:tab w:leader="none" w:pos="26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560" w:hanging="608"/>
        <w:spacing w:after="0"/>
        <w:tabs>
          <w:tab w:leader="none" w:pos="25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62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declaration and payment of additional dividends and repurchases of Equity Interests of Holdings in an aggregate amount per annum not to exceed 6.0% of Market Capitalization, so long as at the time of and after giving effect to such Restricted Payment, no Event of Default has occurred and is continuing;</w:t>
      </w:r>
    </w:p>
    <w:p>
      <w:pPr>
        <w:spacing w:after="0" w:line="183" w:lineRule="exact"/>
        <w:rPr>
          <w:rFonts w:ascii="Arial" w:cs="Arial" w:eastAsia="Arial" w:hAnsi="Arial"/>
          <w:sz w:val="18"/>
          <w:szCs w:val="18"/>
          <w:color w:val="auto"/>
        </w:rPr>
      </w:pPr>
    </w:p>
    <w:p>
      <w:pPr>
        <w:ind w:left="2580" w:hanging="628"/>
        <w:spacing w:after="0"/>
        <w:tabs>
          <w:tab w:leader="none" w:pos="25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76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distributions or payments of Securitization Fees, purchases of receivables pursuant to a Receivables Repurchase Obligation in connection with a Qualified Receivables Factoring or Qualified Securitization Financing and the payment or distribution of Securitization Fees.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For purposes of determining compliance with this covenant, in the event that a proposed Restricted Payment (or a portion thereof) meets the criteria of clauses (i) through (xxx) above or is entitled to be made pursuant to </w:t>
      </w:r>
      <w:r>
        <w:rPr>
          <w:rFonts w:ascii="Arial" w:cs="Arial" w:eastAsia="Arial" w:hAnsi="Arial"/>
          <w:sz w:val="17"/>
          <w:szCs w:val="17"/>
          <w:u w:val="single" w:color="auto"/>
          <w:color w:val="auto"/>
        </w:rPr>
        <w:t>Section 6.04(a)</w:t>
      </w:r>
      <w:r>
        <w:rPr>
          <w:rFonts w:ascii="Arial" w:cs="Arial" w:eastAsia="Arial" w:hAnsi="Arial"/>
          <w:sz w:val="17"/>
          <w:szCs w:val="17"/>
          <w:color w:val="auto"/>
        </w:rPr>
        <w:t xml:space="preserve"> and/or one or more of the exceptions contained in the definition of “Permitted Investments,” Holdings will be entitled to classify and reclassify (based on circumstances existing on the date of such classification or reclassification) such Restricted Payment (or portion thereof) among such clauses (i) through (xxvii), </w:t>
      </w:r>
      <w:r>
        <w:rPr>
          <w:rFonts w:ascii="Arial" w:cs="Arial" w:eastAsia="Arial" w:hAnsi="Arial"/>
          <w:sz w:val="17"/>
          <w:szCs w:val="17"/>
          <w:u w:val="single" w:color="auto"/>
          <w:color w:val="auto"/>
        </w:rPr>
        <w:t>Section 6.04(a)</w:t>
      </w:r>
      <w:r>
        <w:rPr>
          <w:rFonts w:ascii="Arial" w:cs="Arial" w:eastAsia="Arial" w:hAnsi="Arial"/>
          <w:sz w:val="17"/>
          <w:szCs w:val="17"/>
          <w:color w:val="auto"/>
        </w:rPr>
        <w:t xml:space="preserve"> and/or one or more of the exceptions contained in the definition of “Permitted Investments,” in a manner that otherwise complies with this covenant.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amount of all Restricted Payments (or transfer or issuance that would constitute Restricted Payments but for the exclusions from the definition thereof) and Permitted Investments (other than cash) will be the fair market value on the date of the making the Restricted Payment (or such transfer or issuance) or Permitted Investment of the asset(s) or securities proposed to be transferred or issued by Holdings or such Restricted Subsidiary, as the case may be, pursuant to the Restricted Payment (or transfer or issuance that would constitute a Restricted Payment but for the exclusions from the definition thereof) or Permitted Investment.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covenant compliance with this Section 6.04,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1" w:name="page172"/>
    <w:bookmarkEnd w:id="171"/>
    <w:tbl>
      <w:tblPr>
        <w:tblLayout w:type="fixed"/>
        <w:tblInd w:w="64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Section 6.05</w:t>
            </w:r>
          </w:p>
        </w:tc>
        <w:tc>
          <w:tcPr>
            <w:tcW w:w="5480" w:type="dxa"/>
            <w:vAlign w:val="bottom"/>
            <w:gridSpan w:val="3"/>
          </w:tcPr>
          <w:p>
            <w:pPr>
              <w:spacing w:after="0"/>
              <w:rPr>
                <w:sz w:val="20"/>
                <w:szCs w:val="20"/>
                <w:color w:val="auto"/>
              </w:rPr>
            </w:pPr>
            <w:r>
              <w:rPr>
                <w:rFonts w:ascii="Arial" w:cs="Arial" w:eastAsia="Arial" w:hAnsi="Arial"/>
                <w:sz w:val="18"/>
                <w:szCs w:val="18"/>
                <w:color w:val="auto"/>
              </w:rPr>
              <w:t>[Reserved].</w:t>
            </w: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Section 6.06</w:t>
            </w:r>
          </w:p>
        </w:tc>
        <w:tc>
          <w:tcPr>
            <w:tcW w:w="5480" w:type="dxa"/>
            <w:vAlign w:val="bottom"/>
            <w:gridSpan w:val="3"/>
          </w:tcPr>
          <w:p>
            <w:pPr>
              <w:spacing w:after="0"/>
              <w:rPr>
                <w:sz w:val="20"/>
                <w:szCs w:val="20"/>
                <w:color w:val="auto"/>
              </w:rPr>
            </w:pPr>
            <w:r>
              <w:rPr>
                <w:rFonts w:ascii="Arial" w:cs="Arial" w:eastAsia="Arial" w:hAnsi="Arial"/>
                <w:sz w:val="18"/>
                <w:szCs w:val="18"/>
                <w:color w:val="auto"/>
              </w:rPr>
              <w:t>[Reserved].</w:t>
            </w: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Section 6.07</w:t>
            </w:r>
          </w:p>
        </w:tc>
        <w:tc>
          <w:tcPr>
            <w:tcW w:w="5480" w:type="dxa"/>
            <w:vAlign w:val="bottom"/>
            <w:gridSpan w:val="3"/>
          </w:tcPr>
          <w:p>
            <w:pPr>
              <w:spacing w:after="0"/>
              <w:rPr>
                <w:sz w:val="20"/>
                <w:szCs w:val="20"/>
                <w:color w:val="auto"/>
              </w:rPr>
            </w:pPr>
            <w:r>
              <w:rPr>
                <w:rFonts w:ascii="Arial" w:cs="Arial" w:eastAsia="Arial" w:hAnsi="Arial"/>
                <w:sz w:val="18"/>
                <w:szCs w:val="18"/>
                <w:color w:val="auto"/>
                <w:w w:val="91"/>
              </w:rPr>
              <w:t>Dividend and Other Payment Restrictions Affecting Restricted Subsidiaries.</w:t>
            </w: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 w:right="20" w:firstLine="1304"/>
        <w:spacing w:after="0" w:line="277" w:lineRule="auto"/>
        <w:tabs>
          <w:tab w:leader="none" w:pos="20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Holdings will not, and will not permit any of its Restricted Subsidiaries, to create or permit to exist or become effective any consensual encumbrance or restriction on the ability of any Restricted Subsidiary to:</w:t>
      </w:r>
    </w:p>
    <w:p>
      <w:pPr>
        <w:spacing w:after="0" w:line="170" w:lineRule="exact"/>
        <w:rPr>
          <w:rFonts w:ascii="Arial" w:cs="Arial" w:eastAsia="Arial" w:hAnsi="Arial"/>
          <w:sz w:val="18"/>
          <w:szCs w:val="18"/>
          <w:color w:val="auto"/>
        </w:rPr>
      </w:pPr>
    </w:p>
    <w:p>
      <w:pPr>
        <w:ind w:left="640" w:firstLine="1292"/>
        <w:spacing w:after="0" w:line="277" w:lineRule="auto"/>
        <w:tabs>
          <w:tab w:leader="none" w:pos="256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Equity Interests to Holdings or any of its Restricted Subsidiaries or pay any indebtedness owed to Holdings or any of its Restricted Subsidiaries;</w:t>
      </w:r>
    </w:p>
    <w:p>
      <w:pPr>
        <w:spacing w:after="0" w:line="170" w:lineRule="exact"/>
        <w:rPr>
          <w:rFonts w:ascii="Arial" w:cs="Arial" w:eastAsia="Arial" w:hAnsi="Arial"/>
          <w:sz w:val="18"/>
          <w:szCs w:val="18"/>
          <w:color w:val="auto"/>
        </w:rPr>
      </w:pPr>
    </w:p>
    <w:p>
      <w:pPr>
        <w:ind w:left="2560" w:hanging="628"/>
        <w:spacing w:after="0"/>
        <w:tabs>
          <w:tab w:leader="none" w:pos="25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make loans or advances to Holdings or any of its Restricted Subsidiaries;</w:t>
      </w:r>
    </w:p>
    <w:p>
      <w:pPr>
        <w:spacing w:after="0" w:line="225" w:lineRule="exact"/>
        <w:rPr>
          <w:rFonts w:ascii="Arial" w:cs="Arial" w:eastAsia="Arial" w:hAnsi="Arial"/>
          <w:sz w:val="18"/>
          <w:szCs w:val="18"/>
          <w:color w:val="auto"/>
        </w:rPr>
      </w:pPr>
    </w:p>
    <w:p>
      <w:pPr>
        <w:ind w:left="2560" w:hanging="628"/>
        <w:spacing w:after="0"/>
        <w:tabs>
          <w:tab w:leader="none" w:pos="25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Holdings or any of its Restricted Subsidiaries; or</w:t>
      </w:r>
    </w:p>
    <w:p>
      <w:pPr>
        <w:spacing w:after="0" w:line="225" w:lineRule="exact"/>
        <w:rPr>
          <w:rFonts w:ascii="Arial" w:cs="Arial" w:eastAsia="Arial" w:hAnsi="Arial"/>
          <w:sz w:val="18"/>
          <w:szCs w:val="18"/>
          <w:color w:val="auto"/>
        </w:rPr>
      </w:pPr>
    </w:p>
    <w:p>
      <w:pPr>
        <w:ind w:left="2560" w:hanging="628"/>
        <w:spacing w:after="0"/>
        <w:tabs>
          <w:tab w:leader="none" w:pos="25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create, incur or permit to exist any Lien upon any of its property or assets.</w:t>
      </w:r>
    </w:p>
    <w:p>
      <w:pPr>
        <w:spacing w:after="0" w:line="225" w:lineRule="exact"/>
        <w:rPr>
          <w:rFonts w:ascii="Arial" w:cs="Arial" w:eastAsia="Arial" w:hAnsi="Arial"/>
          <w:sz w:val="18"/>
          <w:szCs w:val="18"/>
          <w:color w:val="auto"/>
        </w:rPr>
      </w:pPr>
    </w:p>
    <w:p>
      <w:pPr>
        <w:ind w:left="1940" w:hanging="656"/>
        <w:spacing w:after="0"/>
        <w:tabs>
          <w:tab w:leader="none" w:pos="19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restrictions in Section 6.07(a) will not apply to encumbrances or restrictions existing under or by reason of:</w:t>
      </w:r>
    </w:p>
    <w:p>
      <w:pPr>
        <w:spacing w:after="0" w:line="225" w:lineRule="exact"/>
        <w:rPr>
          <w:rFonts w:ascii="Arial" w:cs="Arial" w:eastAsia="Arial" w:hAnsi="Arial"/>
          <w:sz w:val="18"/>
          <w:szCs w:val="18"/>
          <w:color w:val="auto"/>
        </w:rPr>
      </w:pPr>
    </w:p>
    <w:p>
      <w:pPr>
        <w:ind w:left="640" w:firstLine="1292"/>
        <w:spacing w:after="0" w:line="277" w:lineRule="auto"/>
        <w:tabs>
          <w:tab w:leader="none" w:pos="281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agreements in effect at or entered into on the Closing Date set forth on Schedule 6.07 and any amendments or modifications thereof that do not materially expand the scope of any such restriction or condition;</w:t>
      </w:r>
    </w:p>
    <w:p>
      <w:pPr>
        <w:spacing w:after="0" w:line="170" w:lineRule="exact"/>
        <w:rPr>
          <w:rFonts w:ascii="Arial" w:cs="Arial" w:eastAsia="Arial" w:hAnsi="Arial"/>
          <w:sz w:val="18"/>
          <w:szCs w:val="18"/>
          <w:color w:val="auto"/>
        </w:rPr>
      </w:pPr>
    </w:p>
    <w:p>
      <w:pPr>
        <w:ind w:left="2560" w:hanging="628"/>
        <w:spacing w:after="0"/>
        <w:tabs>
          <w:tab w:leader="none" w:pos="25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this Agreement, the Loans, the Guarantees and the New Notes;</w:t>
      </w:r>
    </w:p>
    <w:p>
      <w:pPr>
        <w:spacing w:after="0" w:line="225" w:lineRule="exact"/>
        <w:rPr>
          <w:rFonts w:ascii="Arial" w:cs="Arial" w:eastAsia="Arial" w:hAnsi="Arial"/>
          <w:sz w:val="18"/>
          <w:szCs w:val="18"/>
          <w:color w:val="auto"/>
        </w:rPr>
      </w:pPr>
    </w:p>
    <w:p>
      <w:pPr>
        <w:ind w:left="2660" w:hanging="728"/>
        <w:spacing w:after="0"/>
        <w:tabs>
          <w:tab w:leader="none" w:pos="266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agreements governing Indebtedness, Disqualified Equity Interests or Preferred Equity permitted to be incurred under</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Section 6.01;</w:t>
      </w:r>
    </w:p>
    <w:p>
      <w:pPr>
        <w:spacing w:after="0" w:line="210" w:lineRule="exact"/>
        <w:rPr>
          <w:rFonts w:ascii="Arial" w:cs="Arial" w:eastAsia="Arial" w:hAnsi="Arial"/>
          <w:sz w:val="16"/>
          <w:szCs w:val="16"/>
          <w:color w:val="auto"/>
        </w:rPr>
      </w:pPr>
    </w:p>
    <w:p>
      <w:pPr>
        <w:ind w:left="2560" w:hanging="628"/>
        <w:spacing w:after="0"/>
        <w:tabs>
          <w:tab w:leader="none" w:pos="25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225" w:lineRule="exact"/>
        <w:rPr>
          <w:rFonts w:ascii="Arial" w:cs="Arial" w:eastAsia="Arial" w:hAnsi="Arial"/>
          <w:sz w:val="18"/>
          <w:szCs w:val="18"/>
          <w:color w:val="auto"/>
        </w:rPr>
      </w:pPr>
    </w:p>
    <w:p>
      <w:pPr>
        <w:ind w:left="2540" w:hanging="608"/>
        <w:spacing w:after="0"/>
        <w:tabs>
          <w:tab w:leader="none" w:pos="254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customary non-assignment provisions in contracts, leases and licenses otherwise permitted under this Agreement;</w:t>
      </w:r>
    </w:p>
    <w:p>
      <w:pPr>
        <w:spacing w:after="0" w:line="236" w:lineRule="exact"/>
        <w:rPr>
          <w:rFonts w:ascii="Arial" w:cs="Arial" w:eastAsia="Arial" w:hAnsi="Arial"/>
          <w:sz w:val="17"/>
          <w:szCs w:val="17"/>
          <w:color w:val="auto"/>
        </w:rPr>
      </w:pPr>
    </w:p>
    <w:p>
      <w:pPr>
        <w:jc w:val="both"/>
        <w:ind w:left="640" w:firstLine="1292"/>
        <w:spacing w:after="0" w:line="263" w:lineRule="auto"/>
        <w:tabs>
          <w:tab w:leader="none" w:pos="261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Capital Lease Obligations, any agreement governing purchase money indebtedness, security agreements or mortgages securing Indebtedness of a Restricted Subsidiary to the extent such encumbrance or restriction restricts the transfer of the property subject to such Capital Lease Obligations, purchase money indebtedness, security agreements or mortgages;</w:t>
      </w:r>
    </w:p>
    <w:p>
      <w:pPr>
        <w:spacing w:after="0" w:line="183" w:lineRule="exact"/>
        <w:rPr>
          <w:rFonts w:ascii="Arial" w:cs="Arial" w:eastAsia="Arial" w:hAnsi="Arial"/>
          <w:sz w:val="18"/>
          <w:szCs w:val="18"/>
          <w:color w:val="auto"/>
        </w:rPr>
      </w:pPr>
    </w:p>
    <w:p>
      <w:pPr>
        <w:ind w:left="640" w:right="20" w:firstLine="1292"/>
        <w:spacing w:after="0" w:line="277" w:lineRule="auto"/>
        <w:tabs>
          <w:tab w:leader="none" w:pos="265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agreement in connection with the sale or disposition of all or substantially all the Equity Interests or assets of a Restricted Subsidiary that imposes such encumbrance or restriction pending the closing of such sale or disposition;</w:t>
      </w:r>
    </w:p>
    <w:p>
      <w:pPr>
        <w:spacing w:after="0" w:line="170" w:lineRule="exact"/>
        <w:rPr>
          <w:rFonts w:ascii="Arial" w:cs="Arial" w:eastAsia="Arial" w:hAnsi="Arial"/>
          <w:sz w:val="18"/>
          <w:szCs w:val="18"/>
          <w:color w:val="auto"/>
        </w:rPr>
      </w:pPr>
    </w:p>
    <w:p>
      <w:pPr>
        <w:ind w:left="640" w:firstLine="1292"/>
        <w:spacing w:after="0" w:line="277" w:lineRule="auto"/>
        <w:tabs>
          <w:tab w:leader="none" w:pos="257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customary restrictions and conditions contained in any agreement relating to any Disposition permitted by Section 6.03 pending the consummation of such Disposition;</w:t>
      </w:r>
    </w:p>
    <w:p>
      <w:pPr>
        <w:spacing w:after="0" w:line="170" w:lineRule="exact"/>
        <w:rPr>
          <w:rFonts w:ascii="Arial" w:cs="Arial" w:eastAsia="Arial" w:hAnsi="Arial"/>
          <w:sz w:val="18"/>
          <w:szCs w:val="18"/>
          <w:color w:val="auto"/>
        </w:rPr>
      </w:pPr>
    </w:p>
    <w:p>
      <w:pPr>
        <w:ind w:left="2600" w:hanging="668"/>
        <w:spacing w:after="0"/>
        <w:tabs>
          <w:tab w:leader="none" w:pos="26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Permitted Refinancing Indebtedness;</w:t>
      </w:r>
    </w:p>
    <w:p>
      <w:pPr>
        <w:spacing w:after="0" w:line="225" w:lineRule="exact"/>
        <w:rPr>
          <w:rFonts w:ascii="Arial" w:cs="Arial" w:eastAsia="Arial" w:hAnsi="Arial"/>
          <w:sz w:val="18"/>
          <w:szCs w:val="18"/>
          <w:color w:val="auto"/>
        </w:rPr>
      </w:pPr>
    </w:p>
    <w:p>
      <w:pPr>
        <w:ind w:left="2680" w:hanging="748"/>
        <w:spacing w:after="0"/>
        <w:tabs>
          <w:tab w:leader="none" w:pos="268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Liens permitted to be incurred under Section 6.02 that limit the right of the debtor to dispose of the assets subject to</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such Liens;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783" w:right="339" w:bottom="1440" w:gutter="0" w:footer="0" w:header="0"/>
        </w:sectPr>
      </w:pPr>
    </w:p>
    <w:bookmarkStart w:id="172" w:name="page173"/>
    <w:bookmarkEnd w:id="172"/>
    <w:p>
      <w:pPr>
        <w:jc w:val="both"/>
        <w:ind w:right="20" w:firstLine="1292"/>
        <w:spacing w:after="0" w:line="311" w:lineRule="auto"/>
        <w:tabs>
          <w:tab w:leader="none" w:pos="221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provisions limiting the disposition or distribution of assets or property in joint venture agreements, partnership agreements, asset sale agreements, sale-leaseback agreements, stock sale agreements and other similar agreements (including agreements entered into in connection with a Restricted Investment), which limitation is applicable only to the assets that are the subject of such agreements;</w:t>
      </w:r>
    </w:p>
    <w:p>
      <w:pPr>
        <w:spacing w:after="0" w:line="148" w:lineRule="exact"/>
        <w:rPr>
          <w:rFonts w:ascii="Arial" w:cs="Arial" w:eastAsia="Arial" w:hAnsi="Arial"/>
          <w:sz w:val="16"/>
          <w:szCs w:val="16"/>
          <w:color w:val="auto"/>
        </w:rPr>
      </w:pPr>
    </w:p>
    <w:p>
      <w:pPr>
        <w:ind w:left="1960" w:hanging="668"/>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292"/>
        <w:spacing w:after="0" w:line="286" w:lineRule="auto"/>
        <w:tabs>
          <w:tab w:leader="none" w:pos="197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any agreement or instrument of, or affecting, any Restricted Subsidiary or its Equity Interests existing on or prior to the date on which such Restricted Subsidiary was acquired by Holdings or other Restricted Subsidiary (other than any such agreement or instrument entered into in contemplation of such Restricted Subsidiary acquired by Holdings or other Restricted Subsidiary);</w:t>
      </w:r>
    </w:p>
    <w:p>
      <w:pPr>
        <w:spacing w:after="0" w:line="165" w:lineRule="exact"/>
        <w:rPr>
          <w:rFonts w:ascii="Arial" w:cs="Arial" w:eastAsia="Arial" w:hAnsi="Arial"/>
          <w:sz w:val="17"/>
          <w:szCs w:val="17"/>
          <w:color w:val="auto"/>
        </w:rPr>
      </w:pPr>
    </w:p>
    <w:p>
      <w:pPr>
        <w:ind w:right="20" w:firstLine="1292"/>
        <w:spacing w:after="0" w:line="277" w:lineRule="auto"/>
        <w:tabs>
          <w:tab w:leader="none" w:pos="208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or similar agreements, including with respect to intellectual property, and other agreements, in each case, entered into in the ordinary course of business;</w:t>
      </w:r>
    </w:p>
    <w:p>
      <w:pPr>
        <w:spacing w:after="0" w:line="170" w:lineRule="exact"/>
        <w:rPr>
          <w:rFonts w:ascii="Arial" w:cs="Arial" w:eastAsia="Arial" w:hAnsi="Arial"/>
          <w:sz w:val="18"/>
          <w:szCs w:val="18"/>
          <w:color w:val="auto"/>
        </w:rPr>
      </w:pPr>
    </w:p>
    <w:p>
      <w:pPr>
        <w:ind w:firstLine="1292"/>
        <w:spacing w:after="0" w:line="277" w:lineRule="auto"/>
        <w:tabs>
          <w:tab w:leader="none" w:pos="199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customary non-assignment provisions in leases or licenses governing leasehold or license interests to the extent such provisions restrict the transfer of the lease or the property leased or licensed thereunder;</w:t>
      </w:r>
    </w:p>
    <w:p>
      <w:pPr>
        <w:spacing w:after="0" w:line="170" w:lineRule="exact"/>
        <w:rPr>
          <w:rFonts w:ascii="Arial" w:cs="Arial" w:eastAsia="Arial" w:hAnsi="Arial"/>
          <w:sz w:val="18"/>
          <w:szCs w:val="18"/>
          <w:color w:val="auto"/>
        </w:rPr>
      </w:pPr>
    </w:p>
    <w:p>
      <w:pPr>
        <w:jc w:val="both"/>
        <w:ind w:firstLine="1292"/>
        <w:spacing w:after="0" w:line="257" w:lineRule="auto"/>
        <w:tabs>
          <w:tab w:leader="none" w:pos="195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any amendment, modification, restatement, renewal, increase, supplement, refunding, replacement or refinancing of an agreement or arrangement referred to in clauses (i) through (xv) above of this Section 6.07(b);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amendment, modification, restatement, renewal, increase, supplement, refunding, replacement or refinancing is not materially more restrictive, as determined in good faith by Holdings, with respect to such encumbrances and other restrictions taken as a whole than those prior to such amendment, modification, restatement, renewal, increase, supplement, refunding, replacement or refinancing</w:t>
      </w:r>
    </w:p>
    <w:p>
      <w:pPr>
        <w:spacing w:after="0" w:line="187" w:lineRule="exact"/>
        <w:rPr>
          <w:rFonts w:ascii="Arial" w:cs="Arial" w:eastAsia="Arial" w:hAnsi="Arial"/>
          <w:sz w:val="18"/>
          <w:szCs w:val="18"/>
          <w:color w:val="auto"/>
        </w:rPr>
      </w:pPr>
    </w:p>
    <w:p>
      <w:pPr>
        <w:ind w:left="1980" w:hanging="688"/>
        <w:spacing w:after="0"/>
        <w:tabs>
          <w:tab w:leader="none" w:pos="19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firstLine="1292"/>
        <w:spacing w:after="0" w:line="277" w:lineRule="auto"/>
        <w:tabs>
          <w:tab w:leader="none" w:pos="20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customary provisions in joint venture agreements or arrangements and other similar agreements or arrangements relating solely to such joint venture and the Equity Interests issued thereby;</w:t>
      </w:r>
    </w:p>
    <w:p>
      <w:pPr>
        <w:spacing w:after="0" w:line="170" w:lineRule="exact"/>
        <w:rPr>
          <w:rFonts w:ascii="Arial" w:cs="Arial" w:eastAsia="Arial" w:hAnsi="Arial"/>
          <w:sz w:val="18"/>
          <w:szCs w:val="18"/>
          <w:color w:val="auto"/>
        </w:rPr>
      </w:pPr>
    </w:p>
    <w:p>
      <w:pPr>
        <w:jc w:val="both"/>
        <w:ind w:firstLine="1292"/>
        <w:spacing w:after="0" w:line="263" w:lineRule="auto"/>
        <w:tabs>
          <w:tab w:leader="none" w:pos="210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customary restrictions created in connection with any Qualified Securitization Financing or Qualified Receivables Factoring that, in the good faith determination of the board of directors of Holdings, are necessary or advisable to effect such Qualified Securitization Financing or such Qualified Receivables Factoring;</w:t>
      </w:r>
    </w:p>
    <w:p>
      <w:pPr>
        <w:spacing w:after="0" w:line="183" w:lineRule="exact"/>
        <w:rPr>
          <w:rFonts w:ascii="Arial" w:cs="Arial" w:eastAsia="Arial" w:hAnsi="Arial"/>
          <w:sz w:val="18"/>
          <w:szCs w:val="18"/>
          <w:color w:val="auto"/>
        </w:rPr>
      </w:pPr>
    </w:p>
    <w:p>
      <w:pPr>
        <w:ind w:left="1960" w:hanging="668"/>
        <w:spacing w:after="0"/>
        <w:tabs>
          <w:tab w:leader="none" w:pos="19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customary provisions restricting assignment of any agreement entered into in the ordinary course of business;</w:t>
      </w:r>
    </w:p>
    <w:p>
      <w:pPr>
        <w:spacing w:after="0" w:line="236" w:lineRule="exact"/>
        <w:rPr>
          <w:rFonts w:ascii="Arial" w:cs="Arial" w:eastAsia="Arial" w:hAnsi="Arial"/>
          <w:sz w:val="17"/>
          <w:szCs w:val="17"/>
          <w:color w:val="auto"/>
        </w:rPr>
      </w:pPr>
    </w:p>
    <w:p>
      <w:pPr>
        <w:ind w:left="2020" w:hanging="728"/>
        <w:spacing w:after="0"/>
        <w:tabs>
          <w:tab w:leader="none" w:pos="20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 and</w:t>
      </w:r>
    </w:p>
    <w:p>
      <w:pPr>
        <w:spacing w:after="0" w:line="210" w:lineRule="exact"/>
        <w:rPr>
          <w:rFonts w:ascii="Arial" w:cs="Arial" w:eastAsia="Arial" w:hAnsi="Arial"/>
          <w:sz w:val="16"/>
          <w:szCs w:val="16"/>
          <w:color w:val="auto"/>
        </w:rPr>
      </w:pPr>
    </w:p>
    <w:p>
      <w:pPr>
        <w:ind w:left="1960" w:hanging="668"/>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customary change of control provisions in client contracts.</w:t>
      </w: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173" w:name="page174"/>
    <w:bookmarkEnd w:id="173"/>
    <w:p>
      <w:pPr>
        <w:jc w:val="both"/>
        <w:ind w:firstLine="648"/>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Amendments to Subordinated Indebtedness and Certain Other Documents, etc</w:t>
      </w:r>
      <w:r>
        <w:rPr>
          <w:rFonts w:ascii="Arial" w:cs="Arial" w:eastAsia="Arial" w:hAnsi="Arial"/>
          <w:sz w:val="18"/>
          <w:szCs w:val="18"/>
          <w:color w:val="auto"/>
        </w:rPr>
        <w:t>. Holdings will not, nor will it permit any Restricted Subsidiary to amend, modify or waive any of its rights under any agreement or instrument governing or evidencing any Subordinated Indebtedness that constitutes Material Indebtedness to the extent such amendment, modification or waiver could reasonably be expected to be adverse in any material respect to the Lenders as determined by Holdings in good faith (it being understood and agreed that any increase or decrease in the interest rates or extension of the maturity dates or repayment under any Indebtedness among Holdings and its Subsidiaries or among one or more Subsidiaries shall not be deemed to be adverse in any material respect to the Lenders).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 Holdings will not, nor will it permit any Restricted Subsidiary to, enter into any Sale and Leaseback Transaction unless (a) the sale or transfer of the property thereunder is permitted by Section 6.03 or is not an Asset Sale, (b) any Capital Lease Obligations arising in connection therewith are permitted by Section 6.01 and (c) any Liens arising in connection therewith (including Liens deemed to arise in connection with any such Capital Lease Obligations) are permitted by Section 6.02.</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Merger, Consolidation or Sale of Assets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8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Neither Holdings or any Borrower shall: (1) consolidate with or merge with or into another Person; or (2) directly or indirectly, sell, assign, transfer, convey, lease or otherwise dispose of (including by virtue of a merger, consolidation, amalgamation, liquidation or otherwise), all or substantially all of the assets of Holdings and its Restricted Subsidiaries taken as a whole, in one or more related transactions, to another Person, in each case, unless:</w:t>
      </w:r>
    </w:p>
    <w:p>
      <w:pPr>
        <w:spacing w:after="0" w:line="186" w:lineRule="exact"/>
        <w:rPr>
          <w:rFonts w:ascii="Arial" w:cs="Arial" w:eastAsia="Arial" w:hAnsi="Arial"/>
          <w:sz w:val="18"/>
          <w:szCs w:val="18"/>
          <w:color w:val="auto"/>
        </w:rPr>
      </w:pPr>
    </w:p>
    <w:p>
      <w:pPr>
        <w:ind w:left="2580" w:hanging="628"/>
        <w:spacing w:after="0"/>
        <w:tabs>
          <w:tab w:leader="none" w:pos="25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3260" w:hanging="660"/>
        <w:spacing w:after="0"/>
        <w:tabs>
          <w:tab w:leader="none" w:pos="326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Holdings or such Borrower is the surviving or transferee Person; or</w:t>
      </w:r>
    </w:p>
    <w:p>
      <w:pPr>
        <w:spacing w:after="0" w:line="225" w:lineRule="exact"/>
        <w:rPr>
          <w:rFonts w:ascii="Arial" w:cs="Arial" w:eastAsia="Arial" w:hAnsi="Arial"/>
          <w:sz w:val="18"/>
          <w:szCs w:val="18"/>
          <w:color w:val="auto"/>
        </w:rPr>
      </w:pPr>
    </w:p>
    <w:p>
      <w:pPr>
        <w:jc w:val="both"/>
        <w:ind w:left="1300" w:firstLine="1300"/>
        <w:spacing w:after="0" w:line="259" w:lineRule="auto"/>
        <w:tabs>
          <w:tab w:leader="none" w:pos="3447" w:val="left"/>
        </w:tabs>
        <w:numPr>
          <w:ilvl w:val="2"/>
          <w:numId w:val="187"/>
        </w:numPr>
        <w:rPr>
          <w:rFonts w:ascii="Arial" w:cs="Arial" w:eastAsia="Arial" w:hAnsi="Arial"/>
          <w:sz w:val="18"/>
          <w:szCs w:val="18"/>
          <w:color w:val="auto"/>
        </w:rPr>
      </w:pPr>
      <w:r>
        <w:rPr>
          <w:rFonts w:ascii="Arial" w:cs="Arial" w:eastAsia="Arial" w:hAnsi="Arial"/>
          <w:sz w:val="18"/>
          <w:szCs w:val="18"/>
          <w:color w:val="auto"/>
        </w:rPr>
        <w:t xml:space="preserve">the Person formed by or surviving any such consolidation or merger or to which such sale, assignment, transfer, conveyance, lease or other disposition has been made is an entity organized or existing under the laws of the same jurisdiction as Holdings or such Borrower,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Section 6.11(a)(i)(B), the United States, all states thereof and the District of Columbia shall be considered a single jurisdiction;</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73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Holdings or a Borrower) or the Person to which such sale, assignment, transfer, conveyance, lease or other disposition has been made (if other than Holdings or a Borrower) assumes all the obligations of Holdings or such Borrower, as applicable, under this Agreement pursuant to agreements reasonably satisfactory to the Administrative Agent; and</w:t>
      </w:r>
    </w:p>
    <w:p>
      <w:pPr>
        <w:spacing w:after="0" w:line="186" w:lineRule="exact"/>
        <w:rPr>
          <w:rFonts w:ascii="Arial" w:cs="Arial" w:eastAsia="Arial" w:hAnsi="Arial"/>
          <w:sz w:val="18"/>
          <w:szCs w:val="18"/>
          <w:color w:val="auto"/>
        </w:rPr>
      </w:pPr>
    </w:p>
    <w:p>
      <w:pPr>
        <w:ind w:left="660" w:firstLine="1292"/>
        <w:spacing w:after="0" w:line="277" w:lineRule="auto"/>
        <w:tabs>
          <w:tab w:leader="none" w:pos="282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other than in the case of a Restricted Subsidiary merging into Holdings or a Borrower, immediately after such transaction (or, in the case of a Limited Condition Transaction, as of the LCT Test Date), no Event of Default exists.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4" w:name="page175"/>
    <w:bookmarkEnd w:id="174"/>
    <w:p>
      <w:pPr>
        <w:jc w:val="both"/>
        <w:ind w:firstLine="1304"/>
        <w:spacing w:after="0" w:line="286" w:lineRule="auto"/>
        <w:tabs>
          <w:tab w:leader="none" w:pos="210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No Subsidiary Guarantor shall: (1) consolidate with or merge with or into another Person; or (2) directly or indirectly, sell, assign, transfer, convey, lease or otherwise dispose of (including by virtue of a merger, consolidation, amalgamation, liquidation or otherwise), all or substantially all of its assets taken as a whole, in one or more related transactions, to another Person, in each case, unless:</w:t>
      </w:r>
    </w:p>
    <w:p>
      <w:pPr>
        <w:spacing w:after="0" w:line="165" w:lineRule="exact"/>
        <w:rPr>
          <w:rFonts w:ascii="Arial" w:cs="Arial" w:eastAsia="Arial" w:hAnsi="Arial"/>
          <w:sz w:val="17"/>
          <w:szCs w:val="17"/>
          <w:color w:val="auto"/>
        </w:rPr>
      </w:pPr>
    </w:p>
    <w:p>
      <w:pPr>
        <w:ind w:left="2580" w:hanging="628"/>
        <w:spacing w:after="0"/>
        <w:tabs>
          <w:tab w:leader="none" w:pos="25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other Person is Holdings or a Borrower or any Restricted Subsidiary; or</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3260" w:hanging="660"/>
        <w:spacing w:after="0"/>
        <w:tabs>
          <w:tab w:leader="none" w:pos="326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such Subsidiary Guarantor is the surviving or transferee Person; or</w:t>
      </w:r>
    </w:p>
    <w:p>
      <w:pPr>
        <w:spacing w:after="0" w:line="225" w:lineRule="exact"/>
        <w:rPr>
          <w:rFonts w:ascii="Arial" w:cs="Arial" w:eastAsia="Arial" w:hAnsi="Arial"/>
          <w:sz w:val="18"/>
          <w:szCs w:val="18"/>
          <w:color w:val="auto"/>
        </w:rPr>
      </w:pPr>
    </w:p>
    <w:p>
      <w:pPr>
        <w:jc w:val="both"/>
        <w:ind w:left="1300" w:firstLine="1300"/>
        <w:spacing w:after="0" w:line="259" w:lineRule="auto"/>
        <w:tabs>
          <w:tab w:leader="none" w:pos="3265"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such Subsidiary Guarantor) or the Person to which such sale, assignment, transfer, conveyance, lease or other disposition has been made (if other than such Subsidiary Guarantor) is organized in a Covered Jurisdiction and assumes all the obligations of such Subsidiary Guarantor under this Agreement; or</w:t>
      </w:r>
    </w:p>
    <w:p>
      <w:pPr>
        <w:spacing w:after="0" w:line="186" w:lineRule="exact"/>
        <w:rPr>
          <w:rFonts w:ascii="Arial" w:cs="Arial" w:eastAsia="Arial" w:hAnsi="Arial"/>
          <w:sz w:val="18"/>
          <w:szCs w:val="18"/>
          <w:color w:val="auto"/>
        </w:rPr>
      </w:pPr>
    </w:p>
    <w:p>
      <w:pPr>
        <w:jc w:val="both"/>
        <w:ind w:left="660" w:right="20" w:firstLine="1292"/>
        <w:spacing w:after="0" w:line="286" w:lineRule="auto"/>
        <w:tabs>
          <w:tab w:leader="none" w:pos="2622"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transaction constitutes a Disposition (including by way of merger or consolidation) (A) that is not an Asset Sale or is an Asset Sale that is in compliance with Section 6.03 or (B) of such Subsidiary Guarantor or the Disposition of all or substantially all of the assets of such Subsidiary Guarantor that is not an Asset Sale or is an Asset Sale that is in compliance with Section 6.03.</w:t>
      </w:r>
    </w:p>
    <w:p>
      <w:pPr>
        <w:spacing w:after="0" w:line="16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Notwithstanding the foregoing in this Section 6.11, (i) Holdings and the Borrowers and the Restricted Subsidiaries may consummate the Transactions, (ii) Holdings and the Borrowers and the Restricted Subsidiaries may consummate a consolidation or merger the purpose of which is to effect a Permitted Investment or an Investment permitted by 6.04, (iii) any Subsidiary Guarantor may merge or consolidate with or into an Affiliate solely for the purpose of reorganizing in another jurisdiction and (iv) any Subsidiary Guarantor may liquidate, dissolver or wind up if Holdings determines in good faith that such liquidation, dissolution or conveyance is in the best interest of Holdings and the Restricted Subsidiaries taken as whole.</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Financial Covenant</w:t>
      </w:r>
      <w:r>
        <w:rPr>
          <w:rFonts w:ascii="Arial" w:cs="Arial" w:eastAsia="Arial" w:hAnsi="Arial"/>
          <w:sz w:val="16"/>
          <w:szCs w:val="16"/>
          <w:color w:val="auto"/>
        </w:rPr>
        <w:t>. Holdings and each of the Restricted Subsidiaries covenant and agree that:</w:t>
      </w:r>
    </w:p>
    <w:p>
      <w:pPr>
        <w:spacing w:after="0" w:line="225" w:lineRule="exact"/>
        <w:rPr>
          <w:sz w:val="20"/>
          <w:szCs w:val="20"/>
          <w:color w:val="auto"/>
        </w:rPr>
      </w:pPr>
    </w:p>
    <w:p>
      <w:pPr>
        <w:jc w:val="both"/>
        <w:ind w:firstLine="1304"/>
        <w:spacing w:after="0" w:line="269" w:lineRule="auto"/>
        <w:tabs>
          <w:tab w:leader="none" w:pos="198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on the last day of any Test Period (commencing with the first Test Period ending on the last day of the first full fiscal quarter ending after the Closing Date) there are outstanding Revolving Loans, Swingline Loans and Letters of Credit (excluding Letters of Credit to the extent Cash Collateralized or backstopped (whether drawn or undrawn)) in an aggregate principal amount exceeding 30% of the aggregate principal amount of all Revolving Commitments (including any Incremental Revolving Commitments), no Loan Party shall permit the Total Net Leverage Ratio as of the last day of such Test Period to be greater than (x) 5.75 to 1.00 prior to June 30, 2023 and (y) 4.50 to 1.00 on and after June 30, 2023 (in each case, such compliance to be determined on the basis of the financial information most recently delivered to the Administrative Agent pursuant to the Compliance Certificate for such Test Period) (the “</w:t>
      </w:r>
      <w:r>
        <w:rPr>
          <w:rFonts w:ascii="Arial" w:cs="Arial" w:eastAsia="Arial" w:hAnsi="Arial"/>
          <w:sz w:val="17"/>
          <w:szCs w:val="17"/>
          <w:u w:val="single" w:color="auto"/>
          <w:color w:val="auto"/>
        </w:rPr>
        <w:t>Financial Covenant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one occasion prior to the Maturity Date of the Revolving Loans and Revolving Commitments where Holdings or any of its Subsidiaries consummates a Financial Covenant Material Acquisition after the Closing Date, the maximum Total Net Leverage Ratio for each of the next four Test Periods following such Material Acquisition shall be 0.50 to 1.00 higher than the maximum Total Net Leverage Ratio otherwise indicated above for such Test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5" w:name="page176"/>
    <w:bookmarkEnd w:id="175"/>
    <w:p>
      <w:pPr>
        <w:jc w:val="both"/>
        <w:ind w:firstLine="1304"/>
        <w:spacing w:after="0" w:line="259" w:lineRule="auto"/>
        <w:tabs>
          <w:tab w:leader="none" w:pos="198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provisions of this Section 6.12 are for the benefit of the Revolving Lenders only and the Required Revolving Lenders may amend, waive or otherwise modify this Section 6.12 or the defined terms used in this Section 6.12 (solely in respect of the use of such defined terms in this Section 6.12) or waive any Default or Event of Default resulting from a breach of this Section 6.12 without the consent of any Lenders other than the Required Revolving Lenders.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 and Remedies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 on or after the Closing Date:</w:t>
      </w:r>
    </w:p>
    <w:p>
      <w:pPr>
        <w:spacing w:after="0" w:line="225" w:lineRule="exact"/>
        <w:rPr>
          <w:sz w:val="20"/>
          <w:szCs w:val="20"/>
          <w:color w:val="auto"/>
        </w:rPr>
      </w:pPr>
    </w:p>
    <w:p>
      <w:pPr>
        <w:ind w:firstLine="1304"/>
        <w:spacing w:after="0" w:line="342" w:lineRule="auto"/>
        <w:tabs>
          <w:tab w:leader="none" w:pos="203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207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Borrower shall fail to pay any interest on any Loan or any fee or any other amount (other than an amount referred to in clause (a) of this Section 7.01) payable under this Agreement or any other Loan Document, when and as the same shall become due and payable, and such failure shall continue unremedied for a period of five (5) Business Days;</w:t>
      </w:r>
    </w:p>
    <w:p>
      <w:pPr>
        <w:spacing w:after="0" w:line="183" w:lineRule="exact"/>
        <w:rPr>
          <w:rFonts w:ascii="Arial" w:cs="Arial" w:eastAsia="Arial" w:hAnsi="Arial"/>
          <w:sz w:val="18"/>
          <w:szCs w:val="18"/>
          <w:color w:val="auto"/>
        </w:rPr>
      </w:pPr>
    </w:p>
    <w:p>
      <w:pPr>
        <w:jc w:val="both"/>
        <w:ind w:firstLine="1304"/>
        <w:spacing w:after="0" w:line="253" w:lineRule="auto"/>
        <w:tabs>
          <w:tab w:leader="none" w:pos="19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any representation or warranty made or deemed made by or on behalf of Holdings, any Borrower or any other Loan Party in or in connection with this Agreement or any other Loan Document or any amendment or modification hereof or thereof or waiver hereunder or thereunder, or in any certificate, financial statement or other instrument furnished pursuant to or in connection with this Agreement or any other Loan Document or any amendment or modification thereof or waiver thereunder, shall prove to have been incorrect in any material respect (or if such representation, warranty or statement is already qualified by materiality, in any respect) when made or deemed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failure of any representation or warranty made or deemed made by any Loan Party (other than the representations and warranties referred to in Section 4.01(f)) to be true and correct in any material respect on the Closing Date will not constitute an Event of Default and (y) in the case of any representation and/or warranty that is capable of being cured, there shall be a grace period of 15 days following Holdings’ receipt of a written notice of the inaccuracy of the relevant representation, warranty or certification;</w:t>
      </w:r>
    </w:p>
    <w:p>
      <w:pPr>
        <w:spacing w:after="0" w:line="196" w:lineRule="exact"/>
        <w:rPr>
          <w:rFonts w:ascii="Arial" w:cs="Arial" w:eastAsia="Arial" w:hAnsi="Arial"/>
          <w:sz w:val="18"/>
          <w:szCs w:val="18"/>
          <w:color w:val="auto"/>
        </w:rPr>
      </w:pPr>
    </w:p>
    <w:p>
      <w:pPr>
        <w:jc w:val="both"/>
        <w:ind w:firstLine="1304"/>
        <w:spacing w:after="0" w:line="254" w:lineRule="auto"/>
        <w:tabs>
          <w:tab w:leader="none" w:pos="201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Any Loan Party shall fail to observe or perform any covenant, condition or agreement contained in Section 5.02, Section 5.03 (with respect to the legal existence of Holdings) or in Article VI;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or any Restricted Subsidiary’s failure to comply with the Financial Covenant (a “</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shall not constitute an Event of Default with respect to any Term Loans or Term Loan Commitments unless and until the Required Revolving Lenders have actually terminated the Revolving Commitments and declared all Obligations with respect to their Revolving Commitments to be immediately due and payable pursuant to this Section 7.01 as a result of such failure to comply (and such declaration has not been rescinded as of the applicable date) (the occurrence of such termination and declaration by the Required Revolving Lenders, a “</w:t>
      </w:r>
      <w:r>
        <w:rPr>
          <w:rFonts w:ascii="Arial" w:cs="Arial" w:eastAsia="Arial" w:hAnsi="Arial"/>
          <w:sz w:val="18"/>
          <w:szCs w:val="18"/>
          <w:u w:val="single" w:color="auto"/>
          <w:color w:val="auto"/>
        </w:rPr>
        <w:t>Financial Covenant Cross Default</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6" w:name="page177"/>
    <w:bookmarkEnd w:id="176"/>
    <w:p>
      <w:pPr>
        <w:jc w:val="both"/>
        <w:ind w:left="-8" w:firstLine="1304"/>
        <w:spacing w:after="0" w:line="291" w:lineRule="auto"/>
        <w:tabs>
          <w:tab w:leader="none" w:pos="1989"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Any Loan Party shall fail to observe or perform any covenant, condition or agreement contained in this Agreement (other than those specified in clause (a), (b) or (d) of this Section 7.01) or any other Loan Document, and such failure shall continue unremedied for a period of thirty</w:t>
      </w:r>
    </w:p>
    <w:p>
      <w:pPr>
        <w:ind w:left="352" w:hanging="352"/>
        <w:spacing w:after="0"/>
        <w:tabs>
          <w:tab w:leader="none" w:pos="35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days after notice thereof from the Administrative Agent to Holdings;</w:t>
      </w:r>
    </w:p>
    <w:p>
      <w:pPr>
        <w:spacing w:after="0" w:line="210" w:lineRule="exact"/>
        <w:rPr>
          <w:rFonts w:ascii="Arial" w:cs="Arial" w:eastAsia="Arial" w:hAnsi="Arial"/>
          <w:sz w:val="18"/>
          <w:szCs w:val="18"/>
          <w:color w:val="auto"/>
        </w:rPr>
      </w:pPr>
    </w:p>
    <w:p>
      <w:pPr>
        <w:ind w:left="-8" w:right="20" w:firstLine="1304"/>
        <w:spacing w:after="0" w:line="342" w:lineRule="auto"/>
        <w:tabs>
          <w:tab w:leader="none" w:pos="219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Holdings or any Restricted Subsidiary shall fail to make any payment (whether of principal or interest and regardless of amount), in respect to any Material Indebtedness, when and as the same shall become due and payable after giving effect to any cure or grace period;</w:t>
      </w:r>
    </w:p>
    <w:p>
      <w:pPr>
        <w:spacing w:after="0" w:line="123" w:lineRule="exact"/>
        <w:rPr>
          <w:rFonts w:ascii="Arial" w:cs="Arial" w:eastAsia="Arial" w:hAnsi="Arial"/>
          <w:sz w:val="16"/>
          <w:szCs w:val="16"/>
          <w:color w:val="auto"/>
        </w:rPr>
      </w:pPr>
    </w:p>
    <w:p>
      <w:pPr>
        <w:jc w:val="both"/>
        <w:ind w:left="-8" w:firstLine="1304"/>
        <w:spacing w:after="0" w:line="269" w:lineRule="auto"/>
        <w:tabs>
          <w:tab w:leader="none" w:pos="2083"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that enables or permits, after the expiration of any applicable grace period provided in the applicable agreement or instrument under which such Indebtedness was created,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(g) shall not apply to (i) secured Indebtedness that becomes due as a result of the voluntary sale or transfer of the property or assets securing such Indebtedness, (ii) any redemption, repurchase, conversion, exchange or settlement with respect to any Convertible Debt Security pursuant to its terms unless such redemption, repurchase, conversion, exchange or settlement results from a default thereunder or an event of the type that constitutes an Event of Default, (iii) any early payment requirement or unwinding or termination with respect to any Swap Agreement (other than any such payment requirement or termination resulting from a default by Holdings or any Restricted Subsidiary), (iv) Indebtedness of any Person whose Equity Interests are being acquired in a Permitted Acquisition and which Indebtedness becomes due because of such Permitted Acquisition or (v) any breach or default that is (x) remedied by Holdings or the applicable Restricted Subsidiary or (y) waived (including in the form of an amendment) by the required holders of the applicable Indebtedness, in either case, prior to the acceleration of Loans pursuant to this Section 7.01;</w:t>
      </w:r>
    </w:p>
    <w:p>
      <w:pPr>
        <w:spacing w:after="0" w:line="178" w:lineRule="exact"/>
        <w:rPr>
          <w:rFonts w:ascii="Arial" w:cs="Arial" w:eastAsia="Arial" w:hAnsi="Arial"/>
          <w:sz w:val="17"/>
          <w:szCs w:val="17"/>
          <w:color w:val="auto"/>
        </w:rPr>
      </w:pPr>
    </w:p>
    <w:p>
      <w:pPr>
        <w:jc w:val="both"/>
        <w:ind w:left="-8" w:firstLine="1304"/>
        <w:spacing w:after="0" w:line="293" w:lineRule="auto"/>
        <w:tabs>
          <w:tab w:leader="none" w:pos="2169"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an involuntary case or application or proceeding shall be commenced or an involuntary petition shall be filed seeking (i) liquidation, reorganization, winding-up, dissolution, examinership, compromise, arrangement or other relief in respect of Holdings or any Material Subsidiary or its debts, or of a substantial part of its assets, under any Federal, state or foreign bankruptcy, insolvency, receivership, examinership or similar law now or hereafter in effect or (ii) the appointment of a receiver, receiver and manager, trustee, custodian, sequestrator, conservator, examiner, liquidator or similar official for Holdings or any Material Subsidiary or for a substantial part of its assets, and, in any such case, such case or application or proceeding or petition shall continue undismissed for sixty (60) days or an order or decree approving or ordering any of the foregoing shall be entered;</w:t>
      </w:r>
    </w:p>
    <w:p>
      <w:pPr>
        <w:spacing w:after="0" w:line="164" w:lineRule="exact"/>
        <w:rPr>
          <w:rFonts w:ascii="Arial" w:cs="Arial" w:eastAsia="Arial" w:hAnsi="Arial"/>
          <w:sz w:val="16"/>
          <w:szCs w:val="16"/>
          <w:color w:val="auto"/>
        </w:rPr>
      </w:pPr>
    </w:p>
    <w:p>
      <w:pPr>
        <w:jc w:val="both"/>
        <w:ind w:left="-8" w:firstLine="1304"/>
        <w:spacing w:after="0" w:line="270" w:lineRule="auto"/>
        <w:tabs>
          <w:tab w:leader="none" w:pos="2101"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Holdings or any Material Subsidiary shall (i) voluntarily commence any proceeding or file any petition seeking liquidation, reorganization, winding-up, dissolution, examinership, compromise, arrangement or other relief under any Federal, state or foreign bankruptcy, insolvency, examinership, receivership or similar law now or hereafter in effect, (ii) consent to the institution of, or fail to contest in a timely and appropriate manner, any proceeding or petition described in clause (h) of this Section 7.01, (iii) apply for or consent to the appointment of a receiver, receiver and manager, trustee, custodian, sequestrator, conservator or similar official for, Holdings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liquidation of any Restricted Subsidiary into another Restricted Subsidiary (so long as any such Restricted Subsidiary that is a Loan Party is liquidated into another Loan Party), other than as part of a credit reorganization, shall not constitute an Event of Default under this clause (i);</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177" w:name="page178"/>
    <w:bookmarkEnd w:id="177"/>
    <w:p>
      <w:pPr>
        <w:jc w:val="both"/>
        <w:ind w:firstLine="1304"/>
        <w:spacing w:after="0" w:line="254" w:lineRule="auto"/>
        <w:tabs>
          <w:tab w:leader="none" w:pos="201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one or more judgments for the payment of money in an aggregate amount in excess of the greater of $175,000,000 and 15% of Consolidated EBITDA for the Test Period most recently ended on or prior to the date of such determination (or the equivalent amount in any other currency) shall be rendered against Holdings or any Restricted Subsidiary or any combination thereof and the same shall remain undischarged for a period of sixty (60) consecutive days during which execution shall not be effectively stayed, vacated, discharged or bonded pending appeal;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amount shall be calculated after deducting from the sum so payable any amount of such judgment or order that is covered by a valid and binding policy of insurance in favor of Holdings or such Restricted Subsidiary (but only if the applicable insurer shall have been advised of such judgment and of the intent of Holdings or such Restricted Subsidiary to make a claim in respect of any amount payable by it in connection therewith and such insurer shall not have disputed coverage);</w:t>
      </w:r>
    </w:p>
    <w:p>
      <w:pPr>
        <w:spacing w:after="0" w:line="191" w:lineRule="exact"/>
        <w:rPr>
          <w:rFonts w:ascii="Arial" w:cs="Arial" w:eastAsia="Arial" w:hAnsi="Arial"/>
          <w:sz w:val="18"/>
          <w:szCs w:val="18"/>
          <w:color w:val="auto"/>
        </w:rPr>
      </w:pPr>
    </w:p>
    <w:p>
      <w:pPr>
        <w:ind w:firstLine="1304"/>
        <w:spacing w:after="0" w:line="277" w:lineRule="auto"/>
        <w:tabs>
          <w:tab w:leader="none" w:pos="223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99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a contribution required to be made with respect to a Non-U.S. Plan has not been timely made; or Holdings or any Restricted Subsidiary has incurred any obligation in connection with the termination of, or withdrawal from, any Non-U.S. Plan; (ii) there shall result from any such event or events the imposition of a lien, the granting of a security interest or a liability; and (iii) such lien, security interest or liability, individually, and/or in the aggregate, has had, or could reasonably be expected to have a Material Adverse Effect;</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98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any material provision of any Loan Document for any reason ceases to be valid, binding and enforceable in accordance with its terms (or Holdings or any other Loan Party shall challenge the enforceability of any Loan Document or shall assert in writing that any provision of any of the Loan Documents has ceased to be or otherwise is not valid, binding and enforceable in accordance with its terms);</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21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Collateral Document shall for any reason fail to create a valid and perfected first priority (subject to Permitted Liens) security interest in any material portion of the Collateral purported to be covered thereby, except as permitted by the terms of any Loan Document or the Agreed Guarantee and Security Principles, or as a result of any act or omission of the Administrative Agent so long as not resulting from the breach or non-compliance with any Loan Document by any Loan Party; or</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then, and in every such event (other than an event with respect to Holdings or any Borrower described in clause (h) or (i) of this Section 7.01), and at any time thereafter during the continuance of such event, the Administrative Agent may, and, at the request of the Required Lenders, shall, by notice to the Borrowers, (I) declare the Revolving Commitments of each Revolving Lender and any obligation of the Issuing Banks to issue, amend, renew or extend any Letter of Credit and the Swingline Lender to make Swingline Loans to be terminated, whereupon such Revolving Commitments and obligation will be terminated,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accrued hereunder and under the other Loan Documents, shall become due and payable immediately, without presentment, demand, protest or other notice of any kind, all of which are hereby waived by each Borrower and each Guarantor and</w:t>
      </w:r>
    </w:p>
    <w:p>
      <w:pPr>
        <w:spacing w:after="0" w:line="1" w:lineRule="exact"/>
        <w:rPr>
          <w:sz w:val="20"/>
          <w:szCs w:val="20"/>
          <w:color w:val="auto"/>
        </w:rPr>
      </w:pPr>
    </w:p>
    <w:p>
      <w:pPr>
        <w:jc w:val="both"/>
        <w:ind w:firstLine="8"/>
        <w:spacing w:after="0" w:line="267" w:lineRule="auto"/>
        <w:tabs>
          <w:tab w:leader="none" w:pos="36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require the Revolving Borrowers to Cash Collateralize the then outstanding Letters of Credit (in an amount in cash equal to 102% of the Dollar Amount of the LC Exposure as of such date plus any accrued and unpaid interest thereon); and in case of any event with respect to Holdings or any Borrower described in clause (h) or (i) of this Section 7.01, (I) the Revolving Commitments of each Revolving Lender and any obligation of the Issuing Banks to issue Letters of Credit and any obligation of the Swingline Lender to make Swingline Loans will automatically terminate, (II) the principal of the Loans then outstanding, together with accrued interest thereon and all fees and other Secured Obligations accrued hereunder and under the other Loan Documents, shall automatically become due and payable, without presentment, demand, protest or other notice of any kind, all of which are hereby waived by each Borrower and each Guarantor and (III) the obligation of the Revolving Borrowers to Cash Collateralize the Letters of Credit as aforesaid will automatically become 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if the only Events of Default then having occurred and continuing are pursuant to a Financial Covenant Event of Default, then, unless a Financial Covenant Cross Default has occurred and is continuing, the Administrative Agent shall only take the actions set forth in this Section 7.01 at the request (or with the consent) of the Required Revolving Lenders (as opposed to the Required Lenders) and only with respect to the Revolving Commitments, Revolving Loans, Letters of Credit, Swingline Loans and obligations of the Revolving Lenders.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8" w:name="page179"/>
    <w:bookmarkEnd w:id="178"/>
    <w:p>
      <w:pPr>
        <w:ind w:left="640"/>
        <w:spacing w:after="0"/>
        <w:tabs>
          <w:tab w:leader="none" w:pos="19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Borrowers’ Right to Cure</w:t>
      </w:r>
      <w:r>
        <w:rPr>
          <w:rFonts w:ascii="Arial" w:cs="Arial" w:eastAsia="Arial" w:hAnsi="Arial"/>
          <w:sz w:val="16"/>
          <w:szCs w:val="16"/>
          <w:color w:val="auto"/>
        </w:rPr>
        <w:t>. Notwithstanding anything to the contrary contained in Section 7.01:</w:t>
      </w:r>
    </w:p>
    <w:p>
      <w:pPr>
        <w:spacing w:after="0" w:line="225" w:lineRule="exact"/>
        <w:rPr>
          <w:sz w:val="20"/>
          <w:szCs w:val="20"/>
          <w:color w:val="auto"/>
        </w:rPr>
      </w:pPr>
    </w:p>
    <w:p>
      <w:pPr>
        <w:jc w:val="both"/>
        <w:ind w:left="-20" w:firstLine="980"/>
        <w:spacing w:after="0" w:line="286" w:lineRule="auto"/>
        <w:tabs>
          <w:tab w:leader="none" w:pos="121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For the purpose of determining whether an Event of Default under the Financial Covenant has occurred, Holdings may on one or more occasions designate any portion of the net cash proceeds from a sale or issuance of Qualified Equity Interests of Holdings or any contribution to the common capital of Holdings (or from any other contribution to capital or sale or issuance of any other Equity Interests) (the “</w:t>
      </w:r>
      <w:r>
        <w:rPr>
          <w:rFonts w:ascii="Arial" w:cs="Arial" w:eastAsia="Arial" w:hAnsi="Arial"/>
          <w:sz w:val="16"/>
          <w:szCs w:val="16"/>
          <w:u w:val="single" w:color="auto"/>
          <w:color w:val="auto"/>
        </w:rPr>
        <w:t>Cure Amount</w:t>
      </w:r>
      <w:r>
        <w:rPr>
          <w:rFonts w:ascii="Arial" w:cs="Arial" w:eastAsia="Arial" w:hAnsi="Arial"/>
          <w:sz w:val="16"/>
          <w:szCs w:val="16"/>
          <w:color w:val="auto"/>
        </w:rPr>
        <w:t xml:space="preserve">”), as an increase to Consolidated EBITDA for the applicable fiscal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amounts to be designated are actually received by Holdings on or after the first day of such applicable fiscal quarter and on or prior to the twentieth (20th) Business Day after the date on which financial statements are required to be delivered with respect to such applicable fiscal quarter (the “</w:t>
      </w:r>
      <w:r>
        <w:rPr>
          <w:rFonts w:ascii="Arial" w:cs="Arial" w:eastAsia="Arial" w:hAnsi="Arial"/>
          <w:sz w:val="16"/>
          <w:szCs w:val="16"/>
          <w:u w:val="single" w:color="auto"/>
          <w:color w:val="auto"/>
        </w:rPr>
        <w:t>Cure Expiration Date</w:t>
      </w:r>
      <w:r>
        <w:rPr>
          <w:rFonts w:ascii="Arial" w:cs="Arial" w:eastAsia="Arial" w:hAnsi="Arial"/>
          <w:sz w:val="16"/>
          <w:szCs w:val="16"/>
          <w:color w:val="auto"/>
        </w:rPr>
        <w:t>”), (ii) such amounts do not exceed the aggregate amount necessary to cure any Event of Default under the Financial Covenant as of such date and (iii) the Revolving Borrowers shall have provided notice to the Administrative Agent on the date such amounts are designated as a “Cure Amount” (it being understood that to the extent any such notice is provided in advance of delivery of a Compliance Certificate for the applicable period, the amount of such net cash proceeds that is designated as the Cure Amount may be different than the amount necessary to cure any Event of Default under the Financial Covenant and may be modified, as necessary, in a subsequent corrected notice delivered on or before the Cure Expiration Date (it being understood that in any event the final designation of the Cure Amount shall continue to be subject to the requirements set forth in clauses (i) and (ii) above)). The Cure Amount used to calculate Consolidated EBITDA for one fiscal quarter shall be used and included when calculating Consolidated EBITDA for each Test Period that includes such fiscal quarter.</w:t>
      </w:r>
    </w:p>
    <w:p>
      <w:pPr>
        <w:spacing w:after="0" w:line="173" w:lineRule="exact"/>
        <w:rPr>
          <w:rFonts w:ascii="Arial" w:cs="Arial" w:eastAsia="Arial" w:hAnsi="Arial"/>
          <w:sz w:val="16"/>
          <w:szCs w:val="16"/>
          <w:color w:val="auto"/>
        </w:rPr>
      </w:pPr>
    </w:p>
    <w:p>
      <w:pPr>
        <w:jc w:val="both"/>
        <w:ind w:left="-20" w:firstLine="980"/>
        <w:spacing w:after="0" w:line="296" w:lineRule="auto"/>
        <w:tabs>
          <w:tab w:leader="none" w:pos="121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parties hereby acknowledge that this Section 7.02 may not be relied on for purposes of calculating any financial ratios other than for determining actual compliance with Section 6.12 (and not Pro Forma Basis with Section 6.12 that is required by any other provision of this Agreement) and shall not result in any adjustment to any amounts (including the amount of Indebtedness) or increase in cash (and shall not be included for purposes of determining pricing, mandatory prepayments and the availability or amount permitted pursuant to any covenant under Article VI) with respect to the fiscal quarter with respect to which such Cure Amount was made other than the amount of the Consolidated EBITDA referred to in Section 7.02(a).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79" w:name="page180"/>
    <w:bookmarkEnd w:id="179"/>
    <w:p>
      <w:pPr>
        <w:jc w:val="both"/>
        <w:ind w:firstLine="980"/>
        <w:spacing w:after="0" w:line="269" w:lineRule="auto"/>
        <w:tabs>
          <w:tab w:leader="none" w:pos="122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 furtherance of clause (a) above, (A) upon actual receipt and designation of the Cure Amount by one or more Borrowers, the Financial Covenant shall be deemed satisfied and complied with as of the end of the relevant fiscal quarter with the same effect as though there had been no failure to comply with the Financial Covenant and any Event of Default under the Financial Covenant shall be deemed not to have occurred for purposes of the Loan Documents, and (B) upon delivery to the Administrative Agent prior to the Cure Expiration Date of a notice from Holdings stating its good faith intention to exercise its right set forth in this Section 7.02, neither the Administrative Agent nor any Lender may exercise any rights or remedies under Section 7.01 (or under any other Loan Document) on the basis of any actual or purported Event of Default under the Financial Covenant until and unless the Cure Expiration Date has occurred without the Cure Amount having been received and designated. Notwithstanding the foregoing, after the occurrence of an Event of Default under the Financial Covenant, the Revolving Borrowers shall not be able to request the making of any Revolving Loan or the issuance of any Letter of Credit under the Revolving Commitments during the period from the date on which the financial statements in respect of the applicable fiscal quarter or fiscal year are required to be delivered pursuant to Section 5.01(a) or (b) until receipt by one or more Borrowers of the Cure Amount or waiver of the Event of Default.</w:t>
      </w:r>
    </w:p>
    <w:p>
      <w:pPr>
        <w:spacing w:after="0" w:line="181" w:lineRule="exact"/>
        <w:rPr>
          <w:rFonts w:ascii="Arial" w:cs="Arial" w:eastAsia="Arial" w:hAnsi="Arial"/>
          <w:sz w:val="17"/>
          <w:szCs w:val="17"/>
          <w:color w:val="auto"/>
        </w:rPr>
      </w:pPr>
    </w:p>
    <w:p>
      <w:pPr>
        <w:jc w:val="both"/>
        <w:ind w:firstLine="980"/>
        <w:spacing w:after="0" w:line="263" w:lineRule="auto"/>
        <w:tabs>
          <w:tab w:leader="none" w:pos="122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(i) In each period of four (4) consecutive fiscal quarters, there shall be at least two consecutive (2) fiscal quarters in which no cure right set forth in this Section 7.02 is exercised and (ii) there shall be no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reduction in Indebtedness with the Cure Amount for determining compliance with the Financial Covenant for the fiscal quarter with respect to which such Cure Amount was made.</w:t>
      </w:r>
    </w:p>
    <w:p>
      <w:pPr>
        <w:spacing w:after="0" w:line="183" w:lineRule="exact"/>
        <w:rPr>
          <w:rFonts w:ascii="Arial" w:cs="Arial" w:eastAsia="Arial" w:hAnsi="Arial"/>
          <w:sz w:val="18"/>
          <w:szCs w:val="18"/>
          <w:color w:val="auto"/>
        </w:rPr>
      </w:pPr>
    </w:p>
    <w:p>
      <w:pPr>
        <w:ind w:firstLine="980"/>
        <w:spacing w:after="0" w:line="277" w:lineRule="auto"/>
        <w:tabs>
          <w:tab w:leader="none" w:pos="12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There can be no more than five (5) fiscal quarters in which the cure rights set forth in this Section 7.02 are exercised during the term of the Revolving Commitments and any Extended Revolving Commitments in respect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Agents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The Agents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Each of the Lenders and the Issuing Banks hereby irrevocably appoints Citibank, N.A. as its administrative agent and authorizes Citibank, N.A. to take such actions on its behalf, including execution of the other Loan Documents, and to exercise such powers as are delegated to the Administrative Agent by the terms of the Loan Documents, together with such actions and powers as are reasonably incidental thereto, and Citibank, N.A. hereby accepts such appointment.</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Citibank, N.A., London Branch or an Affiliate or designee thereof shall act as the Collateral Agent under the Loan Documents (for purposes of this Section 8.01 and Sections 9.03 and 2.17, the Administrative Agent and the Collateral Agent shall be collectively referred to as the “</w:t>
      </w:r>
      <w:r>
        <w:rPr>
          <w:rFonts w:ascii="Arial" w:cs="Arial" w:eastAsia="Arial" w:hAnsi="Arial"/>
          <w:sz w:val="17"/>
          <w:szCs w:val="17"/>
          <w:u w:val="single" w:color="auto"/>
          <w:color w:val="auto"/>
        </w:rPr>
        <w:t>Agents</w:t>
      </w:r>
      <w:r>
        <w:rPr>
          <w:rFonts w:ascii="Arial" w:cs="Arial" w:eastAsia="Arial" w:hAnsi="Arial"/>
          <w:sz w:val="17"/>
          <w:szCs w:val="17"/>
          <w:color w:val="auto"/>
        </w:rPr>
        <w:t>”), and each of the Lenders and the Issuing Banks hereby irrevocably appoints and authorizes Citibank, N.A. (and Citibank, N.A., London Branch hereby accepts such appointment) and each such Affiliate and designee to act as the agent of such Lender and Issuing Bank for purposes of acquiring, holding and enforcing any and all Liens on Collateral granted by any of the Loan Parties to secure any of the Secured Obligations, together with such powers and discretion as are reasonably incidental thereto. In this connection, any co-agents, sub-agents and attorneys-in-fact appointed by the Collateral Agent pursuant to this Section 8.01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Section 8.01 and Article IX (including Section 9.03), as though such co-agents, sub-agents and attorneys-in-fact were the Collateral Agent under the Loan Documents as if set forth in full herein with respect thereto.</w:t>
      </w:r>
    </w:p>
    <w:p>
      <w:pPr>
        <w:spacing w:after="0" w:line="18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Except as otherwise provided in this Section 8.01, the provisions of this Article are solely for the benefit of the Agents and the Lenders, and the Borrowers shall not have rights as third-party beneficiaries of any of such provisions.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0" w:name="page181"/>
    <w:bookmarkEnd w:id="180"/>
    <w:p>
      <w:pPr>
        <w:jc w:val="both"/>
        <w:ind w:firstLine="1296"/>
        <w:spacing w:after="0" w:line="286" w:lineRule="auto"/>
        <w:rPr>
          <w:sz w:val="20"/>
          <w:szCs w:val="20"/>
          <w:color w:val="auto"/>
        </w:rPr>
      </w:pPr>
      <w:r>
        <w:rPr>
          <w:rFonts w:ascii="Arial" w:cs="Arial" w:eastAsia="Arial" w:hAnsi="Arial"/>
          <w:sz w:val="17"/>
          <w:szCs w:val="17"/>
          <w:color w:val="auto"/>
        </w:rPr>
        <w:t>The banks serving as the Agents hereunder shall have the same rights and powers in their capacity as Lenders as any other Lender and may exercise the same as though they were not an Agent, and such banks and their Affiliates may accept deposits from, lend money to and generally engage in any kind of business with Holdings or any Subsidiary or other Affiliate thereof as if they were not an Agent hereunder.</w:t>
      </w:r>
    </w:p>
    <w:p>
      <w:pPr>
        <w:spacing w:after="0" w:line="16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Agents shall not have any duties or obligations except those expressly set forth in the Loan Documents to which such Agent is a party. Without limiting the generality of the foregoing, (a) the Agents shall not be subject to any fiduciary or other implied duties, regardless of whether a Default has occurred and is continuing, (b) the Agents shall not have any duty to take any discretionary action or exercise any discretionary powers including, without limitation, the timing and methods of realization of the Collateral, except discretionary rights and powers expressly contemplated by the Loan Documents that the respective Agent is required to exercise in writing as directed (i) in the case of the Collateral Agent, by the Administrative Agent (acting at the direction of the Required Lenders) or (ii) in the case of the Administrative Agent, by the Required Lenders (or such other number or percentage of the Lenders as shall be necessary under the circumstances as provided in Section 9.02), and no Agent shall be required to take any action or omit to take any action (including disclosing information) that in its reasonable opinion or the opinion of its counsel, may expose it to liability, be contrary to any Loan Document or constitute a breach of any Law (including, but not limited to, any Law of England and Wales and the United States), and (c) except as expressly set forth in the Loan Documents, the Agents shall not have any duty to disclose, and shall not be liable for the failure to disclose, any information relating to Holdings or any of its Subsidiaries that is communicated to or obtained by any bank serving as an Agent or any of its Affiliates in any capacity. The Agents shall not be liable for any action taken or not taken by them with the consent or at the request of (i) in the case of the Collateral Agent, the Administrative Agent (acting at the direction of the Required Lenders) or (ii) in the case of the Administrative Agent, the Required Lenders (or in each case, such other number or percentage of the Lenders as shall be necessary under the circumstances as provided in Section 9.02 or elsewhere in the Loan Documents) or in the absence of its own gross negligence or willful misconduct as determined by a court of competent jurisdiction by final and non-appealable judgment. The Agents shall be deemed not to have knowledge of any Default unless and until written notice thereof is given to the respective Agent by Holdings, a Borrower or a Lender, and no Agent shall be responsible for or have any duty to ascertain or inquire into (i) any recital, statement, warranty or representation made in or in connection with any Loan Document, (ii) the contents or accuracy of any certificate, report or other document delivered hereunder or in connection with any Loan Document, (iii) the performance or observance of any of the covenants, agreements or other terms or conditions set forth in any Loan Document, (iv) the legality, validity, enforceability, effectiveness, genuineness or sufficiency of any Loan Document, the Collateral or any other agreement, instrument or document, (v) the creation, validity, perfection, priority or enforceability of Liens on the Collateral or the existence, genuineness, sufficiency or value of the Collateral, (vi) the satisfaction of any condition set forth in Article IV or elsewhere in any Loan Document, other than to confirm receipt of items expressly required to be delivered to such Agent or (vii) the properties, books or records of the Borrowers.</w:t>
      </w:r>
    </w:p>
    <w:p>
      <w:pPr>
        <w:spacing w:after="0" w:line="18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The Agents shall not be required to expend or risk any of its own funds or otherwise incur any liability, financial or otherwise, in the performance of any of its duties hereunder or under any Loan Document to which it is a party, or be required to take any action that is contrary to this Agreement or applicable Law.</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Agents shall not be responsible for insuring the Collateral or for the payment of Taxes, charges, assessments or Liens upon the Collateral or otherwise as to the maintenance of the Collateral; nor shall any Agent have any duty to see to the payment or discharge of any tax, assessment or other governmental charge relating to the Collateral or any lien or encumbrance of any kind with respect to the Collateral.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1" w:name="page182"/>
    <w:bookmarkEnd w:id="181"/>
    <w:p>
      <w:pPr>
        <w:jc w:val="both"/>
        <w:ind w:firstLine="1296"/>
        <w:spacing w:after="0" w:line="287" w:lineRule="auto"/>
        <w:rPr>
          <w:sz w:val="20"/>
          <w:szCs w:val="20"/>
          <w:color w:val="auto"/>
        </w:rPr>
      </w:pPr>
      <w:r>
        <w:rPr>
          <w:rFonts w:ascii="Arial" w:cs="Arial" w:eastAsia="Arial" w:hAnsi="Arial"/>
          <w:sz w:val="16"/>
          <w:szCs w:val="16"/>
          <w:color w:val="auto"/>
        </w:rPr>
        <w:t>The Agents shall be entitled to rely upon, and shall not incur any liability for relying upon, any notice, request, certificate, consent, statement, instrument, document or other writing believed by them to be genuine and to have been signed or sent by the proper Person. The Agents also may rely upon any statement made to them orally or by telephone and believed by them to be made by the proper Person, and shall not incur any liability for relying thereon. The Agents may consult with legal counsel (who may be counsel for Holdings, the Subsidiary Guarantors or the Borrowers), independent accountants and other experts selected by them, and shall not be liable for any action taken or not taken by them in accordance with the advice of any such counsel, accountants or experts. Notwithstanding anything else to the contrary herein, each Agent may refrain from acting in accordance with any instructions or requests given by the Lenders (or, in the case of the Collateral Agent, given by the Administrative Agent at the direction of the Lenders) unless it shall first be indemnified to its satisfaction by the Lenders against any and all liability, cost and expense that may be incurred by it by reason of taking or continuing to take any such action in compliance with the instruction or request. Each Agent shall in all cases be fully protected in acting, or in refraining from acting, under this Agreement and the other Loan Documents in accordance with a request of the Required Lenders (or, as applicable in the case of the Collateral Agent, given by the Administrative Agent at the direction of the Lenders), and such request and any action taken or failure to act pursuant thereto shall be binding upon the Lenders and all future Lenders.</w:t>
      </w:r>
    </w:p>
    <w:p>
      <w:pPr>
        <w:spacing w:after="0" w:line="16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The Agents may perform any and all their duties and exercise their rights and powers by or through any one or more sub-agents appointed by the respective Agent. The Agents and any such sub-agent may perform any and all their duties and exercise its rights and powers through their respective Related Parties. The exculpatory provisions of the preceding paragraphs shall apply to any such sub-agent and to the Related Parties of the Agents and any such sub-agent, and shall apply to their respective activities in connection with the syndication of the credit facilities provided for herein as well as activities as an Agent. The Agents shall not be responsible for the negligence or misconduct of any sub-agent that it selects in the absence of gross negligence or willful misconduct by the Agents, as determined in a final and non-appealable judgment by a court of competent jurisdiction.</w:t>
      </w:r>
    </w:p>
    <w:p>
      <w:pPr>
        <w:spacing w:after="0" w:line="16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Agents shall not incur any liability for not performing any act or fulfilling any duty, obligation or responsibility hereunder by reason of any occurrence beyond the control of the Agents (including but not limited to any act or provision of any present or future Law, any act of God or war, civil unrest, local or national disturbance or disaster, any act of terrorism, or the unavailability of the Federal Reserve Bank wire or facsimile or other wire or communication facility).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Agents shall not be obligated to carry out any particular “know your customer” or other checks on behalf of any Secured Party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otherwise.</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Agents may refrain without liability from doing anything that they determine, in reliance upon advice of legal counsel, would or might be contrary to any applicable Law (including but not limited to the Laws of the United States of America or any jurisdiction forming a part of it and of England and Wales) or any directive or regulation of any agency of any such state or jurisdiction and may without liability do anything which is, in its opinion in reliance upon the advice of legal counsel, necessary to comply with any such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2" w:name="page183"/>
    <w:bookmarkEnd w:id="182"/>
    <w:p>
      <w:pPr>
        <w:jc w:val="both"/>
        <w:ind w:firstLine="1296"/>
        <w:spacing w:after="0" w:line="267" w:lineRule="auto"/>
        <w:rPr>
          <w:sz w:val="20"/>
          <w:szCs w:val="20"/>
          <w:color w:val="auto"/>
        </w:rPr>
      </w:pPr>
      <w:r>
        <w:rPr>
          <w:rFonts w:ascii="Arial" w:cs="Arial" w:eastAsia="Arial" w:hAnsi="Arial"/>
          <w:sz w:val="17"/>
          <w:szCs w:val="17"/>
          <w:color w:val="auto"/>
        </w:rPr>
        <w:t xml:space="preserve">Subject to the appointment and acceptance of a successor Administrative Agent as provided in this paragraph, the Administrative Agent may resign at any time by notifying the Lenders, the Issuing Banks and the Borrowers. Any such resignation by the Administrative Agent hereunder shall also constitute its resignation as an Issuing Bank and the Swingline Lender, as applicable, in which case the resigning Administrative Agent (x) shall not be required to issue any further Letters of Credit or make any additional Swingline Loans hereunder and (y) shall maintain all of its rights as Issuing Bank or Swingline Lender, as the case may be, with respect to any Letters of Credit issued by it, or Swingline Loans made by it, prior to the date of such resignation. Upon any such resignation, the Required Lenders shall have the right (with the consent of the Borrowers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Borrowers shall be required if an Event of Default under clause (a), (b), (h), (i) or (j) of Section 7.01 has occurred and is continuing)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(or another financial institution acceptable to Holdings).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hereunder, the provisions of this Section 8.01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9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Subject to the appointment and acceptance of a successor Collateral Agent as provided in this paragraph, the Collateral Agent may resign at any time by notifying the Lenders and the Borrowers. Upon any such resignation, the Required Lenders shall have the right (with the consent of the Borrowers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Borrowers shall be required if an Event of Default under clause (a), (b), (h), (i) or (j) of Section 7.01 has occurred and is continuing) to appoint a successor. If no successor shall have been so appointed by the Required Lenders and shall have accepted such appointment within thirty (30) days after the retiring Collateral Agent gives notice of its resignation, then the retiring Collateral Agent may, on behalf of the Lenders, appoint a successor Collateral Agent which shall be a bank with an office in New York, New York, or an Affiliate of any such bank. Upon the acceptance of its appointment as Collateral Agent hereunder by a successor, such successor shall succeed to and become vested with all the rights, powers, privileges and duties of the retiring Collateral Agent, and the retiring Collateral Agent shall be discharged from its duties and obligations hereunder. The fees payable by the Borrowers to a successor Collateral Agent shall be the same as those payable to its predecessor unless otherwise agreed between the Borrowers and such successor. After the Collateral Agent’s resignation hereunder, the provisions of this Section 8.01 and Section 9.03 shall continue in effect for the benefit of such retiring Collateral Agent, its sub-agents and their respective Related Parties in respect of any actions taken or omitted to be taken by any of them while it was acting as Collateral Agent.</w:t>
      </w:r>
    </w:p>
    <w:p>
      <w:pPr>
        <w:spacing w:after="0" w:line="16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None of the Lenders, if any, identified in this Agreement as a Lead Arranger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a Lead Arranger as it makes with respect to the Agents in the preceding paragraph.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3" w:name="page184"/>
    <w:bookmarkEnd w:id="183"/>
    <w:p>
      <w:pPr>
        <w:jc w:val="both"/>
        <w:ind w:firstLine="1296"/>
        <w:spacing w:after="0" w:line="259" w:lineRule="auto"/>
        <w:rPr>
          <w:sz w:val="20"/>
          <w:szCs w:val="20"/>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Agents) authorized to act for, any other Lender. The Agents shall have the exclusive right on behalf of the Lenders to enforce the payment of the principal of and interest on any Loan after the date such principal or interest has become due and payable pursuant to the terms of this Agreement.</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In their respective capacities, the Agents are “representatives” of the Secured Parties within the meaning of the term “secured party” as defined in the UCC. Each Lender authorizes the Agents to enter into each of the Collateral Documents to which it is a party and related documents in connection therewith and to take all action contemplated by such documents. Each Lender agrees that no Secured Party (other than the Agents) shall have the right individually to seek to realize upon the security granted by any Collateral Document, it being understood and agreed that such rights and remedies may be exercised solely by the Agents for the benefit of the Secured Parties upon the terms of the Collateral Documents. In the event that any Collateral is hereafter pledged by any Person as collateral security for the Secured Obligations, the Agents are hereby authorized, and hereby granted a power of attorney, to execute and deliver on behalf of the Secured Parties any Loan Documents necessary or appropriate to grant and perfect a Lien on such Collateral in favor of the Collateral Agent on behalf of the Secured Parties. The Lenders hereby authorize the Collateral Agent to release or, as applicable, subordinate any Lien granted to or held by the Collateral Agent upon any Collateral and to enter into non-disturbance or similar agreements, in each case, to the extent and in the circumstances described in Section 9.13. Upon request by the Collateral Agent at any time, the Lenders will confirm in writing the Collateral Agent’s authority to release or subordinate particular types or items of Collateral and enter into non-disturbance or similar agreements pursuant hereto.</w:t>
      </w:r>
    </w:p>
    <w:p>
      <w:pPr>
        <w:spacing w:after="0" w:line="179"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The Administrative Agent and the Collateral Agent are authorized to (and at the request of the Borrowers will) enter into any Intercreditor Agreement (and any amendments, amendments and restatements, restatements or waivers of or supplements to or other modifications to, and extensions, restructuring, renewals, replacements of, such agreements) in connection with the incurrence by any Loan Party of any Permitted Junior Secured Refinancing Debt, Permitted Pari Passu Secured Refinancing Debt, Alternative Incremental Facility Indebtedness, Permitted Refinancing Indebtedness or Indebtedness incurred pursuant to clauses (1) and (2) of the proviso set forth in Section 6.01(a) with respect thereto, or any other Indebtedness permitted by the terms of this Agreement to be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priority secured basis, in each case in order to permit such Indebtedness to be secured by a valid, perfected Lien (with such priority as may be designated by Holdings or relevant Restricted Subsidiary, to the extent such priority is permitted by the Loan Documents), and the parties hereto acknowledge that each Intercreditor Agreement is (if entered into) binding upon them. Each Lender (a) understands, acknowledges and agrees that Liens may be created on the Collateral pursuant to the documentation relating to any Indebtedness incurred as permitted by this Agreement which is (in accordance with the terms hereof) to be secured thereby, on a </w:t>
      </w:r>
      <w:r>
        <w:rPr>
          <w:rFonts w:ascii="Arial" w:cs="Arial" w:eastAsia="Arial" w:hAnsi="Arial"/>
          <w:sz w:val="16"/>
          <w:szCs w:val="16"/>
          <w:i w:val="1"/>
          <w:iCs w:val="1"/>
          <w:color w:val="auto"/>
        </w:rPr>
        <w:t>pari passu</w:t>
      </w:r>
      <w:r>
        <w:rPr>
          <w:rFonts w:ascii="Arial" w:cs="Arial" w:eastAsia="Arial" w:hAnsi="Arial"/>
          <w:sz w:val="16"/>
          <w:szCs w:val="16"/>
          <w:color w:val="auto"/>
        </w:rPr>
        <w:t>, or junior, secured basis to the Liens securing the Secured Obligations, which Liens securing any such other Indebtedness shall be subject to the terms and conditions of the relevant Intercreditor Agreement executed and delivered as required hereby, (b) hereby agrees that it will be bound by and will take no actions contrary to the provisions of the respective Intercreditor Agreement (if entered into) and (c) hereby authorizes and instructs the Administrative Agent and Collateral Agent to enter into any Intercreditor Agreement (and any amendments, amendments and restatements, restatements or waivers of or supplements to or other modifications to, such agreements) in connection with the incurrence by any Loan Party of any secured Indebtedness as contemplated above, in order to permit such Indebtedness to be secured by a valid, perfected Lien (with such priority as may be designated by the Applicable Borrower or relevant Restricted Subsidiary, to the extent such priority is permitted by the Loan Documents), and to subject the Liens on the Collateral securing the Secured Obligations to the provisions thereof.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4" w:name="page185"/>
    <w:bookmarkEnd w:id="184"/>
    <w:p>
      <w:pPr>
        <w:ind w:left="640"/>
        <w:spacing w:after="0"/>
        <w:tabs>
          <w:tab w:leader="none" w:pos="192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Erroneous Payments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4"/>
        <w:spacing w:after="0" w:line="286" w:lineRule="auto"/>
        <w:tabs>
          <w:tab w:leader="none" w:pos="192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If the Administrative Agent notifies a Lender, Issuing Bank or Secured Party, or any Person who has received funds on behalf of a Lender, Issuing Bank or Secured Party such Lender or Issuing Bank (any such Lender, Issuing Bank, Secured Party or other recipient, a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Recipient</w:t>
      </w:r>
      <w:r>
        <w:rPr>
          <w:rFonts w:ascii="Arial" w:cs="Arial" w:eastAsia="Arial" w:hAnsi="Arial"/>
          <w:sz w:val="16"/>
          <w:szCs w:val="16"/>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Arial" w:cs="Arial" w:eastAsia="Arial" w:hAnsi="Arial"/>
          <w:sz w:val="16"/>
          <w:szCs w:val="16"/>
          <w:u w:val="single" w:color="auto"/>
          <w:color w:val="auto"/>
        </w:rPr>
        <w:t>Erroneous Payment</w:t>
      </w:r>
      <w:r>
        <w:rPr>
          <w:rFonts w:ascii="Arial" w:cs="Arial" w:eastAsia="Arial" w:hAnsi="Arial"/>
          <w:sz w:val="16"/>
          <w:szCs w:val="16"/>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67" w:lineRule="exact"/>
        <w:rPr>
          <w:rFonts w:ascii="Arial" w:cs="Arial" w:eastAsia="Arial" w:hAnsi="Arial"/>
          <w:sz w:val="16"/>
          <w:szCs w:val="16"/>
          <w:color w:val="auto"/>
        </w:rPr>
      </w:pPr>
    </w:p>
    <w:p>
      <w:pPr>
        <w:jc w:val="both"/>
        <w:ind w:left="-20" w:firstLine="1304"/>
        <w:spacing w:after="0" w:line="254" w:lineRule="auto"/>
        <w:tabs>
          <w:tab w:leader="none" w:pos="194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Without limiting immediately preceding clause (a), each Lender, Issuing Bank or Secured Party, or any Person who has received funds on behalf of a Lender, Issuing Bank or Secured Party such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191" w:lineRule="exact"/>
        <w:rPr>
          <w:rFonts w:ascii="Arial" w:cs="Arial" w:eastAsia="Arial" w:hAnsi="Arial"/>
          <w:sz w:val="18"/>
          <w:szCs w:val="18"/>
          <w:color w:val="auto"/>
        </w:rPr>
      </w:pPr>
    </w:p>
    <w:p>
      <w:pPr>
        <w:jc w:val="both"/>
        <w:ind w:left="640" w:firstLine="1292"/>
        <w:spacing w:after="0" w:line="263" w:lineRule="auto"/>
        <w:tabs>
          <w:tab w:leader="none" w:pos="271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83" w:lineRule="exact"/>
        <w:rPr>
          <w:rFonts w:ascii="Arial" w:cs="Arial" w:eastAsia="Arial" w:hAnsi="Arial"/>
          <w:sz w:val="18"/>
          <w:szCs w:val="18"/>
          <w:color w:val="auto"/>
        </w:rPr>
      </w:pPr>
    </w:p>
    <w:p>
      <w:pPr>
        <w:jc w:val="both"/>
        <w:ind w:left="640" w:firstLine="1292"/>
        <w:spacing w:after="0" w:line="259" w:lineRule="auto"/>
        <w:tabs>
          <w:tab w:leader="none" w:pos="279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8.02(b).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85" w:name="page186"/>
    <w:bookmarkEnd w:id="185"/>
    <w:p>
      <w:pPr>
        <w:jc w:val="both"/>
        <w:ind w:left="-20" w:firstLine="1304"/>
        <w:spacing w:after="0" w:line="259" w:lineRule="auto"/>
        <w:tabs>
          <w:tab w:leader="none" w:pos="203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clause (a) or under the indemnification provisions of this Agreement.</w:t>
      </w:r>
    </w:p>
    <w:p>
      <w:pPr>
        <w:spacing w:after="0" w:line="186" w:lineRule="exact"/>
        <w:rPr>
          <w:rFonts w:ascii="Arial" w:cs="Arial" w:eastAsia="Arial" w:hAnsi="Arial"/>
          <w:sz w:val="18"/>
          <w:szCs w:val="18"/>
          <w:color w:val="auto"/>
        </w:rPr>
      </w:pPr>
    </w:p>
    <w:p>
      <w:pPr>
        <w:jc w:val="both"/>
        <w:ind w:left="-20" w:firstLine="1304"/>
        <w:spacing w:after="0" w:line="284" w:lineRule="auto"/>
        <w:tabs>
          <w:tab w:leader="none" w:pos="199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 the event that an Erroneous Payment (or portion thereof) is not recovered by the Administrative Agent for any reason, after demand therefor by the Administrative Agent in accordance with immediately preceding clause (a), from any Lender or Issuing Bank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6"/>
          <w:szCs w:val="16"/>
          <w:u w:val="single" w:color="auto"/>
          <w:color w:val="auto"/>
        </w:rPr>
        <w:t>Erroneous Payment Return Deficiency</w:t>
      </w:r>
      <w:r>
        <w:rPr>
          <w:rFonts w:ascii="Arial" w:cs="Arial" w:eastAsia="Arial" w:hAnsi="Arial"/>
          <w:sz w:val="16"/>
          <w:szCs w:val="16"/>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Arial" w:cs="Arial" w:eastAsia="Arial" w:hAnsi="Arial"/>
          <w:sz w:val="16"/>
          <w:szCs w:val="16"/>
          <w:u w:val="single" w:color="auto"/>
          <w:color w:val="auto"/>
        </w:rPr>
        <w:t>Erroneous Payment Impacted Class</w:t>
      </w:r>
      <w:r>
        <w:rPr>
          <w:rFonts w:ascii="Arial" w:cs="Arial" w:eastAsia="Arial" w:hAnsi="Arial"/>
          <w:sz w:val="16"/>
          <w:szCs w:val="16"/>
          <w:color w:val="auto"/>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6"/>
          <w:szCs w:val="16"/>
          <w:u w:val="single" w:color="auto"/>
          <w:color w:val="auto"/>
        </w:rPr>
        <w:t>Erroneous Payment Deficiency Assignment</w:t>
      </w:r>
      <w:r>
        <w:rPr>
          <w:rFonts w:ascii="Arial" w:cs="Arial" w:eastAsia="Arial" w:hAnsi="Arial"/>
          <w:sz w:val="16"/>
          <w:szCs w:val="16"/>
          <w:color w:val="auto"/>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Issuing Bank shall deliver any Notes evidencing such Loans to Holdings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Arial" w:cs="Arial" w:eastAsia="Arial" w:hAnsi="Arial"/>
          <w:sz w:val="16"/>
          <w:szCs w:val="16"/>
          <w:u w:val="single" w:color="auto"/>
          <w:color w:val="auto"/>
        </w:rPr>
        <w:t>Erroneous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 Subrogation Rights</w:t>
      </w:r>
      <w:r>
        <w:rPr>
          <w:rFonts w:ascii="Arial" w:cs="Arial" w:eastAsia="Arial" w:hAnsi="Arial"/>
          <w:sz w:val="16"/>
          <w:szCs w:val="16"/>
          <w:color w:val="auto"/>
        </w:rPr>
        <w:t>”).</w:t>
      </w:r>
    </w:p>
    <w:p>
      <w:pPr>
        <w:spacing w:after="0" w:line="387" w:lineRule="exact"/>
        <w:rPr>
          <w:rFonts w:ascii="Arial" w:cs="Arial" w:eastAsia="Arial" w:hAnsi="Arial"/>
          <w:sz w:val="16"/>
          <w:szCs w:val="16"/>
          <w:color w:val="auto"/>
        </w:rPr>
      </w:pPr>
    </w:p>
    <w:p>
      <w:pPr>
        <w:jc w:val="both"/>
        <w:ind w:left="-20" w:firstLine="1304"/>
        <w:spacing w:after="0" w:line="259" w:lineRule="auto"/>
        <w:tabs>
          <w:tab w:leader="none" w:pos="197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parties hereto agree that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the Administrative Agent from any Borrower or any other Loan Party for the purpose of making such Erroneous Payment.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86" w:name="page187"/>
    <w:bookmarkEnd w:id="186"/>
    <w:p>
      <w:pPr>
        <w:jc w:val="both"/>
        <w:ind w:left="-8" w:firstLine="1304"/>
        <w:spacing w:after="0" w:line="259" w:lineRule="auto"/>
        <w:tabs>
          <w:tab w:leader="none" w:pos="203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6" w:lineRule="exact"/>
        <w:rPr>
          <w:rFonts w:ascii="Arial" w:cs="Arial" w:eastAsia="Arial" w:hAnsi="Arial"/>
          <w:sz w:val="18"/>
          <w:szCs w:val="18"/>
          <w:color w:val="auto"/>
        </w:rPr>
      </w:pPr>
    </w:p>
    <w:p>
      <w:pPr>
        <w:jc w:val="both"/>
        <w:ind w:left="-8" w:firstLine="1304"/>
        <w:spacing w:after="0" w:line="286" w:lineRule="auto"/>
        <w:tabs>
          <w:tab w:leader="none" w:pos="208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Each party’s obligations, agreements and waivers under this Section 8.02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65" w:lineRule="exact"/>
        <w:rPr>
          <w:rFonts w:ascii="Arial" w:cs="Arial" w:eastAsia="Arial" w:hAnsi="Arial"/>
          <w:sz w:val="17"/>
          <w:szCs w:val="17"/>
          <w:color w:val="auto"/>
        </w:rPr>
      </w:pPr>
    </w:p>
    <w:p>
      <w:pPr>
        <w:jc w:val="both"/>
        <w:ind w:left="-8" w:firstLine="1304"/>
        <w:spacing w:after="0" w:line="263" w:lineRule="auto"/>
        <w:tabs>
          <w:tab w:leader="none" w:pos="21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no Loan Party or any of their respective Affiliates shall have any obligations or liabilities directly or indirectly arising out of this Section 8.02 in respect of any Erroneous Payment (other than having consented to the assignment referenced in Section 8.02(d) above).</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652"/>
        <w:spacing w:after="0"/>
        <w:tabs>
          <w:tab w:leader="none" w:pos="1932"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left="1992" w:hanging="696"/>
        <w:spacing w:after="0"/>
        <w:tabs>
          <w:tab w:leader="none" w:pos="1992"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Except in the case of notices and other communications expressly permitted to be given by telephone (and subject to paragraph</w:t>
      </w:r>
    </w:p>
    <w:p>
      <w:pPr>
        <w:spacing w:after="0" w:line="46" w:lineRule="exact"/>
        <w:rPr>
          <w:rFonts w:ascii="Arial" w:cs="Arial" w:eastAsia="Arial" w:hAnsi="Arial"/>
          <w:sz w:val="16"/>
          <w:szCs w:val="16"/>
          <w:color w:val="auto"/>
        </w:rPr>
      </w:pPr>
    </w:p>
    <w:p>
      <w:pPr>
        <w:ind w:left="-8" w:firstLine="8"/>
        <w:spacing w:after="0" w:line="260" w:lineRule="auto"/>
        <w:tabs>
          <w:tab w:leader="none" w:pos="2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below), all notices and other communications provided for herein shall be in writing and shall be delivered by hand or overnight courier service, mailed by certified or registered mail or sent by email, as follows:</w:t>
      </w:r>
    </w:p>
    <w:p>
      <w:pPr>
        <w:spacing w:after="0" w:line="185" w:lineRule="exact"/>
        <w:rPr>
          <w:sz w:val="20"/>
          <w:szCs w:val="20"/>
          <w:color w:val="auto"/>
        </w:rPr>
      </w:pPr>
    </w:p>
    <w:p>
      <w:pPr>
        <w:ind w:left="2572" w:hanging="628"/>
        <w:spacing w:after="0"/>
        <w:tabs>
          <w:tab w:leader="none" w:pos="25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to the Borrowers or any Loan Party, to the Borrowers at:</w:t>
      </w:r>
    </w:p>
    <w:p>
      <w:pPr>
        <w:spacing w:after="0" w:line="225"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Attention: Chief Financial Officer with a copy to General Counsel</w:t>
      </w:r>
    </w:p>
    <w:p>
      <w:pPr>
        <w:spacing w:after="0" w:line="23"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ICON plc</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Libhin.NicGabhann@iconplc.com</w:t>
      </w:r>
      <w:r>
        <w:rPr>
          <w:rFonts w:ascii="Arial" w:cs="Arial" w:eastAsia="Arial" w:hAnsi="Arial"/>
          <w:sz w:val="17"/>
          <w:szCs w:val="17"/>
          <w:color w:val="auto"/>
        </w:rPr>
        <w:t xml:space="preserve"> with a copy to ICON General Counsel: </w:t>
      </w:r>
      <w:r>
        <w:rPr>
          <w:rFonts w:ascii="Arial" w:cs="Arial" w:eastAsia="Arial" w:hAnsi="Arial"/>
          <w:sz w:val="17"/>
          <w:szCs w:val="17"/>
          <w:u w:val="single" w:color="auto"/>
          <w:color w:val="auto"/>
        </w:rPr>
        <w:t>Diarmaid.Cunningham@iconplc.com</w:t>
      </w:r>
    </w:p>
    <w:p>
      <w:pPr>
        <w:spacing w:after="0" w:line="21"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Phone: +353 1 2912000</w:t>
      </w:r>
    </w:p>
    <w:p>
      <w:pPr>
        <w:spacing w:after="0" w:line="211"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Attention: Board of Directors</w:t>
      </w:r>
    </w:p>
    <w:p>
      <w:pPr>
        <w:spacing w:after="0" w:line="23"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ICON Luxembourg S.à r.l.</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61 rue de Rollingerfrund</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L- 2440</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Michael.Gleeson@iconplc.com</w:t>
      </w:r>
      <w:r>
        <w:rPr>
          <w:rFonts w:ascii="Arial" w:cs="Arial" w:eastAsia="Arial" w:hAnsi="Arial"/>
          <w:sz w:val="18"/>
          <w:szCs w:val="18"/>
          <w:color w:val="auto"/>
        </w:rPr>
        <w:t xml:space="preserve"> with a copy to ICON General Counsel: </w:t>
      </w:r>
      <w:r>
        <w:rPr>
          <w:rFonts w:ascii="Arial" w:cs="Arial" w:eastAsia="Arial" w:hAnsi="Arial"/>
          <w:sz w:val="18"/>
          <w:szCs w:val="18"/>
          <w:u w:val="single" w:color="auto"/>
          <w:color w:val="auto"/>
        </w:rPr>
        <w:t>Diarmaid.Cunningham@iconplc.com</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Phone: +353 1 2912000</w:t>
      </w:r>
    </w:p>
    <w:p>
      <w:pPr>
        <w:spacing w:after="0" w:line="211" w:lineRule="exact"/>
        <w:rPr>
          <w:sz w:val="20"/>
          <w:szCs w:val="20"/>
          <w:color w:val="auto"/>
        </w:rPr>
      </w:pPr>
    </w:p>
    <w:p>
      <w:pPr>
        <w:jc w:val="both"/>
        <w:ind w:left="652" w:firstLine="1292"/>
        <w:spacing w:after="0" w:line="257" w:lineRule="auto"/>
        <w:tabs>
          <w:tab w:leader="none" w:pos="269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if to the Administrative Agent, to it at Citibank Delaware, One Penns Way, OPS 2/2, New Castle, DE 19720; Attn: Agency Operations; Phone: (302) 894-6010; Fax: (646) 274-5080; Borrower inquiries only: </w:t>
      </w:r>
      <w:r>
        <w:rPr>
          <w:rFonts w:ascii="Arial" w:cs="Arial" w:eastAsia="Arial" w:hAnsi="Arial"/>
          <w:sz w:val="18"/>
          <w:szCs w:val="18"/>
          <w:u w:val="single" w:color="auto"/>
          <w:color w:val="auto"/>
        </w:rPr>
        <w:t>AgencyABTFSupport@citi.com</w:t>
      </w:r>
      <w:r>
        <w:rPr>
          <w:rFonts w:ascii="Arial" w:cs="Arial" w:eastAsia="Arial" w:hAnsi="Arial"/>
          <w:sz w:val="18"/>
          <w:szCs w:val="18"/>
          <w:color w:val="auto"/>
        </w:rPr>
        <w:t xml:space="preserve">; Borrower notifications: </w:t>
      </w:r>
      <w:r>
        <w:rPr>
          <w:rFonts w:ascii="Arial" w:cs="Arial" w:eastAsia="Arial" w:hAnsi="Arial"/>
          <w:sz w:val="18"/>
          <w:szCs w:val="18"/>
          <w:u w:val="single" w:color="auto"/>
          <w:color w:val="auto"/>
        </w:rPr>
        <w:t>AgencyABTFSupport@citi.com</w:t>
      </w:r>
      <w:r>
        <w:rPr>
          <w:rFonts w:ascii="Arial" w:cs="Arial" w:eastAsia="Arial" w:hAnsi="Arial"/>
          <w:sz w:val="18"/>
          <w:szCs w:val="18"/>
          <w:color w:val="auto"/>
        </w:rPr>
        <w:t xml:space="preserve">; Disclosure Team Mail (Financial Reporting): </w:t>
      </w:r>
      <w:r>
        <w:rPr>
          <w:rFonts w:ascii="Arial" w:cs="Arial" w:eastAsia="Arial" w:hAnsi="Arial"/>
          <w:sz w:val="18"/>
          <w:szCs w:val="18"/>
          <w:u w:val="single" w:color="auto"/>
          <w:color w:val="auto"/>
        </w:rPr>
        <w:t>Oploanswebadmin@citi.com</w:t>
      </w:r>
      <w:r>
        <w:rPr>
          <w:rFonts w:ascii="Arial" w:cs="Arial" w:eastAsia="Arial" w:hAnsi="Arial"/>
          <w:sz w:val="18"/>
          <w:szCs w:val="18"/>
          <w:color w:val="auto"/>
        </w:rPr>
        <w:t xml:space="preserve">; Investor Relations Team (investor inquiries only): </w:t>
      </w:r>
      <w:r>
        <w:rPr>
          <w:rFonts w:ascii="Arial" w:cs="Arial" w:eastAsia="Arial" w:hAnsi="Arial"/>
          <w:sz w:val="18"/>
          <w:szCs w:val="18"/>
          <w:u w:val="single" w:color="auto"/>
          <w:color w:val="auto"/>
        </w:rPr>
        <w:t>global.loans.support@citi.com</w:t>
      </w:r>
      <w:r>
        <w:rPr>
          <w:rFonts w:ascii="Arial" w:cs="Arial" w:eastAsia="Arial" w:hAnsi="Arial"/>
          <w:sz w:val="18"/>
          <w:szCs w:val="18"/>
          <w:color w:val="auto"/>
        </w:rPr>
        <w:t>, or such other office or person as the Administrative Agent may hereafter designate in writing as such to the other parties hereto;</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187" w:name="page188"/>
    <w:bookmarkEnd w:id="187"/>
    <w:p>
      <w:pPr>
        <w:ind w:left="640" w:firstLine="1292"/>
        <w:spacing w:after="0" w:line="277" w:lineRule="auto"/>
        <w:tabs>
          <w:tab w:leader="none" w:pos="262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if to the Collateral Agent, to it at Citibank, N.A., London Branch, 6th Floor CGC1, Citigroup Centre, Canada Square, London, E14 5LB, United Kingdom, Attention: PFLA Team, Agency and Trust (Email </w:t>
      </w:r>
      <w:r>
        <w:rPr>
          <w:rFonts w:ascii="Arial" w:cs="Arial" w:eastAsia="Arial" w:hAnsi="Arial"/>
          <w:sz w:val="18"/>
          <w:szCs w:val="18"/>
          <w:u w:val="single" w:color="auto"/>
          <w:color w:val="auto"/>
        </w:rPr>
        <w:t>issuerpfla@citi.com</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2560" w:hanging="628"/>
        <w:spacing w:after="0"/>
        <w:tabs>
          <w:tab w:leader="none" w:pos="256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if to any Lender or Issuing Bank, to it at its address (or telecopy number) set forth in its Administrative Questionnaire.</w:t>
      </w:r>
    </w:p>
    <w:p>
      <w:pPr>
        <w:spacing w:after="0" w:line="248" w:lineRule="exact"/>
        <w:rPr>
          <w:rFonts w:ascii="Arial" w:cs="Arial" w:eastAsia="Arial" w:hAnsi="Arial"/>
          <w:sz w:val="16"/>
          <w:szCs w:val="16"/>
          <w:color w:val="auto"/>
        </w:rPr>
      </w:pPr>
    </w:p>
    <w:p>
      <w:pPr>
        <w:jc w:val="both"/>
        <w:ind w:left="-20" w:firstLine="1304"/>
        <w:spacing w:after="0" w:line="275" w:lineRule="auto"/>
        <w:tabs>
          <w:tab w:leader="none" w:pos="209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Notices and other communications to the Administrative Agent or the Lenders hereunder may be delivered or furnished by electronic communications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Article II unless otherwise agreed by the Administrative Agent and the applicable Lender. The Administrative Agent or the Borrowers may, in their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76" w:lineRule="exact"/>
        <w:rPr>
          <w:rFonts w:ascii="Arial" w:cs="Arial" w:eastAsia="Arial" w:hAnsi="Arial"/>
          <w:sz w:val="17"/>
          <w:szCs w:val="17"/>
          <w:color w:val="auto"/>
        </w:rPr>
      </w:pPr>
    </w:p>
    <w:p>
      <w:pPr>
        <w:jc w:val="both"/>
        <w:ind w:left="-20" w:firstLine="1304"/>
        <w:spacing w:after="0" w:line="269" w:lineRule="auto"/>
        <w:tabs>
          <w:tab w:leader="none" w:pos="2006"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or any Lead Arranger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Loan Party, any Lender, or any other Person for losses, claims, damages, liabilities or expenses of any kind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in no event shall any Agent Party have any liability to any Loan Party, any Lender or any other Person for indirect, special, incidental, consequential or punitive damages (as opposed to direct or actual damages).</w:t>
      </w:r>
    </w:p>
    <w:p>
      <w:pPr>
        <w:spacing w:after="0" w:line="178" w:lineRule="exact"/>
        <w:rPr>
          <w:rFonts w:ascii="Arial" w:cs="Arial" w:eastAsia="Arial" w:hAnsi="Arial"/>
          <w:sz w:val="17"/>
          <w:szCs w:val="17"/>
          <w:color w:val="auto"/>
        </w:rPr>
      </w:pPr>
    </w:p>
    <w:p>
      <w:pPr>
        <w:jc w:val="both"/>
        <w:ind w:left="-20" w:firstLine="1304"/>
        <w:spacing w:after="0" w:line="271" w:lineRule="auto"/>
        <w:tabs>
          <w:tab w:leader="none" w:pos="199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Any party hereto may change its address, email address or telephone number for notices and other communications hereunder by notice to the other parties hereto. All notices and other communications given to any party hereto in accordance with the provisions of this Agreement shall be deemed to have been given on the date of receipt.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Holdings, the Borrowers or their respective subsidiaries and its or their securities for purposes of United States Federal or state securities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88" w:name="page189"/>
    <w:bookmarkEnd w:id="188"/>
    <w:p>
      <w:pPr>
        <w:ind w:left="640"/>
        <w:spacing w:after="0"/>
        <w:tabs>
          <w:tab w:leader="none" w:pos="19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Waivers; Enforcement; Amendments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69" w:lineRule="auto"/>
        <w:tabs>
          <w:tab w:leader="none" w:pos="198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 No failure or delay by the Administrative Agent, the Collateral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the Issuing Banks and the Lenders hereunder and under the other Loan Documents are cumulative and are not exclusive of any rights or remedies that they would otherwise have. No waiver of any provision of any Loan Document or consent to any departure by any Applicable Borrower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issuance, extension or amendment of a Letter of Credit shall not be construed as a waiver of any Default, regardless of whether the Administrative Agent, the Collateral Agent, any Lender or any Issuing Bank may have had notice or knowledge of such Default at the time.</w:t>
      </w:r>
    </w:p>
    <w:p>
      <w:pPr>
        <w:spacing w:after="0" w:line="185" w:lineRule="exact"/>
        <w:rPr>
          <w:rFonts w:ascii="Arial" w:cs="Arial" w:eastAsia="Arial" w:hAnsi="Arial"/>
          <w:sz w:val="17"/>
          <w:szCs w:val="17"/>
          <w:color w:val="auto"/>
        </w:rPr>
      </w:pPr>
    </w:p>
    <w:p>
      <w:pPr>
        <w:jc w:val="both"/>
        <w:ind w:left="-20" w:firstLine="1822"/>
        <w:spacing w:after="0" w:line="259" w:lineRule="auto"/>
        <w:tabs>
          <w:tab w:leader="none" w:pos="243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or the Collateral Agent in accordance with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for the benefit of all the Lenders and the Issuing Banks.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89" w:name="page190"/>
    <w:bookmarkEnd w:id="189"/>
    <w:p>
      <w:pPr>
        <w:jc w:val="both"/>
        <w:ind w:left="-20" w:firstLine="1304"/>
        <w:spacing w:after="0" w:line="283" w:lineRule="auto"/>
        <w:tabs>
          <w:tab w:leader="none" w:pos="203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Except as provided in Section 2.14, Section 2.20 with respect to an Incremental Amendment, Section 2.22 with respect to an Extension Amendment and Section 2.24 with respect to a Refinancing Amendment, neither this Agreement, any other Loan Document nor any provision hereof or thereof may be waived, amended or modified except pursuant to an agreement or agreements in writing entered into by (A) the Applicable Borrower and the Required Lenders or (B) by the Applicable Borrower and the Administrative Agent with the consent of the Required Lenders (in each case other than, with respect to any amendment or waiver contemplated in clauses (viii), (ix) and (xi) below, which shall only require the consent of the Required Revolving Lenders under the applicable Class of Revolving Commitments, as applicable (and not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reduce or waive any obligation of any Borrower to pay interest or fees at the applicable default rate set forth in Section 2.13(d), (iii) postpone the scheduled date of payment of the principal amount of any Loan (other than any reduction of the amount of, or any extension of the payment date for, the mandatory prepayments required under Section 2.11, in each case which shall only require the approval of the Required Lenders), or any interest thereon (other than interest payable at the applicable default rate of interest set forth in Section 2.13(d)), or any fees payable hereunder, or reduce the amount of, waive or excuse any such payment, or postpone the scheduled date of expiration of any Commitment, without the written consent of each Lender directly affected thereby, (iv) change Section 2.18(b) or (c) in a manner that would alter the pro rata sharing of payments required thereby, without the written consent of each Lender directly and adversely affected thereby, (v) change any of the provisions of this Section 9.02 or the definitions of “Required Lenders” or “Majority in Interest”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or Section 2.24 to be parties to an Incremental Amendment or a Refinancing Amendment, as applicable, Incremental Loans and Other Refinancing Loans may be included in the determination of Required Lenders on substantially the same basis as the Term Loans are included on the Closing Date), (vi) except as provided in Section 9.13, release all or substantially all of the Guarantors from their obligations under the Guaranty without the written consent of each Lender, (vii) except as provided in Section 9.13 or in any Collateral Document, release all or substantially all of the Collateral, without the written consent of each Lender, (viii) amend, waive or otherwise modify any term or provision (including the waiver of any conditions set forth in Section 4.02 as to any credit extension under one or more Revolving Commitments) which directly affects Lenders under one or more Revolving Commitments and does not directly affect Lenders under any Term Loan Commitments, in each case, without the written consent of the Required Revolving Lenders under such applicable Class of Revolving Commitments (and in the case of multiple Revolving Commitments which are affected, such Required Revolving Lenders shall consent together as one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waivers described in this clause (viii) shall not require the consent of any Lenders other than the Required Revolving Lenders under the applicable Class of Revolving Commitments; (ix) amend, waive or otherwise modify the Financial Covenant or any definition related thereto (solely in respect of the use of such defined terms in the Financial Covenant) or waive any Default or Event of Default resulting from a failure to perform or observe the Financial Covenant without the written consent of the Required Revolving Lenders (and in the case of multiple Revolving Commitments which are affected, such Required Revolving Lenders shall consent together as one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amendments, waivers and other modifications described in this clause (ix) shall not require the consent of any Lenders other than the Required Revolving Lenders under the applicable Class of Revolving Commitments, (x) change any provisions of any Loan Document in a manner that by its terms adversely affects the rights in respect of payments due (including, for the avoidance of doubt, scheduled date of payment of the principal amount of any Loan (or any interest thereon), mandatory prepayments or postpone the scheduled date of expiration of any Commitment) to Lenders holding Loans of any Class differently than those holding Loans of any other Class without the written consent of Lenders representing a Majority in Interest of each adversely affected Class, (xi) change the definition of “Required Revolving Lenders” or any other provision hereof specifying the number or percentage of Revolving Lenders required to waive, amend or modify any rights hereunder or make any determination or grant any consent hereunder, without the written consent of each Revolving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amendments, waivers and other modifications described in this clause (xi) shall not require the consent of any Lenders other than the Revolving Lenders under the applicable Class of Revolving Commitments or (xii) subordinate the Liens on the Collateral securing the Obligations to the Liens securing any other Indebtedness or subordinate the Obligations in right of payment to any other Indebtedness, other than indebtedness or liens in respect of which such subordination is permitted under Section 9.13 of this Agreement (as in effect on the Closing Date), in each case, without the written consent of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agreement shall amend, modify or otherwise affect the rights or duties of the Administrative Agent, the Collateral Agent, the Issuing Banks or the Swingline Lender hereunder without the prior written consent of the Administrative Agent, the Collateral Agent, the Issuing Banks or the Swingline Lender,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this Agreement and any other Loan Document may be amended with the consent of the Administrative Agent and the Borrowers (and without the consent of any other party) to add parallel debt or other foreign law provisions that the Administrative Agent and the Borrowers determine are necessary or advisable with respect to the jurisdiction of organization or incorporation of any Loan Party.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90" w:name="page191"/>
    <w:bookmarkEnd w:id="190"/>
    <w:p>
      <w:pPr>
        <w:jc w:val="both"/>
        <w:ind w:left="-20" w:firstLine="1304"/>
        <w:spacing w:after="0" w:line="272" w:lineRule="auto"/>
        <w:tabs>
          <w:tab w:leader="none" w:pos="1962" w:val="left"/>
        </w:tabs>
        <w:numPr>
          <w:ilvl w:val="0"/>
          <w:numId w:val="209"/>
        </w:numPr>
        <w:rPr>
          <w:rFonts w:ascii="Arial" w:cs="Arial" w:eastAsia="Arial" w:hAnsi="Arial"/>
          <w:sz w:val="17"/>
          <w:szCs w:val="17"/>
          <w:color w:val="auto"/>
        </w:rPr>
      </w:pPr>
      <w:r>
        <w:rPr>
          <w:rFonts w:ascii="Arial" w:cs="Arial" w:eastAsia="Arial" w:hAnsi="Arial"/>
          <w:sz w:val="17"/>
          <w:szCs w:val="17"/>
          <w:color w:val="auto"/>
        </w:rPr>
        <w:t>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Amendment and any Credit Agreement Refinancing Indebtedness pursuant to a Refinancing Amendment) to this Agreement and to permit extensions of credit from time to time outstanding thereunder and the accrued interest and fees in respect thereof to share ratably in the benefits of this Agreement and the other Loan Documents with the Revolving Loans, the Term Loans, Incremental Term Loans and the accrued interest and fees in respect thereof and (y) to include appropriately the Lenders holding such credit facilities in any determination of the Required Lenders and Lenders, and for purposes of the relevant provisions of Section 2.18(b).</w:t>
      </w:r>
    </w:p>
    <w:p>
      <w:pPr>
        <w:spacing w:after="0" w:line="177" w:lineRule="exact"/>
        <w:rPr>
          <w:rFonts w:ascii="Arial" w:cs="Arial" w:eastAsia="Arial" w:hAnsi="Arial"/>
          <w:sz w:val="17"/>
          <w:szCs w:val="17"/>
          <w:color w:val="auto"/>
        </w:rPr>
      </w:pPr>
    </w:p>
    <w:p>
      <w:pPr>
        <w:jc w:val="both"/>
        <w:ind w:left="-20" w:firstLine="1304"/>
        <w:spacing w:after="0" w:line="285" w:lineRule="auto"/>
        <w:tabs>
          <w:tab w:leader="none" w:pos="208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Applicable Borrower may elect to (i) if no Event of Default exists, permanently prepay all of the Loans of any Class owing by it to, and terminating any Commitments of, each such Non-Consenting Lender or (ii) replace a Non-Consenting Lender as a Lender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concurrently with such replacement, (i) another bank or other entity (which is reasonably satisfactory to the Applicable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Applicable Borrower shall pay to such Non-Consenting Lender in same day funds on the day of such replacement (1) all interest, fees and other amounts then accrued but unpaid to such Non-Consenting Lender by each Borrower hereunder to and including the date of termination, including without limitation payments due to such Non-Consenting Lender under Sections 2.15 and 2.17, (2) an amount, if any, equal to the payment which would have been due to such Lender on the day of such replacement under Section 2.19 had the Loans of such Non-Consenting Lender been prepaid on such date rather than sold to the replacement Lender and (3) any amounts owing to such Lender pursuant to Section 2.12. A Lender shall not be required to make any such assignment and delegation if, prior thereto, as a result of a waiver by such Lender or otherwise, the circumstances entitling the Applicable Borrower to require such assignment and delegation cease to apply. Each party hereto agrees that an assignment required pursuant to this clause (d) may be effected pursuant to an Assignment and Assumption executed by the Applicable Borrower, the Administrative Agent and the assignee and that the Non-Consenting Lender required to make such assignment need not be a party thereto, and each Lender hereby authorizes and directs the Administrative Agent to execute and deliver such documentation as may be required to give effect to an assignment in accordance with Section 9.04 on behalf of a Non-Consenting Lender and any such documentation so executed by the Administrative Agent shall be effective for purposes of documenting an assignment pursuant to Section 9.04.</w:t>
      </w:r>
    </w:p>
    <w:p>
      <w:pPr>
        <w:spacing w:after="0" w:line="384" w:lineRule="exact"/>
        <w:rPr>
          <w:rFonts w:ascii="Arial" w:cs="Arial" w:eastAsia="Arial" w:hAnsi="Arial"/>
          <w:sz w:val="16"/>
          <w:szCs w:val="16"/>
          <w:color w:val="auto"/>
        </w:rPr>
      </w:pPr>
    </w:p>
    <w:p>
      <w:pPr>
        <w:jc w:val="both"/>
        <w:ind w:left="-20" w:firstLine="1304"/>
        <w:spacing w:after="0" w:line="253" w:lineRule="auto"/>
        <w:tabs>
          <w:tab w:leader="none" w:pos="19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Notwithstanding anything to the contrary herein, (i) if following the date hereof, the Administrative Agent and any Loan Party shall have jointly identified an ambiguity, inconsistency, obvious error or any error or omission of a technical or immaterial nature, in each case, in any provision of the Loan Documents, then the Administrative Agent and the Borrowers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 (which notice shall be given at least five (5) Business Days prior to any such amendment) and (ii) guarantees, collateral security agreements, pledge agreements and related documents (if any) executed by the Loan Parties in connection with this Agreement may be in a form reasonably determined by the Administrative Agent and may be amended, supplemented and/or waived with the consent of the Administrative Agent at the request of any Borrower without the input or need to obtain the consent of any other Lenders if such amendment or waiver is delivered in order (x) to comply with local law or advice of local counsel, (y) to cure ambiguities, omissions or defects or (z) to cause such guarantees, collateral security agreements, pledge agreement or other documents to be consistent with this Agreement and the other Loan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91" w:name="page192"/>
    <w:bookmarkEnd w:id="191"/>
    <w:p>
      <w:pPr>
        <w:jc w:val="both"/>
        <w:ind w:left="-20" w:firstLine="1304"/>
        <w:spacing w:after="0" w:line="254" w:lineRule="auto"/>
        <w:tabs>
          <w:tab w:leader="none" w:pos="201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or the other Loan Documents to the contrary, the Revolving Commitments, Term Loans and Revolving Credit Exposure of any Lender that is at the time a Defaulting Lender or Disqualified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Commitment of any Defaulting Lender or Disqualified Lender may not be increased or extended without the consent of such Lender and (y) any waiver, amendment or modification requiring the consent of all Lenders or each affected Lender that affects any Defaulting Lender or Disqualified Lender more adversely than other affected Lenders shall require the consent of such Defaulting Lender or Disqualified Lender.</w:t>
      </w:r>
    </w:p>
    <w:p>
      <w:pPr>
        <w:spacing w:after="0" w:line="19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85" w:lineRule="auto"/>
        <w:tabs>
          <w:tab w:leader="none" w:pos="204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Holdings and the Borrowers shall pay (i) all reasonable and documented out-of-pocket expenses incurred by the Agents, the Lead Arrangers and their respective Affiliates, including the reasonable fees, charges and disbursements of counsel for the Agents,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renewal or extension of any Letter of Credit or any demand for payment thereunder and (iii) all documented out-of-pocket expenses incurred by the Administrative Agent, the Collateral Agent, any Issuing Bank or any Lender, including the reasonable fees, charges and disbursements of any counsel (other than in-house counsel) for the Administrative Agent, the Collateral Agent, any Issuing Bank or any Lender, in connection with the enforcement or protection of its rights in connection with this Agreement and any other Loan Document, including its rights under this Section 9.03, or in connection with the Loans made or Letters of Credit issued hereunder, including all such out-of-pocket expenses incurred during any workout, restructuring or negotiations in respect of such Loans or Letters of Credit. Notwithstanding the foregoing, in no event shall Holdings or the Borrowers be required to reimburse the Lenders for more than one counsel to the Agents and the Lenders taken as a whole (and up to one local counsel in each applicable jurisdiction and regulatory counsel, and solely in the event of any actual or potential conflict of interest, one additional counsel in each relevant jurisdiction to each group of similarly situated affected persons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that same shall be limited to (A) one counsel to the Administrative Agent, the Collateral Agent and for the Lenders (taken together as a single group or client), (B) if necessary, one local counsel required in any relevant local jurisdiction and applicable special regulatory counsel and (C) if representation of the Administrative Agent, the Collateral Agent and/or all Lenders in such matter by a single counsel would be inappropriate as determined by the Administrative Agent, the Collateral Agent and/or all Lenders due to the existence of an actual or potential conflict of interest, one additional counsel for the Administrative Agent, the Collateral Agent and for each Lender subject to such conflict.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92" w:name="page193"/>
    <w:bookmarkEnd w:id="192"/>
    <w:p>
      <w:pPr>
        <w:jc w:val="both"/>
        <w:ind w:left="-20" w:firstLine="1304"/>
        <w:spacing w:after="0" w:line="284" w:lineRule="auto"/>
        <w:tabs>
          <w:tab w:leader="none" w:pos="19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Holdings and the Borrowers shall, and jointly and severally agree to, indemnify the Administrative Agent, the Collateral Agent, the Lead Arrangers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Holdings or any of its Subsidiaries, or any Environmental Liability related to Holdings or any of its Subsidiaries, or (iv) any actual or prospective claim, litigation, investigation or proceeding relating to any of the foregoing, whether based on contract, tort or any other theory and regardless of whether (x) any Indemnitee is a party thereto or (y) such matter is initiated by a third party or by Holdings, any of its affiliates, equity holders, security holders or creditors;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(w) other than with respect to the Administrative Agent or the Collateral Agent, resulted from a material breach of the Loan Documents by such Indemnitee (as determined by a court of competent jurisdiction in a final and non-appealable judgment), (x) are determined by a court of competent jurisdiction by final and nonappealable judgment to have resulted from the gross negligence or willful misconduct of such Indemnitee or any of its Related Parties, (y) other than with respect to the Administrative Agent or the Collateral Agent, result from a claim brought by any Loan Party against any Indemnitee for a material breach of such Indemnitee’s obligations hereunder or under any other Loan Document (as determined by a court of competent jurisdiction in a final and non-appealable judgment) (it being understood and agreed that the failure by any Lender to fund any portion of its Term Loan Commitment hereunder when the conditions set forth in Section 4.01 have been satisfied and/or waived in accordance with this Agreement shall be deemed a material breach, and (z) result from disputes solely among Indemnitees not involving any act or omission of any Loan Party or any of their respective Related Parties (other than a dispute against the Agents or the Lead Arrangers in their capacities as such). Without limiting or expanding the provisions of Section 2.17(c), this Section 9.03(b) shall not apply with respect to Taxes other than any Taxes that represent losses, claims, damages, etc. from a non-Tax claim.</w:t>
      </w:r>
    </w:p>
    <w:p>
      <w:pPr>
        <w:spacing w:after="0" w:line="394" w:lineRule="exact"/>
        <w:rPr>
          <w:rFonts w:ascii="Arial" w:cs="Arial" w:eastAsia="Arial" w:hAnsi="Arial"/>
          <w:sz w:val="16"/>
          <w:szCs w:val="16"/>
          <w:color w:val="auto"/>
        </w:rPr>
      </w:pPr>
    </w:p>
    <w:p>
      <w:pPr>
        <w:jc w:val="both"/>
        <w:ind w:left="-20" w:firstLine="1304"/>
        <w:spacing w:after="0" w:line="291" w:lineRule="auto"/>
        <w:tabs>
          <w:tab w:leader="none" w:pos="199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To the extent that Holdings or the Borrowers fail to pay any amount required to be paid by it to the Administrative Agent, the Collateral Agent, the Issuing Banks or the Swingline Lender under paragraph (a) or (b) of this Section 9.03, each Lender severally agrees to pay to the Administrative Agent or the Collateral Agent, as the case may be, and each Revolving Lender severally agrees to pay to the Issuing Banks or the Swingline Lender, as the case may be, such Lender’s Applicable Percentage (determined as of the time that the applicable unreimbursed expense or indemnity payment is sought) of such unpaid amount (it being understood that the Borrowers’ failure to pay any such amount shall not relieve the Borrowers of any default in the payment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the Collateral Agent, the Issuing Banks or the Swingline Lender in its capacity as such.</w:t>
      </w:r>
    </w:p>
    <w:p>
      <w:pPr>
        <w:spacing w:after="0" w:line="166" w:lineRule="exact"/>
        <w:rPr>
          <w:rFonts w:ascii="Arial" w:cs="Arial" w:eastAsia="Arial" w:hAnsi="Arial"/>
          <w:sz w:val="16"/>
          <w:szCs w:val="16"/>
          <w:color w:val="auto"/>
        </w:rPr>
      </w:pPr>
    </w:p>
    <w:p>
      <w:pPr>
        <w:jc w:val="both"/>
        <w:ind w:left="-20" w:firstLine="1304"/>
        <w:spacing w:after="0" w:line="254" w:lineRule="auto"/>
        <w:tabs>
          <w:tab w:leader="none" w:pos="196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the extent permitted by applicable law, neither Holdings nor any Borrower shall assert, and hereby waive, any claim against any Indemnitee (i) for any damages arising from the use by others of information or other materials obtained through telecommunications, electronic or other information transmission systems (including the Internet) other than damages that are determined by a court of competent jurisdiction by final and nonappealable judgment to have resulted from the gross negligence or willful misconduct of such Indemnitee or any of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94" w:lineRule="exact"/>
        <w:rPr>
          <w:rFonts w:ascii="Arial" w:cs="Arial" w:eastAsia="Arial" w:hAnsi="Arial"/>
          <w:sz w:val="18"/>
          <w:szCs w:val="18"/>
          <w:color w:val="auto"/>
        </w:rPr>
      </w:pPr>
    </w:p>
    <w:p>
      <w:pPr>
        <w:ind w:left="1920" w:hanging="636"/>
        <w:spacing w:after="0"/>
        <w:tabs>
          <w:tab w:leader="none" w:pos="19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All amounts due under this Section 9.03 shall be payable not later than fifteen (15) days after written demand therefor.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93" w:name="page194"/>
    <w:bookmarkEnd w:id="193"/>
    <w:p>
      <w:pPr>
        <w:ind w:left="640"/>
        <w:spacing w:after="0"/>
        <w:tabs>
          <w:tab w:leader="none" w:pos="19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4"/>
        <w:spacing w:after="0" w:line="290" w:lineRule="auto"/>
        <w:tabs>
          <w:tab w:leader="none" w:pos="211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provisions of this Agreement shall be binding upon and inure to the benefit of the parties hereto and their respective successors and assigns permitted hereby (including any branch or Affiliate of any Issuing Bank that issues any Letter of Credit), except that (i) neither Holdings nor any Borrower may assign or otherwise transfer any of their rights or obligations hereunder (and any attempted assignment or transfer by Holdings or any Borrower shall be null and void) and (ii) no Lender may assign or otherwise transfer its rights or obligations hereunder except to an Eligible Transferee. Nothing in this Agreement, expressed or implied, shall be construed to confer upon any Person (other than the parties hereto, their respective successors and assigns permitted hereby (including any branch or Affiliate of any Issuing Bank that issues any Letter of Credit), Participants (to the extent provided in paragraph (c) of this Section 9.04) and, to the extent expressly contemplated hereby, the Related Parties of each of the Administrative Agent, the Issuing Banks and the Lenders) any legal or equitable right, remedy or claim under or by reason of this Agreement.</w:t>
      </w:r>
    </w:p>
    <w:p>
      <w:pPr>
        <w:spacing w:after="0" w:line="165" w:lineRule="exact"/>
        <w:rPr>
          <w:rFonts w:ascii="Arial" w:cs="Arial" w:eastAsia="Arial" w:hAnsi="Arial"/>
          <w:sz w:val="16"/>
          <w:szCs w:val="16"/>
          <w:color w:val="auto"/>
        </w:rPr>
      </w:pPr>
    </w:p>
    <w:p>
      <w:pPr>
        <w:jc w:val="both"/>
        <w:ind w:left="-20" w:firstLine="1304"/>
        <w:spacing w:after="0" w:line="259" w:lineRule="auto"/>
        <w:tabs>
          <w:tab w:leader="none" w:pos="199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(other than (x) Holdings and its Affiliates, except to the extent permitted in Section 2.23 and (y) any Person that is not an Eligible Transferee) all or a portion of its rights and obligations under this Agreement (including all or a portion of its Commitments and the Loans at the time owing to it) with the prior written consent of:</w:t>
      </w:r>
    </w:p>
    <w:p>
      <w:pPr>
        <w:spacing w:after="0" w:line="186" w:lineRule="exact"/>
        <w:rPr>
          <w:rFonts w:ascii="Arial" w:cs="Arial" w:eastAsia="Arial" w:hAnsi="Arial"/>
          <w:sz w:val="18"/>
          <w:szCs w:val="18"/>
          <w:color w:val="auto"/>
        </w:rPr>
      </w:pPr>
    </w:p>
    <w:p>
      <w:pPr>
        <w:jc w:val="both"/>
        <w:ind w:left="1280" w:firstLine="1300"/>
        <w:spacing w:after="0" w:line="273" w:lineRule="auto"/>
        <w:tabs>
          <w:tab w:leader="none" w:pos="3231" w:val="left"/>
        </w:tabs>
        <w:numPr>
          <w:ilvl w:val="2"/>
          <w:numId w:val="213"/>
        </w:numPr>
        <w:rPr>
          <w:rFonts w:ascii="Arial" w:cs="Arial" w:eastAsia="Arial" w:hAnsi="Arial"/>
          <w:sz w:val="17"/>
          <w:szCs w:val="17"/>
          <w:color w:val="auto"/>
        </w:rPr>
      </w:pPr>
      <w:r>
        <w:rPr>
          <w:rFonts w:ascii="Arial" w:cs="Arial" w:eastAsia="Arial" w:hAnsi="Arial"/>
          <w:sz w:val="17"/>
          <w:szCs w:val="17"/>
          <w:color w:val="auto"/>
        </w:rPr>
        <w:t xml:space="preserve">Holdings (such consent not to be unreasonably withheld, delayed or conditioned);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Holdings shall be deemed to have consented to any assignment unless it shall object thereto by written notice to the Administrative Agent within ten (10) Business Days after having received written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consent of Holdings shall be required for (x) any assignment by any Agent or Lead Arranger (or any affiliate thereof) of Term Loans or related commitments pursuant to the primary syndication of such Term Loans and related commitments or (y) an assignment to a Lender, an Affiliate of a Lender, an Approved Fund or, if an Event of Default has occurred and is continuing, any other assignee;</w:t>
      </w:r>
    </w:p>
    <w:p>
      <w:pPr>
        <w:spacing w:after="0" w:line="177" w:lineRule="exact"/>
        <w:rPr>
          <w:rFonts w:ascii="Arial" w:cs="Arial" w:eastAsia="Arial" w:hAnsi="Arial"/>
          <w:sz w:val="17"/>
          <w:szCs w:val="17"/>
          <w:color w:val="auto"/>
        </w:rPr>
      </w:pPr>
    </w:p>
    <w:p>
      <w:pPr>
        <w:jc w:val="both"/>
        <w:ind w:left="1280" w:firstLine="1300"/>
        <w:spacing w:after="0" w:line="263" w:lineRule="auto"/>
        <w:tabs>
          <w:tab w:leader="none" w:pos="3233" w:val="left"/>
        </w:tabs>
        <w:numPr>
          <w:ilvl w:val="2"/>
          <w:numId w:val="213"/>
        </w:numPr>
        <w:rPr>
          <w:rFonts w:ascii="Arial" w:cs="Arial" w:eastAsia="Arial" w:hAnsi="Arial"/>
          <w:sz w:val="18"/>
          <w:szCs w:val="18"/>
          <w:color w:val="auto"/>
        </w:rPr>
      </w:pPr>
      <w:r>
        <w:rPr>
          <w:rFonts w:ascii="Arial" w:cs="Arial" w:eastAsia="Arial" w:hAnsi="Arial"/>
          <w:sz w:val="18"/>
          <w:szCs w:val="18"/>
          <w:color w:val="auto"/>
        </w:rPr>
        <w:t xml:space="preserve">the Administrative Agent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all or any portion of a Term Loan to a Lender, an Affiliate of a Lender or an Approved Fund; and</w:t>
      </w:r>
    </w:p>
    <w:p>
      <w:pPr>
        <w:spacing w:after="0" w:line="183" w:lineRule="exact"/>
        <w:rPr>
          <w:rFonts w:ascii="Arial" w:cs="Arial" w:eastAsia="Arial" w:hAnsi="Arial"/>
          <w:sz w:val="18"/>
          <w:szCs w:val="18"/>
          <w:color w:val="auto"/>
        </w:rPr>
      </w:pPr>
    </w:p>
    <w:p>
      <w:pPr>
        <w:jc w:val="both"/>
        <w:ind w:left="1280" w:firstLine="1300"/>
        <w:spacing w:after="0" w:line="263" w:lineRule="auto"/>
        <w:tabs>
          <w:tab w:leader="none" w:pos="3245" w:val="left"/>
        </w:tabs>
        <w:numPr>
          <w:ilvl w:val="2"/>
          <w:numId w:val="213"/>
        </w:numPr>
        <w:rPr>
          <w:rFonts w:ascii="Arial" w:cs="Arial" w:eastAsia="Arial" w:hAnsi="Arial"/>
          <w:sz w:val="18"/>
          <w:szCs w:val="18"/>
          <w:color w:val="auto"/>
        </w:rPr>
      </w:pPr>
      <w:r>
        <w:rPr>
          <w:rFonts w:ascii="Arial" w:cs="Arial" w:eastAsia="Arial" w:hAnsi="Arial"/>
          <w:sz w:val="18"/>
          <w:szCs w:val="18"/>
          <w:color w:val="auto"/>
        </w:rPr>
        <w:t xml:space="preserve">the Issuing Banks and the Swingline Lender (such consent not to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any Issuing Bank or the Swingline Lender shall be required for an assignment of all or any portion of a Term Loan or any related commitment.</w:t>
      </w:r>
    </w:p>
    <w:p>
      <w:pPr>
        <w:spacing w:after="0" w:line="183" w:lineRule="exact"/>
        <w:rPr>
          <w:rFonts w:ascii="Arial" w:cs="Arial" w:eastAsia="Arial" w:hAnsi="Arial"/>
          <w:sz w:val="18"/>
          <w:szCs w:val="18"/>
          <w:color w:val="auto"/>
        </w:rPr>
      </w:pPr>
    </w:p>
    <w:p>
      <w:pPr>
        <w:ind w:left="2540" w:hanging="608"/>
        <w:spacing w:after="0"/>
        <w:tabs>
          <w:tab w:leader="none" w:pos="25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jc w:val="both"/>
        <w:ind w:left="1280" w:firstLine="1300"/>
        <w:spacing w:after="0" w:line="271" w:lineRule="auto"/>
        <w:tabs>
          <w:tab w:leader="none" w:pos="3425" w:val="left"/>
        </w:tabs>
        <w:numPr>
          <w:ilvl w:val="2"/>
          <w:numId w:val="213"/>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or an Affiliate of a Lender or an Approved Fund or an assignment of the entire remaining amount of the assigning Lender’s Commitment or Loans of any Class, the amount of the applicable Commitment or Loans of the assigning Lender subject to each such assignment (determined as of the date the Assignment and Assumption with respect to such assignment is delivered to the Administrative Agent) shall not be less than $5,000,000 (in the case of Revolving Commitments and Revolving Loans) or $1,000,000 (in the case of a Term Loan) unless each of the Applicable Borrower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Applicable Borrower shall be required if an Event of Default has occurred and is continuing and this clause shall not be construed to prohibit the assignment of all the assigning Lender’s rights and obligations in respect of one Class of Commitments or Loans;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94" w:name="page195"/>
    <w:bookmarkEnd w:id="194"/>
    <w:p>
      <w:pPr>
        <w:jc w:val="both"/>
        <w:ind w:left="640" w:firstLine="1300"/>
        <w:spacing w:after="0" w:line="286" w:lineRule="auto"/>
        <w:tabs>
          <w:tab w:leader="none" w:pos="266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each partial assignment shall be made as an assignment of a proportionate part of all the assigning Lender’s rights and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shall not be construed to prohibit the assignment of a proportionate part of all the assigning Lender’s rights and obligations in respect of one Class of Commitments or Loans;</w:t>
      </w:r>
    </w:p>
    <w:p>
      <w:pPr>
        <w:spacing w:after="0" w:line="165" w:lineRule="exact"/>
        <w:rPr>
          <w:rFonts w:ascii="Arial" w:cs="Arial" w:eastAsia="Arial" w:hAnsi="Arial"/>
          <w:sz w:val="17"/>
          <w:szCs w:val="17"/>
          <w:color w:val="auto"/>
        </w:rPr>
      </w:pPr>
    </w:p>
    <w:p>
      <w:pPr>
        <w:jc w:val="both"/>
        <w:ind w:left="640" w:firstLine="1300"/>
        <w:spacing w:after="0" w:line="286" w:lineRule="auto"/>
        <w:tabs>
          <w:tab w:leader="none" w:pos="277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parties to each assignment shall execute and deliver to the Administrative Agent an Assignment and Assumption, together with a processing and recordation fee of $3,500, such fee to be paid by either the assigning Lender or the assignee Lender or shared between such Lenders, and which fee may be waived at the discretion of the Administrative Agent;</w:t>
      </w:r>
    </w:p>
    <w:p>
      <w:pPr>
        <w:spacing w:after="0" w:line="165" w:lineRule="exact"/>
        <w:rPr>
          <w:rFonts w:ascii="Arial" w:cs="Arial" w:eastAsia="Arial" w:hAnsi="Arial"/>
          <w:sz w:val="17"/>
          <w:szCs w:val="17"/>
          <w:color w:val="auto"/>
        </w:rPr>
      </w:pPr>
    </w:p>
    <w:p>
      <w:pPr>
        <w:jc w:val="both"/>
        <w:ind w:left="640" w:right="20" w:firstLine="1300"/>
        <w:spacing w:after="0" w:line="257" w:lineRule="auto"/>
        <w:tabs>
          <w:tab w:leader="none" w:pos="289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Holdings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7" w:lineRule="exact"/>
        <w:rPr>
          <w:rFonts w:ascii="Arial" w:cs="Arial" w:eastAsia="Arial" w:hAnsi="Arial"/>
          <w:sz w:val="18"/>
          <w:szCs w:val="18"/>
          <w:color w:val="auto"/>
        </w:rPr>
      </w:pPr>
    </w:p>
    <w:p>
      <w:pPr>
        <w:ind w:left="640" w:firstLine="1300"/>
        <w:spacing w:after="0" w:line="277" w:lineRule="auto"/>
        <w:tabs>
          <w:tab w:leader="none" w:pos="264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without the prior written consent of the Administrative Agent, no assignment shall be made to a prospective assignee that bears a relationship to the Applicable Borrower as described in Section 108(e)(4) of the Code;</w:t>
      </w:r>
    </w:p>
    <w:p>
      <w:pPr>
        <w:spacing w:after="0" w:line="170" w:lineRule="exact"/>
        <w:rPr>
          <w:rFonts w:ascii="Arial" w:cs="Arial" w:eastAsia="Arial" w:hAnsi="Arial"/>
          <w:sz w:val="18"/>
          <w:szCs w:val="18"/>
          <w:color w:val="auto"/>
        </w:rPr>
      </w:pPr>
    </w:p>
    <w:p>
      <w:pPr>
        <w:jc w:val="both"/>
        <w:ind w:left="640" w:firstLine="1300"/>
        <w:spacing w:after="0" w:line="301" w:lineRule="auto"/>
        <w:tabs>
          <w:tab w:leader="none" w:pos="260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if, at the time of any assignment, the respective assignee would be entitled to greater increased cost payments pursuant to Section 2.15 than those that apply to the respective assignor, then the respective assignee shall not be entitled to charge the Borrowers for any such increased costs which would otherwise be owed to it pursuant to Section 2.15, but in each case only to the extent in excess of those that would have applied to the respective assignor at the time of such assignment; and</w:t>
      </w:r>
    </w:p>
    <w:p>
      <w:pPr>
        <w:spacing w:after="0" w:line="157" w:lineRule="exact"/>
        <w:rPr>
          <w:rFonts w:ascii="Arial" w:cs="Arial" w:eastAsia="Arial" w:hAnsi="Arial"/>
          <w:sz w:val="16"/>
          <w:szCs w:val="16"/>
          <w:color w:val="auto"/>
        </w:rPr>
      </w:pPr>
    </w:p>
    <w:p>
      <w:pPr>
        <w:jc w:val="both"/>
        <w:ind w:left="640" w:firstLine="1300"/>
        <w:spacing w:after="0" w:line="279" w:lineRule="auto"/>
        <w:tabs>
          <w:tab w:leader="none" w:pos="260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Section 9.04(b), the term “</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following meaning:</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(or will be) engaged in making, purchasing, holding or investing in commercial loans and similar extensions of credit in the ordinary course of its business and that is administered, advised or managed by (a) a Lender, (b) an Affiliate of a Lender or (c) an entity or an Affiliate of an entity that administers or manages a Lender.</w:t>
      </w:r>
    </w:p>
    <w:p>
      <w:pPr>
        <w:spacing w:after="0" w:line="36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195" w:name="page196"/>
    <w:bookmarkEnd w:id="195"/>
    <w:p>
      <w:pPr>
        <w:jc w:val="both"/>
        <w:ind w:left="-460" w:firstLine="1292"/>
        <w:spacing w:after="0" w:line="290" w:lineRule="auto"/>
        <w:tabs>
          <w:tab w:leader="none" w:pos="163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9.04.</w:t>
      </w:r>
    </w:p>
    <w:p>
      <w:pPr>
        <w:spacing w:after="0" w:line="165" w:lineRule="exact"/>
        <w:rPr>
          <w:rFonts w:ascii="Arial" w:cs="Arial" w:eastAsia="Arial" w:hAnsi="Arial"/>
          <w:sz w:val="16"/>
          <w:szCs w:val="16"/>
          <w:color w:val="auto"/>
        </w:rPr>
      </w:pPr>
    </w:p>
    <w:p>
      <w:pPr>
        <w:jc w:val="both"/>
        <w:ind w:left="-460" w:firstLine="1292"/>
        <w:spacing w:after="0" w:line="254" w:lineRule="auto"/>
        <w:tabs>
          <w:tab w:leader="none" w:pos="146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Borrowers, shall maintain at one of its offices located in the United States a copy of each Assignment and Assumption delivered to it and a register for the recordation of the names and addresses of the Lenders, and the Commitment of, and principal amount of and interest on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notwithstanding notice to the contrary. The Register shall be available for inspection by the Borrowers and, with respect to its interest, any Issuing Banks and any Lender, at any reasonable time and from time to time upon reasonable prior notice.</w:t>
      </w:r>
    </w:p>
    <w:p>
      <w:pPr>
        <w:spacing w:after="0" w:line="191" w:lineRule="exact"/>
        <w:rPr>
          <w:rFonts w:ascii="Arial" w:cs="Arial" w:eastAsia="Arial" w:hAnsi="Arial"/>
          <w:sz w:val="18"/>
          <w:szCs w:val="18"/>
          <w:color w:val="auto"/>
        </w:rPr>
      </w:pPr>
    </w:p>
    <w:p>
      <w:pPr>
        <w:jc w:val="both"/>
        <w:ind w:left="-460" w:firstLine="1292"/>
        <w:spacing w:after="0" w:line="290" w:lineRule="auto"/>
        <w:tabs>
          <w:tab w:leader="none" w:pos="145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provided that if either the assigning Lender or the assignee shall have failed to make any payment required to be made by it pursuant to Section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96" w:name="page197"/>
    <w:bookmarkEnd w:id="196"/>
    <w:p>
      <w:pPr>
        <w:jc w:val="both"/>
        <w:ind w:left="-8" w:firstLine="1304"/>
        <w:spacing w:after="0" w:line="286" w:lineRule="auto"/>
        <w:tabs>
          <w:tab w:leader="none" w:pos="1974" w:val="left"/>
        </w:tabs>
        <w:numPr>
          <w:ilvl w:val="1"/>
          <w:numId w:val="216"/>
        </w:numPr>
        <w:rPr>
          <w:rFonts w:ascii="Arial" w:cs="Arial" w:eastAsia="Arial" w:hAnsi="Arial"/>
          <w:sz w:val="16"/>
          <w:szCs w:val="16"/>
          <w:color w:val="auto"/>
        </w:rPr>
      </w:pPr>
      <w:r>
        <w:rPr>
          <w:rFonts w:ascii="Arial" w:cs="Arial" w:eastAsia="Arial" w:hAnsi="Arial"/>
          <w:sz w:val="16"/>
          <w:szCs w:val="16"/>
          <w:color w:val="auto"/>
        </w:rPr>
        <w:t>(i) Any Lender may, without the consent of the Applicable Borrower, the Administrative Agent, the Issuing Banks or the Swingline Lender, sell participations to one or more banks or other entities (excluding (x) Holdings, the Borrowers and their respective Affiliates and (y) any Person that is not an Eligible Transferee) (a “Participant”) in all or a portion of such Lender’s rights and obligations under this Agreement (including all or a portion of its Commitment and the Loans owing to it); provided that (A) such Lender’s obligations under this Agreement shall remain unchanged,</w:t>
      </w:r>
    </w:p>
    <w:p>
      <w:pPr>
        <w:spacing w:after="0" w:line="1" w:lineRule="exact"/>
        <w:rPr>
          <w:rFonts w:ascii="Arial" w:cs="Arial" w:eastAsia="Arial" w:hAnsi="Arial"/>
          <w:sz w:val="16"/>
          <w:szCs w:val="16"/>
          <w:color w:val="auto"/>
        </w:rPr>
      </w:pPr>
    </w:p>
    <w:p>
      <w:pPr>
        <w:jc w:val="both"/>
        <w:ind w:left="-8" w:firstLine="8"/>
        <w:spacing w:after="0" w:line="266" w:lineRule="auto"/>
        <w:tabs>
          <w:tab w:leader="none" w:pos="28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such Lender shall remain solely responsible to the other parties hereto for the performance of such obligations, (C) Holdings, the Borrowers and any Additional Borrower, the Administrative Agent, the Issuing Banks and the other Lenders shall continue to deal solely and directly with such Lender in connection with such Lender’s rights and obligations under this Agreement and (D) without the prior written consent of the Administrative Agent, no participation shall be sold to a prospective participant that bears a relationship to the Applicable Borrower described in Section 108(e)(4) of the Code.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Subject to paragraph (c)(ii) of this Section 9.04, the Borrowers agree that each Participant shall be entitled to the benefits of Sections 2.15, 2.16 and 2.17 (subject to the requirements and limitations therein including the requirements under Section 2.17(e) and (h), it being understood that the documentation required under Section 2.17(e) shall be delivered to the participating Lender (except in the case of an Irish Treaty Lender, where the documentation shall be delivered to the Administrative Agent and the Applicable Borrower or Additional Borrower) and the documentation required under Section 2.17(h) and the documentation required for the purposes of satisfying the procedural formalities referred to in paragraph (4) of the definition of “Irish Qualifying Lender” (if required) shall be delivered to the Administrative Agent and the applicable Borrower or Additional Borrower)) to the same extent as if it were a Lender and had acquired its interest by assignment pursuant to paragraph (b) of this Section 9.04. To the extent permitted by law, each Participant also shall be entitled to the benefits of Section 9.08 as though it were a Lender; provided such Participant agrees to be subject to Section 2.18(c) as though it were a Lender.</w:t>
      </w:r>
    </w:p>
    <w:p>
      <w:pPr>
        <w:spacing w:after="0" w:line="191" w:lineRule="exact"/>
        <w:rPr>
          <w:rFonts w:ascii="Arial" w:cs="Arial" w:eastAsia="Arial" w:hAnsi="Arial"/>
          <w:sz w:val="17"/>
          <w:szCs w:val="17"/>
          <w:color w:val="auto"/>
        </w:rPr>
      </w:pPr>
    </w:p>
    <w:p>
      <w:pPr>
        <w:jc w:val="both"/>
        <w:ind w:left="652" w:firstLine="1292"/>
        <w:spacing w:after="0" w:line="268" w:lineRule="auto"/>
        <w:tabs>
          <w:tab w:leader="none" w:pos="2587" w:val="left"/>
        </w:tabs>
        <w:numPr>
          <w:ilvl w:val="2"/>
          <w:numId w:val="217"/>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(not to be unreasonably withheld or delayed). Each Lender that sells a participation shall, acting solely for this purpose as a non-fiduciary agent of the applicable Borrower and Additional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and/or Irish law to the extent necessary to claim exemption from applicable Irish tax.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rFonts w:ascii="Arial" w:cs="Arial" w:eastAsia="Arial" w:hAnsi="Arial"/>
          <w:sz w:val="17"/>
          <w:szCs w:val="17"/>
          <w:color w:val="auto"/>
        </w:rPr>
      </w:pPr>
    </w:p>
    <w:p>
      <w:pPr>
        <w:jc w:val="both"/>
        <w:ind w:left="-8" w:firstLine="1304"/>
        <w:spacing w:after="0" w:line="301" w:lineRule="auto"/>
        <w:tabs>
          <w:tab w:leader="none" w:pos="195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and this Section 9.04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157" w:lineRule="exact"/>
        <w:rPr>
          <w:rFonts w:ascii="Arial" w:cs="Arial" w:eastAsia="Arial" w:hAnsi="Arial"/>
          <w:sz w:val="16"/>
          <w:szCs w:val="16"/>
          <w:color w:val="auto"/>
        </w:rPr>
      </w:pPr>
    </w:p>
    <w:p>
      <w:pPr>
        <w:jc w:val="both"/>
        <w:ind w:left="-8" w:firstLine="1304"/>
        <w:spacing w:after="0" w:line="254" w:lineRule="auto"/>
        <w:tabs>
          <w:tab w:leader="none" w:pos="213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 the case of any assignment or transfer by a Lender to a new Lender, or any participation by such Lender in favor of a Participant, of all or any part of such Lender’s rights and obligations under this Agreement or any of the other Loan Documents, such Lender and the new Lender or Participant (as applicable) hereby agree that, for the purposes of Article 1278 and/or Article 1281 of the Luxembourg Civil Code (to the extent applicable), any assignment, amendment and/or transfer of any kind permitted under, and made in accordance with the provisions of, this Agreement or any agreement referred to herein to which a Luxembourg Loan Party is a party (including any Collateral Document), any security created or guarantee given under or in connection with this Agreement or any other Loan Document shall be preserved and shall continue in full force and effect for the benefit of such new Lender or Participant (as applicable).</w:t>
      </w: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197" w:name="page198"/>
    <w:bookmarkEnd w:id="197"/>
    <w:p>
      <w:pPr>
        <w:jc w:val="both"/>
        <w:ind w:left="-8" w:firstLine="1304"/>
        <w:spacing w:after="0" w:line="284" w:lineRule="auto"/>
        <w:tabs>
          <w:tab w:leader="none" w:pos="2099" w:val="left"/>
        </w:tabs>
        <w:numPr>
          <w:ilvl w:val="2"/>
          <w:numId w:val="218"/>
        </w:numPr>
        <w:rPr>
          <w:rFonts w:ascii="Arial" w:cs="Arial" w:eastAsia="Arial" w:hAnsi="Arial"/>
          <w:sz w:val="16"/>
          <w:szCs w:val="16"/>
          <w:color w:val="auto"/>
        </w:rPr>
      </w:pPr>
      <w:r>
        <w:rPr>
          <w:rFonts w:ascii="Arial" w:cs="Arial" w:eastAsia="Arial" w:hAnsi="Arial"/>
          <w:sz w:val="16"/>
          <w:szCs w:val="16"/>
          <w:color w:val="auto"/>
        </w:rPr>
        <w:t xml:space="preserve">Notwithstanding the foregoing, no assignment may be made or participation sold to a Disqualified Lender without the prior written consent of Holdings; provided that upon inquiry by any Lender to the Administrative Agent as to whether a specified potential assignee or prospective participant is on the list of Disqualified Lenders, the Administrative Agent shall be permitted to disclose to such Lender whether such specified potential assignee or prospective participant is on the list of Disqualified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Loan Document to the contrary, if any Lender was a Disqualified Lender at the time of the assignment of any Loans or Commitments to such Lender, following written notice from the Applicable Borrower to such Lender and the Administrative Agent and otherwise in accordance with Section 2.19(b), as applicable:</w:t>
      </w:r>
    </w:p>
    <w:p>
      <w:pPr>
        <w:jc w:val="both"/>
        <w:ind w:left="-8" w:firstLine="8"/>
        <w:spacing w:after="0" w:line="281" w:lineRule="auto"/>
        <w:tabs>
          <w:tab w:leader="none" w:pos="25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such Lender shall promptly assign all Loans and Commitments held by such Lender to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Administrative Agent shall not have any obligation to the Borrowers, such Lender or any other Person to find such a replacement Lender, (B) the Borrowers shall not have any obligation to such Disqualified Lender or any other Person to find such a replacement Lender or accept or consent to any such assignment to itself or any other Person subject to the Borrowers’ consent in accordance with Section 9.04(b) and (C) the assignment of such Loans and/or Commitments, as the case may be, shall be at par plus accrued and unpaid interest and fees; (2) such Lender shall not have any voting or approval rights under the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w:t>
      </w:r>
    </w:p>
    <w:p>
      <w:pPr>
        <w:spacing w:after="0" w:line="5" w:lineRule="exact"/>
        <w:rPr>
          <w:rFonts w:ascii="Arial" w:cs="Arial" w:eastAsia="Arial" w:hAnsi="Arial"/>
          <w:sz w:val="16"/>
          <w:szCs w:val="16"/>
          <w:color w:val="auto"/>
        </w:rPr>
      </w:pPr>
    </w:p>
    <w:p>
      <w:pPr>
        <w:jc w:val="both"/>
        <w:ind w:left="-8" w:firstLine="8"/>
        <w:spacing w:after="0" w:line="302" w:lineRule="auto"/>
        <w:tabs>
          <w:tab w:leader="none" w:pos="253" w:val="left"/>
        </w:tabs>
        <w:numPr>
          <w:ilvl w:val="0"/>
          <w:numId w:val="220"/>
        </w:numPr>
        <w:rPr>
          <w:rFonts w:ascii="Arial" w:cs="Arial" w:eastAsia="Arial" w:hAnsi="Arial"/>
          <w:sz w:val="16"/>
          <w:szCs w:val="16"/>
          <w:color w:val="auto"/>
        </w:rPr>
      </w:pPr>
      <w:r>
        <w:rPr>
          <w:rFonts w:ascii="Arial" w:cs="Arial" w:eastAsia="Arial" w:hAnsi="Arial"/>
          <w:sz w:val="16"/>
          <w:szCs w:val="16"/>
          <w:color w:val="auto"/>
        </w:rPr>
        <w:t>no Disqualified Lender is entitled to receive information provided solely to Lenders by the Administrative Agent or any Lender or will be permitted to attend or participate in meetings attended solely by the Lenders and the Administrative Agent, other than the right to receive notices of Borrowings, notices of prepayments and other administrative notices in respect of its Loans or Commitments required to be delivered to Lenders pursuant to Article II.</w:t>
      </w:r>
    </w:p>
    <w:p>
      <w:pPr>
        <w:spacing w:after="0" w:line="155" w:lineRule="exact"/>
        <w:rPr>
          <w:rFonts w:ascii="Arial" w:cs="Arial" w:eastAsia="Arial" w:hAnsi="Arial"/>
          <w:sz w:val="16"/>
          <w:szCs w:val="16"/>
          <w:color w:val="auto"/>
        </w:rPr>
      </w:pPr>
    </w:p>
    <w:p>
      <w:pPr>
        <w:jc w:val="both"/>
        <w:ind w:left="-8" w:firstLine="1304"/>
        <w:spacing w:after="0" w:line="263" w:lineRule="auto"/>
        <w:tabs>
          <w:tab w:leader="none" w:pos="1972" w:val="left"/>
        </w:tabs>
        <w:numPr>
          <w:ilvl w:val="2"/>
          <w:numId w:val="22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any Lender may assign all or a portion of its rights and obligations with respect to the Term Loans or the Term Loan Commitments, under this Agreement to Holdings, a Borrower or any Subsidiaries through open market purchases on a pro-rata or non-pro rata basis, in each case subject to the following limitations:</w:t>
      </w:r>
    </w:p>
    <w:p>
      <w:pPr>
        <w:spacing w:after="0" w:line="183" w:lineRule="exact"/>
        <w:rPr>
          <w:rFonts w:ascii="Arial" w:cs="Arial" w:eastAsia="Arial" w:hAnsi="Arial"/>
          <w:sz w:val="18"/>
          <w:szCs w:val="18"/>
          <w:color w:val="auto"/>
        </w:rPr>
      </w:pPr>
    </w:p>
    <w:p>
      <w:pPr>
        <w:jc w:val="both"/>
        <w:ind w:left="652" w:firstLine="1292"/>
        <w:spacing w:after="0" w:line="291" w:lineRule="auto"/>
        <w:tabs>
          <w:tab w:leader="none" w:pos="2715" w:val="left"/>
        </w:tabs>
        <w:numPr>
          <w:ilvl w:val="3"/>
          <w:numId w:val="220"/>
        </w:numPr>
        <w:rPr>
          <w:rFonts w:ascii="Arial" w:cs="Arial" w:eastAsia="Arial" w:hAnsi="Arial"/>
          <w:sz w:val="16"/>
          <w:szCs w:val="16"/>
          <w:color w:val="auto"/>
        </w:rPr>
      </w:pPr>
      <w:r>
        <w:rPr>
          <w:rFonts w:ascii="Arial" w:cs="Arial" w:eastAsia="Arial" w:hAnsi="Arial"/>
          <w:sz w:val="16"/>
          <w:szCs w:val="16"/>
          <w:color w:val="auto"/>
        </w:rPr>
        <w:t>(x) if the assignee is Holdings or a Subsidiary, upon such assignment, the applicable assignee will automatically be deemed to have contributed or transferred the principal amount of such Term Loans, plus all accrued and unpaid interest thereon, to a Borrower or</w:t>
      </w:r>
    </w:p>
    <w:p>
      <w:pPr>
        <w:jc w:val="both"/>
        <w:ind w:left="652" w:hanging="4"/>
        <w:spacing w:after="0" w:line="253" w:lineRule="auto"/>
        <w:tabs>
          <w:tab w:leader="none" w:pos="91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if the assignee is a Borrower, (including through the contribution or other transfers set forth in clause (x)), the principal amount of such Term Loans, along with all accrued and unpaid interest thereon, so contributed, assigned or transferred to such Borrower (with the consent of such Borrower) in exchange for debt or equity securities will be deemed automatically cancelled and extinguished upon such assignment, contribution or transfer;</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198" w:name="page199"/>
    <w:bookmarkEnd w:id="198"/>
    <w:p>
      <w:pPr>
        <w:ind w:left="2580" w:hanging="628"/>
        <w:spacing w:after="0"/>
        <w:tabs>
          <w:tab w:leader="none" w:pos="25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no Event of Default shall be continuing or shall result therefrom immediately prior to or after such assignment; and</w:t>
      </w:r>
    </w:p>
    <w:p>
      <w:pPr>
        <w:spacing w:after="0" w:line="236" w:lineRule="exact"/>
        <w:rPr>
          <w:rFonts w:ascii="Arial" w:cs="Arial" w:eastAsia="Arial" w:hAnsi="Arial"/>
          <w:sz w:val="17"/>
          <w:szCs w:val="17"/>
          <w:color w:val="auto"/>
        </w:rPr>
      </w:pPr>
    </w:p>
    <w:p>
      <w:pPr>
        <w:jc w:val="both"/>
        <w:ind w:left="660" w:firstLine="1292"/>
        <w:spacing w:after="0" w:line="259" w:lineRule="auto"/>
        <w:tabs>
          <w:tab w:leader="none" w:pos="258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 and</w:t>
      </w:r>
    </w:p>
    <w:p>
      <w:pPr>
        <w:spacing w:after="0" w:line="186" w:lineRule="exact"/>
        <w:rPr>
          <w:rFonts w:ascii="Arial" w:cs="Arial" w:eastAsia="Arial" w:hAnsi="Arial"/>
          <w:sz w:val="18"/>
          <w:szCs w:val="18"/>
          <w:color w:val="auto"/>
        </w:rPr>
      </w:pPr>
    </w:p>
    <w:p>
      <w:pPr>
        <w:ind w:left="2580" w:hanging="628"/>
        <w:spacing w:after="0"/>
        <w:tabs>
          <w:tab w:leader="none" w:pos="25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no assignment of any Term Loans or Term Loan Commitments shall be made from the proceeds of any Revolving Loan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 Swingline Loan.</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Collateral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(except for Unliquidated Obligations) or any Letter of Credit is outstanding (unless such Letter of Credit has been Cash Collateralized) and so long as the Commitments have not expired or terminated. The provisions of Sections 2.15, 2.16, 2.17 and 9.03 and Article VIII shall survive and remain in full force and effect regardless of the resignation or replacement of the Administrative Agent or the Collateral Agent or any assignment of rights by, or the replacement of, a Lender,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Agents constitute the entire contract among the parties relating to the subject matter hereof and supersede any and all previous agreements and understandings, oral or written, relating to the subject matter hereof. This Agreement shall become effective upon the delivery by the Agents, the Lenders, Holdings, the Borrowers and each Subsidiary Guarantor of executed counterparts of the signature page to this Agreement. For the avoidance of doubt, upon the effectiveness of this Agreement, the Commitments shall become enforceable by the Borrowers. Delivery of an executed counterpart of a signature page of this Agreement by facsimile or by email as a “.pdf” or “.tif” attachment shall be effective as delivery of a manually executed counterpart of this Agreement. The words “execution,” “signed”, “signature” and words of like import herein shall be deemed to include electronic signatures, the electronic matching of assignment terms and contract formations on the electronic platform DocuSign, digital copies of a signatory’s manual signature and deliveries or the keeping of records in electronic form, each of which shall be of the same legal effect, validity or enforceability as a manually executed signature to the extent and as provided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9" w:name="page200"/>
    <w:bookmarkEnd w:id="199"/>
    <w:p>
      <w:pPr>
        <w:jc w:val="both"/>
        <w:ind w:firstLine="648"/>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or any Guarantor against any of and all of the Secured Obligations held by such Lender, irrespective of whether or not such Lender shall have made any demand under the Loan Documents and although such obligations may be unmatured;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recovery by any Lender or any Affiliate pursuant to its setoff rights under this Section 9.08 is subject to the provisions of Section 2.18(c). The rights of each Lender under this Section 9.08 are in addition to other rights and remedies (including other rights of setoff) which such Lender may have.</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u w:val="single" w:color="auto"/>
          <w:color w:val="auto"/>
        </w:rPr>
        <w:t>Governing Law; Jurisdiction; Consent to Service of Process; Foreign Process Agent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1" w:lineRule="auto"/>
        <w:tabs>
          <w:tab w:leader="none" w:pos="196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This Agreement and each other Loan Document (except, as to any other Loan Document, as expressly set forth therein) shall be construed in accordance with and governed by the law of the State of New York; provided, however, that (i) the interpretation of the definition of “Company Material Adverse Effect” and whether there shall have occurred a “Company Material Adverse Effect”, (ii) whether the Acquisition has been consummated in accordance with the terms and conditions of the Acquisition Agreement, and (iii) whether the representations and warranties made by Target and its Subsidiaries in the Acquisition Agreement are true and correct and whether as a result of any failure thereof Holdings (or its applicable Subsidiaries) has the right to terminate its obligations under the Acquisition Agreement (or the right not to consummate the Acquisition pursuant to the Acquisition Agreement) shall be determined in accordance with the laws of the State of Delaware without regards to conflicts of laws principles that would result in the application of the laws of another jurisdiction.</w:t>
      </w:r>
    </w:p>
    <w:p>
      <w:pPr>
        <w:spacing w:after="0" w:line="178" w:lineRule="exact"/>
        <w:rPr>
          <w:rFonts w:ascii="Arial" w:cs="Arial" w:eastAsia="Arial" w:hAnsi="Arial"/>
          <w:sz w:val="17"/>
          <w:szCs w:val="17"/>
          <w:color w:val="auto"/>
        </w:rPr>
      </w:pPr>
    </w:p>
    <w:p>
      <w:pPr>
        <w:jc w:val="both"/>
        <w:ind w:firstLine="1304"/>
        <w:spacing w:after="0" w:line="270" w:lineRule="auto"/>
        <w:tabs>
          <w:tab w:leader="none" w:pos="1992" w:val="left"/>
        </w:tabs>
        <w:numPr>
          <w:ilvl w:val="0"/>
          <w:numId w:val="222"/>
        </w:numPr>
        <w:rPr>
          <w:rFonts w:ascii="Arial" w:cs="Arial" w:eastAsia="Arial" w:hAnsi="Arial"/>
          <w:sz w:val="17"/>
          <w:szCs w:val="17"/>
          <w:color w:val="auto"/>
        </w:rPr>
      </w:pPr>
      <w:r>
        <w:rPr>
          <w:rFonts w:ascii="Arial" w:cs="Arial" w:eastAsia="Arial" w:hAnsi="Arial"/>
          <w:sz w:val="17"/>
          <w:szCs w:val="17"/>
          <w:color w:val="auto"/>
        </w:rPr>
        <w:t>Each of Holdings, each Borrower and each Subsidiary Guarantor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competent jurisdiction.</w:t>
      </w:r>
    </w:p>
    <w:p>
      <w:pPr>
        <w:spacing w:after="0" w:line="180" w:lineRule="exact"/>
        <w:rPr>
          <w:rFonts w:ascii="Arial" w:cs="Arial" w:eastAsia="Arial" w:hAnsi="Arial"/>
          <w:sz w:val="17"/>
          <w:szCs w:val="17"/>
          <w:color w:val="auto"/>
        </w:rPr>
      </w:pPr>
    </w:p>
    <w:p>
      <w:pPr>
        <w:jc w:val="both"/>
        <w:ind w:firstLine="1304"/>
        <w:spacing w:after="0" w:line="257" w:lineRule="auto"/>
        <w:tabs>
          <w:tab w:leader="none" w:pos="201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Each of Holdings, each Borrower and each Subsidiary Guarantor hereby irrevocably and unconditionally waives, to the fullest extent they may legally and effectively do so, any objection which it may now or hereafter have to the laying of venue of any suit, action or proceeding arising out of or relating to this Agreement or any other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0" w:name="page201"/>
    <w:bookmarkEnd w:id="200"/>
    <w:p>
      <w:pPr>
        <w:jc w:val="both"/>
        <w:ind w:right="20" w:firstLine="1304"/>
        <w:spacing w:after="0" w:line="263" w:lineRule="auto"/>
        <w:tabs>
          <w:tab w:leader="none" w:pos="209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199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Holdings and each Subsidiary Guarantor hereby irrevocably and unconditionally appoints the U.S. Borrower and its successors hereunder (the “</w:t>
      </w:r>
      <w:r>
        <w:rPr>
          <w:rFonts w:ascii="Arial" w:cs="Arial" w:eastAsia="Arial" w:hAnsi="Arial"/>
          <w:sz w:val="17"/>
          <w:szCs w:val="17"/>
          <w:u w:val="single" w:color="auto"/>
          <w:color w:val="auto"/>
        </w:rPr>
        <w:t>Process Agent</w:t>
      </w:r>
      <w:r>
        <w:rPr>
          <w:rFonts w:ascii="Arial" w:cs="Arial" w:eastAsia="Arial" w:hAnsi="Arial"/>
          <w:sz w:val="17"/>
          <w:szCs w:val="17"/>
          <w:color w:val="auto"/>
        </w:rPr>
        <w:t>”), as its agent to receive on behalf of Holdings and each Subsidiary Guarantor and their respective property all writs, claims, process and summonses in any action or proceeding brought against it in the State of New York. Such service may be made by mailing or delivering a copy of such process to Holdings and each Subsidiary Guarantor in care of the Process Agent at the address specified above for the Process Agent, and Holdings and each Subsidiary Guarantor irrevocably authorizes and directs the Process Agent to accept such service on its behalf. Failure by the Process Agent to give notice to Holdings and each Subsidiary Guarantor or failure of Holdings and each Subsidiary Guarantor to receive notice of such service of process shall not impair or affect the validity of such service on the Process Agent, Holdings and each Subsidiary Guarantor, or of any judgment based thereon. Holdings and each Subsidiary Guarantor covenants and agrees that it shall take any and all reasonable action, including the execution and filing of any and all documents that may be necessary to continue the delegation of the Process Agent above in full force and effect, and to cause the Process Agent to act as such. Holdings and each Subsidiary Guarantor hereto further covenants and agrees to maintain at all times an agent with offices in New York City to act as its Process Agent. Nothing herein shall in any way be deemed to limit the ability to serve any such writs, process or summonses in any other manner permitted by applicable law.</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9.10.</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1" w:name="page202"/>
    <w:bookmarkEnd w:id="201"/>
    <w:p>
      <w:pPr>
        <w:jc w:val="both"/>
        <w:ind w:firstLine="648"/>
        <w:spacing w:after="0" w:line="283"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Collateral Agent, the Swingline Lender,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9.12, to (i) any assignee of or Participant in, or any prospective assignee of or Participant in, any of its rights or obligations under this Agreement or (ii) any actual or prospective counterparty (or its Related Parties) to any swap, derivative or other transaction relating to Holdings or its Restricted Subsidiaries and their obligations, (g) on a confidential basis to (i) any rating agency in connection with rating Holdings or its Subsidiaries or the facilities evidenced by this Agreement or (ii) the CUSIP Service Bureau or any similar agency in connection with the issuance and monitoring of CUSIP numbers with respect to the facilities evidenced by this Agreement,</w:t>
      </w:r>
    </w:p>
    <w:p>
      <w:pPr>
        <w:spacing w:after="0" w:line="2" w:lineRule="exact"/>
        <w:rPr>
          <w:sz w:val="20"/>
          <w:szCs w:val="20"/>
          <w:color w:val="auto"/>
        </w:rPr>
      </w:pPr>
    </w:p>
    <w:p>
      <w:pPr>
        <w:jc w:val="both"/>
        <w:ind w:firstLine="8"/>
        <w:spacing w:after="0" w:line="268" w:lineRule="auto"/>
        <w:tabs>
          <w:tab w:leader="none" w:pos="26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with the prior written consent of Holdings, (i) to the extent such Information (i) becomes publicly available other than as a result of a breach of this Section 9.12 by the disclosing party or its Affiliates, (ii) is independently developed by the Agents or (iii) becomes available to the Administrative Agent, any Issuing Bank or any Lender on a nonconfidential basis from a source other than Holdings or any Borrower, (j) in consultation with the Lead Arrangers, to any prospective additional Agent and to such additional Agent’s respective officers, directors, employees, attorneys, accountants and advisors, in each case on a confidential basis or (k) for purposes of establishing a “due diligence” defense. For the purposes of this Section 9.12, “Information” means all information received from Holdings or any Borrower relating to Holdings or any Borrower or their respective businesses, other than any such information that is available to the Administrative Agent, the Collateral Agent, any Issuing Bank or any Lender on a nonconfidential basis prior to disclosure by Holdings or any Borrower.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5"/>
          <w:szCs w:val="15"/>
          <w:u w:val="single" w:color="auto"/>
          <w:color w:val="auto"/>
        </w:rPr>
        <w:t>Release of Liens and Guarantees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90" w:lineRule="auto"/>
        <w:tabs>
          <w:tab w:leader="none" w:pos="197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 Subsidiary Guarantor (that is not a Borrower) shall automatically be released from its obligations under the Loan Documents upon the consummation of any transaction permitted by this Agreement as a result of which such Subsidiary Guarantor ceases to be a Restricted Subsidiary or ceases to be organized in a Covered Jurisdiction. In addition, a Subsidiary Guarantor (that is not a Borrower) shall be released from its obligations under the Loan Documents upon the request of Holdings in connection with a transaction not prohibited under this Agreement, as a result of which such Subsidiary Guarantor becomes an Excluded Subsidiary. Notwithstanding the foregoing, no Subsidiary Guarantor (nor the security interest granted by such Subsidiary Guarantor) will be released solely as a result of such Subsidiary Guarantor ceasing to be a wholly-owned Subsidiary unless such Subsidiary ceased to be a wholly-owned Subsidiary as a result of a transaction that was entered into for a bona fide business purpose (as determined in good faith by Holdings) and, for the avoidance of doubt, not for the primary purpose of causing such release.</w:t>
      </w:r>
    </w:p>
    <w:p>
      <w:pPr>
        <w:spacing w:after="0" w:line="165" w:lineRule="exact"/>
        <w:rPr>
          <w:rFonts w:ascii="Arial" w:cs="Arial" w:eastAsia="Arial" w:hAnsi="Arial"/>
          <w:sz w:val="16"/>
          <w:szCs w:val="16"/>
          <w:color w:val="auto"/>
        </w:rPr>
      </w:pPr>
    </w:p>
    <w:p>
      <w:pPr>
        <w:jc w:val="both"/>
        <w:ind w:firstLine="1304"/>
        <w:spacing w:after="0" w:line="286" w:lineRule="auto"/>
        <w:tabs>
          <w:tab w:leader="none" w:pos="196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Upon the termination of all the Commitments and payment and satisfaction in full in cash of all Secured Obligations (other than Unliquidated Obligations for which no claim has been made and Secured Obligations with respect to Cash Management Agreements and Swap Agreements), the security interests in the Collateral created by the Collateral Documents shall be automatically released.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2" w:name="page203"/>
    <w:bookmarkEnd w:id="202"/>
    <w:p>
      <w:pPr>
        <w:jc w:val="both"/>
        <w:ind w:firstLine="1304"/>
        <w:spacing w:after="0" w:line="284" w:lineRule="auto"/>
        <w:tabs>
          <w:tab w:leader="none" w:pos="197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Upon (i) any Disposition (other than any lease or license) by any Loan Party (other than to another Loan Party, except where, in any jurisdiction outside of the United States, in order to effect such Disposition the Lien on such assets is required to be released (provided that in the case of such Disposition to another Loan Party outside of the United States, such other Loan Party shall concurrently (or on such later date as may be agreed by the Administrative Agent) grant a security interest on the released Collateral)) of any Collateral in a transaction permitted under this Agreement, (ii) any Disposition in connection with any exercise of remedies of the Administrative Agent, the Collateral Agent and the Lenders pursuant to Article VII, (iii) any Disposition by any Loan Party of any Securitization Assets in connection with a Qualified Securitization Financing or a Qualified Receivables Factoring,</w:t>
      </w:r>
    </w:p>
    <w:p>
      <w:pPr>
        <w:spacing w:after="0" w:line="4" w:lineRule="exact"/>
        <w:rPr>
          <w:rFonts w:ascii="Arial" w:cs="Arial" w:eastAsia="Arial" w:hAnsi="Arial"/>
          <w:sz w:val="16"/>
          <w:szCs w:val="16"/>
          <w:color w:val="auto"/>
        </w:rPr>
      </w:pPr>
    </w:p>
    <w:p>
      <w:pPr>
        <w:jc w:val="both"/>
        <w:ind w:firstLine="8"/>
        <w:spacing w:after="0" w:line="253" w:lineRule="auto"/>
        <w:tabs>
          <w:tab w:leader="none" w:pos="31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effectiveness of any written consent to the release of the security interest created under any Collateral Document in any Collateral pursuant to Section 9.02, (v) a Guarantor ceasing to be a Guarantor in accordance with the terms of this Agreement, with respect to the Collateral held by such Guarantor or (vi) any Collateral becoming Excluded Assets, the security interests in such Collateral created by the Collateral Documents shall be automatically released.</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956" w:val="left"/>
        </w:tabs>
        <w:numPr>
          <w:ilvl w:val="1"/>
          <w:numId w:val="227"/>
        </w:numPr>
        <w:rPr>
          <w:rFonts w:ascii="Arial" w:cs="Arial" w:eastAsia="Arial" w:hAnsi="Arial"/>
          <w:sz w:val="16"/>
          <w:szCs w:val="16"/>
          <w:color w:val="auto"/>
        </w:rPr>
      </w:pPr>
      <w:r>
        <w:rPr>
          <w:rFonts w:ascii="Arial" w:cs="Arial" w:eastAsia="Arial" w:hAnsi="Arial"/>
          <w:sz w:val="16"/>
          <w:szCs w:val="16"/>
          <w:color w:val="auto"/>
        </w:rPr>
        <w:t>In addition, upon the request of any holder (or prospective holder) of obligations secured by such Lien or, in the case of a license or sub-license, the applicable licensee or sub-licensee (or prospective licensee or sub-licensee), the Collateral Agent shall, at the reasonable request of any Borrower, (A) subordinate any Lien on any Collateral to the holder of any Liens on such Collateral permitted under clauses (4), (5), (7) (insofar as such Liens are replacements or substitutes for Liens permitted by clause (4) or (5)), (9), (10), (11), (21), (22) and (25) of the definition of “Permitted Liens,” and</w:t>
      </w:r>
    </w:p>
    <w:p>
      <w:pPr>
        <w:spacing w:after="0" w:line="1"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(B) enter into subordination, non-disturbance and similar agreements in connection with the licensing of intellectual property and other general intangibles permitted under this Agreement to the extent reasonably requested by a licensee or sub-licensee thereof.</w:t>
      </w:r>
    </w:p>
    <w:p>
      <w:pPr>
        <w:spacing w:after="0" w:line="185" w:lineRule="exact"/>
        <w:rPr>
          <w:rFonts w:ascii="Arial" w:cs="Arial" w:eastAsia="Arial" w:hAnsi="Arial"/>
          <w:sz w:val="16"/>
          <w:szCs w:val="16"/>
          <w:color w:val="auto"/>
        </w:rPr>
      </w:pPr>
    </w:p>
    <w:p>
      <w:pPr>
        <w:jc w:val="both"/>
        <w:ind w:firstLine="1304"/>
        <w:spacing w:after="0" w:line="288" w:lineRule="auto"/>
        <w:tabs>
          <w:tab w:leader="none" w:pos="214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 xml:space="preserve">In connection with any termination, release or subordination, or in connection with any Indebtedness incurred pursuant to Section 6.01(b)(xvi)(ii) or in connection with any licensing or sub-licensing transactions permitted pursuant to Sections 6.02 and 6.03, the entry into non-disturbance or similar agreement, in each case, pursuant to this Section 9.13, the Collateral Agent shall execute and deliver to any Loan Party, at such Loan Party’s expense, all documents that such Loan Party shall reasonably request to evidence such termination, release or subordination, or reasonably required in order to reflect such non-disturbance or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Collateral Agent shall have received a certificate of a Responsible Officer of Holdings certifying that any such transaction has been consummated in compliance with this Agreement and the other Loan Documents and that such termination, release or subordination is permitted hereby, and (ii) any such release shall not in any manner discharge, affect or impair the Secured Obligations or any Liens upon (or obligations of Holdings or any Subsidiary in respect of) all interests retained by Holdings or any Subsidiary, including (without limitation) the proceeds of the sale, all of which shall continue to constitute part of the Collateral. Any execution and delivery of documents pursuant to this Section 9.13 shall be without representation, recourse to or warranty by the Collateral Agent.</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Lender that is subject to the requirements of the USA PATRIOT Act (Title III of Pub. L. 107-56 (signed into law October 26, 2001)) (the “</w:t>
      </w:r>
      <w:r>
        <w:rPr>
          <w:rFonts w:ascii="Arial" w:cs="Arial" w:eastAsia="Arial" w:hAnsi="Arial"/>
          <w:sz w:val="17"/>
          <w:szCs w:val="17"/>
          <w:u w:val="single" w:color="auto"/>
          <w:color w:val="auto"/>
        </w:rPr>
        <w:t>USA Patriot Act</w:t>
      </w:r>
      <w:r>
        <w:rPr>
          <w:rFonts w:ascii="Arial" w:cs="Arial" w:eastAsia="Arial" w:hAnsi="Arial"/>
          <w:sz w:val="17"/>
          <w:szCs w:val="17"/>
          <w:color w:val="auto"/>
        </w:rPr>
        <w: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Appointment for Perfection</w:t>
      </w:r>
      <w:r>
        <w:rPr>
          <w:rFonts w:ascii="Arial" w:cs="Arial" w:eastAsia="Arial" w:hAnsi="Arial"/>
          <w:sz w:val="16"/>
          <w:szCs w:val="16"/>
          <w:color w:val="auto"/>
        </w:rPr>
        <w:t>. Each Lender hereby appoints the Collateral Agent and each other Lender as its agent for the purpose of perfecting Liens, for the benefit of the Administrative Agent, the Collateral Agent and the Secured Parties, in assets which, in accordance with Article 9 of the UCC or any other applicable law can be perfected by possession. Should any Lender (other than the Collateral Agent) obtain possession of any such Collateral, such Lender shall notify the Collateral Agent thereof, and, promptly upon the Administrative Agent’s request therefor shall deliver such Collateral to the Collateral Agent or otherwise deal with such Collateral in accordance with the Collateral Agent’s instructions.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3" w:name="page204"/>
    <w:bookmarkEnd w:id="203"/>
    <w:p>
      <w:pPr>
        <w:jc w:val="both"/>
        <w:ind w:firstLine="648"/>
        <w:spacing w:after="0" w:line="268"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Each of Holdings and Borrower, on behalf of itself and its Subsidiaries, agrees that, in connection with all aspects of the transactions contemplated hereby (including in connection with any amendment, waiver or other modification hereof or of any other Loan Document) and any communications in connection therewith: (i) (A) the arranging and other services regarding this Agreement provided by the Lenders are arm’s-length commercial transactions between Holdings and its Affiliates, on the one hand, and the Lenders and their Affiliates, on the other hand, (B) it has consulted its own legal, accounting, regulatory and tax advisors to the extent it has deemed appropriate, and (C) it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Holdings, any Borrower or any of their respective Affiliates, or any other Person and (B) no Lender or any of its Affiliates has any obligation to Holdings, any Borrower or any of their respective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Holdings and its Affiliates, and no Lender or any of its Affiliates has any obligation to disclose any of such interests to Holdings, the Borrowers or their respective Affiliates. To the fullest extent permitted by law, Holdings and the Borrowers hereby waive and release any claims that they may have against each of the Lenders and their Affiliates with respect to any breach or alleged breach of agency or fiduciary duty in connection with any aspect of any transaction contemplated hereby.</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9.18</w:t>
      </w:r>
      <w:r>
        <w:rPr>
          <w:sz w:val="20"/>
          <w:szCs w:val="20"/>
          <w:color w:val="auto"/>
        </w:rPr>
        <w:tab/>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11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6" w:lineRule="exact"/>
        <w:rPr>
          <w:rFonts w:ascii="Arial" w:cs="Arial" w:eastAsia="Arial" w:hAnsi="Arial"/>
          <w:sz w:val="18"/>
          <w:szCs w:val="18"/>
          <w:color w:val="auto"/>
        </w:rPr>
      </w:pPr>
    </w:p>
    <w:p>
      <w:pPr>
        <w:ind w:left="660" w:firstLine="1292"/>
        <w:spacing w:after="0" w:line="277" w:lineRule="auto"/>
        <w:tabs>
          <w:tab w:leader="none" w:pos="284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2580" w:hanging="628"/>
        <w:spacing w:after="0"/>
        <w:tabs>
          <w:tab w:leader="none" w:pos="25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3260" w:hanging="660"/>
        <w:spacing w:after="0"/>
        <w:tabs>
          <w:tab w:leader="none" w:pos="326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4" w:name="page205"/>
    <w:bookmarkEnd w:id="204"/>
    <w:p>
      <w:pPr>
        <w:jc w:val="both"/>
        <w:ind w:left="1280" w:firstLine="1300"/>
        <w:spacing w:after="0" w:line="259" w:lineRule="auto"/>
        <w:tabs>
          <w:tab w:leader="none" w:pos="342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280" w:firstLine="1300"/>
        <w:spacing w:after="0" w:line="277" w:lineRule="auto"/>
        <w:tabs>
          <w:tab w:leader="none" w:pos="326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9.19</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4"/>
        <w:spacing w:after="0" w:line="259" w:lineRule="auto"/>
        <w:tabs>
          <w:tab w:leader="none" w:pos="198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and their respective Affiliates and not, for the avoidance of doubt, to or for the benefit of any Borrower or any other Loan Party, that at least one of the following is and will be true:</w:t>
      </w:r>
    </w:p>
    <w:p>
      <w:pPr>
        <w:spacing w:after="0" w:line="186" w:lineRule="exact"/>
        <w:rPr>
          <w:rFonts w:ascii="Arial" w:cs="Arial" w:eastAsia="Arial" w:hAnsi="Arial"/>
          <w:sz w:val="18"/>
          <w:szCs w:val="18"/>
          <w:color w:val="auto"/>
        </w:rPr>
      </w:pPr>
    </w:p>
    <w:p>
      <w:pPr>
        <w:jc w:val="both"/>
        <w:ind w:left="640" w:firstLine="1292"/>
        <w:spacing w:after="0" w:line="263" w:lineRule="auto"/>
        <w:tabs>
          <w:tab w:leader="none" w:pos="2666"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83" w:lineRule="exact"/>
        <w:rPr>
          <w:rFonts w:ascii="Arial" w:cs="Arial" w:eastAsia="Arial" w:hAnsi="Arial"/>
          <w:sz w:val="18"/>
          <w:szCs w:val="18"/>
          <w:color w:val="auto"/>
        </w:rPr>
      </w:pPr>
    </w:p>
    <w:p>
      <w:pPr>
        <w:jc w:val="both"/>
        <w:ind w:left="640" w:firstLine="1292"/>
        <w:spacing w:after="0" w:line="273" w:lineRule="auto"/>
        <w:tabs>
          <w:tab w:leader="none" w:pos="2585"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77" w:lineRule="exact"/>
        <w:rPr>
          <w:rFonts w:ascii="Arial" w:cs="Arial" w:eastAsia="Arial" w:hAnsi="Arial"/>
          <w:sz w:val="17"/>
          <w:szCs w:val="17"/>
          <w:color w:val="auto"/>
        </w:rPr>
      </w:pPr>
    </w:p>
    <w:p>
      <w:pPr>
        <w:jc w:val="both"/>
        <w:ind w:left="640" w:firstLine="1292"/>
        <w:spacing w:after="0" w:line="293" w:lineRule="auto"/>
        <w:tabs>
          <w:tab w:leader="none" w:pos="2626" w:val="left"/>
        </w:tabs>
        <w:numPr>
          <w:ilvl w:val="1"/>
          <w:numId w:val="230"/>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64" w:lineRule="exact"/>
        <w:rPr>
          <w:rFonts w:ascii="Arial" w:cs="Arial" w:eastAsia="Arial" w:hAnsi="Arial"/>
          <w:sz w:val="16"/>
          <w:szCs w:val="16"/>
          <w:color w:val="auto"/>
        </w:rPr>
      </w:pPr>
    </w:p>
    <w:p>
      <w:pPr>
        <w:ind w:left="640" w:firstLine="1292"/>
        <w:spacing w:after="0" w:line="277" w:lineRule="auto"/>
        <w:tabs>
          <w:tab w:leader="none" w:pos="259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205" w:name="page206"/>
    <w:bookmarkEnd w:id="205"/>
    <w:p>
      <w:pPr>
        <w:jc w:val="both"/>
        <w:ind w:firstLine="1304"/>
        <w:spacing w:after="0" w:line="290" w:lineRule="auto"/>
        <w:tabs>
          <w:tab w:leader="none" w:pos="202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or any of their respective Affiliates and not, for the avoidance of doubt, to or for the benefit of any Borrower or any other Loan Party, that none of the Administrative Agent, any Lead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9.20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any Permitted Hedging Obligations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jc w:val="both"/>
        <w:ind w:firstLine="1304"/>
        <w:spacing w:after="0" w:line="287" w:lineRule="auto"/>
        <w:tabs>
          <w:tab w:leader="none" w:pos="195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rFonts w:ascii="Arial" w:cs="Arial" w:eastAsia="Arial" w:hAnsi="Arial"/>
          <w:sz w:val="16"/>
          <w:szCs w:val="16"/>
          <w:color w:val="auto"/>
        </w:rPr>
      </w:pPr>
    </w:p>
    <w:p>
      <w:pPr>
        <w:ind w:left="1960" w:hanging="656"/>
        <w:spacing w:after="0"/>
        <w:tabs>
          <w:tab w:leader="none" w:pos="1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 used in this Section 9.20, the following terms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 Affiliate</w:t>
      </w:r>
      <w:r>
        <w:rPr>
          <w:rFonts w:ascii="Arial" w:cs="Arial" w:eastAsia="Arial" w:hAnsi="Arial"/>
          <w:sz w:val="17"/>
          <w:szCs w:val="17"/>
          <w:color w:val="auto"/>
        </w:rPr>
        <w:t>” of a party means an “affiliate” (as such term is defined under, and interpreted in accordance with, 12 U.S.C.</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1841(k)) of such party.</w:t>
      </w:r>
    </w:p>
    <w:p>
      <w:pPr>
        <w:spacing w:after="0" w:line="21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6" w:name="page207"/>
    <w:bookmarkEnd w:id="206"/>
    <w:p>
      <w:pPr>
        <w:ind w:left="1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Guaranty</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5"/>
          <w:szCs w:val="15"/>
          <w:u w:val="single" w:color="auto"/>
          <w:color w:val="auto"/>
        </w:rPr>
        <w:t>The Guarantee</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71" w:lineRule="auto"/>
        <w:tabs>
          <w:tab w:leader="none" w:pos="20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Guarantors hereby, jointly and severally, guarantee to each Secured Party as hereinafter provided, as primary obligor and not merely as surety, the payment and performance of the Secured Obligations in full in cash when due (whether at stated maturity, as a mandatory prepayment, by acceleration, as a mandatory cash collateralization or otherwise) strictly in accordance with the terms hereof and thereof. Each Guarantor hereby further jointly and severally agrees that if any of the Secured Obligations are not paid in full in cash when due (whether at stated maturity, as a mandatory prepayment, by acceleration, as a mandatory cash collateralization or otherwise), each Guarantor will promptly pay the same, without any demand or notice whatsoever, and that in the case of any extension of time of payment or renewal of any of the Secured Obligations, the same will be promptly paid in full in cash when due (whether at extended maturity, as a mandatory prepayment, by acceleration, as a mandatory cash collateralization or otherwise) in accordance with the terms of such extension or renewal.</w:t>
      </w:r>
    </w:p>
    <w:p>
      <w:pPr>
        <w:spacing w:after="0" w:line="178" w:lineRule="exact"/>
        <w:rPr>
          <w:rFonts w:ascii="Arial" w:cs="Arial" w:eastAsia="Arial" w:hAnsi="Arial"/>
          <w:sz w:val="17"/>
          <w:szCs w:val="17"/>
          <w:color w:val="auto"/>
        </w:rPr>
      </w:pPr>
    </w:p>
    <w:p>
      <w:pPr>
        <w:jc w:val="both"/>
        <w:ind w:firstLine="1304"/>
        <w:spacing w:after="0" w:line="271" w:lineRule="auto"/>
        <w:tabs>
          <w:tab w:leader="none" w:pos="1956" w:val="left"/>
        </w:tabs>
        <w:numPr>
          <w:ilvl w:val="0"/>
          <w:numId w:val="233"/>
        </w:numPr>
        <w:rPr>
          <w:rFonts w:ascii="Arial" w:cs="Arial" w:eastAsia="Arial" w:hAnsi="Arial"/>
          <w:sz w:val="17"/>
          <w:szCs w:val="17"/>
          <w:color w:val="auto"/>
        </w:rPr>
      </w:pPr>
      <w:r>
        <w:rPr>
          <w:rFonts w:ascii="Arial" w:cs="Arial" w:eastAsia="Arial" w:hAnsi="Arial"/>
          <w:sz w:val="17"/>
          <w:szCs w:val="17"/>
          <w:color w:val="auto"/>
        </w:rPr>
        <w:t>Each Guarantor, and by its acceptance of this Guaranty, the Administrative Agent and each other Secured Party, hereby confirms that it is the intention of all such Persons that this Guaranty and the Obligations of each Guarantor hereunder not constitute a fraudulent transfer or conveyance for purposes of any Debtor Relief Law, the Uniform Fraudulent Conveyance Act, the Uniform Fraudulent Transfer Act or any similar foreign, federal or state law to the extent applicable to this Guaranty and the Obligations of each Guarantor hereunder. To effectuate the foregoing intention, the Administrative Agent, the other Secured Parties and the Guarantors hereby irrevocably agree that the Obligations of each Guarantor under this Guaranty at any time shall be limited to the maximum amount as will result in the Obligations of such Guarantor under this Guaranty not constituting a fraudulent transfer or conveyance under applicable law after giving full effect to such Guarantor’s contribution rights but before taking into account any liabilities of such Guarantor under any other guarantee of such Guarantor.</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Obligations Unconditional</w:t>
      </w:r>
      <w:r>
        <w:rPr>
          <w:rFonts w:ascii="Arial" w:cs="Arial" w:eastAsia="Arial" w:hAnsi="Arial"/>
          <w:sz w:val="17"/>
          <w:szCs w:val="17"/>
          <w:color w:val="auto"/>
        </w:rPr>
        <w:t>. The obligations of the Guarantors under Section 10.01 are absolute and unconditional, irrespective of the value, genuineness, validity, regularity or enforceability of any of the Loan Documents or other documents relating to the Secured Obligations, or any substitution, release, impairment or exchange of any other guarantee of or security for any of the Secured Obligations, and, to the fullest extent permitted by applicable law, irrespective of any other circumstance whatsoever which might otherwise constitute a legal or equitable discharge or defense of a surety or guarantor (other than payment in full in cash of the Secured Obligations, other than Unliquidated Obligations for which no claim has been made), it being the intent of this Section 10.02 that the obligations of the Guarantors hereunder shall be absolute and unconditional under any and all circumstances. Each Guarantor agrees that it shall have no right of subrogation, indemnity, reimbursement or contribution against any other Guarantor for amounts paid under this Article X until such time as the Secured Obligations (other than Unliquidated Obligations for which no claim has been made) have been indefeasibly paid in full in cash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7" w:name="page208"/>
    <w:bookmarkEnd w:id="207"/>
    <w:p>
      <w:pPr>
        <w:ind w:left="-20" w:firstLine="1304"/>
        <w:spacing w:after="0" w:line="277" w:lineRule="auto"/>
        <w:tabs>
          <w:tab w:leader="none" w:pos="192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Secured Obligations shall be extended, or such performance or compliance shall be waived;</w:t>
      </w:r>
    </w:p>
    <w:p>
      <w:pPr>
        <w:spacing w:after="0" w:line="170" w:lineRule="exact"/>
        <w:rPr>
          <w:rFonts w:ascii="Arial" w:cs="Arial" w:eastAsia="Arial" w:hAnsi="Arial"/>
          <w:sz w:val="18"/>
          <w:szCs w:val="18"/>
          <w:color w:val="auto"/>
        </w:rPr>
      </w:pPr>
    </w:p>
    <w:p>
      <w:pPr>
        <w:jc w:val="both"/>
        <w:ind w:left="-20" w:firstLine="1304"/>
        <w:spacing w:after="0" w:line="259" w:lineRule="auto"/>
        <w:tabs>
          <w:tab w:leader="none" w:pos="214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maturity of any of the Secured Obligations shall be accelerated, or any of the Secured Obligations shall be modified, supplemented or amended in any respect, or any right under any of the Loan Documents or other documents relating to the Secured Obligations shall be waived or any other guarantee of any of the Secured Obligations or any security therefor shall be released, impaired or exchanged in whole or in part or otherwise dealt with;</w:t>
      </w:r>
    </w:p>
    <w:p>
      <w:pPr>
        <w:spacing w:after="0" w:line="186" w:lineRule="exact"/>
        <w:rPr>
          <w:rFonts w:ascii="Arial" w:cs="Arial" w:eastAsia="Arial" w:hAnsi="Arial"/>
          <w:sz w:val="18"/>
          <w:szCs w:val="18"/>
          <w:color w:val="auto"/>
        </w:rPr>
      </w:pPr>
    </w:p>
    <w:p>
      <w:pPr>
        <w:ind w:left="-20" w:firstLine="1304"/>
        <w:spacing w:after="0" w:line="277" w:lineRule="auto"/>
        <w:tabs>
          <w:tab w:leader="none" w:pos="220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Lien granted to, or in favor of, the Administrative Agent, the Collateral Agent or any other holder of the Secured Obligations as security for any of the Secured Obligations shall fail to attach or be perfected;</w:t>
      </w:r>
    </w:p>
    <w:p>
      <w:pPr>
        <w:spacing w:after="0" w:line="170" w:lineRule="exact"/>
        <w:rPr>
          <w:rFonts w:ascii="Arial" w:cs="Arial" w:eastAsia="Arial" w:hAnsi="Arial"/>
          <w:sz w:val="18"/>
          <w:szCs w:val="18"/>
          <w:color w:val="auto"/>
        </w:rPr>
      </w:pPr>
    </w:p>
    <w:p>
      <w:pPr>
        <w:ind w:left="-20" w:firstLine="1304"/>
        <w:spacing w:after="0" w:line="308" w:lineRule="auto"/>
        <w:tabs>
          <w:tab w:leader="none" w:pos="199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any of the Secured Obligations shall be determined to be void or voidable (including, without limitation, for the benefit of any creditor of any Guarantor) or shall be subordinated to the claims of any Person (including, without limitation, any creditor of Guarantor);</w:t>
      </w:r>
    </w:p>
    <w:p>
      <w:pPr>
        <w:spacing w:after="0" w:line="146" w:lineRule="exact"/>
        <w:rPr>
          <w:rFonts w:ascii="Arial" w:cs="Arial" w:eastAsia="Arial" w:hAnsi="Arial"/>
          <w:sz w:val="17"/>
          <w:szCs w:val="17"/>
          <w:color w:val="auto"/>
        </w:rPr>
      </w:pPr>
    </w:p>
    <w:p>
      <w:pPr>
        <w:jc w:val="both"/>
        <w:ind w:left="-20" w:firstLine="1304"/>
        <w:spacing w:after="0" w:line="301" w:lineRule="auto"/>
        <w:tabs>
          <w:tab w:leader="none" w:pos="193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any Swap Agreement or any Cash Management Agreement, at law, in equity or otherwise) with respect to the Secured Obligations or any agreement relating thereto, or with respect to any other guaranty of or security for the payment of the Secured Obligations;</w:t>
      </w:r>
    </w:p>
    <w:p>
      <w:pPr>
        <w:spacing w:after="0" w:line="157" w:lineRule="exact"/>
        <w:rPr>
          <w:rFonts w:ascii="Arial" w:cs="Arial" w:eastAsia="Arial" w:hAnsi="Arial"/>
          <w:sz w:val="16"/>
          <w:szCs w:val="16"/>
          <w:color w:val="auto"/>
        </w:rPr>
      </w:pPr>
    </w:p>
    <w:p>
      <w:pPr>
        <w:jc w:val="both"/>
        <w:ind w:left="-20" w:firstLine="1304"/>
        <w:spacing w:after="0" w:line="272" w:lineRule="auto"/>
        <w:tabs>
          <w:tab w:leader="none" w:pos="200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any exercise of remedies with respect to any security for the Secured Obligations (including, without limitation, any collateral, including the Collateral, securing or purporting to secure any of the Secured Obligations) at such time and in such order and in such manner as the Collateral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Guarantor would otherwise have, and without limiting the generality of the foregoing or any other provisions hereof, each Guarantor hereby expressly waives any and all benefits which might otherwise be available to such Guarantor under applicable law, including without limitation, California Civil Code Sections 2809, 2810, 2819, 2939, 2845, 2848, 2849, 2850, 2855, 2899 and 3433;</w:t>
      </w:r>
    </w:p>
    <w:p>
      <w:pPr>
        <w:spacing w:after="0" w:line="177" w:lineRule="exact"/>
        <w:rPr>
          <w:rFonts w:ascii="Arial" w:cs="Arial" w:eastAsia="Arial" w:hAnsi="Arial"/>
          <w:sz w:val="17"/>
          <w:szCs w:val="17"/>
          <w:color w:val="auto"/>
        </w:rPr>
      </w:pPr>
    </w:p>
    <w:p>
      <w:pPr>
        <w:jc w:val="both"/>
        <w:ind w:left="-20" w:firstLine="1304"/>
        <w:spacing w:after="0" w:line="259" w:lineRule="auto"/>
        <w:tabs>
          <w:tab w:leader="none" w:pos="204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other circumstance whatsoever which may or might in any manner or to any extent vary the risk of any Guarantor as an obligor in respect of the Secured Obligations or which constitutes, or might be construed to constitute, an equitable or legal discharge of any Borrower or any other Guarantor for the Secured Obligations, or of such Guarantor under the guarantee contained in this Article X or of any security interest granted by any Guarantor, whether in an Insolvency or Liquidation Proceeding or in any other instance; or</w:t>
      </w:r>
    </w:p>
    <w:p>
      <w:pPr>
        <w:spacing w:after="0" w:line="186" w:lineRule="exact"/>
        <w:rPr>
          <w:rFonts w:ascii="Arial" w:cs="Arial" w:eastAsia="Arial" w:hAnsi="Arial"/>
          <w:sz w:val="18"/>
          <w:szCs w:val="18"/>
          <w:color w:val="auto"/>
        </w:rPr>
      </w:pPr>
    </w:p>
    <w:p>
      <w:pPr>
        <w:jc w:val="both"/>
        <w:ind w:left="-20" w:firstLine="1304"/>
        <w:spacing w:after="0" w:line="279" w:lineRule="auto"/>
        <w:tabs>
          <w:tab w:leader="none" w:pos="199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with respect to its obligations hereunder, each Guarantor hereby expressly waives diligence, presentment, demand of payment, protest and all notices whatsoever, and any requirement that the Administrative Agent, the Collateral Agent or any other holder of the Secured Obligations exhaust any right, power or remedy or proceed against any Person under any of the Loan Documents or other documents relating to the Secured Obligations, or against any other Person under any other guarantee of, or security for, any of the Secured Obligations.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208" w:name="page209"/>
    <w:bookmarkEnd w:id="208"/>
    <w:p>
      <w:pPr>
        <w:jc w:val="both"/>
        <w:ind w:firstLine="648"/>
        <w:spacing w:after="0" w:line="272"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Reinstatement</w:t>
      </w:r>
      <w:r>
        <w:rPr>
          <w:rFonts w:ascii="Arial" w:cs="Arial" w:eastAsia="Arial" w:hAnsi="Arial"/>
          <w:sz w:val="17"/>
          <w:szCs w:val="17"/>
          <w:color w:val="auto"/>
        </w:rPr>
        <w:t>. The obligations of each Guarantor under this Article X shall be automatically reinstated if and to the extent that for any reason any payment by or on behalf of any Person in respect of the Secured Obligations is rescinded or must be otherwise restored by any holder of any of the Secured Obligations, whether as a result of any proceedings under any Debtor Relief Law, and each Guarantor agrees that it will jointly and severally indemnify the Administrative Agent and each holder of the Secured Obligations on demand for all reasonable costs and expenses (including, without limitation, the fees, charges and disbursements of counsel) incurred by the Administrative Agent or such holder of the Secured Obligations in connection with such rescission or restoration, including any such costs and expenses incurred in defending against any claim alleging that such payment constituted a preference, fraudulent transfer or similar payment under any proceedings under any debtor relief law.</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Certain Additional Waivers</w:t>
      </w:r>
      <w:r>
        <w:rPr>
          <w:rFonts w:ascii="Arial" w:cs="Arial" w:eastAsia="Arial" w:hAnsi="Arial"/>
          <w:sz w:val="18"/>
          <w:szCs w:val="18"/>
          <w:color w:val="auto"/>
        </w:rPr>
        <w:t>. Each Guarantor further agrees that it shall have no right of recourse to security for the Secured Obligations, except through the exercise of rights of subrogation pursuant to Section 10.02 and through the exercise of rights of contribution pursuant to Section 10.06.</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Remedies</w:t>
      </w:r>
      <w:r>
        <w:rPr>
          <w:rFonts w:ascii="Arial" w:cs="Arial" w:eastAsia="Arial" w:hAnsi="Arial"/>
          <w:sz w:val="17"/>
          <w:szCs w:val="17"/>
          <w:color w:val="auto"/>
        </w:rPr>
        <w:t>. Each Guarantor agrees that, to the fullest extent permitted by law, as between the Guarantors, on the one hand, and the Administrative Agent, the Collateral Agent and the other holders of the Secured Obligations, on the other hand, the Secured Obligations may be declared to be forthwith due and payable as provided in Article VII (and shall be deemed to have become automatically due and payable in the circumstances provided in said Article VII) for purposes of Section 10.01 notwithstanding any stay, injunction or other prohibition preventing such declaration (or preventing the Secured Obligations from becoming automatically due and payable) as against any other Person and that, in the event of such declaration (or the Secured Obligations being deemed to have become automatically due and payable), the Secured Obligations (whether or not due and payable by any other Person) shall forthwith become due and payable by each Guarantor for purposes of Section 10.01. Each Guarantor acknowledges and agrees that its respective obligations hereunder are secured in accordance with the terms of the Collateral Documents and that the holders of the Secured Obligations may exercise their remedies thereunder in accordance with the terms thereof.</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Rights of Contribution</w:t>
      </w:r>
      <w:r>
        <w:rPr>
          <w:rFonts w:ascii="Arial" w:cs="Arial" w:eastAsia="Arial" w:hAnsi="Arial"/>
          <w:sz w:val="18"/>
          <w:szCs w:val="18"/>
          <w:color w:val="auto"/>
        </w:rPr>
        <w:t>. Each Guarantor agrees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Secured Obligations (other than Unliquidated Obligations for which no claim has been made) have been indefeasibly paid in full in cash and the Commitments have terminated.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Guaranty of Payment; Continuing Guarantee</w:t>
      </w:r>
      <w:r>
        <w:rPr>
          <w:rFonts w:ascii="Arial" w:cs="Arial" w:eastAsia="Arial" w:hAnsi="Arial"/>
          <w:sz w:val="18"/>
          <w:szCs w:val="18"/>
          <w:color w:val="auto"/>
        </w:rPr>
        <w:t xml:space="preserve">. The guarantee given by each Guarantor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is a guaranty of payment and not of collection, is a continuing guarantee, and shall apply to all Secured Obligations whenever arising.</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Guarantee Limitations</w:t>
      </w:r>
      <w:r>
        <w:rPr>
          <w:rFonts w:ascii="Arial" w:cs="Arial" w:eastAsia="Arial" w:hAnsi="Arial"/>
          <w:sz w:val="18"/>
          <w:szCs w:val="18"/>
          <w:color w:val="auto"/>
        </w:rPr>
        <w:t>. The guarantee given by each Guarantor incorporated in Ireland does not apply to any liability to the extent that it would result in this guarantee constituting unlawful financial assistance within the meaning of Section 82. Notwithstanding anything to the contrary contained in this Agreement or in any other Loan Documents, the guarantee obligations of each Guarantor established in Luxembourg or having its “centre of main interests” (as this term is used in Article 3(1) of the Insolvency Regulation) in Luxembourg (a “</w:t>
      </w:r>
      <w:r>
        <w:rPr>
          <w:rFonts w:ascii="Arial" w:cs="Arial" w:eastAsia="Arial" w:hAnsi="Arial"/>
          <w:sz w:val="18"/>
          <w:szCs w:val="18"/>
          <w:u w:val="single" w:color="auto"/>
          <w:color w:val="auto"/>
        </w:rPr>
        <w:t>Luxembourg Guarantor</w:t>
      </w:r>
      <w:r>
        <w:rPr>
          <w:rFonts w:ascii="Arial" w:cs="Arial" w:eastAsia="Arial" w:hAnsi="Arial"/>
          <w:sz w:val="18"/>
          <w:szCs w:val="18"/>
          <w:color w:val="auto"/>
        </w:rPr>
        <w:t>”) in respect of the obligations of Holdings or any of its Subsidiaries which is not a direct or indirect subsidiary of such relevant Luxembourg Guarantor shall be limited at any time to an aggregate amount not exceeding 95% of the greater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9" w:name="page210"/>
    <w:bookmarkEnd w:id="209"/>
    <w:p>
      <w:pPr>
        <w:jc w:val="both"/>
        <w:ind w:firstLine="1304"/>
        <w:spacing w:after="0" w:line="273" w:lineRule="auto"/>
        <w:tabs>
          <w:tab w:leader="none" w:pos="208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Luxembourg Guarantor's own funds (</w:t>
      </w:r>
      <w:r>
        <w:rPr>
          <w:rFonts w:ascii="Arial" w:cs="Arial" w:eastAsia="Arial" w:hAnsi="Arial"/>
          <w:sz w:val="17"/>
          <w:szCs w:val="17"/>
          <w:i w:val="1"/>
          <w:iCs w:val="1"/>
          <w:color w:val="auto"/>
        </w:rPr>
        <w:t>capitaux propres</w:t>
      </w:r>
      <w:r>
        <w:rPr>
          <w:rFonts w:ascii="Arial" w:cs="Arial" w:eastAsia="Arial" w:hAnsi="Arial"/>
          <w:sz w:val="17"/>
          <w:szCs w:val="17"/>
          <w:color w:val="auto"/>
        </w:rPr>
        <w:t>), as referred to in Annex I to the grand-ducal regulation dated 18 December 2015 defining the form and content of the presentation of the balance sheet and profit and loss account, and enforcing the Luxembourg Law dated 19 December 2002 concerning the trade and companies register and the accounting and annual accounts of undertakings (the “</w:t>
      </w:r>
      <w:r>
        <w:rPr>
          <w:rFonts w:ascii="Arial" w:cs="Arial" w:eastAsia="Arial" w:hAnsi="Arial"/>
          <w:sz w:val="17"/>
          <w:szCs w:val="17"/>
          <w:u w:val="single" w:color="auto"/>
          <w:color w:val="auto"/>
        </w:rPr>
        <w:t>Regulation</w:t>
      </w:r>
      <w:r>
        <w:rPr>
          <w:rFonts w:ascii="Arial" w:cs="Arial" w:eastAsia="Arial" w:hAnsi="Arial"/>
          <w:sz w:val="17"/>
          <w:szCs w:val="17"/>
          <w:color w:val="auto"/>
        </w:rPr>
        <w:t>”), as increased by the amount of any debts owed to the Luxembourg Guarantor by a company of the same group of the Luxembourg Guarantor, as shown in (x) the latest interim financial statements available (if any), at the date of demand of payment under this Agreement or, if not available, (y) the latest annual financial statements (</w:t>
      </w:r>
      <w:r>
        <w:rPr>
          <w:rFonts w:ascii="Arial" w:cs="Arial" w:eastAsia="Arial" w:hAnsi="Arial"/>
          <w:sz w:val="17"/>
          <w:szCs w:val="17"/>
          <w:i w:val="1"/>
          <w:iCs w:val="1"/>
          <w:color w:val="auto"/>
        </w:rPr>
        <w:t>comptes annuels</w:t>
      </w:r>
      <w:r>
        <w:rPr>
          <w:rFonts w:ascii="Arial" w:cs="Arial" w:eastAsia="Arial" w:hAnsi="Arial"/>
          <w:sz w:val="17"/>
          <w:szCs w:val="17"/>
          <w:color w:val="auto"/>
        </w:rPr>
        <w:t>) available at the date of demand of payment under this Agreement; and</w:t>
      </w:r>
    </w:p>
    <w:p>
      <w:pPr>
        <w:spacing w:after="0" w:line="177" w:lineRule="exact"/>
        <w:rPr>
          <w:rFonts w:ascii="Arial" w:cs="Arial" w:eastAsia="Arial" w:hAnsi="Arial"/>
          <w:sz w:val="17"/>
          <w:szCs w:val="17"/>
          <w:color w:val="auto"/>
        </w:rPr>
      </w:pPr>
    </w:p>
    <w:p>
      <w:pPr>
        <w:ind w:right="20" w:firstLine="1304"/>
        <w:spacing w:after="0" w:line="342" w:lineRule="auto"/>
        <w:tabs>
          <w:tab w:leader="none" w:pos="200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Luxembourg Guarantor’s own funds (</w:t>
      </w:r>
      <w:r>
        <w:rPr>
          <w:rFonts w:ascii="Arial" w:cs="Arial" w:eastAsia="Arial" w:hAnsi="Arial"/>
          <w:sz w:val="16"/>
          <w:szCs w:val="16"/>
          <w:i w:val="1"/>
          <w:iCs w:val="1"/>
          <w:color w:val="auto"/>
        </w:rPr>
        <w:t>capitaux propres</w:t>
      </w:r>
      <w:r>
        <w:rPr>
          <w:rFonts w:ascii="Arial" w:cs="Arial" w:eastAsia="Arial" w:hAnsi="Arial"/>
          <w:sz w:val="16"/>
          <w:szCs w:val="16"/>
          <w:color w:val="auto"/>
        </w:rPr>
        <w:t>), as referred to in the Regulation, as increased by the amount of any debts owed to the Luxembourg Guarantor by a company of the same group of the Luxembourg Guarantor, at the date of entry into this Agreement.</w:t>
      </w:r>
    </w:p>
    <w:p>
      <w:pPr>
        <w:spacing w:after="0" w:line="12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limitation set forth under items (a) and (b) above shall not apply to any amounts borrowed under this Agreement and made available, in any form whatsoever, to the Luxembourg Guarantor or any of its direct or indirect subsidiaries.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Should the financial information referred to in clause (a) and (b) above not be available on the date of this Agreement or on the date the guarantee is called, as the case may be, such financial information will be determined by Administrative Agent or any other person designated by Administrative Agent, acting reasonably, in accordance with the Luxembourg accounting principles applicable to the Luxembourg Guarantor and at the cost of the Luxembourg Guarantor.</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u w:val="single" w:color="auto"/>
          <w:color w:val="auto"/>
        </w:rPr>
        <w:t>Keepwell.</w:t>
      </w:r>
      <w:r>
        <w:rPr>
          <w:rFonts w:ascii="Arial" w:cs="Arial" w:eastAsia="Arial" w:hAnsi="Arial"/>
          <w:sz w:val="16"/>
          <w:szCs w:val="16"/>
          <w:color w:val="auto"/>
        </w:rPr>
        <w:t xml:space="preserve"> Each Qualified ECP Guarantor hereby jointly and severally absolutely, unconditionally and irrevocably undertakes to provide such funds or other support as may be needed from time to time by each other Loan Party to honor all of its obligations under the Guarantees in respect of Swap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Qualified ECP Guarantor shall only be liable under this Section 10.09 for the maximum amount of such liability that can be hereby incurred without rendering its obligations under this Section 10.09, or otherwise under the Guarantees, as it relates to such Loan Party, voidable under applicable law relating to fraudulent conveyance or fraudulent transfer, and not for any greater amount). The obligations of each Qualified ECP Guarantor under this Section 10.09 shall remain in full force and effect until a discharge of Secured Obligations. Each Qualified ECP Guarantor intends that this Section 10.09 constitute, and this Section 10.09 shall be deemed to constitute, a “keepwell, support, or other agreement” for the benefit of each other Loan Party for all purposes of Section 1a(18)(A)(v)(II) of the Commodity Exchange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0" w:name="page211"/>
    <w:bookmarkEnd w:id="210"/>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or other authorized signatories as of the day and year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ICON PUBLIC LIMITED COMPANY, as Holdings, by its lawfully</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appointed attorney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ICON LUXEMBOURG, S.À R.L., as the Lux Borrower and as a Revolving</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Authorised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INDIGO MERGER SUB,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PRA HEALTH SCIENCES, INC., each as U.S. Borrowers</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jc w:val="center"/>
        <w:ind w:left="5940"/>
        <w:spacing w:after="0"/>
        <w:tabs>
          <w:tab w:leader="none" w:pos="200" w:val="left"/>
        </w:tabs>
        <w:rPr>
          <w:sz w:val="20"/>
          <w:szCs w:val="20"/>
          <w:color w:val="auto"/>
        </w:rPr>
      </w:pPr>
      <w:r>
        <w:rPr>
          <w:rFonts w:ascii="Arial" w:cs="Arial" w:eastAsia="Arial" w:hAnsi="Arial"/>
          <w:sz w:val="18"/>
          <w:szCs w:val="18"/>
          <w:color w:val="auto"/>
        </w:rPr>
        <w:t>Title:</w:t>
        <w:tab/>
        <w:t>Secretary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of ICON CLINICAL RESEARCH LIMITED, as a Revolving Borrower, by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lawfully appointed attorney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of ICON GLOBAL TREASURY UNLIMITED COMPANY, as a Revolving</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Borrower, by its lawfully appointed attorney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1" w:name="page212"/>
    <w:bookmarkEnd w:id="211"/>
    <w:p>
      <w:pPr>
        <w:ind w:left="4520"/>
        <w:spacing w:after="0"/>
        <w:rPr>
          <w:sz w:val="20"/>
          <w:szCs w:val="20"/>
          <w:color w:val="auto"/>
        </w:rPr>
      </w:pPr>
      <w:r>
        <w:rPr>
          <w:rFonts w:ascii="Arial" w:cs="Arial" w:eastAsia="Arial" w:hAnsi="Arial"/>
          <w:sz w:val="18"/>
          <w:szCs w:val="18"/>
          <w:color w:val="auto"/>
        </w:rPr>
        <w:t>ICON US HOLDINGS INC., as a Revolving Borrower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484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ICON CLINICAL INVESTMENTS, LLC, as the Lux U.S. Subsidiary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tabs>
          <w:tab w:leader="none" w:pos="5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Diarmaid Cunningham</w:t>
      </w:r>
    </w:p>
    <w:p>
      <w:pPr>
        <w:spacing w:after="0" w:line="23" w:lineRule="exact"/>
        <w:rPr>
          <w:sz w:val="20"/>
          <w:szCs w:val="20"/>
          <w:color w:val="auto"/>
        </w:rPr>
      </w:pPr>
    </w:p>
    <w:p>
      <w:pPr>
        <w:ind w:left="4840"/>
        <w:spacing w:after="0"/>
        <w:tabs>
          <w:tab w:leader="none" w:pos="5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4840" w:hanging="323"/>
        <w:spacing w:after="0" w:line="260" w:lineRule="auto"/>
        <w:rPr>
          <w:sz w:val="20"/>
          <w:szCs w:val="20"/>
          <w:color w:val="auto"/>
        </w:rPr>
      </w:pPr>
      <w:r>
        <w:rPr>
          <w:rFonts w:ascii="Arial" w:cs="Arial" w:eastAsia="Arial" w:hAnsi="Arial"/>
          <w:sz w:val="18"/>
          <w:szCs w:val="18"/>
          <w:color w:val="auto"/>
        </w:rPr>
        <w:t>of ICON HOLDINGS UNLIMITED COMPANY, by its lawfully appointed attorney</w:t>
      </w:r>
    </w:p>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of DOCS RESOURCING LIMITED, by its lawfully appointed attorney</w:t>
      </w: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4840" w:hanging="323"/>
        <w:spacing w:after="0" w:line="260" w:lineRule="auto"/>
        <w:rPr>
          <w:sz w:val="20"/>
          <w:szCs w:val="20"/>
          <w:color w:val="auto"/>
        </w:rPr>
      </w:pPr>
      <w:r>
        <w:rPr>
          <w:rFonts w:ascii="Arial" w:cs="Arial" w:eastAsia="Arial" w:hAnsi="Arial"/>
          <w:sz w:val="18"/>
          <w:szCs w:val="18"/>
          <w:color w:val="auto"/>
        </w:rPr>
        <w:t>of ICON CLINICAL INTERNATIONAL UNLIMITED COMPANY, by its lawfully appointed attorney</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960"/>
          </w:cols>
          <w:pgMar w:left="1440" w:top="800" w:right="499" w:bottom="1440" w:gutter="0" w:footer="0" w:header="0"/>
        </w:sectPr>
      </w:pPr>
    </w:p>
    <w:bookmarkStart w:id="212" w:name="page213"/>
    <w:bookmarkEnd w:id="212"/>
    <w:p>
      <w:pPr>
        <w:ind w:left="452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of ICON CLINICAL RESEARCH PROPERTY DEVELOPMENT</w:t>
      </w:r>
    </w:p>
    <w:p>
      <w:pPr>
        <w:spacing w:after="0" w:line="9"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(IRELAND) LIMITED, by its lawfully appointed attorney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of ACCELLACARE LIMITED, by its lawfully appointed attorney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4840" w:right="220" w:hanging="323"/>
        <w:spacing w:after="0" w:line="260" w:lineRule="auto"/>
        <w:rPr>
          <w:sz w:val="20"/>
          <w:szCs w:val="20"/>
          <w:color w:val="auto"/>
        </w:rPr>
      </w:pPr>
      <w:r>
        <w:rPr>
          <w:rFonts w:ascii="Arial" w:cs="Arial" w:eastAsia="Arial" w:hAnsi="Arial"/>
          <w:sz w:val="18"/>
          <w:szCs w:val="18"/>
          <w:color w:val="auto"/>
        </w:rPr>
        <w:t>of ICON OPERATIONAL HOLDINGS UNLIMITED COMPANY, by its lawfully appointed attorney</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4840" w:right="160" w:hanging="323"/>
        <w:spacing w:after="0" w:line="260" w:lineRule="auto"/>
        <w:rPr>
          <w:sz w:val="20"/>
          <w:szCs w:val="20"/>
          <w:color w:val="auto"/>
        </w:rPr>
      </w:pPr>
      <w:r>
        <w:rPr>
          <w:rFonts w:ascii="Arial" w:cs="Arial" w:eastAsia="Arial" w:hAnsi="Arial"/>
          <w:sz w:val="18"/>
          <w:szCs w:val="18"/>
          <w:color w:val="auto"/>
        </w:rPr>
        <w:t>of ICON OPERATIONAL FINANCING UNLIMITED COMPANY, by its lawfully appointed attorney</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4840" w:hanging="323"/>
        <w:spacing w:after="0" w:line="260" w:lineRule="auto"/>
        <w:rPr>
          <w:sz w:val="20"/>
          <w:szCs w:val="20"/>
          <w:color w:val="auto"/>
        </w:rPr>
      </w:pPr>
      <w:r>
        <w:rPr>
          <w:rFonts w:ascii="Arial" w:cs="Arial" w:eastAsia="Arial" w:hAnsi="Arial"/>
          <w:sz w:val="18"/>
          <w:szCs w:val="18"/>
          <w:color w:val="auto"/>
        </w:rPr>
        <w:t>of ICON INVESTMENTS FOUR UNLIMITED COMPANY, by its lawfully appointed attorney</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060"/>
          </w:cols>
          <w:pgMar w:left="1440" w:top="800" w:right="399" w:bottom="1440" w:gutter="0" w:footer="0" w:header="0"/>
        </w:sectPr>
      </w:pPr>
    </w:p>
    <w:bookmarkStart w:id="213" w:name="page214"/>
    <w:bookmarkEnd w:id="213"/>
    <w:p>
      <w:pPr>
        <w:ind w:left="4520"/>
        <w:spacing w:after="0"/>
        <w:rPr>
          <w:sz w:val="20"/>
          <w:szCs w:val="20"/>
          <w:color w:val="auto"/>
        </w:rPr>
      </w:pPr>
      <w:r>
        <w:rPr>
          <w:rFonts w:ascii="Arial" w:cs="Arial" w:eastAsia="Arial" w:hAnsi="Arial"/>
          <w:sz w:val="18"/>
          <w:szCs w:val="18"/>
          <w:color w:val="auto"/>
        </w:rPr>
        <w:t>SIGNED for and on behalf</w:t>
      </w:r>
    </w:p>
    <w:p>
      <w:pPr>
        <w:spacing w:after="0" w:line="23" w:lineRule="exact"/>
        <w:rPr>
          <w:sz w:val="20"/>
          <w:szCs w:val="20"/>
          <w:color w:val="auto"/>
        </w:rPr>
      </w:pPr>
    </w:p>
    <w:p>
      <w:pPr>
        <w:ind w:left="4840" w:hanging="323"/>
        <w:spacing w:after="0" w:line="260" w:lineRule="auto"/>
        <w:rPr>
          <w:sz w:val="20"/>
          <w:szCs w:val="20"/>
          <w:color w:val="auto"/>
        </w:rPr>
      </w:pPr>
      <w:r>
        <w:rPr>
          <w:rFonts w:ascii="Arial" w:cs="Arial" w:eastAsia="Arial" w:hAnsi="Arial"/>
          <w:sz w:val="18"/>
          <w:szCs w:val="18"/>
          <w:color w:val="auto"/>
        </w:rPr>
        <w:t>of ICON CLINICAL GLOBAL HOLDINGS UNLIMITED COMPANY, by its lawfully appointed attorney</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Diarmaid Cunningham</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BEACON BIOSCIENCE,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ICON CLINICAL RESEARCH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ICON LABORATORY SERVICES,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PRICESPECTIVE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tabs>
          <w:tab w:leader="none" w:pos="5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Diarmaid Cunningham</w:t>
      </w:r>
    </w:p>
    <w:p>
      <w:pPr>
        <w:spacing w:after="0" w:line="23" w:lineRule="exact"/>
        <w:rPr>
          <w:sz w:val="20"/>
          <w:szCs w:val="20"/>
          <w:color w:val="auto"/>
        </w:rPr>
      </w:pPr>
    </w:p>
    <w:p>
      <w:pPr>
        <w:ind w:left="4840"/>
        <w:spacing w:after="0"/>
        <w:tabs>
          <w:tab w:leader="none" w:pos="5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ICON EARLY PHASE SERVICES,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MOLECULARMD CORP.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DOCS GLOBAL, INC.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ACCELLACARE US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484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CLINICAL RESOURCE NETWORK,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CRN HOLDINGS,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Simon Hollywood</w:t>
      </w:r>
    </w:p>
    <w:p>
      <w:pPr>
        <w:spacing w:after="0" w:line="23" w:lineRule="exact"/>
        <w:rPr>
          <w:sz w:val="20"/>
          <w:szCs w:val="20"/>
          <w:color w:val="auto"/>
        </w:rPr>
      </w:pPr>
    </w:p>
    <w:p>
      <w:pPr>
        <w:ind w:left="484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000"/>
          </w:cols>
          <w:pgMar w:left="1440" w:top="800" w:right="459" w:bottom="1440" w:gutter="0" w:footer="0" w:header="0"/>
        </w:sectPr>
      </w:pPr>
    </w:p>
    <w:bookmarkStart w:id="214" w:name="page215"/>
    <w:bookmarkEnd w:id="214"/>
    <w:p>
      <w:pPr>
        <w:ind w:left="4500"/>
        <w:spacing w:after="0"/>
        <w:rPr>
          <w:sz w:val="20"/>
          <w:szCs w:val="20"/>
          <w:color w:val="auto"/>
        </w:rPr>
      </w:pPr>
      <w:r>
        <w:rPr>
          <w:rFonts w:ascii="Arial" w:cs="Arial" w:eastAsia="Arial" w:hAnsi="Arial"/>
          <w:sz w:val="18"/>
          <w:szCs w:val="18"/>
          <w:color w:val="auto"/>
        </w:rPr>
        <w:t>RESEARCH PHARMACEUTICAL SERVICES, INC.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SOURCE HEALTHCARE ANALYTICS,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SYMPHONY HEALTH SOLUTIONS CORPORATION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PHARMACEUTICAL RESEARCH ASSOCIATES, INC.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PRA HOLDINGS,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PRA INTERNATIONAL,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RPS GLOBAL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RPS PARENT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ROY RPS HOLDINGS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Diarmaid Cunningham</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Assistant Secretary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15" w:name="page216"/>
    <w:bookmarkEnd w:id="215"/>
    <w:p>
      <w:pPr>
        <w:ind w:left="45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individually, as Administrative Agent, Term Lender, Term Lender,</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Revolving Lender, Issuing Bank and Swingline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Stuart Dickson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Stuart Dickson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Director &amp;Vice President</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620"/>
          </w:cols>
          <w:pgMar w:left="1440" w:top="800" w:right="839" w:bottom="1440" w:gutter="0" w:footer="0" w:header="0"/>
        </w:sectPr>
      </w:pPr>
    </w:p>
    <w:bookmarkStart w:id="216" w:name="page217"/>
    <w:bookmarkEnd w:id="216"/>
    <w:p>
      <w:pPr>
        <w:ind w:left="4520"/>
        <w:spacing w:after="0"/>
        <w:rPr>
          <w:sz w:val="20"/>
          <w:szCs w:val="20"/>
          <w:color w:val="auto"/>
        </w:rPr>
      </w:pPr>
      <w:r>
        <w:rPr>
          <w:rFonts w:ascii="Arial" w:cs="Arial" w:eastAsia="Arial" w:hAnsi="Arial"/>
          <w:sz w:val="17"/>
          <w:szCs w:val="17"/>
          <w:color w:val="auto"/>
        </w:rPr>
        <w:t>CITIBANK, N.A., LONDON BRANCH,</w:t>
      </w:r>
    </w:p>
    <w:p>
      <w:pPr>
        <w:spacing w:after="0" w:line="3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Alicia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Alicia Pike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17" w:name="page218"/>
    <w:bookmarkEnd w:id="217"/>
    <w:p>
      <w:pPr>
        <w:jc w:val="center"/>
        <w:ind w:left="2180"/>
        <w:spacing w:after="0"/>
        <w:rPr>
          <w:sz w:val="20"/>
          <w:szCs w:val="20"/>
          <w:color w:val="auto"/>
        </w:rPr>
      </w:pPr>
      <w:r>
        <w:rPr>
          <w:rFonts w:ascii="Arial" w:cs="Arial" w:eastAsia="Arial" w:hAnsi="Arial"/>
          <w:sz w:val="18"/>
          <w:szCs w:val="18"/>
          <w:color w:val="auto"/>
        </w:rPr>
        <w:t>BANCO SANTANDER S.A.,</w:t>
      </w:r>
    </w:p>
    <w:p>
      <w:pPr>
        <w:spacing w:after="0" w:line="23" w:lineRule="exact"/>
        <w:rPr>
          <w:sz w:val="20"/>
          <w:szCs w:val="20"/>
          <w:color w:val="auto"/>
        </w:rPr>
      </w:pPr>
    </w:p>
    <w:p>
      <w:pPr>
        <w:jc w:val="center"/>
        <w:ind w:left="2160"/>
        <w:spacing w:after="0"/>
        <w:rPr>
          <w:sz w:val="20"/>
          <w:szCs w:val="20"/>
          <w:color w:val="auto"/>
        </w:rPr>
      </w:pPr>
      <w:r>
        <w:rPr>
          <w:rFonts w:ascii="Arial" w:cs="Arial" w:eastAsia="Arial" w:hAnsi="Arial"/>
          <w:sz w:val="18"/>
          <w:szCs w:val="18"/>
          <w:color w:val="auto"/>
        </w:rPr>
        <w:t>as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Frederic Hauteville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Frederic Hauteville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Title: Head of Santander CIB France &amp; Ireland</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Daniel Hagge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Daniel Hagge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18" w:name="page219"/>
    <w:bookmarkEnd w:id="218"/>
    <w:p>
      <w:pPr>
        <w:ind w:left="4520"/>
        <w:spacing w:after="0"/>
        <w:rPr>
          <w:sz w:val="20"/>
          <w:szCs w:val="20"/>
          <w:color w:val="auto"/>
        </w:rPr>
      </w:pPr>
      <w:r>
        <w:rPr>
          <w:rFonts w:ascii="Arial" w:cs="Arial" w:eastAsia="Arial" w:hAnsi="Arial"/>
          <w:sz w:val="18"/>
          <w:szCs w:val="18"/>
          <w:color w:val="auto"/>
        </w:rPr>
        <w:t>HSBC CONTINENTAL EUROPE SA,</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Carine Feuerstein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Carine Feuerstein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Title: Deputy Head of International ECBC France Commercial Banking</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Sebastien Guillo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Sebastien Guillo</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Head of International ECBC France Commercial Banking</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060"/>
          </w:cols>
          <w:pgMar w:left="1440" w:top="800" w:right="399" w:bottom="1440" w:gutter="0" w:footer="0" w:header="0"/>
        </w:sectPr>
      </w:pPr>
    </w:p>
    <w:bookmarkStart w:id="219" w:name="page220"/>
    <w:bookmarkEnd w:id="219"/>
    <w:p>
      <w:pPr>
        <w:ind w:left="4520"/>
        <w:spacing w:after="0"/>
        <w:rPr>
          <w:sz w:val="20"/>
          <w:szCs w:val="20"/>
          <w:color w:val="auto"/>
        </w:rPr>
      </w:pPr>
      <w:r>
        <w:rPr>
          <w:rFonts w:ascii="Arial" w:cs="Arial" w:eastAsia="Arial" w:hAnsi="Arial"/>
          <w:sz w:val="17"/>
          <w:szCs w:val="17"/>
          <w:color w:val="auto"/>
        </w:rPr>
        <w:t>JPMORGAN CHASE BANK, N.A., LONDON BRANCH,</w:t>
      </w:r>
    </w:p>
    <w:p>
      <w:pPr>
        <w:spacing w:after="0" w:line="3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Louise Wyatt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Louise Wyatt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20" w:name="page221"/>
    <w:bookmarkEnd w:id="220"/>
    <w:p>
      <w:pPr>
        <w:ind w:left="4520"/>
        <w:spacing w:after="0"/>
        <w:rPr>
          <w:sz w:val="20"/>
          <w:szCs w:val="20"/>
          <w:color w:val="auto"/>
        </w:rPr>
      </w:pPr>
      <w:r>
        <w:rPr>
          <w:rFonts w:ascii="Arial" w:cs="Arial" w:eastAsia="Arial" w:hAnsi="Arial"/>
          <w:sz w:val="17"/>
          <w:szCs w:val="17"/>
          <w:color w:val="auto"/>
        </w:rPr>
        <w:t>MORGAN STANLEY SENIOR FUNDING, INC.,</w:t>
      </w:r>
    </w:p>
    <w:p>
      <w:pPr>
        <w:spacing w:after="0" w:line="3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Jennifer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Jennifer DeFazio</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431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99.2</w:t>
      </w:r>
    </w:p>
    <w:p>
      <w:pPr>
        <w:spacing w:after="0" w:line="25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INDIGO MERGER SUB,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to be merged with and into</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PRA HEALTH SCIENCES, INC.</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2.875% SENIOR SECURED NOTES DUE 2026</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July 1, 2021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CITIBANK, N.A., LONDON BRANCH,</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as Trustee, as Notes Collateral Agent, as Paying Agent, as Transfer Agent and as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7100" w:type="dxa"/>
            <w:vAlign w:val="bottom"/>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6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1.01</w:t>
            </w:r>
          </w:p>
        </w:tc>
        <w:tc>
          <w:tcPr>
            <w:tcW w:w="710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1.02</w:t>
            </w:r>
          </w:p>
        </w:tc>
        <w:tc>
          <w:tcPr>
            <w:tcW w:w="7100" w:type="dxa"/>
            <w:vAlign w:val="bottom"/>
          </w:tcPr>
          <w:p>
            <w:pPr>
              <w:ind w:left="80"/>
              <w:spacing w:after="0"/>
              <w:rPr>
                <w:sz w:val="20"/>
                <w:szCs w:val="20"/>
                <w:color w:val="auto"/>
              </w:rPr>
            </w:pPr>
            <w:r>
              <w:rPr>
                <w:rFonts w:ascii="Arial" w:cs="Arial" w:eastAsia="Arial" w:hAnsi="Arial"/>
                <w:sz w:val="18"/>
                <w:szCs w:val="18"/>
                <w:color w:val="auto"/>
              </w:rPr>
              <w:t>Other 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1.03  Rules of Construction</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1.04  Certain Compliance Calculations / Limited Condition Transactions.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1.05</w:t>
            </w:r>
          </w:p>
        </w:tc>
        <w:tc>
          <w:tcPr>
            <w:tcW w:w="7100" w:type="dxa"/>
            <w:vAlign w:val="bottom"/>
          </w:tcPr>
          <w:p>
            <w:pPr>
              <w:ind w:left="80"/>
              <w:spacing w:after="0"/>
              <w:rPr>
                <w:sz w:val="20"/>
                <w:szCs w:val="20"/>
                <w:color w:val="auto"/>
              </w:rPr>
            </w:pPr>
            <w:r>
              <w:rPr>
                <w:rFonts w:ascii="Arial" w:cs="Arial" w:eastAsia="Arial" w:hAnsi="Arial"/>
                <w:sz w:val="18"/>
                <w:szCs w:val="18"/>
                <w:color w:val="auto"/>
              </w:rPr>
              <w:t>Divisions.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1.06</w:t>
            </w:r>
          </w:p>
        </w:tc>
        <w:tc>
          <w:tcPr>
            <w:tcW w:w="7100" w:type="dxa"/>
            <w:vAlign w:val="bottom"/>
          </w:tcPr>
          <w:p>
            <w:pPr>
              <w:ind w:left="80"/>
              <w:spacing w:after="0"/>
              <w:rPr>
                <w:sz w:val="20"/>
                <w:szCs w:val="20"/>
                <w:color w:val="auto"/>
              </w:rPr>
            </w:pPr>
            <w:r>
              <w:rPr>
                <w:rFonts w:ascii="Arial" w:cs="Arial" w:eastAsia="Arial" w:hAnsi="Arial"/>
                <w:sz w:val="18"/>
                <w:szCs w:val="18"/>
                <w:color w:val="auto"/>
              </w:rPr>
              <w:t>Luxembourg Terms.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2 THE NOTES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2.01  Form and Dating</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2.02  Execution and Authentication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2.03  Registrar and Paying Agent</w:t>
            </w:r>
          </w:p>
        </w:tc>
        <w:tc>
          <w:tcPr>
            <w:tcW w:w="2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2.04  Paying Agent to Hold Money.</w:t>
            </w:r>
          </w:p>
        </w:tc>
        <w:tc>
          <w:tcPr>
            <w:tcW w:w="2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2.05</w:t>
            </w:r>
          </w:p>
        </w:tc>
        <w:tc>
          <w:tcPr>
            <w:tcW w:w="7100" w:type="dxa"/>
            <w:vAlign w:val="bottom"/>
          </w:tcPr>
          <w:p>
            <w:pPr>
              <w:ind w:left="80"/>
              <w:spacing w:after="0"/>
              <w:rPr>
                <w:sz w:val="20"/>
                <w:szCs w:val="20"/>
                <w:color w:val="auto"/>
              </w:rPr>
            </w:pPr>
            <w:r>
              <w:rPr>
                <w:rFonts w:ascii="Arial" w:cs="Arial" w:eastAsia="Arial" w:hAnsi="Arial"/>
                <w:sz w:val="18"/>
                <w:szCs w:val="18"/>
                <w:color w:val="auto"/>
              </w:rPr>
              <w:t>Holder Lists</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2.06  Transfer and Exchange</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2.07</w:t>
            </w:r>
          </w:p>
        </w:tc>
        <w:tc>
          <w:tcPr>
            <w:tcW w:w="7100" w:type="dxa"/>
            <w:vAlign w:val="bottom"/>
          </w:tcPr>
          <w:p>
            <w:pPr>
              <w:ind w:left="80"/>
              <w:spacing w:after="0"/>
              <w:rPr>
                <w:sz w:val="20"/>
                <w:szCs w:val="20"/>
                <w:color w:val="auto"/>
              </w:rPr>
            </w:pPr>
            <w:r>
              <w:rPr>
                <w:rFonts w:ascii="Arial" w:cs="Arial" w:eastAsia="Arial" w:hAnsi="Arial"/>
                <w:sz w:val="18"/>
                <w:szCs w:val="18"/>
                <w:color w:val="auto"/>
              </w:rPr>
              <w:t>Replacement Notes</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2.08</w:t>
            </w:r>
          </w:p>
        </w:tc>
        <w:tc>
          <w:tcPr>
            <w:tcW w:w="7100" w:type="dxa"/>
            <w:vAlign w:val="bottom"/>
          </w:tcPr>
          <w:p>
            <w:pPr>
              <w:ind w:left="80"/>
              <w:spacing w:after="0"/>
              <w:rPr>
                <w:sz w:val="20"/>
                <w:szCs w:val="20"/>
                <w:color w:val="auto"/>
              </w:rPr>
            </w:pPr>
            <w:r>
              <w:rPr>
                <w:rFonts w:ascii="Arial" w:cs="Arial" w:eastAsia="Arial" w:hAnsi="Arial"/>
                <w:sz w:val="18"/>
                <w:szCs w:val="18"/>
                <w:color w:val="auto"/>
              </w:rPr>
              <w:t>Outstanding Notes</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2.09</w:t>
            </w:r>
          </w:p>
        </w:tc>
        <w:tc>
          <w:tcPr>
            <w:tcW w:w="7100" w:type="dxa"/>
            <w:vAlign w:val="bottom"/>
          </w:tcPr>
          <w:p>
            <w:pPr>
              <w:ind w:left="60"/>
              <w:spacing w:after="0"/>
              <w:rPr>
                <w:sz w:val="20"/>
                <w:szCs w:val="20"/>
                <w:color w:val="auto"/>
              </w:rPr>
            </w:pPr>
            <w:r>
              <w:rPr>
                <w:rFonts w:ascii="Arial" w:cs="Arial" w:eastAsia="Arial" w:hAnsi="Arial"/>
                <w:sz w:val="18"/>
                <w:szCs w:val="18"/>
                <w:color w:val="auto"/>
              </w:rPr>
              <w:t>Treasury Notes</w:t>
            </w: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2.10</w:t>
            </w:r>
          </w:p>
        </w:tc>
        <w:tc>
          <w:tcPr>
            <w:tcW w:w="7100" w:type="dxa"/>
            <w:vAlign w:val="bottom"/>
          </w:tcPr>
          <w:p>
            <w:pPr>
              <w:ind w:left="60"/>
              <w:spacing w:after="0"/>
              <w:rPr>
                <w:sz w:val="20"/>
                <w:szCs w:val="20"/>
                <w:color w:val="auto"/>
              </w:rPr>
            </w:pPr>
            <w:r>
              <w:rPr>
                <w:rFonts w:ascii="Arial" w:cs="Arial" w:eastAsia="Arial" w:hAnsi="Arial"/>
                <w:sz w:val="18"/>
                <w:szCs w:val="18"/>
                <w:color w:val="auto"/>
              </w:rPr>
              <w:t>Temporary Notes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2.11</w:t>
            </w:r>
          </w:p>
        </w:tc>
        <w:tc>
          <w:tcPr>
            <w:tcW w:w="7100" w:type="dxa"/>
            <w:vAlign w:val="bottom"/>
          </w:tcPr>
          <w:p>
            <w:pPr>
              <w:ind w:left="60"/>
              <w:spacing w:after="0"/>
              <w:rPr>
                <w:sz w:val="20"/>
                <w:szCs w:val="20"/>
                <w:color w:val="auto"/>
              </w:rPr>
            </w:pPr>
            <w:r>
              <w:rPr>
                <w:rFonts w:ascii="Arial" w:cs="Arial" w:eastAsia="Arial" w:hAnsi="Arial"/>
                <w:sz w:val="18"/>
                <w:szCs w:val="18"/>
                <w:color w:val="auto"/>
              </w:rPr>
              <w:t>Cancellation</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2.12</w:t>
            </w:r>
          </w:p>
        </w:tc>
        <w:tc>
          <w:tcPr>
            <w:tcW w:w="7100" w:type="dxa"/>
            <w:vAlign w:val="bottom"/>
          </w:tcPr>
          <w:p>
            <w:pPr>
              <w:ind w:left="80"/>
              <w:spacing w:after="0"/>
              <w:rPr>
                <w:sz w:val="20"/>
                <w:szCs w:val="20"/>
                <w:color w:val="auto"/>
              </w:rPr>
            </w:pPr>
            <w:r>
              <w:rPr>
                <w:rFonts w:ascii="Arial" w:cs="Arial" w:eastAsia="Arial" w:hAnsi="Arial"/>
                <w:sz w:val="18"/>
                <w:szCs w:val="18"/>
                <w:color w:val="auto"/>
              </w:rPr>
              <w:t>Defaulted Interest</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2.13  CUSIP or ISIN Numbers.</w:t>
            </w:r>
          </w:p>
        </w:tc>
        <w:tc>
          <w:tcPr>
            <w:tcW w:w="2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2.14</w:t>
            </w:r>
          </w:p>
        </w:tc>
        <w:tc>
          <w:tcPr>
            <w:tcW w:w="7100" w:type="dxa"/>
            <w:vAlign w:val="bottom"/>
          </w:tcPr>
          <w:p>
            <w:pPr>
              <w:ind w:left="60"/>
              <w:spacing w:after="0"/>
              <w:rPr>
                <w:sz w:val="20"/>
                <w:szCs w:val="20"/>
                <w:color w:val="auto"/>
              </w:rPr>
            </w:pPr>
            <w:r>
              <w:rPr>
                <w:rFonts w:ascii="Arial" w:cs="Arial" w:eastAsia="Arial" w:hAnsi="Arial"/>
                <w:sz w:val="18"/>
                <w:szCs w:val="18"/>
                <w:color w:val="auto"/>
              </w:rPr>
              <w:t>Agents.</w:t>
            </w:r>
          </w:p>
        </w:tc>
        <w:tc>
          <w:tcPr>
            <w:tcW w:w="2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3 REDEMPTION AND PREPAYMENT</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18"/>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3.01  Notices to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3.02  Selection of Notes to Be Redeemed or Purchased</w:t>
            </w: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3.03  Notice of Redemption</w:t>
            </w:r>
          </w:p>
        </w:tc>
        <w:tc>
          <w:tcPr>
            <w:tcW w:w="2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3.04  Effect of Notice of Redemption</w:t>
            </w:r>
          </w:p>
        </w:tc>
        <w:tc>
          <w:tcPr>
            <w:tcW w:w="2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3.05  Deposit of Redemption or Purchase Price</w:t>
            </w:r>
          </w:p>
        </w:tc>
        <w:tc>
          <w:tcPr>
            <w:tcW w:w="2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3.06  Notes Redeemed or Purchased in Part</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3.07</w:t>
            </w:r>
          </w:p>
        </w:tc>
        <w:tc>
          <w:tcPr>
            <w:tcW w:w="7100" w:type="dxa"/>
            <w:vAlign w:val="bottom"/>
          </w:tcPr>
          <w:p>
            <w:pPr>
              <w:ind w:left="80"/>
              <w:spacing w:after="0"/>
              <w:rPr>
                <w:sz w:val="20"/>
                <w:szCs w:val="20"/>
                <w:color w:val="auto"/>
              </w:rPr>
            </w:pPr>
            <w:r>
              <w:rPr>
                <w:rFonts w:ascii="Arial" w:cs="Arial" w:eastAsia="Arial" w:hAnsi="Arial"/>
                <w:sz w:val="18"/>
                <w:szCs w:val="18"/>
                <w:color w:val="auto"/>
              </w:rPr>
              <w:t>Optional Redemption</w:t>
            </w: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3.08</w:t>
            </w:r>
          </w:p>
        </w:tc>
        <w:tc>
          <w:tcPr>
            <w:tcW w:w="7100" w:type="dxa"/>
            <w:vAlign w:val="bottom"/>
          </w:tcPr>
          <w:p>
            <w:pPr>
              <w:ind w:left="80"/>
              <w:spacing w:after="0"/>
              <w:rPr>
                <w:sz w:val="20"/>
                <w:szCs w:val="20"/>
                <w:color w:val="auto"/>
              </w:rPr>
            </w:pPr>
            <w:r>
              <w:rPr>
                <w:rFonts w:ascii="Arial" w:cs="Arial" w:eastAsia="Arial" w:hAnsi="Arial"/>
                <w:sz w:val="18"/>
                <w:szCs w:val="18"/>
                <w:color w:val="auto"/>
              </w:rPr>
              <w:t>Mandatory Redemption</w:t>
            </w:r>
          </w:p>
        </w:tc>
        <w:tc>
          <w:tcPr>
            <w:tcW w:w="2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3.09  Offer to Purchase</w:t>
            </w:r>
          </w:p>
        </w:tc>
        <w:tc>
          <w:tcPr>
            <w:tcW w:w="2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3.10  Redemption for Changes in Taxes.</w:t>
            </w:r>
          </w:p>
        </w:tc>
        <w:tc>
          <w:tcPr>
            <w:tcW w:w="25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8"/>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4.01  Payment of Notes</w:t>
            </w:r>
          </w:p>
        </w:tc>
        <w:tc>
          <w:tcPr>
            <w:tcW w:w="2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4.02  Maintenance of Office or Agency</w:t>
            </w:r>
          </w:p>
        </w:tc>
        <w:tc>
          <w:tcPr>
            <w:tcW w:w="252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4.03</w:t>
            </w:r>
          </w:p>
        </w:tc>
        <w:tc>
          <w:tcPr>
            <w:tcW w:w="7420" w:type="dxa"/>
            <w:vAlign w:val="bottom"/>
          </w:tcPr>
          <w:p>
            <w:pPr>
              <w:ind w:left="80"/>
              <w:spacing w:after="0"/>
              <w:rPr>
                <w:sz w:val="20"/>
                <w:szCs w:val="20"/>
                <w:color w:val="auto"/>
              </w:rPr>
            </w:pPr>
            <w:r>
              <w:rPr>
                <w:rFonts w:ascii="Arial" w:cs="Arial" w:eastAsia="Arial" w:hAnsi="Arial"/>
                <w:sz w:val="18"/>
                <w:szCs w:val="18"/>
                <w:color w:val="auto"/>
              </w:rPr>
              <w:t>Reports</w:t>
            </w:r>
          </w:p>
        </w:tc>
        <w:tc>
          <w:tcPr>
            <w:tcW w:w="2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4.04</w:t>
            </w:r>
          </w:p>
        </w:tc>
        <w:tc>
          <w:tcPr>
            <w:tcW w:w="7420" w:type="dxa"/>
            <w:vAlign w:val="bottom"/>
          </w:tcPr>
          <w:p>
            <w:pPr>
              <w:ind w:left="80"/>
              <w:spacing w:after="0"/>
              <w:rPr>
                <w:sz w:val="20"/>
                <w:szCs w:val="20"/>
                <w:color w:val="auto"/>
              </w:rPr>
            </w:pPr>
            <w:r>
              <w:rPr>
                <w:rFonts w:ascii="Arial" w:cs="Arial" w:eastAsia="Arial" w:hAnsi="Arial"/>
                <w:sz w:val="18"/>
                <w:szCs w:val="18"/>
                <w:color w:val="auto"/>
              </w:rPr>
              <w:t>Compliance Certificate</w:t>
            </w:r>
          </w:p>
        </w:tc>
        <w:tc>
          <w:tcPr>
            <w:tcW w:w="22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4.05</w:t>
            </w:r>
          </w:p>
        </w:tc>
        <w:tc>
          <w:tcPr>
            <w:tcW w:w="7420" w:type="dxa"/>
            <w:vAlign w:val="bottom"/>
          </w:tcPr>
          <w:p>
            <w:pPr>
              <w:ind w:left="80"/>
              <w:spacing w:after="0"/>
              <w:rPr>
                <w:sz w:val="20"/>
                <w:szCs w:val="20"/>
                <w:color w:val="auto"/>
              </w:rPr>
            </w:pPr>
            <w:r>
              <w:rPr>
                <w:rFonts w:ascii="Arial" w:cs="Arial" w:eastAsia="Arial" w:hAnsi="Arial"/>
                <w:sz w:val="18"/>
                <w:szCs w:val="18"/>
                <w:color w:val="auto"/>
              </w:rPr>
              <w:t>Reserved</w:t>
            </w:r>
          </w:p>
        </w:tc>
        <w:tc>
          <w:tcPr>
            <w:tcW w:w="22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4.06  Stay, Extension and Usury Laws</w:t>
            </w:r>
          </w:p>
        </w:tc>
        <w:tc>
          <w:tcPr>
            <w:tcW w:w="22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4.07</w:t>
            </w:r>
          </w:p>
        </w:tc>
        <w:tc>
          <w:tcPr>
            <w:tcW w:w="7420" w:type="dxa"/>
            <w:vAlign w:val="bottom"/>
          </w:tcPr>
          <w:p>
            <w:pPr>
              <w:ind w:left="80"/>
              <w:spacing w:after="0"/>
              <w:rPr>
                <w:sz w:val="20"/>
                <w:szCs w:val="20"/>
                <w:color w:val="auto"/>
              </w:rPr>
            </w:pPr>
            <w:r>
              <w:rPr>
                <w:rFonts w:ascii="Arial" w:cs="Arial" w:eastAsia="Arial" w:hAnsi="Arial"/>
                <w:sz w:val="18"/>
                <w:szCs w:val="18"/>
                <w:color w:val="auto"/>
              </w:rPr>
              <w:t>Restricted Payments</w:t>
            </w:r>
          </w:p>
        </w:tc>
        <w:tc>
          <w:tcPr>
            <w:tcW w:w="22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4.08  Dividend and Other Payment Restrictions Affecting Restricted Subsidiaries</w:t>
            </w:r>
          </w:p>
        </w:tc>
        <w:tc>
          <w:tcPr>
            <w:tcW w:w="22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4.09  Incurrence of Indebtedness and Issuance of Preferred Stock</w:t>
            </w:r>
          </w:p>
        </w:tc>
        <w:tc>
          <w:tcPr>
            <w:tcW w:w="22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4.10</w:t>
            </w:r>
          </w:p>
        </w:tc>
        <w:tc>
          <w:tcPr>
            <w:tcW w:w="7420" w:type="dxa"/>
            <w:vAlign w:val="bottom"/>
          </w:tcPr>
          <w:p>
            <w:pPr>
              <w:ind w:left="60"/>
              <w:spacing w:after="0"/>
              <w:rPr>
                <w:sz w:val="20"/>
                <w:szCs w:val="20"/>
                <w:color w:val="auto"/>
              </w:rPr>
            </w:pPr>
            <w:r>
              <w:rPr>
                <w:rFonts w:ascii="Arial" w:cs="Arial" w:eastAsia="Arial" w:hAnsi="Arial"/>
                <w:sz w:val="18"/>
                <w:szCs w:val="18"/>
                <w:color w:val="auto"/>
              </w:rPr>
              <w:t>Asset Sales</w:t>
            </w:r>
          </w:p>
        </w:tc>
        <w:tc>
          <w:tcPr>
            <w:tcW w:w="2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4.11  Transactions with Affiliates</w:t>
            </w:r>
          </w:p>
        </w:tc>
        <w:tc>
          <w:tcPr>
            <w:tcW w:w="22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4.12</w:t>
            </w:r>
          </w:p>
        </w:tc>
        <w:tc>
          <w:tcPr>
            <w:tcW w:w="7420" w:type="dxa"/>
            <w:vAlign w:val="bottom"/>
          </w:tcPr>
          <w:p>
            <w:pPr>
              <w:ind w:left="80"/>
              <w:spacing w:after="0"/>
              <w:rPr>
                <w:sz w:val="20"/>
                <w:szCs w:val="20"/>
                <w:color w:val="auto"/>
              </w:rPr>
            </w:pPr>
            <w:r>
              <w:rPr>
                <w:rFonts w:ascii="Arial" w:cs="Arial" w:eastAsia="Arial" w:hAnsi="Arial"/>
                <w:sz w:val="18"/>
                <w:szCs w:val="18"/>
                <w:color w:val="auto"/>
              </w:rPr>
              <w:t>Liens</w:t>
            </w:r>
          </w:p>
        </w:tc>
        <w:tc>
          <w:tcPr>
            <w:tcW w:w="22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4.13</w:t>
            </w:r>
          </w:p>
        </w:tc>
        <w:tc>
          <w:tcPr>
            <w:tcW w:w="7420" w:type="dxa"/>
            <w:vAlign w:val="bottom"/>
          </w:tcPr>
          <w:p>
            <w:pPr>
              <w:ind w:left="80"/>
              <w:spacing w:after="0"/>
              <w:rPr>
                <w:sz w:val="20"/>
                <w:szCs w:val="20"/>
                <w:color w:val="auto"/>
              </w:rPr>
            </w:pPr>
            <w:r>
              <w:rPr>
                <w:rFonts w:ascii="Arial" w:cs="Arial" w:eastAsia="Arial" w:hAnsi="Arial"/>
                <w:sz w:val="18"/>
                <w:szCs w:val="18"/>
                <w:color w:val="auto"/>
              </w:rPr>
              <w:t>Corporate Existence</w:t>
            </w:r>
          </w:p>
        </w:tc>
        <w:tc>
          <w:tcPr>
            <w:tcW w:w="22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4.14  Offer to Repurchase Upon Change of Control</w:t>
            </w:r>
          </w:p>
        </w:tc>
        <w:tc>
          <w:tcPr>
            <w:tcW w:w="22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4.15</w:t>
            </w:r>
          </w:p>
        </w:tc>
        <w:tc>
          <w:tcPr>
            <w:tcW w:w="7420" w:type="dxa"/>
            <w:vAlign w:val="bottom"/>
          </w:tcPr>
          <w:p>
            <w:pPr>
              <w:ind w:left="80"/>
              <w:spacing w:after="0"/>
              <w:rPr>
                <w:sz w:val="20"/>
                <w:szCs w:val="20"/>
                <w:color w:val="auto"/>
              </w:rPr>
            </w:pPr>
            <w:r>
              <w:rPr>
                <w:rFonts w:ascii="Arial" w:cs="Arial" w:eastAsia="Arial" w:hAnsi="Arial"/>
                <w:sz w:val="18"/>
                <w:szCs w:val="18"/>
                <w:color w:val="auto"/>
              </w:rPr>
              <w:t>Reserved</w:t>
            </w:r>
          </w:p>
        </w:tc>
        <w:tc>
          <w:tcPr>
            <w:tcW w:w="22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4.16</w:t>
            </w:r>
          </w:p>
        </w:tc>
        <w:tc>
          <w:tcPr>
            <w:tcW w:w="7420" w:type="dxa"/>
            <w:vAlign w:val="bottom"/>
          </w:tcPr>
          <w:p>
            <w:pPr>
              <w:ind w:left="80"/>
              <w:spacing w:after="0"/>
              <w:rPr>
                <w:sz w:val="20"/>
                <w:szCs w:val="20"/>
                <w:color w:val="auto"/>
              </w:rPr>
            </w:pPr>
            <w:r>
              <w:rPr>
                <w:rFonts w:ascii="Arial" w:cs="Arial" w:eastAsia="Arial" w:hAnsi="Arial"/>
                <w:sz w:val="18"/>
                <w:szCs w:val="18"/>
                <w:color w:val="auto"/>
              </w:rPr>
              <w:t>Reserved</w:t>
            </w:r>
          </w:p>
        </w:tc>
        <w:tc>
          <w:tcPr>
            <w:tcW w:w="22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4.17</w:t>
            </w:r>
          </w:p>
        </w:tc>
        <w:tc>
          <w:tcPr>
            <w:tcW w:w="7420" w:type="dxa"/>
            <w:vAlign w:val="bottom"/>
          </w:tcPr>
          <w:p>
            <w:pPr>
              <w:ind w:left="80"/>
              <w:spacing w:after="0"/>
              <w:rPr>
                <w:sz w:val="20"/>
                <w:szCs w:val="20"/>
                <w:color w:val="auto"/>
              </w:rPr>
            </w:pPr>
            <w:r>
              <w:rPr>
                <w:rFonts w:ascii="Arial" w:cs="Arial" w:eastAsia="Arial" w:hAnsi="Arial"/>
                <w:sz w:val="18"/>
                <w:szCs w:val="18"/>
                <w:color w:val="auto"/>
              </w:rPr>
              <w:t>Reserved</w:t>
            </w:r>
          </w:p>
        </w:tc>
        <w:tc>
          <w:tcPr>
            <w:tcW w:w="22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4.18  Additional Note Guarantees</w:t>
            </w:r>
          </w:p>
        </w:tc>
        <w:tc>
          <w:tcPr>
            <w:tcW w:w="22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4.19  Designation of Restricted and Unrestricted Subsidiaries</w:t>
            </w:r>
          </w:p>
        </w:tc>
        <w:tc>
          <w:tcPr>
            <w:tcW w:w="22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4.20  Suspension of Covenants When Notes Rated Investment Grade.</w:t>
            </w:r>
          </w:p>
        </w:tc>
        <w:tc>
          <w:tcPr>
            <w:tcW w:w="22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4.21</w:t>
            </w:r>
          </w:p>
        </w:tc>
        <w:tc>
          <w:tcPr>
            <w:tcW w:w="7420" w:type="dxa"/>
            <w:vAlign w:val="bottom"/>
          </w:tcPr>
          <w:p>
            <w:pPr>
              <w:ind w:left="60"/>
              <w:spacing w:after="0"/>
              <w:rPr>
                <w:sz w:val="20"/>
                <w:szCs w:val="20"/>
                <w:color w:val="auto"/>
              </w:rPr>
            </w:pPr>
            <w:r>
              <w:rPr>
                <w:rFonts w:ascii="Arial" w:cs="Arial" w:eastAsia="Arial" w:hAnsi="Arial"/>
                <w:sz w:val="18"/>
                <w:szCs w:val="18"/>
                <w:color w:val="auto"/>
              </w:rPr>
              <w:t>Additional Amounts.</w:t>
            </w:r>
          </w:p>
        </w:tc>
        <w:tc>
          <w:tcPr>
            <w:tcW w:w="22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4.22</w:t>
            </w:r>
          </w:p>
        </w:tc>
        <w:tc>
          <w:tcPr>
            <w:tcW w:w="7420" w:type="dxa"/>
            <w:vAlign w:val="bottom"/>
          </w:tcPr>
          <w:p>
            <w:pPr>
              <w:ind w:left="60"/>
              <w:spacing w:after="0"/>
              <w:rPr>
                <w:sz w:val="20"/>
                <w:szCs w:val="20"/>
                <w:color w:val="auto"/>
              </w:rPr>
            </w:pPr>
            <w:r>
              <w:rPr>
                <w:rFonts w:ascii="Arial" w:cs="Arial" w:eastAsia="Arial" w:hAnsi="Arial"/>
                <w:sz w:val="18"/>
                <w:szCs w:val="18"/>
                <w:color w:val="auto"/>
              </w:rPr>
              <w:t>After-Acquired Property.</w:t>
            </w:r>
          </w:p>
        </w:tc>
        <w:tc>
          <w:tcPr>
            <w:tcW w:w="2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4.23  No Impairment of the Security Interests.</w:t>
            </w:r>
          </w:p>
        </w:tc>
        <w:tc>
          <w:tcPr>
            <w:tcW w:w="2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4.24  Post-Closing Collateral Matters.</w:t>
            </w:r>
          </w:p>
        </w:tc>
        <w:tc>
          <w:tcPr>
            <w:tcW w:w="2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ARTICLE 5 SUCCESSORS</w:t>
            </w:r>
          </w:p>
        </w:tc>
        <w:tc>
          <w:tcPr>
            <w:tcW w:w="2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18"/>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5.01  Merger, Consolidation or Sale of Assets</w:t>
            </w:r>
          </w:p>
        </w:tc>
        <w:tc>
          <w:tcPr>
            <w:tcW w:w="2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5.02  Successor Corporation Substituted</w:t>
            </w:r>
          </w:p>
        </w:tc>
        <w:tc>
          <w:tcPr>
            <w:tcW w:w="22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ARTICLE 6 DEFAULTS AND REMEDIES</w:t>
            </w:r>
          </w:p>
        </w:tc>
        <w:tc>
          <w:tcPr>
            <w:tcW w:w="22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18"/>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6.01  Events of Default</w:t>
            </w:r>
          </w:p>
        </w:tc>
        <w:tc>
          <w:tcPr>
            <w:tcW w:w="22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6.02</w:t>
            </w:r>
          </w:p>
        </w:tc>
        <w:tc>
          <w:tcPr>
            <w:tcW w:w="7420" w:type="dxa"/>
            <w:vAlign w:val="bottom"/>
          </w:tcPr>
          <w:p>
            <w:pPr>
              <w:ind w:left="60"/>
              <w:spacing w:after="0"/>
              <w:rPr>
                <w:sz w:val="20"/>
                <w:szCs w:val="20"/>
                <w:color w:val="auto"/>
              </w:rPr>
            </w:pPr>
            <w:r>
              <w:rPr>
                <w:rFonts w:ascii="Arial" w:cs="Arial" w:eastAsia="Arial" w:hAnsi="Arial"/>
                <w:sz w:val="18"/>
                <w:szCs w:val="18"/>
                <w:color w:val="auto"/>
              </w:rPr>
              <w:t>Acceleration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6.03</w:t>
            </w:r>
          </w:p>
        </w:tc>
        <w:tc>
          <w:tcPr>
            <w:tcW w:w="7420" w:type="dxa"/>
            <w:vAlign w:val="bottom"/>
          </w:tcPr>
          <w:p>
            <w:pPr>
              <w:ind w:left="80"/>
              <w:spacing w:after="0"/>
              <w:rPr>
                <w:sz w:val="20"/>
                <w:szCs w:val="20"/>
                <w:color w:val="auto"/>
              </w:rPr>
            </w:pPr>
            <w:r>
              <w:rPr>
                <w:rFonts w:ascii="Arial" w:cs="Arial" w:eastAsia="Arial" w:hAnsi="Arial"/>
                <w:sz w:val="18"/>
                <w:szCs w:val="18"/>
                <w:color w:val="auto"/>
              </w:rPr>
              <w:t>Other Remedies</w:t>
            </w:r>
          </w:p>
        </w:tc>
        <w:tc>
          <w:tcPr>
            <w:tcW w:w="22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6.04  Waiver of Past Defaults.</w:t>
            </w:r>
          </w:p>
        </w:tc>
        <w:tc>
          <w:tcPr>
            <w:tcW w:w="22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6.05  Control by Majority</w:t>
            </w:r>
          </w:p>
        </w:tc>
        <w:tc>
          <w:tcPr>
            <w:tcW w:w="22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6.06  Limitation on Suits</w:t>
            </w:r>
          </w:p>
        </w:tc>
        <w:tc>
          <w:tcPr>
            <w:tcW w:w="22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6.07  Rights of Holders of Notes to Receive Payment</w:t>
            </w:r>
          </w:p>
        </w:tc>
        <w:tc>
          <w:tcPr>
            <w:tcW w:w="2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6.08  Collection Suit by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6.09  Trustee May File Proofs of Claim</w:t>
            </w:r>
          </w:p>
        </w:tc>
        <w:tc>
          <w:tcPr>
            <w:tcW w:w="2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6.10</w:t>
            </w:r>
          </w:p>
        </w:tc>
        <w:tc>
          <w:tcPr>
            <w:tcW w:w="7420" w:type="dxa"/>
            <w:vAlign w:val="bottom"/>
          </w:tcPr>
          <w:p>
            <w:pPr>
              <w:ind w:left="80"/>
              <w:spacing w:after="0"/>
              <w:rPr>
                <w:sz w:val="20"/>
                <w:szCs w:val="20"/>
                <w:color w:val="auto"/>
              </w:rPr>
            </w:pPr>
            <w:r>
              <w:rPr>
                <w:rFonts w:ascii="Arial" w:cs="Arial" w:eastAsia="Arial" w:hAnsi="Arial"/>
                <w:sz w:val="18"/>
                <w:szCs w:val="18"/>
                <w:color w:val="auto"/>
              </w:rPr>
              <w:t>Priorities</w:t>
            </w:r>
          </w:p>
        </w:tc>
        <w:tc>
          <w:tcPr>
            <w:tcW w:w="2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6.11  Undertaking for Costs</w:t>
            </w:r>
          </w:p>
        </w:tc>
        <w:tc>
          <w:tcPr>
            <w:tcW w:w="2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6.12  Restoration of Rights and Remedies.</w:t>
            </w:r>
          </w:p>
        </w:tc>
        <w:tc>
          <w:tcPr>
            <w:tcW w:w="2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ARTICLE 7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32"/>
        </w:trPr>
        <w:tc>
          <w:tcPr>
            <w:tcW w:w="9040" w:type="dxa"/>
            <w:vAlign w:val="bottom"/>
            <w:gridSpan w:val="2"/>
          </w:tcPr>
          <w:p>
            <w:pPr>
              <w:ind w:left="660"/>
              <w:spacing w:after="0"/>
              <w:rPr>
                <w:sz w:val="20"/>
                <w:szCs w:val="20"/>
                <w:color w:val="auto"/>
              </w:rPr>
            </w:pPr>
            <w:r>
              <w:rPr>
                <w:rFonts w:ascii="Arial" w:cs="Arial" w:eastAsia="Arial" w:hAnsi="Arial"/>
                <w:sz w:val="18"/>
                <w:szCs w:val="18"/>
                <w:color w:val="auto"/>
              </w:rPr>
              <w:t>Section 7.01  Duties of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588"/>
        </w:trPr>
        <w:tc>
          <w:tcPr>
            <w:tcW w:w="16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3960"/>
              <w:spacing w:after="0"/>
              <w:rPr>
                <w:sz w:val="20"/>
                <w:szCs w:val="20"/>
                <w:color w:val="auto"/>
              </w:rPr>
            </w:pPr>
            <w:r>
              <w:rPr>
                <w:rFonts w:ascii="Arial" w:cs="Arial" w:eastAsia="Arial" w:hAnsi="Arial"/>
                <w:sz w:val="18"/>
                <w:szCs w:val="18"/>
                <w:color w:val="auto"/>
              </w:rPr>
              <w:t>ii</w:t>
            </w: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7" w:right="339" w:bottom="1440" w:gutter="0" w:footer="0" w:header="0"/>
        </w:sectPr>
      </w:pPr>
    </w:p>
    <w:bookmarkStart w:id="224" w:name="page225"/>
    <w:bookmarkEnd w:id="2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7.02  Rights of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7.03  Individual Rights of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7.04  Trustee’s Disclaimer</w:t>
            </w: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7.05  Notice of Defaults</w:t>
            </w: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7.06  Compensation and Indemnity</w:t>
            </w: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7.07  Replacement of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7.08  Successor Trustee by Merger, etc.</w:t>
            </w:r>
          </w:p>
        </w:tc>
        <w:tc>
          <w:tcPr>
            <w:tcW w:w="13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7.09  Eligibility; Disqualification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9880" w:type="dxa"/>
            <w:vAlign w:val="bottom"/>
          </w:tcPr>
          <w:p>
            <w:pPr>
              <w:ind w:left="660"/>
              <w:spacing w:after="0"/>
              <w:rPr>
                <w:sz w:val="20"/>
                <w:szCs w:val="20"/>
                <w:color w:val="auto"/>
              </w:rPr>
            </w:pPr>
            <w:r>
              <w:rPr>
                <w:rFonts w:ascii="Arial" w:cs="Arial" w:eastAsia="Arial" w:hAnsi="Arial"/>
                <w:sz w:val="18"/>
                <w:szCs w:val="18"/>
                <w:color w:val="auto"/>
              </w:rPr>
              <w:t>Section 7.10  Collateral Documents; Intercreditor Agreements.</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ARTICLE 8 LEGAL DEFEASANCE AND COVENANT DEFEASANCE</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18"/>
        </w:trPr>
        <w:tc>
          <w:tcPr>
            <w:tcW w:w="9880" w:type="dxa"/>
            <w:vAlign w:val="bottom"/>
          </w:tcPr>
          <w:p>
            <w:pPr>
              <w:ind w:left="660"/>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8.02  Legal Defeasance and Discharge</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8.03  Covenant Defeasance</w:t>
            </w: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8.04  Conditions to Legal or Covenant Defeasance</w:t>
            </w: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8.05  Deposited Money and Government Securities to be Held in Trust; Other Miscellaneous Provisions</w:t>
            </w:r>
          </w:p>
        </w:tc>
        <w:tc>
          <w:tcPr>
            <w:tcW w:w="13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8.06  Repayment to Issuer</w:t>
            </w:r>
          </w:p>
        </w:tc>
        <w:tc>
          <w:tcPr>
            <w:tcW w:w="13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9880" w:type="dxa"/>
            <w:vAlign w:val="bottom"/>
          </w:tcPr>
          <w:p>
            <w:pPr>
              <w:ind w:left="660"/>
              <w:spacing w:after="0"/>
              <w:rPr>
                <w:sz w:val="20"/>
                <w:szCs w:val="20"/>
                <w:color w:val="auto"/>
              </w:rPr>
            </w:pPr>
            <w:r>
              <w:rPr>
                <w:rFonts w:ascii="Arial" w:cs="Arial" w:eastAsia="Arial" w:hAnsi="Arial"/>
                <w:sz w:val="18"/>
                <w:szCs w:val="18"/>
                <w:color w:val="auto"/>
              </w:rPr>
              <w:t>Section 8.07  Reinstatement</w:t>
            </w:r>
          </w:p>
        </w:tc>
        <w:tc>
          <w:tcPr>
            <w:tcW w:w="1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ARTICLE 9 AMENDMENT, SUPPLEMENT AND WAIVER</w:t>
            </w:r>
          </w:p>
        </w:tc>
        <w:tc>
          <w:tcPr>
            <w:tcW w:w="1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18"/>
        </w:trPr>
        <w:tc>
          <w:tcPr>
            <w:tcW w:w="9880" w:type="dxa"/>
            <w:vAlign w:val="bottom"/>
          </w:tcPr>
          <w:p>
            <w:pPr>
              <w:ind w:left="660"/>
              <w:spacing w:after="0"/>
              <w:rPr>
                <w:sz w:val="20"/>
                <w:szCs w:val="20"/>
                <w:color w:val="auto"/>
              </w:rPr>
            </w:pPr>
            <w:r>
              <w:rPr>
                <w:rFonts w:ascii="Arial" w:cs="Arial" w:eastAsia="Arial" w:hAnsi="Arial"/>
                <w:sz w:val="18"/>
                <w:szCs w:val="18"/>
                <w:color w:val="auto"/>
              </w:rPr>
              <w:t>Section 9.01  Without Consent of Holders of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9.02  With Consent of Holders of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9.03  Revocation and Effect of Consents</w:t>
            </w:r>
          </w:p>
        </w:tc>
        <w:tc>
          <w:tcPr>
            <w:tcW w:w="13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9.04  Notation on or Exchange of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9880" w:type="dxa"/>
            <w:vAlign w:val="bottom"/>
          </w:tcPr>
          <w:p>
            <w:pPr>
              <w:ind w:left="660"/>
              <w:spacing w:after="0"/>
              <w:rPr>
                <w:sz w:val="20"/>
                <w:szCs w:val="20"/>
                <w:color w:val="auto"/>
              </w:rPr>
            </w:pPr>
            <w:r>
              <w:rPr>
                <w:rFonts w:ascii="Arial" w:cs="Arial" w:eastAsia="Arial" w:hAnsi="Arial"/>
                <w:sz w:val="18"/>
                <w:szCs w:val="18"/>
                <w:color w:val="auto"/>
              </w:rPr>
              <w:t>Section 9.05  Trustee and the Notes Collateral Agent to Sign Amendments, etc.</w:t>
            </w:r>
          </w:p>
        </w:tc>
        <w:tc>
          <w:tcPr>
            <w:tcW w:w="13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ARTICLE 10 NOTE GUARANTEES</w:t>
            </w:r>
          </w:p>
        </w:tc>
        <w:tc>
          <w:tcPr>
            <w:tcW w:w="13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418"/>
        </w:trPr>
        <w:tc>
          <w:tcPr>
            <w:tcW w:w="9880" w:type="dxa"/>
            <w:vAlign w:val="bottom"/>
          </w:tcPr>
          <w:p>
            <w:pPr>
              <w:ind w:left="660"/>
              <w:spacing w:after="0"/>
              <w:rPr>
                <w:sz w:val="20"/>
                <w:szCs w:val="20"/>
                <w:color w:val="auto"/>
              </w:rPr>
            </w:pPr>
            <w:r>
              <w:rPr>
                <w:rFonts w:ascii="Arial" w:cs="Arial" w:eastAsia="Arial" w:hAnsi="Arial"/>
                <w:sz w:val="18"/>
                <w:szCs w:val="18"/>
                <w:color w:val="auto"/>
              </w:rPr>
              <w:t>Section 10.01  Guarantee.</w:t>
            </w:r>
          </w:p>
        </w:tc>
        <w:tc>
          <w:tcPr>
            <w:tcW w:w="13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10.02  Limitation on Guarantor Liability</w:t>
            </w: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10.03  Issuance and Delivery of Note Guarantee</w:t>
            </w: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10.04  Guarantors May Consolidate, etc., on Certain Terms</w:t>
            </w:r>
          </w:p>
        </w:tc>
        <w:tc>
          <w:tcPr>
            <w:tcW w:w="13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10.05  Releases</w:t>
            </w:r>
          </w:p>
        </w:tc>
        <w:tc>
          <w:tcPr>
            <w:tcW w:w="13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9880" w:type="dxa"/>
            <w:vAlign w:val="bottom"/>
          </w:tcPr>
          <w:p>
            <w:pPr>
              <w:ind w:left="660"/>
              <w:spacing w:after="0"/>
              <w:rPr>
                <w:sz w:val="20"/>
                <w:szCs w:val="20"/>
                <w:color w:val="auto"/>
              </w:rPr>
            </w:pPr>
            <w:r>
              <w:rPr>
                <w:rFonts w:ascii="Arial" w:cs="Arial" w:eastAsia="Arial" w:hAnsi="Arial"/>
                <w:sz w:val="18"/>
                <w:szCs w:val="18"/>
                <w:color w:val="auto"/>
              </w:rPr>
              <w:t>Section 10.06  Luxembourg Guarantee Limitation Language.</w:t>
            </w:r>
          </w:p>
        </w:tc>
        <w:tc>
          <w:tcPr>
            <w:tcW w:w="13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ARTICLE 11 SATISFACTION AND DISCHARGE</w:t>
            </w:r>
          </w:p>
        </w:tc>
        <w:tc>
          <w:tcPr>
            <w:tcW w:w="13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418"/>
        </w:trPr>
        <w:tc>
          <w:tcPr>
            <w:tcW w:w="9880" w:type="dxa"/>
            <w:vAlign w:val="bottom"/>
          </w:tcPr>
          <w:p>
            <w:pPr>
              <w:ind w:left="660"/>
              <w:spacing w:after="0"/>
              <w:rPr>
                <w:sz w:val="20"/>
                <w:szCs w:val="20"/>
                <w:color w:val="auto"/>
              </w:rPr>
            </w:pPr>
            <w:r>
              <w:rPr>
                <w:rFonts w:ascii="Arial" w:cs="Arial" w:eastAsia="Arial" w:hAnsi="Arial"/>
                <w:sz w:val="18"/>
                <w:szCs w:val="18"/>
                <w:color w:val="auto"/>
              </w:rPr>
              <w:t>Section 11.01  Satisfaction and Discharge</w:t>
            </w:r>
          </w:p>
        </w:tc>
        <w:tc>
          <w:tcPr>
            <w:tcW w:w="13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9880" w:type="dxa"/>
            <w:vAlign w:val="bottom"/>
          </w:tcPr>
          <w:p>
            <w:pPr>
              <w:ind w:left="660"/>
              <w:spacing w:after="0"/>
              <w:rPr>
                <w:sz w:val="20"/>
                <w:szCs w:val="20"/>
                <w:color w:val="auto"/>
              </w:rPr>
            </w:pPr>
            <w:r>
              <w:rPr>
                <w:rFonts w:ascii="Arial" w:cs="Arial" w:eastAsia="Arial" w:hAnsi="Arial"/>
                <w:sz w:val="18"/>
                <w:szCs w:val="18"/>
                <w:color w:val="auto"/>
              </w:rPr>
              <w:t>Section 11.02  Application of Trust Money</w:t>
            </w: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432"/>
        </w:trPr>
        <w:tc>
          <w:tcPr>
            <w:tcW w:w="9880" w:type="dxa"/>
            <w:vAlign w:val="bottom"/>
          </w:tcPr>
          <w:p>
            <w:pPr>
              <w:spacing w:after="0"/>
              <w:rPr>
                <w:sz w:val="20"/>
                <w:szCs w:val="20"/>
                <w:color w:val="auto"/>
              </w:rPr>
            </w:pPr>
            <w:r>
              <w:rPr>
                <w:rFonts w:ascii="Arial" w:cs="Arial" w:eastAsia="Arial" w:hAnsi="Arial"/>
                <w:sz w:val="18"/>
                <w:szCs w:val="18"/>
                <w:color w:val="auto"/>
              </w:rPr>
              <w:t>ARTICLE 12 COLLATERAL</w:t>
            </w: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418"/>
        </w:trPr>
        <w:tc>
          <w:tcPr>
            <w:tcW w:w="9880" w:type="dxa"/>
            <w:vAlign w:val="bottom"/>
          </w:tcPr>
          <w:p>
            <w:pPr>
              <w:ind w:left="660"/>
              <w:spacing w:after="0"/>
              <w:rPr>
                <w:sz w:val="20"/>
                <w:szCs w:val="20"/>
                <w:color w:val="auto"/>
              </w:rPr>
            </w:pPr>
            <w:r>
              <w:rPr>
                <w:rFonts w:ascii="Arial" w:cs="Arial" w:eastAsia="Arial" w:hAnsi="Arial"/>
                <w:sz w:val="18"/>
                <w:szCs w:val="18"/>
                <w:color w:val="auto"/>
              </w:rPr>
              <w:t>Section 12.01  Collateral Documents</w:t>
            </w: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9880" w:type="dxa"/>
            <w:vAlign w:val="bottom"/>
          </w:tcPr>
          <w:p>
            <w:pPr>
              <w:ind w:left="660"/>
              <w:spacing w:after="0"/>
              <w:rPr>
                <w:sz w:val="20"/>
                <w:szCs w:val="20"/>
                <w:color w:val="auto"/>
              </w:rPr>
            </w:pPr>
            <w:r>
              <w:rPr>
                <w:rFonts w:ascii="Arial" w:cs="Arial" w:eastAsia="Arial" w:hAnsi="Arial"/>
                <w:sz w:val="18"/>
                <w:szCs w:val="18"/>
                <w:color w:val="auto"/>
              </w:rPr>
              <w:t>Section 12.02  Release of Collateral</w:t>
            </w:r>
          </w:p>
        </w:tc>
        <w:tc>
          <w:tcPr>
            <w:tcW w:w="13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9880" w:type="dxa"/>
            <w:vAlign w:val="bottom"/>
          </w:tcPr>
          <w:p>
            <w:pPr>
              <w:ind w:left="660"/>
              <w:spacing w:after="0"/>
              <w:rPr>
                <w:sz w:val="20"/>
                <w:szCs w:val="20"/>
                <w:color w:val="auto"/>
              </w:rPr>
            </w:pPr>
            <w:r>
              <w:rPr>
                <w:rFonts w:ascii="Arial" w:cs="Arial" w:eastAsia="Arial" w:hAnsi="Arial"/>
                <w:sz w:val="18"/>
                <w:szCs w:val="18"/>
                <w:color w:val="auto"/>
              </w:rPr>
              <w:t>Section 12.03  Suits to Protect the Collateral</w:t>
            </w:r>
          </w:p>
        </w:tc>
        <w:tc>
          <w:tcPr>
            <w:tcW w:w="136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12.04  Authorization of Receipt of Funds by the Trustee Under the Collateral Documents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2"/>
              </w:rPr>
              <w:t>Section 12.05</w:t>
            </w:r>
          </w:p>
        </w:tc>
        <w:tc>
          <w:tcPr>
            <w:tcW w:w="7620" w:type="dxa"/>
            <w:vAlign w:val="bottom"/>
          </w:tcPr>
          <w:p>
            <w:pPr>
              <w:ind w:left="80"/>
              <w:spacing w:after="0"/>
              <w:rPr>
                <w:sz w:val="20"/>
                <w:szCs w:val="20"/>
                <w:color w:val="auto"/>
              </w:rPr>
            </w:pPr>
            <w:r>
              <w:rPr>
                <w:rFonts w:ascii="Arial" w:cs="Arial" w:eastAsia="Arial" w:hAnsi="Arial"/>
                <w:sz w:val="18"/>
                <w:szCs w:val="18"/>
                <w:color w:val="auto"/>
              </w:rPr>
              <w:t>Purchaser Protected</w:t>
            </w:r>
          </w:p>
        </w:tc>
        <w:tc>
          <w:tcPr>
            <w:tcW w:w="19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12.06  Powers Exercisable by Receiver or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12.07  Release Upon Termination of the Issuer’s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12.08  Notes Collateral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13 MISCELLANEOUS</w:t>
            </w:r>
          </w:p>
        </w:tc>
        <w:tc>
          <w:tcPr>
            <w:tcW w:w="19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418"/>
        </w:trPr>
        <w:tc>
          <w:tcPr>
            <w:tcW w:w="1700" w:type="dxa"/>
            <w:vAlign w:val="bottom"/>
          </w:tcPr>
          <w:p>
            <w:pPr>
              <w:ind w:left="660"/>
              <w:spacing w:after="0"/>
              <w:rPr>
                <w:sz w:val="20"/>
                <w:szCs w:val="20"/>
                <w:color w:val="auto"/>
              </w:rPr>
            </w:pPr>
            <w:r>
              <w:rPr>
                <w:rFonts w:ascii="Arial" w:cs="Arial" w:eastAsia="Arial" w:hAnsi="Arial"/>
                <w:sz w:val="18"/>
                <w:szCs w:val="18"/>
                <w:color w:val="auto"/>
                <w:w w:val="92"/>
              </w:rPr>
              <w:t>Section 13.01</w:t>
            </w:r>
          </w:p>
        </w:tc>
        <w:tc>
          <w:tcPr>
            <w:tcW w:w="7620" w:type="dxa"/>
            <w:vAlign w:val="bottom"/>
          </w:tcPr>
          <w:p>
            <w:pPr>
              <w:ind w:left="80"/>
              <w:spacing w:after="0"/>
              <w:rPr>
                <w:sz w:val="20"/>
                <w:szCs w:val="20"/>
                <w:color w:val="auto"/>
              </w:rPr>
            </w:pPr>
            <w:r>
              <w:rPr>
                <w:rFonts w:ascii="Arial" w:cs="Arial" w:eastAsia="Arial" w:hAnsi="Arial"/>
                <w:sz w:val="18"/>
                <w:szCs w:val="18"/>
                <w:color w:val="auto"/>
              </w:rPr>
              <w:t>Notices</w:t>
            </w:r>
          </w:p>
        </w:tc>
        <w:tc>
          <w:tcPr>
            <w:tcW w:w="19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13.02  Communication by Holders of Notes with Other Holders of Notes</w:t>
            </w:r>
          </w:p>
        </w:tc>
        <w:tc>
          <w:tcPr>
            <w:tcW w:w="1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13.03  Certificate and Opinion as to Conditions Precedent</w:t>
            </w:r>
          </w:p>
        </w:tc>
        <w:tc>
          <w:tcPr>
            <w:tcW w:w="1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13.04  Statements Required in Certificate or Opinion</w:t>
            </w:r>
          </w:p>
        </w:tc>
        <w:tc>
          <w:tcPr>
            <w:tcW w:w="19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13.05  Form of Documents Delivered to Trustee</w:t>
            </w:r>
          </w:p>
        </w:tc>
        <w:tc>
          <w:tcPr>
            <w:tcW w:w="19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13.06  Rules by Trustee and Agents</w:t>
            </w:r>
          </w:p>
        </w:tc>
        <w:tc>
          <w:tcPr>
            <w:tcW w:w="19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13.07  No Personal Liability of Directors, Officers, Employees and Stockholders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13.08  Governing Law; Waiver of Jury Trial; Jurisdiction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13.09  No Adverse Interpretation of Other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2"/>
              </w:rPr>
              <w:t>Section 13.10</w:t>
            </w:r>
          </w:p>
        </w:tc>
        <w:tc>
          <w:tcPr>
            <w:tcW w:w="762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1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2"/>
              </w:rPr>
              <w:t>Section 13.11</w:t>
            </w:r>
          </w:p>
        </w:tc>
        <w:tc>
          <w:tcPr>
            <w:tcW w:w="762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2"/>
              </w:rPr>
              <w:t>Section 13.12</w:t>
            </w:r>
          </w:p>
        </w:tc>
        <w:tc>
          <w:tcPr>
            <w:tcW w:w="7620" w:type="dxa"/>
            <w:vAlign w:val="bottom"/>
          </w:tcPr>
          <w:p>
            <w:pPr>
              <w:ind w:left="80"/>
              <w:spacing w:after="0"/>
              <w:rPr>
                <w:sz w:val="20"/>
                <w:szCs w:val="20"/>
                <w:color w:val="auto"/>
              </w:rPr>
            </w:pPr>
            <w:r>
              <w:rPr>
                <w:rFonts w:ascii="Arial" w:cs="Arial" w:eastAsia="Arial" w:hAnsi="Arial"/>
                <w:sz w:val="18"/>
                <w:szCs w:val="18"/>
                <w:color w:val="auto"/>
              </w:rPr>
              <w:t>Counterpart Originals</w:t>
            </w:r>
          </w:p>
        </w:tc>
        <w:tc>
          <w:tcPr>
            <w:tcW w:w="1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13.13  Table of Contents, Headings, etc.</w:t>
            </w:r>
          </w:p>
        </w:tc>
        <w:tc>
          <w:tcPr>
            <w:tcW w:w="1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9320" w:type="dxa"/>
            <w:vAlign w:val="bottom"/>
            <w:gridSpan w:val="2"/>
          </w:tcPr>
          <w:p>
            <w:pPr>
              <w:ind w:left="660"/>
              <w:spacing w:after="0"/>
              <w:rPr>
                <w:sz w:val="20"/>
                <w:szCs w:val="20"/>
                <w:color w:val="auto"/>
              </w:rPr>
            </w:pPr>
            <w:r>
              <w:rPr>
                <w:rFonts w:ascii="Arial" w:cs="Arial" w:eastAsia="Arial" w:hAnsi="Arial"/>
                <w:sz w:val="18"/>
                <w:szCs w:val="18"/>
                <w:color w:val="auto"/>
              </w:rPr>
              <w:t>Section 13.14  U.S.A. Patriot Act.</w:t>
            </w:r>
          </w:p>
        </w:tc>
        <w:tc>
          <w:tcPr>
            <w:tcW w:w="1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1700" w:type="dxa"/>
            <w:vAlign w:val="bottom"/>
          </w:tcPr>
          <w:p>
            <w:pPr>
              <w:ind w:left="660"/>
              <w:spacing w:after="0"/>
              <w:rPr>
                <w:sz w:val="20"/>
                <w:szCs w:val="20"/>
                <w:color w:val="auto"/>
              </w:rPr>
            </w:pPr>
            <w:r>
              <w:rPr>
                <w:rFonts w:ascii="Arial" w:cs="Arial" w:eastAsia="Arial" w:hAnsi="Arial"/>
                <w:sz w:val="18"/>
                <w:szCs w:val="18"/>
                <w:color w:val="auto"/>
                <w:w w:val="92"/>
              </w:rPr>
              <w:t>Section 13.15</w:t>
            </w:r>
          </w:p>
        </w:tc>
        <w:tc>
          <w:tcPr>
            <w:tcW w:w="7620" w:type="dxa"/>
            <w:vAlign w:val="bottom"/>
          </w:tcPr>
          <w:p>
            <w:pPr>
              <w:ind w:left="80"/>
              <w:spacing w:after="0"/>
              <w:rPr>
                <w:sz w:val="20"/>
                <w:szCs w:val="20"/>
                <w:color w:val="auto"/>
              </w:rPr>
            </w:pPr>
            <w:r>
              <w:rPr>
                <w:rFonts w:ascii="Arial" w:cs="Arial" w:eastAsia="Arial" w:hAnsi="Arial"/>
                <w:sz w:val="18"/>
                <w:szCs w:val="18"/>
                <w:color w:val="auto"/>
              </w:rPr>
              <w:t>Intercreditor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166</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t>ANNEXES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Annex A</w:t>
      </w:r>
      <w:r>
        <w:rPr>
          <w:sz w:val="20"/>
          <w:szCs w:val="20"/>
          <w:color w:val="auto"/>
        </w:rPr>
        <w:tab/>
      </w:r>
      <w:r>
        <w:rPr>
          <w:rFonts w:ascii="Arial" w:cs="Arial" w:eastAsia="Arial" w:hAnsi="Arial"/>
          <w:sz w:val="16"/>
          <w:szCs w:val="16"/>
          <w:color w:val="auto"/>
        </w:rPr>
        <w:t>Agreed Guarantee and Security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FORM OF NOTE</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CERTIFICATE OF TRANSFER</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FORM OF CERTIFICATE OF EXCHANGE</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FORM OF CERTIFICATE OF ACQUIRING INSTITUTIONAL ACCREDITED INVESTOR</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7"/>
          <w:szCs w:val="17"/>
          <w:color w:val="auto"/>
        </w:rPr>
        <w:t>FORM OF SUPPLEMENTAL INDENTURE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27" w:name="page228"/>
    <w:bookmarkEnd w:id="227"/>
    <w:p>
      <w:pPr>
        <w:ind w:right="60" w:firstLine="648"/>
        <w:spacing w:after="0" w:line="257" w:lineRule="auto"/>
        <w:rPr>
          <w:sz w:val="20"/>
          <w:szCs w:val="20"/>
          <w:color w:val="auto"/>
        </w:rPr>
      </w:pPr>
      <w:r>
        <w:rPr>
          <w:rFonts w:ascii="Arial" w:cs="Arial" w:eastAsia="Arial" w:hAnsi="Arial"/>
          <w:sz w:val="18"/>
          <w:szCs w:val="18"/>
          <w:color w:val="auto"/>
        </w:rPr>
        <w:t>INDENTURE dated as of July 1, 2021, among INDIGO MERGER SUB, INC., a Delaware corporation (“</w:t>
      </w:r>
      <w:r>
        <w:rPr>
          <w:rFonts w:ascii="Arial" w:cs="Arial" w:eastAsia="Arial" w:hAnsi="Arial"/>
          <w:sz w:val="18"/>
          <w:szCs w:val="18"/>
          <w:i w:val="1"/>
          <w:iCs w:val="1"/>
          <w:color w:val="auto"/>
        </w:rPr>
        <w:t>Merger Sub</w:t>
      </w:r>
      <w:r>
        <w:rPr>
          <w:rFonts w:ascii="Arial" w:cs="Arial" w:eastAsia="Arial" w:hAnsi="Arial"/>
          <w:sz w:val="18"/>
          <w:szCs w:val="18"/>
          <w:color w:val="auto"/>
        </w:rPr>
        <w:t>”), PRA HEALTH SCIENCES, INC., a Delaware corporation (“</w:t>
      </w:r>
      <w:r>
        <w:rPr>
          <w:rFonts w:ascii="Arial" w:cs="Arial" w:eastAsia="Arial" w:hAnsi="Arial"/>
          <w:sz w:val="18"/>
          <w:szCs w:val="18"/>
          <w:i w:val="1"/>
          <w:iCs w:val="1"/>
          <w:color w:val="auto"/>
        </w:rPr>
        <w:t>PRA</w:t>
      </w:r>
      <w:r>
        <w:rPr>
          <w:rFonts w:ascii="Arial" w:cs="Arial" w:eastAsia="Arial" w:hAnsi="Arial"/>
          <w:sz w:val="18"/>
          <w:szCs w:val="18"/>
          <w:color w:val="auto"/>
        </w:rPr>
        <w:t>”), the Guarantors (as defined herein) from time to time party hereto and CITIBANK, N.A. LONDON BRANCH, a national banking association, as trustee (in such capacity the “</w:t>
      </w:r>
      <w:r>
        <w:rPr>
          <w:rFonts w:ascii="Arial" w:cs="Arial" w:eastAsia="Arial" w:hAnsi="Arial"/>
          <w:sz w:val="18"/>
          <w:szCs w:val="18"/>
          <w:i w:val="1"/>
          <w:iCs w:val="1"/>
          <w:color w:val="auto"/>
        </w:rPr>
        <w:t>Trustee</w:t>
      </w:r>
      <w:r>
        <w:rPr>
          <w:rFonts w:ascii="Arial" w:cs="Arial" w:eastAsia="Arial" w:hAnsi="Arial"/>
          <w:sz w:val="18"/>
          <w:szCs w:val="18"/>
          <w:color w:val="auto"/>
        </w:rPr>
        <w:t>”), as notes collateral agent (in such capacity, the “</w:t>
      </w:r>
      <w:r>
        <w:rPr>
          <w:rFonts w:ascii="Arial" w:cs="Arial" w:eastAsia="Arial" w:hAnsi="Arial"/>
          <w:sz w:val="18"/>
          <w:szCs w:val="18"/>
          <w:i w:val="1"/>
          <w:iCs w:val="1"/>
          <w:color w:val="auto"/>
        </w:rPr>
        <w:t>Notes Collateral</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as paying agent (in such capacity, the “</w:t>
      </w:r>
      <w:r>
        <w:rPr>
          <w:rFonts w:ascii="Arial" w:cs="Arial" w:eastAsia="Arial" w:hAnsi="Arial"/>
          <w:sz w:val="18"/>
          <w:szCs w:val="18"/>
          <w:i w:val="1"/>
          <w:iCs w:val="1"/>
          <w:color w:val="auto"/>
        </w:rPr>
        <w:t>Paying Agent</w:t>
      </w:r>
      <w:r>
        <w:rPr>
          <w:rFonts w:ascii="Arial" w:cs="Arial" w:eastAsia="Arial" w:hAnsi="Arial"/>
          <w:sz w:val="18"/>
          <w:szCs w:val="18"/>
          <w:color w:val="auto"/>
        </w:rPr>
        <w:t>”), as transfer agent (in such capacity, the “</w:t>
      </w:r>
      <w:r>
        <w:rPr>
          <w:rFonts w:ascii="Arial" w:cs="Arial" w:eastAsia="Arial" w:hAnsi="Arial"/>
          <w:sz w:val="18"/>
          <w:szCs w:val="18"/>
          <w:i w:val="1"/>
          <w:iCs w:val="1"/>
          <w:color w:val="auto"/>
        </w:rPr>
        <w:t>Transfer Agent</w:t>
      </w:r>
      <w:r>
        <w:rPr>
          <w:rFonts w:ascii="Arial" w:cs="Arial" w:eastAsia="Arial" w:hAnsi="Arial"/>
          <w:sz w:val="18"/>
          <w:szCs w:val="18"/>
          <w:color w:val="auto"/>
        </w:rPr>
        <w:t>”) and as registrar (in such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the “</w:t>
      </w:r>
      <w:r>
        <w:rPr>
          <w:rFonts w:ascii="Arial" w:cs="Arial" w:eastAsia="Arial" w:hAnsi="Arial"/>
          <w:sz w:val="18"/>
          <w:szCs w:val="18"/>
          <w:i w:val="1"/>
          <w:iCs w:val="1"/>
          <w:color w:val="auto"/>
        </w:rPr>
        <w:t>Registrar</w:t>
      </w:r>
      <w:r>
        <w:rPr>
          <w:rFonts w:ascii="Arial" w:cs="Arial" w:eastAsia="Arial" w:hAnsi="Arial"/>
          <w:sz w:val="18"/>
          <w:szCs w:val="18"/>
          <w:color w:val="auto"/>
        </w:rPr>
        <w:t>”).</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the Issue Date, Merger Sub will merge with and into PRA, with PRA as the surviving corporation, as provided for in the Merger Agreement and the related transactions (the “</w:t>
      </w:r>
      <w:r>
        <w:rPr>
          <w:rFonts w:ascii="Arial" w:cs="Arial" w:eastAsia="Arial" w:hAnsi="Arial"/>
          <w:sz w:val="18"/>
          <w:szCs w:val="18"/>
          <w:i w:val="1"/>
          <w:iCs w:val="1"/>
          <w:color w:val="auto"/>
        </w:rPr>
        <w:t>Merger</w:t>
      </w:r>
      <w:r>
        <w:rPr>
          <w:rFonts w:ascii="Arial" w:cs="Arial" w:eastAsia="Arial" w:hAnsi="Arial"/>
          <w:sz w:val="18"/>
          <w:szCs w:val="18"/>
          <w:color w:val="auto"/>
        </w:rPr>
        <w:t>”). Upon consummation of the Merger, (i) PRA hereby expressly assumes Merger Sub’s obligations under the Notes and this Indenture by operation of law on the terms and subject to the conditions set forth in this Indenture and (ii) PRA is hereby substituted for, and may exercise every right and power of, Merger Sub under this Indenture with the same effect as if PRA had been named as the initial Issuer in this Indenture. As used herein, the term “</w:t>
      </w:r>
      <w:r>
        <w:rPr>
          <w:rFonts w:ascii="Arial" w:cs="Arial" w:eastAsia="Arial" w:hAnsi="Arial"/>
          <w:sz w:val="18"/>
          <w:szCs w:val="18"/>
          <w:i w:val="1"/>
          <w:iCs w:val="1"/>
          <w:color w:val="auto"/>
        </w:rPr>
        <w:t>Issuer</w:t>
      </w:r>
      <w:r>
        <w:rPr>
          <w:rFonts w:ascii="Arial" w:cs="Arial" w:eastAsia="Arial" w:hAnsi="Arial"/>
          <w:sz w:val="18"/>
          <w:szCs w:val="18"/>
          <w:color w:val="auto"/>
        </w:rPr>
        <w:t>” shall refer to, prior to the consummation of Merger, Merger Sub, and, upon and after consummation of the Merger, PRA.</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Issuer, the Guarantors, the Trustee and the Notes Collateral Agent agree as follows for the benefit of each other and for the equal and ratable benefit of the Holders (as defined herein) of the 2.875% Senior Secured Notes due 2026: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REFERENCE</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i w:val="1"/>
          <w:iCs w:val="1"/>
          <w:color w:val="auto"/>
        </w:rPr>
        <w:t>Definitions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144A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8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ACH Indebtedness</w:t>
      </w:r>
      <w:r>
        <w:rPr>
          <w:rFonts w:ascii="Arial" w:cs="Arial" w:eastAsia="Arial" w:hAnsi="Arial"/>
          <w:sz w:val="18"/>
          <w:szCs w:val="18"/>
          <w:color w:val="auto"/>
        </w:rPr>
        <w:t>” means Indebtedness incurred in the ordinary course of business arising in connection with any automated clearinghouse transfers of funds or other payment processing service.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“Acquired Indebtedness” </w:t>
      </w:r>
      <w:r>
        <w:rPr>
          <w:rFonts w:ascii="Arial" w:cs="Arial" w:eastAsia="Arial" w:hAnsi="Arial"/>
          <w:sz w:val="18"/>
          <w:szCs w:val="18"/>
          <w:color w:val="auto"/>
        </w:rPr>
        <w:t>means, with respect to any specified Person: (1) Indebtedness of such Person existing at the time such other Person is</w:t>
      </w:r>
      <w:r>
        <w:rPr>
          <w:rFonts w:ascii="Arial" w:cs="Arial" w:eastAsia="Arial" w:hAnsi="Arial"/>
          <w:sz w:val="18"/>
          <w:szCs w:val="18"/>
          <w:i w:val="1"/>
          <w:iCs w:val="1"/>
          <w:color w:val="auto"/>
        </w:rPr>
        <w:t xml:space="preserve"> </w:t>
      </w:r>
      <w:r>
        <w:rPr>
          <w:rFonts w:ascii="Arial" w:cs="Arial" w:eastAsia="Arial" w:hAnsi="Arial"/>
          <w:sz w:val="18"/>
          <w:szCs w:val="18"/>
          <w:color w:val="auto"/>
        </w:rPr>
        <w:t>merged with or into or became a Subsidiary of such specified Person and which is not satisfied in full at such time, whether or not such Indebtedness is incurred in connection with, or in contemplation of, such other Person merging with or into, or becoming a Subsidiary of, such specified Person; and (2) Indebtedness secured by a Lien encumbering any asset acquired by such specified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28" w:name="page229"/>
    <w:bookmarkEnd w:id="228"/>
    <w:p>
      <w:pPr>
        <w:ind w:right="20" w:firstLine="648"/>
        <w:spacing w:after="0" w:line="342" w:lineRule="auto"/>
        <w:rPr>
          <w:sz w:val="20"/>
          <w:szCs w:val="20"/>
          <w:color w:val="auto"/>
        </w:rPr>
      </w:pPr>
      <w:r>
        <w:rPr>
          <w:rFonts w:ascii="Arial" w:cs="Arial" w:eastAsia="Arial" w:hAnsi="Arial"/>
          <w:sz w:val="16"/>
          <w:szCs w:val="16"/>
          <w:color w:val="auto"/>
        </w:rPr>
        <w:t>Acquired Indebtedness shall be deemed to have been Incurred, with respect to clause (1) of the preceding sentence, on the date such Person becomes a Restricted Subsidiary and, with respect to clause (2) of the preceding sentence, on the date of consummation of such acquisition of assets.</w:t>
      </w:r>
    </w:p>
    <w:p>
      <w:pPr>
        <w:spacing w:after="0" w:line="12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i w:val="1"/>
          <w:iCs w:val="1"/>
          <w:color w:val="auto"/>
        </w:rPr>
        <w:t>control</w:t>
      </w:r>
      <w:r>
        <w:rPr>
          <w:rFonts w:ascii="Arial" w:cs="Arial" w:eastAsia="Arial" w:hAnsi="Arial"/>
          <w:sz w:val="18"/>
          <w:szCs w:val="18"/>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Arial" w:cs="Arial" w:eastAsia="Arial" w:hAnsi="Arial"/>
          <w:sz w:val="18"/>
          <w:szCs w:val="18"/>
          <w:i w:val="1"/>
          <w:iCs w:val="1"/>
          <w:color w:val="auto"/>
        </w:rPr>
        <w:t>controlling</w:t>
      </w:r>
      <w:r>
        <w:rPr>
          <w:rFonts w:ascii="Arial" w:cs="Arial" w:eastAsia="Arial" w:hAnsi="Arial"/>
          <w:sz w:val="18"/>
          <w:szCs w:val="18"/>
          <w:color w:val="auto"/>
        </w:rPr>
        <w:t>,” “</w:t>
      </w:r>
      <w:r>
        <w:rPr>
          <w:rFonts w:ascii="Arial" w:cs="Arial" w:eastAsia="Arial" w:hAnsi="Arial"/>
          <w:sz w:val="18"/>
          <w:szCs w:val="18"/>
          <w:i w:val="1"/>
          <w:iCs w:val="1"/>
          <w:color w:val="auto"/>
        </w:rPr>
        <w:t>controlled by</w:t>
      </w:r>
      <w:r>
        <w:rPr>
          <w:rFonts w:ascii="Arial" w:cs="Arial" w:eastAsia="Arial" w:hAnsi="Arial"/>
          <w:sz w:val="18"/>
          <w:szCs w:val="18"/>
          <w:color w:val="auto"/>
        </w:rPr>
        <w:t>” and “</w:t>
      </w:r>
      <w:r>
        <w:rPr>
          <w:rFonts w:ascii="Arial" w:cs="Arial" w:eastAsia="Arial" w:hAnsi="Arial"/>
          <w:sz w:val="18"/>
          <w:szCs w:val="18"/>
          <w:i w:val="1"/>
          <w:iCs w:val="1"/>
          <w:color w:val="auto"/>
        </w:rPr>
        <w:t>under common control with</w:t>
      </w:r>
      <w:r>
        <w:rPr>
          <w:rFonts w:ascii="Arial" w:cs="Arial" w:eastAsia="Arial" w:hAnsi="Arial"/>
          <w:sz w:val="18"/>
          <w:szCs w:val="18"/>
          <w:color w:val="auto"/>
        </w:rPr>
        <w:t>” have correlative meanings.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co-registrar, Paying Agent, additional paying agent, or Transfer Agent.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“Agreed Guarantee and Security Principles” </w:t>
      </w:r>
      <w:r>
        <w:rPr>
          <w:rFonts w:ascii="Arial" w:cs="Arial" w:eastAsia="Arial" w:hAnsi="Arial"/>
          <w:sz w:val="18"/>
          <w:szCs w:val="18"/>
          <w:color w:val="auto"/>
        </w:rPr>
        <w:t>means the Agreed Guarantee and Security Principles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A</w:t>
      </w:r>
      <w:r>
        <w:rPr>
          <w:rFonts w:ascii="Arial" w:cs="Arial" w:eastAsia="Arial" w:hAnsi="Arial"/>
          <w:sz w:val="18"/>
          <w:szCs w:val="18"/>
          <w:color w:val="auto"/>
        </w:rPr>
        <w:t>. For the avoidance of</w:t>
      </w:r>
      <w:r>
        <w:rPr>
          <w:rFonts w:ascii="Arial" w:cs="Arial" w:eastAsia="Arial" w:hAnsi="Arial"/>
          <w:sz w:val="18"/>
          <w:szCs w:val="18"/>
          <w:i w:val="1"/>
          <w:iCs w:val="1"/>
          <w:color w:val="auto"/>
        </w:rPr>
        <w:t xml:space="preserve"> </w:t>
      </w:r>
      <w:r>
        <w:rPr>
          <w:rFonts w:ascii="Arial" w:cs="Arial" w:eastAsia="Arial" w:hAnsi="Arial"/>
          <w:sz w:val="18"/>
          <w:szCs w:val="18"/>
          <w:color w:val="auto"/>
        </w:rPr>
        <w:t>doubt, the Agreed Guarantee and Security Principles shall only apply to Guarantees proposed to be granted by, assets of, and Equity Interests in, Parent and the Foreign Subsidiaries.</w:t>
      </w:r>
    </w:p>
    <w:p>
      <w:pPr>
        <w:spacing w:after="0" w:line="18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Percentage</w:t>
      </w:r>
      <w:r>
        <w:rPr>
          <w:rFonts w:ascii="Arial" w:cs="Arial" w:eastAsia="Arial" w:hAnsi="Arial"/>
          <w:sz w:val="18"/>
          <w:szCs w:val="18"/>
          <w:color w:val="auto"/>
        </w:rPr>
        <w:t>” means, as of any date of determination, (a) 100% if the First Lien Net Leverage Ratio is greater than 4.50:1.00, (b) 50% if the First Lien Net Leverage Ratio is less than or equal to 4.50:1.00 and greater than 4.00:1.00 and (c) 0% if the First Lien Net Leverage Ratio is less than or equal to 4.00:1.00.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1280" w:hanging="624"/>
        <w:spacing w:after="0"/>
        <w:tabs>
          <w:tab w:leader="none" w:pos="12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225" w:lineRule="exact"/>
        <w:rPr>
          <w:rFonts w:ascii="Arial" w:cs="Arial" w:eastAsia="Arial" w:hAnsi="Arial"/>
          <w:sz w:val="18"/>
          <w:szCs w:val="18"/>
          <w:color w:val="auto"/>
        </w:rPr>
      </w:pPr>
    </w:p>
    <w:p>
      <w:pPr>
        <w:ind w:right="20" w:firstLine="656"/>
        <w:spacing w:after="0" w:line="296" w:lineRule="auto"/>
        <w:tabs>
          <w:tab w:leader="none" w:pos="1263"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excess of: (a) the present value at such redemption date of (i) the redemption price of the Note at July 15, 2023 (such redemption price being set forth in the table appearing in Section 3.07(c)) plus (ii) all required interest payments due on the Note from such redemption date through July 15, 2023 (excluding accrued but unpaid interest to the redemption date), computed using a discount rate equal to the Treasury Rate as of such redemption date (or in the case of a satisfaction and discharge, as of the date that redemption funds are deposited with the Trustee) plus 50 basis points; over (b) the principal amount of the Note. For the avoidance of doubt, calculation of Applicable Premium shall not be an obligation or duty of the Trustee or any Agent.</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Euroclear and Clearstream that apply to such transfer or exchange.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9" w:name="page230"/>
    <w:bookmarkEnd w:id="2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 any Disposition (or series of related Dispositions) by the Parent or any Restricted Subsidiary, of:</w:t>
      </w:r>
    </w:p>
    <w:p>
      <w:pPr>
        <w:spacing w:after="0" w:line="225" w:lineRule="exact"/>
        <w:rPr>
          <w:sz w:val="20"/>
          <w:szCs w:val="20"/>
          <w:color w:val="auto"/>
        </w:rPr>
      </w:pPr>
    </w:p>
    <w:p>
      <w:pPr>
        <w:ind w:right="200" w:firstLine="656"/>
        <w:spacing w:after="0" w:line="277" w:lineRule="auto"/>
        <w:tabs>
          <w:tab w:leader="none" w:pos="126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shares of Capital Stock of a Restricted Subsidiary (other than directors’ qualifying shares or shares required by applicable law to be held by a Person other than the Parent or a Restricted Subsidiary);</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or substantially all the assets of any division or line of business of the Parent or any Restricted Subsidiary; or</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any other assets of the Parent or any Restricted Subsidiary outside of the ordinary course of business of the Parent or such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in the case of clauses (1), (2) and (3) above:</w:t>
      </w:r>
    </w:p>
    <w:p>
      <w:pPr>
        <w:spacing w:after="0" w:line="225" w:lineRule="exact"/>
        <w:rPr>
          <w:sz w:val="20"/>
          <w:szCs w:val="20"/>
          <w:color w:val="auto"/>
        </w:rPr>
      </w:pPr>
    </w:p>
    <w:p>
      <w:pPr>
        <w:ind w:left="1240" w:right="140" w:hanging="584"/>
        <w:spacing w:after="0" w:line="277" w:lineRule="auto"/>
        <w:tabs>
          <w:tab w:leader="none" w:pos="12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Disposition by a Restricted Subsidiary to the Parent or by the Parent or a Restricted Subsidiary to a Restricted Subsidiary and Preferred Stock or Disqualified Stock of Restricted Subsidiaries issued in compliance with Section 4.09;</w:t>
      </w:r>
    </w:p>
    <w:p>
      <w:pPr>
        <w:spacing w:after="0" w:line="170" w:lineRule="exact"/>
        <w:rPr>
          <w:rFonts w:ascii="Arial" w:cs="Arial" w:eastAsia="Arial" w:hAnsi="Arial"/>
          <w:sz w:val="18"/>
          <w:szCs w:val="18"/>
          <w:color w:val="auto"/>
        </w:rPr>
      </w:pPr>
    </w:p>
    <w:p>
      <w:pPr>
        <w:ind w:left="1240" w:right="40" w:hanging="584"/>
        <w:spacing w:after="0" w:line="308" w:lineRule="auto"/>
        <w:tabs>
          <w:tab w:leader="none" w:pos="12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for purposes of Section 4.10 only, a disposition that constitutes a Restricted Payment (or would constitute a Restricted Payment but for the exclusions from the definition thereof) that is not prohibited by Section 4.07 or that constitutes a Permitted Investment;</w:t>
      </w:r>
    </w:p>
    <w:p>
      <w:pPr>
        <w:spacing w:after="0" w:line="146" w:lineRule="exact"/>
        <w:rPr>
          <w:rFonts w:ascii="Arial" w:cs="Arial" w:eastAsia="Arial" w:hAnsi="Arial"/>
          <w:sz w:val="17"/>
          <w:szCs w:val="17"/>
          <w:color w:val="auto"/>
        </w:rPr>
      </w:pPr>
    </w:p>
    <w:p>
      <w:pPr>
        <w:ind w:left="1240" w:right="120" w:hanging="584"/>
        <w:spacing w:after="0" w:line="277" w:lineRule="auto"/>
        <w:tabs>
          <w:tab w:leader="none" w:pos="12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Disposition of all or substantially all the assets of the Parent and its Restricted Subsidiaries taken as a whole in accordance with Section 5.01 or any disposition that constitutes a Change of Control pursuant to this Indenture;</w:t>
      </w:r>
    </w:p>
    <w:p>
      <w:pPr>
        <w:spacing w:after="0" w:line="170" w:lineRule="exact"/>
        <w:rPr>
          <w:rFonts w:ascii="Arial" w:cs="Arial" w:eastAsia="Arial" w:hAnsi="Arial"/>
          <w:sz w:val="18"/>
          <w:szCs w:val="18"/>
          <w:color w:val="auto"/>
        </w:rPr>
      </w:pPr>
    </w:p>
    <w:p>
      <w:pPr>
        <w:jc w:val="both"/>
        <w:ind w:left="1240" w:hanging="584"/>
        <w:spacing w:after="0" w:line="259" w:lineRule="auto"/>
        <w:tabs>
          <w:tab w:leader="none" w:pos="12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(x) a Disposition of assets with a Fair Market Value of less than or equal to $30,000,000 (as determined in good faith by the Parent or its Restricted Subsidiaries, as applicable) in any single transaction or series of related transactions and (y) Dispositions of assets with a Fair Market Value in the aggregate in any fiscal year of the Parent of less than or equal to $60,000,000 (as determined in good faith by Parent or its Subsidiaries, as applicable);</w:t>
      </w:r>
    </w:p>
    <w:p>
      <w:pPr>
        <w:spacing w:after="0" w:line="186" w:lineRule="exact"/>
        <w:rPr>
          <w:rFonts w:ascii="Arial" w:cs="Arial" w:eastAsia="Arial" w:hAnsi="Arial"/>
          <w:sz w:val="18"/>
          <w:szCs w:val="18"/>
          <w:color w:val="auto"/>
        </w:rPr>
      </w:pPr>
    </w:p>
    <w:p>
      <w:pPr>
        <w:ind w:left="1240" w:right="360" w:hanging="584"/>
        <w:spacing w:after="0" w:line="308" w:lineRule="auto"/>
        <w:tabs>
          <w:tab w:leader="none" w:pos="12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Dispositions of damaged, expired, short-dated, worn-out or obsolete equipment or assets in the ordinary course of business that, in the Parent’s reasonable judgment, are no longer either used or useful in the business of the Parent or its Subsidiaries;</w:t>
      </w:r>
    </w:p>
    <w:p>
      <w:pPr>
        <w:spacing w:after="0" w:line="146" w:lineRule="exact"/>
        <w:rPr>
          <w:rFonts w:ascii="Arial" w:cs="Arial" w:eastAsia="Arial" w:hAnsi="Arial"/>
          <w:sz w:val="17"/>
          <w:szCs w:val="17"/>
          <w:color w:val="auto"/>
        </w:rPr>
      </w:pPr>
    </w:p>
    <w:p>
      <w:pPr>
        <w:ind w:left="1240" w:right="520" w:hanging="584"/>
        <w:spacing w:after="0" w:line="277" w:lineRule="auto"/>
        <w:tabs>
          <w:tab w:leader="none" w:pos="12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non-exclusive license or sublicense of intellectual property or other general intangibles and licenses, leases or subleases of other property, in each case, in the ordinary course of business;</w:t>
      </w:r>
    </w:p>
    <w:p>
      <w:pPr>
        <w:spacing w:after="0" w:line="170" w:lineRule="exact"/>
        <w:rPr>
          <w:rFonts w:ascii="Arial" w:cs="Arial" w:eastAsia="Arial" w:hAnsi="Arial"/>
          <w:sz w:val="18"/>
          <w:szCs w:val="18"/>
          <w:color w:val="auto"/>
        </w:rPr>
      </w:pPr>
    </w:p>
    <w:p>
      <w:pPr>
        <w:ind w:left="1240" w:right="80" w:hanging="584"/>
        <w:spacing w:after="0" w:line="277" w:lineRule="auto"/>
        <w:tabs>
          <w:tab w:leader="none" w:pos="12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any exchange of like property (excluding any boot thereon) for use in a Permitted Business;</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issuance or sale of Capital Stock in, or Indebtedness or other securities of, an Unrestricted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0" w:name="page231"/>
    <w:bookmarkEnd w:id="230"/>
    <w:p>
      <w:pPr>
        <w:ind w:left="584" w:hanging="584"/>
        <w:spacing w:after="0"/>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foreclosures, condemnation, expropriation or any similar action on assets of the Parent or any of the Restricted Subsidiaries;</w:t>
      </w:r>
    </w:p>
    <w:p>
      <w:pPr>
        <w:spacing w:after="0" w:line="225" w:lineRule="exact"/>
        <w:rPr>
          <w:rFonts w:ascii="Arial" w:cs="Arial" w:eastAsia="Arial" w:hAnsi="Arial"/>
          <w:sz w:val="18"/>
          <w:szCs w:val="18"/>
          <w:color w:val="auto"/>
        </w:rPr>
      </w:pPr>
    </w:p>
    <w:p>
      <w:pPr>
        <w:ind w:left="584" w:right="100" w:hanging="584"/>
        <w:spacing w:after="0" w:line="277" w:lineRule="auto"/>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sale or discount of inventory, accounts receivable or notes receivable in the ordinary course of business or the conversion of accounts receivable to notes receivable;</w:t>
      </w:r>
    </w:p>
    <w:p>
      <w:pPr>
        <w:spacing w:after="0" w:line="170" w:lineRule="exact"/>
        <w:rPr>
          <w:rFonts w:ascii="Arial" w:cs="Arial" w:eastAsia="Arial" w:hAnsi="Arial"/>
          <w:sz w:val="18"/>
          <w:szCs w:val="18"/>
          <w:color w:val="auto"/>
        </w:rPr>
      </w:pPr>
    </w:p>
    <w:p>
      <w:pPr>
        <w:ind w:left="584" w:hanging="584"/>
        <w:spacing w:after="0" w:line="277" w:lineRule="auto"/>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surrender or waiver of contract rights or the settlement, release or surrender of contract rights or other litigation claims in the ordinary course of business;</w:t>
      </w:r>
    </w:p>
    <w:p>
      <w:pPr>
        <w:spacing w:after="0" w:line="170" w:lineRule="exact"/>
        <w:rPr>
          <w:rFonts w:ascii="Arial" w:cs="Arial" w:eastAsia="Arial" w:hAnsi="Arial"/>
          <w:sz w:val="18"/>
          <w:szCs w:val="18"/>
          <w:color w:val="auto"/>
        </w:rPr>
      </w:pPr>
    </w:p>
    <w:p>
      <w:pPr>
        <w:ind w:left="584" w:right="60" w:hanging="584"/>
        <w:spacing w:after="0" w:line="277" w:lineRule="auto"/>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unwinding, settlement or termination of any obligations under or in respect of any Swap Agreements (including any Permitted Equity Derivatives, Permitted Hedging Obligations and Swap Agreements);</w:t>
      </w:r>
    </w:p>
    <w:p>
      <w:pPr>
        <w:spacing w:after="0" w:line="170" w:lineRule="exact"/>
        <w:rPr>
          <w:rFonts w:ascii="Arial" w:cs="Arial" w:eastAsia="Arial" w:hAnsi="Arial"/>
          <w:sz w:val="18"/>
          <w:szCs w:val="18"/>
          <w:color w:val="auto"/>
        </w:rPr>
      </w:pPr>
    </w:p>
    <w:p>
      <w:pPr>
        <w:ind w:left="584" w:right="260" w:hanging="584"/>
        <w:spacing w:after="0" w:line="263" w:lineRule="auto"/>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Dispositions of Investments in joint ventures made in the ordinary course of business or to the extent required by, or made pursuant to, customary buy/sell arrangements between the joint venture parties set forth in joint venture arrangements and similar binding arrangements;</w:t>
      </w:r>
    </w:p>
    <w:p>
      <w:pPr>
        <w:spacing w:after="0" w:line="183" w:lineRule="exact"/>
        <w:rPr>
          <w:rFonts w:ascii="Arial" w:cs="Arial" w:eastAsia="Arial" w:hAnsi="Arial"/>
          <w:sz w:val="18"/>
          <w:szCs w:val="18"/>
          <w:color w:val="auto"/>
        </w:rPr>
      </w:pPr>
    </w:p>
    <w:p>
      <w:pPr>
        <w:ind w:left="584" w:right="620" w:hanging="584"/>
        <w:spacing w:after="0" w:line="342" w:lineRule="auto"/>
        <w:tabs>
          <w:tab w:leader="none" w:pos="584"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lapse or abandonment of intellectual property rights in the ordinary course of business, or which are not, individually or in the aggregate, useful or material to the conduct of the business of the Parent and the Restricted Subsidiaries taken as a whole;</w:t>
      </w:r>
    </w:p>
    <w:p>
      <w:pPr>
        <w:spacing w:after="0" w:line="123" w:lineRule="exact"/>
        <w:rPr>
          <w:rFonts w:ascii="Arial" w:cs="Arial" w:eastAsia="Arial" w:hAnsi="Arial"/>
          <w:sz w:val="16"/>
          <w:szCs w:val="16"/>
          <w:color w:val="auto"/>
        </w:rPr>
      </w:pPr>
    </w:p>
    <w:p>
      <w:pPr>
        <w:ind w:left="584" w:hanging="584"/>
        <w:spacing w:after="0"/>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Disposition of cash or Cash Equivalents;</w:t>
      </w:r>
    </w:p>
    <w:p>
      <w:pPr>
        <w:spacing w:after="0" w:line="225" w:lineRule="exact"/>
        <w:rPr>
          <w:rFonts w:ascii="Arial" w:cs="Arial" w:eastAsia="Arial" w:hAnsi="Arial"/>
          <w:sz w:val="18"/>
          <w:szCs w:val="18"/>
          <w:color w:val="auto"/>
        </w:rPr>
      </w:pPr>
    </w:p>
    <w:p>
      <w:pPr>
        <w:ind w:left="584" w:hanging="584"/>
        <w:spacing w:after="0"/>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Disposition in connection with a co-development or collaboration agreement;</w:t>
      </w:r>
    </w:p>
    <w:p>
      <w:pPr>
        <w:spacing w:after="0" w:line="225" w:lineRule="exact"/>
        <w:rPr>
          <w:rFonts w:ascii="Arial" w:cs="Arial" w:eastAsia="Arial" w:hAnsi="Arial"/>
          <w:sz w:val="18"/>
          <w:szCs w:val="18"/>
          <w:color w:val="auto"/>
        </w:rPr>
      </w:pPr>
    </w:p>
    <w:p>
      <w:pPr>
        <w:ind w:left="584" w:hanging="584"/>
        <w:spacing w:after="0"/>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creation of a Permitted Lien (but not the sale or other disposition of the property subject to such Lien);</w:t>
      </w:r>
    </w:p>
    <w:p>
      <w:pPr>
        <w:spacing w:after="0" w:line="225" w:lineRule="exact"/>
        <w:rPr>
          <w:rFonts w:ascii="Arial" w:cs="Arial" w:eastAsia="Arial" w:hAnsi="Arial"/>
          <w:sz w:val="18"/>
          <w:szCs w:val="18"/>
          <w:color w:val="auto"/>
        </w:rPr>
      </w:pPr>
    </w:p>
    <w:p>
      <w:pPr>
        <w:ind w:left="584" w:right="260" w:hanging="584"/>
        <w:spacing w:after="0" w:line="257" w:lineRule="auto"/>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Dispositions of Capital Stock in any Subsidiary prior to the time such Subsidiary becomes a Wholly- Owned Subsidiary, in each case pursuant to any stock appreciation rights, plans, equity incentive or achievement plans or any similar plans or the exercise of warrants, options or other securities convertible into or exchangeable for the Capital Stock of such Subsidiary, so long as such rights, plans, warrants, options or other securities were not entered into or issued in connection with or in contemplation of such person becoming a Subsidiary;</w:t>
      </w:r>
    </w:p>
    <w:p>
      <w:pPr>
        <w:spacing w:after="0" w:line="187" w:lineRule="exact"/>
        <w:rPr>
          <w:rFonts w:ascii="Arial" w:cs="Arial" w:eastAsia="Arial" w:hAnsi="Arial"/>
          <w:sz w:val="18"/>
          <w:szCs w:val="18"/>
          <w:color w:val="auto"/>
        </w:rPr>
      </w:pPr>
    </w:p>
    <w:p>
      <w:pPr>
        <w:ind w:left="584" w:right="420" w:hanging="584"/>
        <w:spacing w:after="0" w:line="277" w:lineRule="auto"/>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sale, assignment or other transfer of Securitization Assets in connection with a Qualified Securitization Financing or a Qualified Receivables Factoring;</w:t>
      </w:r>
    </w:p>
    <w:p>
      <w:pPr>
        <w:spacing w:after="0" w:line="170" w:lineRule="exact"/>
        <w:rPr>
          <w:rFonts w:ascii="Arial" w:cs="Arial" w:eastAsia="Arial" w:hAnsi="Arial"/>
          <w:sz w:val="18"/>
          <w:szCs w:val="18"/>
          <w:color w:val="auto"/>
        </w:rPr>
      </w:pPr>
    </w:p>
    <w:p>
      <w:pPr>
        <w:ind w:left="584" w:right="340" w:hanging="584"/>
        <w:spacing w:after="0" w:line="277" w:lineRule="auto"/>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Dispositions of Investments made in Drug Development Funds not exceeding, for any individual or series of related Dispositions, the greater of $120.0 million and 10% of Consolidated EBITDA for the Four Quarter Period;</w:t>
      </w:r>
    </w:p>
    <w:p>
      <w:pPr>
        <w:spacing w:after="0" w:line="170" w:lineRule="exact"/>
        <w:rPr>
          <w:rFonts w:ascii="Arial" w:cs="Arial" w:eastAsia="Arial" w:hAnsi="Arial"/>
          <w:sz w:val="18"/>
          <w:szCs w:val="18"/>
          <w:color w:val="auto"/>
        </w:rPr>
      </w:pPr>
    </w:p>
    <w:p>
      <w:pPr>
        <w:ind w:left="584" w:hanging="584"/>
        <w:spacing w:after="0"/>
        <w:tabs>
          <w:tab w:leader="none" w:pos="5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discounting of customer invoices in the ordinary course of business;</w:t>
      </w:r>
    </w:p>
    <w:p>
      <w:pPr>
        <w:spacing w:after="0" w:line="22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24"/>
          </w:cols>
          <w:pgMar w:left="976" w:top="827" w:right="399" w:bottom="1440" w:gutter="0" w:footer="0" w:header="0"/>
        </w:sectPr>
      </w:pPr>
    </w:p>
    <w:bookmarkStart w:id="231" w:name="page232"/>
    <w:bookmarkEnd w:id="231"/>
    <w:p>
      <w:pPr>
        <w:ind w:left="1240" w:hanging="584"/>
        <w:spacing w:after="0" w:line="277" w:lineRule="auto"/>
        <w:tabs>
          <w:tab w:leader="none" w:pos="1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Disposition of any assets made to obtain the approval of any applicable antitrust authority in connection with any acquisition or other Investment not prohibited by this Indenture;</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Sale and Leaseback Transaction related to the Headquarters;</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issuance of directors’ qualifying shares and shares issued to foreign nationals as required by applicable law;</w:t>
      </w:r>
    </w:p>
    <w:p>
      <w:pPr>
        <w:spacing w:after="0" w:line="225" w:lineRule="exact"/>
        <w:rPr>
          <w:rFonts w:ascii="Arial" w:cs="Arial" w:eastAsia="Arial" w:hAnsi="Arial"/>
          <w:sz w:val="18"/>
          <w:szCs w:val="18"/>
          <w:color w:val="auto"/>
        </w:rPr>
      </w:pPr>
    </w:p>
    <w:p>
      <w:pPr>
        <w:jc w:val="both"/>
        <w:ind w:left="1240" w:hanging="584"/>
        <w:spacing w:after="0" w:line="263" w:lineRule="auto"/>
        <w:tabs>
          <w:tab w:leader="none" w:pos="1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that is promptly purchased or (ii) the proceeds of such Asset Sale are promptly applied to the purchase price of such replacement property (which replacement property is actually promptly purchased);</w:t>
      </w:r>
    </w:p>
    <w:p>
      <w:pPr>
        <w:spacing w:after="0" w:line="183" w:lineRule="exact"/>
        <w:rPr>
          <w:rFonts w:ascii="Arial" w:cs="Arial" w:eastAsia="Arial" w:hAnsi="Arial"/>
          <w:sz w:val="18"/>
          <w:szCs w:val="18"/>
          <w:color w:val="auto"/>
        </w:rPr>
      </w:pPr>
    </w:p>
    <w:p>
      <w:pPr>
        <w:ind w:left="1240" w:hanging="584"/>
        <w:spacing w:after="0"/>
        <w:tabs>
          <w:tab w:leader="none" w:pos="1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issuance or sale by any Restricted Subsidiary of Equity Interests to the Parent or another Restricted Subsidiary;</w:t>
      </w:r>
    </w:p>
    <w:p>
      <w:pPr>
        <w:spacing w:after="0" w:line="225" w:lineRule="exact"/>
        <w:rPr>
          <w:sz w:val="20"/>
          <w:szCs w:val="20"/>
          <w:color w:val="auto"/>
        </w:rPr>
      </w:pPr>
    </w:p>
    <w:p>
      <w:pPr>
        <w:ind w:left="1240" w:hanging="584"/>
        <w:spacing w:after="0" w:line="277" w:lineRule="auto"/>
        <w:tabs>
          <w:tab w:leader="none" w:pos="12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any Sale and Leaseback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Capital Lease Obligations arising in connection therewith would be permitted under Section 4.09; and</w:t>
      </w:r>
    </w:p>
    <w:p>
      <w:pPr>
        <w:spacing w:after="0" w:line="170" w:lineRule="exact"/>
        <w:rPr>
          <w:rFonts w:ascii="Arial" w:cs="Arial" w:eastAsia="Arial" w:hAnsi="Arial"/>
          <w:sz w:val="18"/>
          <w:szCs w:val="18"/>
          <w:color w:val="auto"/>
        </w:rPr>
      </w:pPr>
    </w:p>
    <w:p>
      <w:pPr>
        <w:ind w:left="1240" w:right="140" w:hanging="584"/>
        <w:spacing w:after="0" w:line="277" w:lineRule="auto"/>
        <w:tabs>
          <w:tab w:leader="none" w:pos="12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any Sale and Leaseback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Attributable Debt in respect of such transaction would be permitted to be incurred under Section 4.09 and Section 4.12 if such Attributable Debt were treated as Secured Indebtedness.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Bankruptcy Code</w:t>
      </w:r>
      <w:r>
        <w:rPr>
          <w:rFonts w:ascii="Arial" w:cs="Arial" w:eastAsia="Arial" w:hAnsi="Arial"/>
          <w:sz w:val="17"/>
          <w:szCs w:val="17"/>
          <w:color w:val="auto"/>
        </w:rPr>
        <w:t>” means Title 11 of the United States Code entitled “Bankruptcy”, as now or hereafter in effect, and any successor thereto.</w:t>
      </w:r>
    </w:p>
    <w:p>
      <w:pPr>
        <w:spacing w:after="0" w:line="2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Custodian</w:t>
      </w:r>
      <w:r>
        <w:rPr>
          <w:rFonts w:ascii="Arial" w:cs="Arial" w:eastAsia="Arial" w:hAnsi="Arial"/>
          <w:sz w:val="18"/>
          <w:szCs w:val="18"/>
          <w:color w:val="auto"/>
        </w:rPr>
        <w:t>” means any receiver, interim receiver, receiver and manager, trustee, assignee, liquidator, examiner, custodian or similar official under any Bankruptcy Law.</w:t>
      </w:r>
    </w:p>
    <w:p>
      <w:pPr>
        <w:spacing w:after="0" w:line="170"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the Bankruptcy Code or any similar federal or state law for the relief of debtors or similar foreign law (including, without limitation, laws of Ireland relating to bankruptcy, insolvency, receivership, winding up, liquidation, examinership, reorganization or relief of debtors).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225" w:lineRule="exact"/>
        <w:rPr>
          <w:sz w:val="20"/>
          <w:szCs w:val="20"/>
          <w:color w:val="auto"/>
        </w:rPr>
      </w:pPr>
    </w:p>
    <w:p>
      <w:pPr>
        <w:ind w:left="1280" w:hanging="624"/>
        <w:spacing w:after="0"/>
        <w:tabs>
          <w:tab w:leader="none" w:pos="12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32" w:name="page233"/>
    <w:bookmarkEnd w:id="232"/>
    <w:p>
      <w:pPr>
        <w:ind w:left="1280" w:hanging="624"/>
        <w:spacing w:after="0"/>
        <w:tabs>
          <w:tab w:leader="none" w:pos="12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right="280" w:firstLine="656"/>
        <w:spacing w:after="0" w:line="277" w:lineRule="auto"/>
        <w:tabs>
          <w:tab w:leader="none" w:pos="126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with respect to a limited liability company managed by the member or members, the managing member or members or any controlling committee of managing members thereof;</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with respect to a limited liability company managed by a manager or managers, the manager or managers and any controlling committee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managers; and</w:t>
      </w:r>
    </w:p>
    <w:p>
      <w:pPr>
        <w:spacing w:after="0" w:line="210" w:lineRule="exact"/>
        <w:rPr>
          <w:rFonts w:ascii="Arial" w:cs="Arial" w:eastAsia="Arial" w:hAnsi="Arial"/>
          <w:sz w:val="16"/>
          <w:szCs w:val="16"/>
          <w:color w:val="auto"/>
        </w:rPr>
      </w:pPr>
    </w:p>
    <w:p>
      <w:pPr>
        <w:ind w:left="1280" w:hanging="624"/>
        <w:spacing w:after="0"/>
        <w:tabs>
          <w:tab w:leader="none" w:pos="12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that is not a Saturday, Sunday or other day on which commercial banks in Luxembourg, New York City or London, United Kingdom are authorized or required by law to remain closed.</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Lease Obligation</w:t>
      </w:r>
      <w:r>
        <w:rPr>
          <w:rFonts w:ascii="Arial" w:cs="Arial" w:eastAsia="Arial" w:hAnsi="Arial"/>
          <w:sz w:val="17"/>
          <w:szCs w:val="17"/>
          <w:color w:val="auto"/>
        </w:rPr>
        <w:t xml:space="preserve">”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Indenture, the amount of such obligations shall be the capitalized amount thereof determined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obligations of any person that are or would be characterized as operating lease obligations in accordance with GAAP on December 31, 2015 (whether or not such operating lease obligations were in effect on such date) shall continue to be accounted for as operating lease obligations (and not as Capital Lease Obligations) for purposes of this Indenture regardless of any change in GAAP following December 31, 2015 that would otherwise require such obligations to be recharacterized (on a prospective or retroactive basis or otherwise) as Capital Lease Obligations.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of any Person means any and all shares, interests, participations, rights in or other equivalents (however designated) of such Person’s capital stock, partnership interests (whether general or limited), limited liability company interests, shares (parts sociales) in a Luxembourg private limited liability company, beneficial interests in a trust and any other interest or participation that confers on a Person the right to receive a share of the profits and losses of, or distributions of assets of, the issuing Person, including any Preferred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right="100" w:firstLine="656"/>
        <w:spacing w:after="0" w:line="286" w:lineRule="auto"/>
        <w:tabs>
          <w:tab w:leader="none" w:pos="126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 United States dollars, Canadian dollars, euro, Pounds Sterling, Yen, Swiss Francs or any national currency of any member state of the European Union; (b) with respect to Parent or any Restricted Subsidiary, the national currency of the jurisdiction in which such Person is organized or domiciled, and (c) any other foreign currency held by the Parent and the Restricted Subsidiaries in the ordinary course of business;</w:t>
      </w:r>
    </w:p>
    <w:p>
      <w:pPr>
        <w:spacing w:after="0" w:line="165" w:lineRule="exact"/>
        <w:rPr>
          <w:rFonts w:ascii="Arial" w:cs="Arial" w:eastAsia="Arial" w:hAnsi="Arial"/>
          <w:sz w:val="17"/>
          <w:szCs w:val="17"/>
          <w:color w:val="auto"/>
        </w:rPr>
      </w:pPr>
    </w:p>
    <w:p>
      <w:pPr>
        <w:jc w:val="both"/>
        <w:ind w:firstLine="656"/>
        <w:spacing w:after="0" w:line="286" w:lineRule="auto"/>
        <w:tabs>
          <w:tab w:leader="none" w:pos="126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direct obligations of, or obligations the principal of and interest on which are unconditionally guaranteed by, the United States of America or a member state of the European Union (or by any agency thereof to the extent such obligations are backed by the full faith and credit of the United States of America or such member state), in each case maturing within eighteen months from the date of acquisition thereof;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3" w:name="page234"/>
    <w:bookmarkEnd w:id="233"/>
    <w:p>
      <w:pPr>
        <w:ind w:right="200" w:firstLine="656"/>
        <w:spacing w:after="0" w:line="277" w:lineRule="auto"/>
        <w:tabs>
          <w:tab w:leader="none" w:pos="126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70" w:lineRule="exact"/>
        <w:rPr>
          <w:rFonts w:ascii="Arial" w:cs="Arial" w:eastAsia="Arial" w:hAnsi="Arial"/>
          <w:sz w:val="18"/>
          <w:szCs w:val="18"/>
          <w:color w:val="auto"/>
        </w:rPr>
      </w:pPr>
    </w:p>
    <w:p>
      <w:pPr>
        <w:jc w:val="both"/>
        <w:ind w:right="40" w:firstLine="656"/>
        <w:spacing w:after="0" w:line="259" w:lineRule="auto"/>
        <w:tabs>
          <w:tab w:leader="none" w:pos="126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$250.0 million in the case of U.S. banks and $250.0 million (or the foreign currency equivalent as of the date of determination) in the case of non-U.S. banks;</w:t>
      </w:r>
    </w:p>
    <w:p>
      <w:pPr>
        <w:spacing w:after="0" w:line="186" w:lineRule="exact"/>
        <w:rPr>
          <w:rFonts w:ascii="Arial" w:cs="Arial" w:eastAsia="Arial" w:hAnsi="Arial"/>
          <w:sz w:val="18"/>
          <w:szCs w:val="18"/>
          <w:color w:val="auto"/>
        </w:rPr>
      </w:pPr>
    </w:p>
    <w:p>
      <w:pPr>
        <w:ind w:right="340" w:firstLine="656"/>
        <w:spacing w:after="0" w:line="277" w:lineRule="auto"/>
        <w:tabs>
          <w:tab w:leader="none" w:pos="126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thirty (30) days for securities described in clauses (2) and (4) above and entered into with a financial institution satisfying the criteria described in clause (4) above;</w:t>
      </w:r>
    </w:p>
    <w:p>
      <w:pPr>
        <w:spacing w:after="0" w:line="170" w:lineRule="exact"/>
        <w:rPr>
          <w:rFonts w:ascii="Arial" w:cs="Arial" w:eastAsia="Arial" w:hAnsi="Arial"/>
          <w:sz w:val="18"/>
          <w:szCs w:val="18"/>
          <w:color w:val="auto"/>
        </w:rPr>
      </w:pPr>
    </w:p>
    <w:p>
      <w:pPr>
        <w:ind w:firstLine="656"/>
        <w:spacing w:after="0" w:line="263" w:lineRule="auto"/>
        <w:tabs>
          <w:tab w:leader="none" w:pos="126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183" w:lineRule="exact"/>
        <w:rPr>
          <w:rFonts w:ascii="Arial" w:cs="Arial" w:eastAsia="Arial" w:hAnsi="Arial"/>
          <w:sz w:val="18"/>
          <w:szCs w:val="18"/>
          <w:color w:val="auto"/>
        </w:rPr>
      </w:pPr>
    </w:p>
    <w:p>
      <w:pPr>
        <w:ind w:right="40" w:firstLine="656"/>
        <w:spacing w:after="0" w:line="263" w:lineRule="auto"/>
        <w:tabs>
          <w:tab w:leader="none" w:pos="126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Investments with average maturities of 24 months or less from the date of acquisition in money market funds and similar liquid funds rated AA- (or the equivalent thereof) or better by S&amp;P or Aa3 (or the equivalent thereof) or better by Moody’s (or, if at any time neither Moody’s nor S&amp;P shall be rating such obligations, an equivalent rating from another nationally recognized statistical rating agency);</w:t>
      </w:r>
    </w:p>
    <w:p>
      <w:pPr>
        <w:spacing w:after="0" w:line="183" w:lineRule="exact"/>
        <w:rPr>
          <w:rFonts w:ascii="Arial" w:cs="Arial" w:eastAsia="Arial" w:hAnsi="Arial"/>
          <w:sz w:val="18"/>
          <w:szCs w:val="18"/>
          <w:color w:val="auto"/>
        </w:rPr>
      </w:pPr>
    </w:p>
    <w:p>
      <w:pPr>
        <w:ind w:right="20" w:firstLine="656"/>
        <w:spacing w:after="0" w:line="257" w:lineRule="auto"/>
        <w:tabs>
          <w:tab w:leader="none" w:pos="126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securities issued or fully guaranteed by any state, commonwealth or territory of the United States of America or by any political subdivision (including any municipality) or taxing authority of any such state, commonwealth or territory, the securities of which state, commonwealth, territory, political subdivision or taxing authority (as the case may be) are rated at least “A” (or A-1, SP1 or other then equivalent grade) by S&amp;P or at least “A1” (or “Prime-1” or MIG-1 or other then equivalent grade) by Moody’s as of the date of acquisition and, in each case, with a maturity of not more than two years from the date of acquisition thereof;</w:t>
      </w:r>
    </w:p>
    <w:p>
      <w:pPr>
        <w:spacing w:after="0" w:line="187" w:lineRule="exact"/>
        <w:rPr>
          <w:rFonts w:ascii="Arial" w:cs="Arial" w:eastAsia="Arial" w:hAnsi="Arial"/>
          <w:sz w:val="18"/>
          <w:szCs w:val="18"/>
          <w:color w:val="auto"/>
        </w:rPr>
      </w:pPr>
    </w:p>
    <w:p>
      <w:pPr>
        <w:ind w:left="1280" w:hanging="624"/>
        <w:spacing w:after="0"/>
        <w:tabs>
          <w:tab w:leader="none" w:pos="12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investment funds investing substantially all of their assets in securities of the types described in clauses (1) through (8) above; and</w:t>
      </w:r>
    </w:p>
    <w:p>
      <w:pPr>
        <w:spacing w:after="0" w:line="236" w:lineRule="exact"/>
        <w:rPr>
          <w:rFonts w:ascii="Arial" w:cs="Arial" w:eastAsia="Arial" w:hAnsi="Arial"/>
          <w:sz w:val="17"/>
          <w:szCs w:val="17"/>
          <w:color w:val="auto"/>
        </w:rPr>
      </w:pPr>
    </w:p>
    <w:p>
      <w:pPr>
        <w:ind w:right="180" w:firstLine="656"/>
        <w:spacing w:after="0" w:line="342" w:lineRule="auto"/>
        <w:tabs>
          <w:tab w:leader="none" w:pos="126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in the case of any the Parent or Foreign Subsidiary, other short-term investments that are analogous to the foregoing, are of comparable credit quality and are customarily used by companies in the jurisdiction of the Parent or such Foreign Subsidiary for cash management purposes.</w:t>
      </w:r>
    </w:p>
    <w:p>
      <w:pPr>
        <w:spacing w:after="0" w:line="124"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 xml:space="preserve">Notwithstanding the foregoing, Cash Equivalents shall include amounts denominated in currencies other than those set forth in clause (1);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amounts are converted into any currency listed in clause (1) as promptly as practicable and in any event within ten Business Days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receipt of such amounts.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34" w:name="page235"/>
    <w:bookmarkEnd w:id="2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right="120" w:firstLine="656"/>
        <w:spacing w:after="0" w:line="259" w:lineRule="auto"/>
        <w:tabs>
          <w:tab w:leader="none" w:pos="126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the Parent or its Wholly-Owned Subsidiaries or its or their employee benefit plans becomes the “beneficial owner” (as defined in Rules 13d-3 and 13d-5 under the Exchange Act), directly or indirectly, of more than 50% of the total outstanding Voting Stock of the Parent or the Issuer, as disclosed in a Schedule TO or any schedule, form or other report under the Exchange Act (other than Form 13F);</w:t>
      </w:r>
    </w:p>
    <w:p>
      <w:pPr>
        <w:spacing w:after="0" w:line="186" w:lineRule="exact"/>
        <w:rPr>
          <w:rFonts w:ascii="Arial" w:cs="Arial" w:eastAsia="Arial" w:hAnsi="Arial"/>
          <w:sz w:val="18"/>
          <w:szCs w:val="18"/>
          <w:color w:val="auto"/>
        </w:rPr>
      </w:pPr>
    </w:p>
    <w:p>
      <w:pPr>
        <w:ind w:firstLine="656"/>
        <w:spacing w:after="0" w:line="291" w:lineRule="auto"/>
        <w:tabs>
          <w:tab w:leader="none" w:pos="126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Parent merges with or into another Person or sells, assigns, conveys, transfers, leases or otherwise disposes of all or substantially all of its assets to any Person (other than by way of merger or consolidation), or any Person merges with or into the Parent, in any such event pursuant to a transaction in which the outstanding Voting Stock of the Parent is converted into or exchanged for cash, securities or other property, other than any such transaction where (x) the outstanding Voting Stock of the Parent is converted into or exchanged for Voting Stock (other than Disqualified Stock) of the surviving or transferee corporation and (y) immediately after such transaction no “person” or “group” (as such terms are used in Sections 13(d) and 14(d) of the Exchange Act) is the “beneficial owner” (as defined in Rules 13d-3 and 13d-5 under the Exchange Act), directly or indirectly, of more than 50% of the total voting power represented by the outstanding Voting Stock of the surviving or transferee corporation;</w:t>
      </w:r>
    </w:p>
    <w:p>
      <w:pPr>
        <w:spacing w:after="0" w:line="166" w:lineRule="exact"/>
        <w:rPr>
          <w:rFonts w:ascii="Arial" w:cs="Arial" w:eastAsia="Arial" w:hAnsi="Arial"/>
          <w:sz w:val="16"/>
          <w:szCs w:val="16"/>
          <w:color w:val="auto"/>
        </w:rPr>
      </w:pPr>
    </w:p>
    <w:p>
      <w:pPr>
        <w:ind w:right="120" w:firstLine="656"/>
        <w:spacing w:after="0" w:line="277" w:lineRule="auto"/>
        <w:tabs>
          <w:tab w:leader="none" w:pos="126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Parent or the Issuer is liquidated or dissolved or adopts a plan of liquidation or dissolution other than in a transaction which complies with Section 5.01; or</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Issuer ceases to be either a direct or indirect Wholly-Owned Subsidiary of the Parent.</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Notwithstanding the foregoing, a transaction will not be deemed to constitute a Change of Control if (1) the Parent or the Issuer becomes a direct or indirect Wholly-Owned Subsidiary of a holding company and (2)(A) the direct or indirect holders of the Voting Stock of such holding company immediately following that transaction are substantially the same as the holders of the Parent’s or the Issuer’s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w:t>
      </w:r>
      <w:r>
        <w:rPr>
          <w:rFonts w:ascii="Arial" w:cs="Arial" w:eastAsia="Arial" w:hAnsi="Arial"/>
          <w:sz w:val="18"/>
          <w:szCs w:val="18"/>
          <w:color w:val="auto"/>
        </w:rPr>
        <w:t>” means Clearstream Luxembourg, 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of the assets and property of the Issuer or any Guarantor, whether real, personal or mixed securing or purported to secure any First Priority Notes Obligations, other than Excluded Assets. Notwithstanding the foregoing, with respect to the Guarantors organized in Luxembourg, the Collateral will be limited to the capital stock of its subsidiaries organized in the United States, material bank accounts and material intercompany loans, in each case, of such Guarantor.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35" w:name="page236"/>
    <w:bookmarkEnd w:id="235"/>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 the security documents pursuant to which the Issuer and the Guarantors grant liens in favor of the Notes Collateral Agent to secure Obligations under this Indenture and the Notes.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Commodity Price Protection Agreement</w:t>
      </w:r>
      <w:r>
        <w:rPr>
          <w:rFonts w:ascii="Arial" w:cs="Arial" w:eastAsia="Arial" w:hAnsi="Arial"/>
          <w:sz w:val="18"/>
          <w:szCs w:val="18"/>
          <w:color w:val="auto"/>
        </w:rPr>
        <w:t>” means any forward contract, commodity swap, commodity option or other similar financial agreement or arrangement relating to, or the value of which is dependent upon, fluctuations in commodity prices.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Companies Act</w:t>
      </w:r>
      <w:r>
        <w:rPr>
          <w:rFonts w:ascii="Arial" w:cs="Arial" w:eastAsia="Arial" w:hAnsi="Arial"/>
          <w:sz w:val="18"/>
          <w:szCs w:val="18"/>
          <w:color w:val="auto"/>
        </w:rPr>
        <w:t>” means the Companies Act 2014 of Ireland (as amended).</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and Amortization Expense</w:t>
      </w:r>
      <w:r>
        <w:rPr>
          <w:rFonts w:ascii="Arial" w:cs="Arial" w:eastAsia="Arial" w:hAnsi="Arial"/>
          <w:sz w:val="18"/>
          <w:szCs w:val="18"/>
          <w:color w:val="auto"/>
        </w:rPr>
        <w:t>” means with respect to any period, the total amount of depreciation and amortization expense, including any amortization of deferred financing fees, accretion of royalty liabilities, amortization in relation to terminated Swap Agreements and amortization of intangibles, including, but not limited to, goodwill, of the Group for such period on a consolidated basis and otherwise determined in accordance with GAAP.</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means, for any Four Quarter Period, Consolidated Net Income plus, without duplication, and, other than clauses (7) and (8), solely to the extent deducted (and not otherwise excluded) in determining Consolidated Net Income:</w:t>
      </w:r>
    </w:p>
    <w:p>
      <w:pPr>
        <w:spacing w:after="0" w:line="170" w:lineRule="exact"/>
        <w:rPr>
          <w:sz w:val="20"/>
          <w:szCs w:val="20"/>
          <w:color w:val="auto"/>
        </w:rPr>
      </w:pPr>
    </w:p>
    <w:p>
      <w:pPr>
        <w:ind w:left="1280" w:hanging="624"/>
        <w:spacing w:after="0"/>
        <w:tabs>
          <w:tab w:leader="none" w:pos="12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expense and provision for taxes, paid or accrued,</w:t>
      </w:r>
    </w:p>
    <w:p>
      <w:pPr>
        <w:spacing w:after="0" w:line="225" w:lineRule="exact"/>
        <w:rPr>
          <w:rFonts w:ascii="Arial" w:cs="Arial" w:eastAsia="Arial" w:hAnsi="Arial"/>
          <w:sz w:val="18"/>
          <w:szCs w:val="18"/>
          <w:color w:val="auto"/>
        </w:rPr>
      </w:pPr>
    </w:p>
    <w:p>
      <w:pPr>
        <w:ind w:right="160" w:firstLine="656"/>
        <w:spacing w:after="0" w:line="263" w:lineRule="auto"/>
        <w:tabs>
          <w:tab w:leader="none" w:pos="126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consolidated interest expense and charges and deferred financing fees, losses on hedging obligations or other derivative instruments entered into for the purpose of hedging interest rate risk, net of gains on such hedging obligations, and costs of surety bonds in connection with financing activities,</w:t>
      </w:r>
    </w:p>
    <w:p>
      <w:pPr>
        <w:spacing w:after="0" w:line="183" w:lineRule="exact"/>
        <w:rPr>
          <w:rFonts w:ascii="Arial" w:cs="Arial" w:eastAsia="Arial" w:hAnsi="Arial"/>
          <w:sz w:val="18"/>
          <w:szCs w:val="18"/>
          <w:color w:val="auto"/>
        </w:rPr>
      </w:pPr>
    </w:p>
    <w:p>
      <w:pPr>
        <w:ind w:left="1280" w:hanging="624"/>
        <w:spacing w:after="0"/>
        <w:tabs>
          <w:tab w:leader="none" w:pos="12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Consolidated Depreciation and Amortization Expense,</w:t>
      </w:r>
    </w:p>
    <w:p>
      <w:pPr>
        <w:spacing w:after="0" w:line="225" w:lineRule="exact"/>
        <w:rPr>
          <w:rFonts w:ascii="Arial" w:cs="Arial" w:eastAsia="Arial" w:hAnsi="Arial"/>
          <w:sz w:val="18"/>
          <w:szCs w:val="18"/>
          <w:color w:val="auto"/>
        </w:rPr>
      </w:pPr>
    </w:p>
    <w:p>
      <w:pPr>
        <w:ind w:right="280" w:firstLine="656"/>
        <w:spacing w:after="0" w:line="277" w:lineRule="auto"/>
        <w:tabs>
          <w:tab w:leader="none" w:pos="126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non-cash charges recorded in respect of purchase accounting and non-cash exchange, translation or performance losses relating to any foreign currency hedging transactions or currency fluctuations,</w:t>
      </w:r>
    </w:p>
    <w:p>
      <w:pPr>
        <w:spacing w:after="0" w:line="170" w:lineRule="exact"/>
        <w:rPr>
          <w:rFonts w:ascii="Arial" w:cs="Arial" w:eastAsia="Arial" w:hAnsi="Arial"/>
          <w:sz w:val="18"/>
          <w:szCs w:val="18"/>
          <w:color w:val="auto"/>
        </w:rPr>
      </w:pPr>
    </w:p>
    <w:p>
      <w:pPr>
        <w:ind w:right="40" w:firstLine="656"/>
        <w:spacing w:after="0" w:line="275" w:lineRule="auto"/>
        <w:tabs>
          <w:tab w:leader="none" w:pos="1263"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any other non-cash charges, expenses or losses, including, without limitation, (x) any non-cash compensation expense, non-cash translation loss and non-cash expense relating to the vesting of warrants and (y) pursuant to any management equity plan or stock plan or pursuant to Statement of Financial Accounting Standards 158 (codified under Accounting Standards Codification 715); provided that accruals or reserves for potential cash items in any future period may or may not (at the election of the Parent) be added back in such period and, to the extent added back, the cash payment in respect of such accrual or reserve in a future period shall be subtracted from Consolidated EBITDA in such future period,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6" w:name="page237"/>
    <w:bookmarkEnd w:id="236"/>
    <w:p>
      <w:pPr>
        <w:ind w:left="1280" w:hanging="624"/>
        <w:spacing w:after="0"/>
        <w:tabs>
          <w:tab w:leader="none" w:pos="12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expenses with respect to casualty events,</w:t>
      </w:r>
    </w:p>
    <w:p>
      <w:pPr>
        <w:spacing w:after="0" w:line="225" w:lineRule="exact"/>
        <w:rPr>
          <w:rFonts w:ascii="Arial" w:cs="Arial" w:eastAsia="Arial" w:hAnsi="Arial"/>
          <w:sz w:val="18"/>
          <w:szCs w:val="18"/>
          <w:color w:val="auto"/>
        </w:rPr>
      </w:pPr>
    </w:p>
    <w:p>
      <w:pPr>
        <w:ind w:firstLine="656"/>
        <w:spacing w:after="0" w:line="283" w:lineRule="auto"/>
        <w:tabs>
          <w:tab w:leader="none" w:pos="1263"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the amount of “run-rate” net cost savings, synergies and operating expense reductions projected by the Parent to be realized as a result of any Transactions, any acquisition, any other Investment, dispositions, divestitures, restructurings, operating improvements, cost savings initiatives and other similar initiatives projected by the Parent in good faith to result from actions taken, committed to be taken or with respect to which substantial steps have been taken or are expected in good faith to be taken, other than in the case of the Transactions, within 24 months of such transaction, initiative or event, in each case, calculated as though such cost savings, synergies and operating expense reductions had been realized on the first day of the applicable Four Quarter Period and net of the amount of actual benefits received during such period from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cost savings and synergies are factually supportable in the good faith judgment of the Parent and (B) no cost savings or synergies shall be added pursuant to this clause (7) to the extent duplicative of any expenses or charges otherwise added to Consolidated EBITDA or Consolidated Net Income, whether through a pro forma adjustment or otherwise, for such period (the “</w:t>
      </w:r>
      <w:r>
        <w:rPr>
          <w:rFonts w:ascii="Arial" w:cs="Arial" w:eastAsia="Arial" w:hAnsi="Arial"/>
          <w:sz w:val="16"/>
          <w:szCs w:val="16"/>
          <w:i w:val="1"/>
          <w:iCs w:val="1"/>
          <w:color w:val="auto"/>
        </w:rPr>
        <w:t>Pro Forma Synergies</w:t>
      </w:r>
      <w:r>
        <w:rPr>
          <w:rFonts w:ascii="Arial" w:cs="Arial" w:eastAsia="Arial" w:hAnsi="Arial"/>
          <w:sz w:val="16"/>
          <w:szCs w:val="16"/>
          <w:color w:val="auto"/>
        </w:rPr>
        <w:t>”) provided, further, that (i) the aggregate amount of any adjustments under this clause</w:t>
      </w:r>
    </w:p>
    <w:p>
      <w:pPr>
        <w:spacing w:after="0" w:line="5" w:lineRule="exact"/>
        <w:rPr>
          <w:rFonts w:ascii="Arial" w:cs="Arial" w:eastAsia="Arial" w:hAnsi="Arial"/>
          <w:sz w:val="16"/>
          <w:szCs w:val="16"/>
          <w:color w:val="auto"/>
        </w:rPr>
      </w:pPr>
    </w:p>
    <w:p>
      <w:pPr>
        <w:ind w:right="160" w:firstLine="8"/>
        <w:spacing w:after="0" w:line="273" w:lineRule="auto"/>
        <w:tabs>
          <w:tab w:leader="none" w:pos="25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permitted to be made in respect of the Transactions when calculating Consolidated EBITDA for any Four Quarter Period ending after the second anniversary of the Issue Date shall not exceed the greater of (x) $150,000,000 and (y) the amount of such adjustments made in respect of the Transactions pursuant to this clause (7) prior to such date and (ii) the aggregate amount of any adjustments made pursuant to this clause (7) for any period shall not exceed in the aggregate 25% of Consolidated EBITDA for such period (before giving effect to any such adjustments),</w:t>
      </w:r>
    </w:p>
    <w:p>
      <w:pPr>
        <w:spacing w:after="0" w:line="176" w:lineRule="exact"/>
        <w:rPr>
          <w:rFonts w:ascii="Arial" w:cs="Arial" w:eastAsia="Arial" w:hAnsi="Arial"/>
          <w:sz w:val="17"/>
          <w:szCs w:val="17"/>
          <w:color w:val="auto"/>
        </w:rPr>
      </w:pPr>
    </w:p>
    <w:p>
      <w:pPr>
        <w:ind w:right="100" w:firstLine="656"/>
        <w:spacing w:after="0" w:line="259" w:lineRule="auto"/>
        <w:tabs>
          <w:tab w:leader="none" w:pos="1263"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 to the extent covered by insurance and actually reimbursed within 365 days of the first date of determination by the Parent that there exists reasonable evidence that such amount will in fact be reimbursed by the insurer, expenses with respect to liability or casualty or business interruption and (ii) to the extent actually reimbursed, expenses incurred to the extent covered by indemnification provisions in any agreement in connection with any acquisition permitted under this Indenture,</w:t>
      </w:r>
    </w:p>
    <w:p>
      <w:pPr>
        <w:spacing w:after="0" w:line="186" w:lineRule="exact"/>
        <w:rPr>
          <w:rFonts w:ascii="Arial" w:cs="Arial" w:eastAsia="Arial" w:hAnsi="Arial"/>
          <w:sz w:val="18"/>
          <w:szCs w:val="18"/>
          <w:color w:val="auto"/>
        </w:rPr>
      </w:pPr>
    </w:p>
    <w:p>
      <w:pPr>
        <w:ind w:right="20" w:firstLine="656"/>
        <w:spacing w:after="0" w:line="277" w:lineRule="auto"/>
        <w:tabs>
          <w:tab w:leader="none" w:pos="1263" w:val="left"/>
        </w:tabs>
        <w:numPr>
          <w:ilvl w:val="1"/>
          <w:numId w:val="249"/>
        </w:numPr>
        <w:rPr>
          <w:rFonts w:ascii="Arial" w:cs="Arial" w:eastAsia="Arial" w:hAnsi="Arial"/>
          <w:sz w:val="18"/>
          <w:szCs w:val="18"/>
          <w:color w:val="auto"/>
        </w:rPr>
      </w:pPr>
      <w:r>
        <w:rPr>
          <w:rFonts w:ascii="Arial" w:cs="Arial" w:eastAsia="Arial" w:hAnsi="Arial"/>
          <w:sz w:val="18"/>
          <w:szCs w:val="18"/>
          <w:color w:val="auto"/>
        </w:rPr>
        <w:t>cash charges and legal expenses in connection with litigation to the extent not constituting an extraordinary, non-recurring or unusual loss, charge or expense in an aggregate amount for any Four Quarter Period not to exceed $5 million,</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all reserves taken during such period on account of contingent cash payments that may be required in future periods,</w:t>
      </w:r>
    </w:p>
    <w:p>
      <w:pPr>
        <w:spacing w:after="0" w:line="225" w:lineRule="exact"/>
        <w:rPr>
          <w:rFonts w:ascii="Arial" w:cs="Arial" w:eastAsia="Arial" w:hAnsi="Arial"/>
          <w:sz w:val="18"/>
          <w:szCs w:val="18"/>
          <w:color w:val="auto"/>
        </w:rPr>
      </w:pPr>
    </w:p>
    <w:p>
      <w:pPr>
        <w:ind w:firstLine="656"/>
        <w:spacing w:after="0" w:line="277" w:lineRule="auto"/>
        <w:tabs>
          <w:tab w:leader="none" w:pos="125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amount of any minority interest expense consisting of Subsidiary income attributable to minority equity interests of third parties in any non-wholly owned Subsidiary deducted (and not added back) in such period in calculating Consolidated Net Income,</w:t>
      </w:r>
    </w:p>
    <w:p>
      <w:pPr>
        <w:spacing w:after="0" w:line="170" w:lineRule="exact"/>
        <w:rPr>
          <w:rFonts w:ascii="Arial" w:cs="Arial" w:eastAsia="Arial" w:hAnsi="Arial"/>
          <w:sz w:val="18"/>
          <w:szCs w:val="18"/>
          <w:color w:val="auto"/>
        </w:rPr>
      </w:pPr>
    </w:p>
    <w:p>
      <w:pPr>
        <w:ind w:right="20" w:firstLine="656"/>
        <w:spacing w:after="0" w:line="308" w:lineRule="auto"/>
        <w:tabs>
          <w:tab w:leader="none" w:pos="1444" w:val="left"/>
        </w:tabs>
        <w:numPr>
          <w:ilvl w:val="1"/>
          <w:numId w:val="249"/>
        </w:numPr>
        <w:rPr>
          <w:rFonts w:ascii="Arial" w:cs="Arial" w:eastAsia="Arial" w:hAnsi="Arial"/>
          <w:sz w:val="17"/>
          <w:szCs w:val="17"/>
          <w:color w:val="auto"/>
        </w:rPr>
      </w:pPr>
      <w:r>
        <w:rPr>
          <w:rFonts w:ascii="Arial" w:cs="Arial" w:eastAsia="Arial" w:hAnsi="Arial"/>
          <w:sz w:val="17"/>
          <w:szCs w:val="17"/>
          <w:color w:val="auto"/>
        </w:rPr>
        <w:t>the amount of loss or discount on sales of receivables, Securitization Assets and related assets to any Securitization Subsidiary in connection with a Qualified Securitization Financing or to any other Person in connection with a Qualified Receivables Factoring,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7" w:name="page238"/>
    <w:bookmarkEnd w:id="237"/>
    <w:p>
      <w:pPr>
        <w:jc w:val="both"/>
        <w:ind w:firstLine="656"/>
        <w:spacing w:after="0" w:line="268" w:lineRule="auto"/>
        <w:tabs>
          <w:tab w:leader="none" w:pos="140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restructuring costs (including in connection with any tax related restructuring), integration costs, retention, recruiting, relocation and signing or completion bonuses and expenses, stock option and other equity-based compensation expenses and the amount of payments made to option holders in connection with, or as a result of, any distribution being made to shareholders, severance costs, systems establishment costs, costs relating to entry into a new market or to exiting a market, costs associated with office and facility openings, pre-openings, closings, expansions and consolidations (including but not limited to termination costs, moving costs and legal costs), new operation costs, unused warehouse space costs, new contract or corporate development costs, software and other intellectual property development costs, project start-up costs, costs relating to early termination of rights fee arrangements, consulting fees, curtailments or modifications to pension and post-retirement employee benefits and any costs attributable to the undertaking and/or implementation of new initiatives, business optimization activities, cost savings initiatives, cost rationalization programs, operating expense reductions, synergies and/or similar initiatives or programs (including, without limitation, in connection with the Transactions or any inventory optimization program, integration, restructuring or transition, any reconstruction, decommissioning, recommissioning or reconfiguration of fixed assets for alternative uses, any facility opening and/or pre-opening, any implementation of operational and reporting systems and technology initiatives (including any expense relating to the implementation of enhanced accounting or IT functions or new system designs)), any employee ramp-up charges or any charges related to underutilized personnel (including duplicative personnel),</w:t>
      </w:r>
    </w:p>
    <w:p>
      <w:pPr>
        <w:spacing w:after="0" w:line="186" w:lineRule="exact"/>
        <w:rPr>
          <w:rFonts w:ascii="Arial" w:cs="Arial" w:eastAsia="Arial" w:hAnsi="Arial"/>
          <w:sz w:val="17"/>
          <w:szCs w:val="17"/>
          <w:color w:val="auto"/>
        </w:rPr>
      </w:pPr>
    </w:p>
    <w:p>
      <w:pPr>
        <w:ind w:left="1280" w:hanging="624"/>
        <w:spacing w:after="0"/>
        <w:tabs>
          <w:tab w:leader="none" w:pos="12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extraordinary, unusual, special, exceptional or non-recurring charges, expenses or losses (as determined by the Parent in good faith),</w:t>
      </w:r>
    </w:p>
    <w:p>
      <w:pPr>
        <w:spacing w:after="0" w:line="248" w:lineRule="exact"/>
        <w:rPr>
          <w:rFonts w:ascii="Arial" w:cs="Arial" w:eastAsia="Arial" w:hAnsi="Arial"/>
          <w:sz w:val="16"/>
          <w:szCs w:val="16"/>
          <w:color w:val="auto"/>
        </w:rPr>
      </w:pPr>
    </w:p>
    <w:p>
      <w:pPr>
        <w:ind w:left="1280" w:hanging="624"/>
        <w:spacing w:after="0"/>
        <w:tabs>
          <w:tab w:leader="none" w:pos="12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add backs and other adjustments consistent with Regulation S-X,</w:t>
      </w:r>
    </w:p>
    <w:p>
      <w:pPr>
        <w:spacing w:after="0" w:line="225" w:lineRule="exact"/>
        <w:rPr>
          <w:rFonts w:ascii="Arial" w:cs="Arial" w:eastAsia="Arial" w:hAnsi="Arial"/>
          <w:sz w:val="18"/>
          <w:szCs w:val="18"/>
          <w:color w:val="auto"/>
        </w:rPr>
      </w:pPr>
    </w:p>
    <w:p>
      <w:pPr>
        <w:jc w:val="both"/>
        <w:ind w:firstLine="656"/>
        <w:spacing w:after="0" w:line="275" w:lineRule="auto"/>
        <w:tabs>
          <w:tab w:leader="none" w:pos="128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fees, costs and expenses (including, without limitation, premium) incurred in connection with the Transactions and other transaction fees, costs, accruals and expenses (including rationalization, legal, tax and other costs and expenses) incurred in connection with any acquisition, investment, dividend, restricted payment, disposition, recapitalization, merger, consolidation or amalgamation, issuance, exchange or repayment of Indebtedness, option buyouts, refinancing, amendments or other modifications of debt instruments, early extinguishment of debt, hedging agreements or other derivative instruments (in each case whether or not such transaction was successfully completed),</w:t>
      </w:r>
    </w:p>
    <w:p>
      <w:pPr>
        <w:spacing w:after="0" w:line="176" w:lineRule="exact"/>
        <w:rPr>
          <w:rFonts w:ascii="Arial" w:cs="Arial" w:eastAsia="Arial" w:hAnsi="Arial"/>
          <w:sz w:val="17"/>
          <w:szCs w:val="17"/>
          <w:color w:val="auto"/>
        </w:rPr>
      </w:pPr>
    </w:p>
    <w:p>
      <w:pPr>
        <w:jc w:val="both"/>
        <w:ind w:firstLine="656"/>
        <w:spacing w:after="0" w:line="257" w:lineRule="auto"/>
        <w:tabs>
          <w:tab w:leader="none" w:pos="12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without limiting the generality of clause (7) above, any costs or expense incurred by the Parent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the Parent or net cash proceeds of an issuance of Equity Interests of the Parent (other than Disqualified Stock) solely to the extent that such net cash proceeds are excluded from the calculation set forth in Section 4.07(a)(iii)(B),</w:t>
      </w:r>
    </w:p>
    <w:p>
      <w:pPr>
        <w:spacing w:after="0" w:line="187" w:lineRule="exact"/>
        <w:rPr>
          <w:rFonts w:ascii="Arial" w:cs="Arial" w:eastAsia="Arial" w:hAnsi="Arial"/>
          <w:sz w:val="18"/>
          <w:szCs w:val="18"/>
          <w:color w:val="auto"/>
        </w:rPr>
      </w:pPr>
    </w:p>
    <w:p>
      <w:pPr>
        <w:jc w:val="both"/>
        <w:ind w:firstLine="656"/>
        <w:spacing w:after="0" w:line="254" w:lineRule="auto"/>
        <w:tabs>
          <w:tab w:leader="none" w:pos="126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without limiting the generality of clause (7) above, the amount of expenses relating to payments made to option, phantom equity or profits interest holders of the Parent or any of its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Indenture and expenses relating to distributions made to equity holders of such Person or its direct or indirect parent companies resulting from the application of Financial Accounting Standards Codification Topic 718— Compensation — Stock Compensation (formerly Financial Accounting Standards Board Statement No. 123 (Revised 2004)),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8" w:name="page239"/>
    <w:bookmarkEnd w:id="238"/>
    <w:p>
      <w:pPr>
        <w:jc w:val="both"/>
        <w:ind w:firstLine="656"/>
        <w:spacing w:after="0" w:line="259" w:lineRule="auto"/>
        <w:tabs>
          <w:tab w:leader="none" w:pos="134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the initial application of FASB Accounting Standards Codification Topic 715-Compensation-Retirement Benefits and any other items of a similar nature to the extent deducted (and not added back) in calculating Consolidated Net Income, 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to the extent included in Consolidated Net Income and without duplication</w:t>
      </w:r>
    </w:p>
    <w:p>
      <w:pPr>
        <w:spacing w:after="0" w:line="225" w:lineRule="exact"/>
        <w:rPr>
          <w:sz w:val="20"/>
          <w:szCs w:val="20"/>
          <w:color w:val="auto"/>
        </w:rPr>
      </w:pPr>
    </w:p>
    <w:p>
      <w:pPr>
        <w:ind w:left="920" w:hanging="264"/>
        <w:spacing w:after="0"/>
        <w:tabs>
          <w:tab w:leader="none" w:pos="9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unusual, infrequent or extraordinary income or gains, and</w:t>
      </w:r>
    </w:p>
    <w:p>
      <w:pPr>
        <w:spacing w:after="0" w:line="225" w:lineRule="exact"/>
        <w:rPr>
          <w:rFonts w:ascii="Arial" w:cs="Arial" w:eastAsia="Arial" w:hAnsi="Arial"/>
          <w:sz w:val="18"/>
          <w:szCs w:val="18"/>
          <w:color w:val="auto"/>
        </w:rPr>
      </w:pPr>
    </w:p>
    <w:p>
      <w:pPr>
        <w:ind w:right="20" w:firstLine="656"/>
        <w:spacing w:after="0" w:line="259" w:lineRule="auto"/>
        <w:tabs>
          <w:tab w:leader="none" w:pos="90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other non-cash income (except to the extent representing an accrual for future cash income); provided that, to the extent non-cash gains are deducted pursuant to this clause (2)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all calculated for the Parent and its Restricted Subsidiaries in accordance with GAAP (to the extent applicable) on a consolidated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included in Consolidated Net Income, (A) currency translation gains and losses shall be excluded in determining Consolidated EBITDA (including the net loss or gain resulting from Swap Agreements for currency exchange risk) and (B) any adjustments resulting from the application of Statement of Financial Accounting Standards 133 (codified under Accounting Standards Codification 815) shall be excluded in determining Consolidated EBITDA.</w:t>
      </w:r>
    </w:p>
    <w:p>
      <w:pPr>
        <w:spacing w:after="0" w:line="18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For the avoidance of doubt, the foregoing additions to, and subtractions from, Consolidated EBITDA shall not give effect to any items attributable to Unrestricted Subsidiaries other than IGPHS. For the purposes of calculating Consolidated EBITDA for any period, if during such period or after such period but prior to the applicable date of determination, the Parent or any Restricted Subsidiary shall have made any Specified Transaction, converted any Restricted Subsidiary into an Unrestricted Subsidiary, or converted any Unrestricted Subsidiary into a Restricted Subsidiary, Consolidated EBITDA shall be calculated after giving effect thereto on a pro forma basis, as if such Specified Transaction or conversion, and any related incurrence or repayment of Indebtedness, occurred on the first day of such period. If since the beginning of such period any Person (that subsequently became a Restricted Subsidiary or was merged with or into the Parent or any Restricted Subsidiary since the beginning of such period but prior to the end of such period) shall have made any Specified Transaction or such conversions that would have required adjustment pursuant to this definition, then Consolidated EBITDA shall be calculated on a pro forma basis for such period as if such Specified Transaction or conversion had occurred on the first day of such period.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9" w:name="page240"/>
    <w:bookmarkEnd w:id="239"/>
    <w:p>
      <w:pPr>
        <w:jc w:val="both"/>
        <w:ind w:right="160" w:firstLine="648"/>
        <w:spacing w:after="0" w:line="263" w:lineRule="auto"/>
        <w:rPr>
          <w:sz w:val="20"/>
          <w:szCs w:val="20"/>
          <w:color w:val="auto"/>
        </w:rPr>
      </w:pPr>
      <w:r>
        <w:rPr>
          <w:rFonts w:ascii="Arial" w:cs="Arial" w:eastAsia="Arial" w:hAnsi="Arial"/>
          <w:sz w:val="18"/>
          <w:szCs w:val="18"/>
          <w:color w:val="auto"/>
        </w:rPr>
        <w:t>For the avoidance of doubt, any Indebtedness or Lien incurred or Investment or Restricted Payment made, in each case that was permitted under this Indenture at the time of such incurrence, making or receipt, shall continue to be permitted under this Indenture, regardless of any subsequent decrease in Consolidated EBITDA.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means, with respect to any period, the sum, without duplication, of:</w:t>
      </w:r>
    </w:p>
    <w:p>
      <w:pPr>
        <w:spacing w:after="0" w:line="225" w:lineRule="exact"/>
        <w:rPr>
          <w:sz w:val="20"/>
          <w:szCs w:val="20"/>
          <w:color w:val="auto"/>
        </w:rPr>
      </w:pPr>
    </w:p>
    <w:p>
      <w:pPr>
        <w:ind w:right="260" w:firstLine="656"/>
        <w:spacing w:after="0" w:line="254" w:lineRule="auto"/>
        <w:tabs>
          <w:tab w:leader="none" w:pos="126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the interest expense paid in cash of the Group calculated on a consolidated basis for such period in accordance with GAAP, including, without limitation, interest expense under Capital Lease Obligations that is treated as interest in accordance with GAAP, imputed interest with respect to Attributable Debt and net payments, if any, pursuant to interest rate Permitted Hedging Obligations, but excluding any (i) non-cash interest expense attributable to the movement in mark-to-market valuation of Permitted Hedging Obligations or other derivative instruments pursuant to SFAS No. 133 (codified under ASC 815), (ii) non-cash interest expense attributable to the amortization of gains or losses resulting from the termination of Permitted Hedging Obligations prior to or reasonably contemporaneously with the Issue Date, (iii) amortization of deferred financing fees, (iv) expensing of commitment, bridge or other financing fees, and (v) interest expense arising out of the amortization of debt discount under Accounting Standards Codification 470-20; </w:t>
      </w:r>
      <w:r>
        <w:rPr>
          <w:rFonts w:ascii="Arial" w:cs="Arial" w:eastAsia="Arial" w:hAnsi="Arial"/>
          <w:sz w:val="18"/>
          <w:szCs w:val="18"/>
          <w:i w:val="1"/>
          <w:iCs w:val="1"/>
          <w:color w:val="auto"/>
        </w:rPr>
        <w:t>less</w:t>
      </w:r>
    </w:p>
    <w:p>
      <w:pPr>
        <w:spacing w:after="0" w:line="191" w:lineRule="exact"/>
        <w:rPr>
          <w:rFonts w:ascii="Arial" w:cs="Arial" w:eastAsia="Arial" w:hAnsi="Arial"/>
          <w:sz w:val="18"/>
          <w:szCs w:val="18"/>
          <w:color w:val="auto"/>
        </w:rPr>
      </w:pPr>
    </w:p>
    <w:p>
      <w:pPr>
        <w:ind w:left="1280" w:hanging="624"/>
        <w:spacing w:after="0"/>
        <w:tabs>
          <w:tab w:leader="none" w:pos="12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interest income of the Group for such period (including income pursuant to any Permitted Hedging Obligations).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reference to any period, the net income (or loss) of the Group calculated in accordance with GAAP on a consolidated basis (without duplication)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w:t>
      </w:r>
    </w:p>
    <w:p>
      <w:pPr>
        <w:spacing w:after="0" w:line="170" w:lineRule="exact"/>
        <w:rPr>
          <w:sz w:val="20"/>
          <w:szCs w:val="20"/>
          <w:color w:val="auto"/>
        </w:rPr>
      </w:pPr>
    </w:p>
    <w:p>
      <w:pPr>
        <w:ind w:right="140" w:firstLine="656"/>
        <w:spacing w:after="0" w:line="263" w:lineRule="auto"/>
        <w:tabs>
          <w:tab w:leader="none" w:pos="126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income (or loss) of any Person other than the Parent or a Restricted Subsidiary, but any such income so excluded may be included in such period or any later period to the extent of any cash dividends or distributions actually paid in the relevant period to the Parent or any Restricted Subsidiary of the Parent;</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389" w:val="left"/>
        </w:tabs>
        <w:numPr>
          <w:ilvl w:val="0"/>
          <w:numId w:val="254"/>
        </w:numPr>
        <w:rPr>
          <w:rFonts w:ascii="Arial" w:cs="Arial" w:eastAsia="Arial" w:hAnsi="Arial"/>
          <w:sz w:val="17"/>
          <w:szCs w:val="17"/>
          <w:color w:val="auto"/>
        </w:rPr>
      </w:pPr>
      <w:r>
        <w:rPr>
          <w:rFonts w:ascii="Arial" w:cs="Arial" w:eastAsia="Arial" w:hAnsi="Arial"/>
          <w:sz w:val="17"/>
          <w:szCs w:val="17"/>
          <w:color w:val="auto"/>
        </w:rPr>
        <w:t>solely for the purpose of determining the amount available for Restricted Payments under Section 4.07(a)(iii)(A), income of, and any amounts referred to in clause (a) of this proviso paid to, any Subsidiary of the Parent (other than the Issuer or a Guarantor) to the extent that, on the date of determination, the declaration or payment of cash dividends or other cash distributions by such Subsidiary of that income is not at the time permitted by applicable law or any agreement or instrument applicable to such Subsidiary, unless such restriction with respect to the payment of cash dividends or other cash distributions has been legally waived or otherwise released; provided that Consolidated Net Income of the referent Person will be increased by the amount of dividends or other distributions or other payments actually paid in cash (or to the extent converted into cash) or Cash Equivalents to such Person or a Restricted Subsidiary thereof in respect of such period, to the extent not already included therein;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0" w:name="page241"/>
    <w:bookmarkEnd w:id="240"/>
    <w:p>
      <w:pPr>
        <w:jc w:val="both"/>
        <w:ind w:firstLine="656"/>
        <w:spacing w:after="0" w:line="255" w:lineRule="auto"/>
        <w:tabs>
          <w:tab w:leader="none" w:pos="156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fees, costs and expenses (including, without limitation, any premium) directly incurred or paid during such period, or any amortization thereof for such period, in connection with (x) the Transactions, (y) any other Permitted Acquisition or other acquisition not prohibited under this Indenture, and, to the extent permitted thereunder, any other Investments and any Dispositions, and (z) to the extent permitted hereunder, issuances or incurrence of Indebtedness, issuances of Equity Interests or refinancing transactions and modifications of instruments of Indebtedness (in each case, including any such transaction consummated prior to the Issue Date, and any such transaction undertaken but not completed) and any charges or non-recurring costs incurred during such period as a result of such transaction;</w:t>
      </w:r>
    </w:p>
    <w:p>
      <w:pPr>
        <w:spacing w:after="0" w:line="192" w:lineRule="exact"/>
        <w:rPr>
          <w:rFonts w:ascii="Arial" w:cs="Arial" w:eastAsia="Arial" w:hAnsi="Arial"/>
          <w:sz w:val="18"/>
          <w:szCs w:val="18"/>
          <w:color w:val="auto"/>
        </w:rPr>
      </w:pPr>
    </w:p>
    <w:p>
      <w:pPr>
        <w:jc w:val="both"/>
        <w:ind w:firstLine="656"/>
        <w:spacing w:after="0" w:line="259" w:lineRule="auto"/>
        <w:tabs>
          <w:tab w:leader="none" w:pos="129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at the option of the Parent, the effects of discontinued operations (but if such operations are classified as discontinued due to the fact that they are subject to an agreement to dispose of such operations or in contemplation of the same, or are otherwise classified as “held for sale” under GAAP, only when and to the extent such operations are actually disposed of) and any net after-tax gains or losses from asset dispositions (other than in the ordinary course of business (as determined by the Parent in good faith));</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non-cash amounts included in Consolidated Interest Expense;</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non-cash compensation expense incurred with any issuance of, equity interests to an employee of such Person or any 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ind w:firstLine="656"/>
        <w:spacing w:after="0" w:line="277" w:lineRule="auto"/>
        <w:tabs>
          <w:tab w:leader="none" w:pos="131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income (loss) for such period attributable to the early extinguishment of Indebtedness, together with any related provision for Taxes on any such income;</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gain or loss realized as a result of the cumulative effect of a change in accounting principles;</w:t>
      </w:r>
    </w:p>
    <w:p>
      <w:pPr>
        <w:spacing w:after="0" w:line="225" w:lineRule="exact"/>
        <w:rPr>
          <w:rFonts w:ascii="Arial" w:cs="Arial" w:eastAsia="Arial" w:hAnsi="Arial"/>
          <w:sz w:val="18"/>
          <w:szCs w:val="18"/>
          <w:color w:val="auto"/>
        </w:rPr>
      </w:pPr>
    </w:p>
    <w:p>
      <w:pPr>
        <w:jc w:val="both"/>
        <w:ind w:right="200" w:firstLine="656"/>
        <w:spacing w:after="0" w:line="263" w:lineRule="auto"/>
        <w:tabs>
          <w:tab w:leader="none" w:pos="1263"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gains or losses resulting from any reappraisal, revaluation or write-up or write-down of assets or liabilities (including any gains and losses attributable to movement in the mark-to-market valuation of any convertible indebtedness, any related call options or warrant transactions and any other derivatives and Deferred Acquisition Consideration);</w:t>
      </w:r>
    </w:p>
    <w:p>
      <w:pPr>
        <w:spacing w:after="0" w:line="183" w:lineRule="exact"/>
        <w:rPr>
          <w:rFonts w:ascii="Arial" w:cs="Arial" w:eastAsia="Arial" w:hAnsi="Arial"/>
          <w:sz w:val="18"/>
          <w:szCs w:val="18"/>
          <w:color w:val="auto"/>
        </w:rPr>
      </w:pPr>
    </w:p>
    <w:p>
      <w:pPr>
        <w:ind w:left="1280" w:hanging="624"/>
        <w:spacing w:after="0"/>
        <w:tabs>
          <w:tab w:leader="none" w:pos="12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non-cash charges recorded in respect of intangible assets, including goodwill;</w:t>
      </w:r>
    </w:p>
    <w:p>
      <w:pPr>
        <w:spacing w:after="0" w:line="225" w:lineRule="exact"/>
        <w:rPr>
          <w:rFonts w:ascii="Arial" w:cs="Arial" w:eastAsia="Arial" w:hAnsi="Arial"/>
          <w:sz w:val="18"/>
          <w:szCs w:val="18"/>
          <w:color w:val="auto"/>
        </w:rPr>
      </w:pPr>
    </w:p>
    <w:p>
      <w:pPr>
        <w:ind w:right="560" w:firstLine="656"/>
        <w:spacing w:after="0" w:line="308" w:lineRule="auto"/>
        <w:tabs>
          <w:tab w:leader="none" w:pos="125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effect of any purchase allocation accounting adjustments in respect of any acquisition consummated prior to the Issue Date, the Transactions and any acquisition permitted under this Indenture, and the amortization or write-off of any amounts in respect thereof;</w:t>
      </w:r>
    </w:p>
    <w:p>
      <w:pPr>
        <w:spacing w:after="0" w:line="146" w:lineRule="exact"/>
        <w:rPr>
          <w:rFonts w:ascii="Arial" w:cs="Arial" w:eastAsia="Arial" w:hAnsi="Arial"/>
          <w:sz w:val="17"/>
          <w:szCs w:val="17"/>
          <w:color w:val="auto"/>
        </w:rPr>
      </w:pPr>
    </w:p>
    <w:p>
      <w:pPr>
        <w:ind w:firstLine="656"/>
        <w:spacing w:after="0" w:line="290" w:lineRule="auto"/>
        <w:tabs>
          <w:tab w:leader="none" w:pos="126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any unusual, infrequent or extraordinary loss or charge and any restructuring charges or reserves, including write-downs and write-offs, any costs incurred in connection with the Transactions, Permitted Investments and Dispositions, costs related to the closure, consolidation and integration of facilities, information technology infrastructure and legal entities, and severance and retention bonuses, any charges to establish accruals and reserves or to make payments associated with the reassessment or realignment of the business and operations of the Parent and its Subsidiaries (including, without limitation, the sale or closing of facilities, severance, stay bonuses and curtailments or modifications to pension and post-retirement employee benefit plans, asset impairments or asset disposals (including leased facilities), charges for purchase and lease commitments, start-up costs for new facilities, reserves for excess, obsolete or unbalanced inventories, relocation costs which are not otherwise capitalized, and any related promotional costs of exiting Products or Product lines, start up, transition, integration and other restructuring and business optimization costs;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1" w:name="page242"/>
    <w:bookmarkEnd w:id="241"/>
    <w:p>
      <w:pPr>
        <w:ind w:left="1280" w:hanging="624"/>
        <w:spacing w:after="0"/>
        <w:tabs>
          <w:tab w:leader="none" w:pos="12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amortization of debt discount under Accounting Standards Codification 470-20;</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non-cash foreign translation gains and losses including, without limitation, in respect of Swap Agreements;</w:t>
      </w:r>
    </w:p>
    <w:p>
      <w:pPr>
        <w:spacing w:after="0" w:line="225" w:lineRule="exact"/>
        <w:rPr>
          <w:rFonts w:ascii="Arial" w:cs="Arial" w:eastAsia="Arial" w:hAnsi="Arial"/>
          <w:sz w:val="18"/>
          <w:szCs w:val="18"/>
          <w:color w:val="auto"/>
        </w:rPr>
      </w:pPr>
    </w:p>
    <w:p>
      <w:pPr>
        <w:ind w:right="80" w:firstLine="656"/>
        <w:spacing w:after="0" w:line="263" w:lineRule="auto"/>
        <w:tabs>
          <w:tab w:leader="none" w:pos="126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accruals and reserves (including contingent liabilities) that are established or adjusted within twelve months after the Issue Date that are so required to be established as a result of the Transactions or other Permitted Acquisitions in accordance with GAAP, or changes as a result of adoption of modification of accounting policies; and</w:t>
      </w:r>
    </w:p>
    <w:p>
      <w:pPr>
        <w:spacing w:after="0" w:line="183" w:lineRule="exact"/>
        <w:rPr>
          <w:rFonts w:ascii="Arial" w:cs="Arial" w:eastAsia="Arial" w:hAnsi="Arial"/>
          <w:sz w:val="18"/>
          <w:szCs w:val="18"/>
          <w:color w:val="auto"/>
        </w:rPr>
      </w:pPr>
    </w:p>
    <w:p>
      <w:pPr>
        <w:ind w:right="20" w:firstLine="656"/>
        <w:spacing w:after="0" w:line="277" w:lineRule="auto"/>
        <w:tabs>
          <w:tab w:leader="none" w:pos="126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Total Indebtedness</w:t>
      </w:r>
      <w:r>
        <w:rPr>
          <w:rFonts w:ascii="Arial" w:cs="Arial" w:eastAsia="Arial" w:hAnsi="Arial"/>
          <w:sz w:val="17"/>
          <w:szCs w:val="17"/>
          <w:color w:val="auto"/>
        </w:rPr>
        <w:t>” means, at any time, the sum, without duplication, of (1) the aggregate Indebtedness of the Parent and its Restricted Subsidiaries consisting of obligations for borrowed money, Capital Lease Obligations and purchase money debt obligations and obligations evidenced by bonds, debentures, notes or similar instruments (other than Indebtedness with respect to Treasury Management Arrangements, Swap Agreements and intercompany Indebtedness), in each case that is of a type that would be reflected on a consolidated balance sheet of the Parent prepared as of such time in accordance with GAAP. For the avoidance of doubt and notwithstanding anything to the contrary contained above, Consolidated Total Indebtedness excludes (x) all Indebtedness incurred under a Qualified Securitization Financing or a Qualified Receivables Factoring and (y) letters of credit other than to the extent drawn and not reimbursed after two (2) Business Days.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continuing</w:t>
      </w:r>
      <w:r>
        <w:rPr>
          <w:rFonts w:ascii="Arial" w:cs="Arial" w:eastAsia="Arial" w:hAnsi="Arial"/>
          <w:sz w:val="17"/>
          <w:szCs w:val="17"/>
          <w:color w:val="auto"/>
        </w:rPr>
        <w:t>” means, with respect to any Default or Event of Default, that such Default or Event of Default has not been cured or waived.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Controlled Affiliate</w:t>
      </w:r>
      <w:r>
        <w:rPr>
          <w:rFonts w:ascii="Arial" w:cs="Arial" w:eastAsia="Arial" w:hAnsi="Arial"/>
          <w:sz w:val="18"/>
          <w:szCs w:val="18"/>
          <w:color w:val="auto"/>
        </w:rPr>
        <w:t>” means any Affiliates over which Parent or any of its Restricted Subsidiaries exercises management control.</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will be at the address of the Trustee specified in Section 13.01 hereof or such other address as to which the Trustee may give notice to the Issuer.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Jurisdiction</w:t>
      </w:r>
      <w:r>
        <w:rPr>
          <w:rFonts w:ascii="Arial" w:cs="Arial" w:eastAsia="Arial" w:hAnsi="Arial"/>
          <w:sz w:val="18"/>
          <w:szCs w:val="18"/>
          <w:color w:val="auto"/>
        </w:rPr>
        <w:t>” mean each of the United States (including any state or subdivision thereof), Luxembourg, Ireland and any other jurisdiction designated by the Parent and approved by the Credit Agreement Administrative Agent, acting reasonably and in good faith.</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 Administrative Agent</w:t>
      </w:r>
      <w:r>
        <w:rPr>
          <w:rFonts w:ascii="Arial" w:cs="Arial" w:eastAsia="Arial" w:hAnsi="Arial"/>
          <w:sz w:val="18"/>
          <w:szCs w:val="18"/>
          <w:color w:val="auto"/>
        </w:rPr>
        <w:t>” means Citibank, N.A., together with its permitted successors and assigns, as administrative agent under the Senior Secured Credit Facilities.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2" w:name="page243"/>
    <w:bookmarkEnd w:id="242"/>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 Collateral Agent</w:t>
      </w:r>
      <w:r>
        <w:rPr>
          <w:rFonts w:ascii="Arial" w:cs="Arial" w:eastAsia="Arial" w:hAnsi="Arial"/>
          <w:sz w:val="18"/>
          <w:szCs w:val="18"/>
          <w:color w:val="auto"/>
        </w:rPr>
        <w:t>” means Citibank, N.A., London Branch, together with its permitted successors and assigns, as collateral agent under the Senior Secured Credit Facilities.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Facilities</w:t>
      </w:r>
      <w:r>
        <w:rPr>
          <w:rFonts w:ascii="Arial" w:cs="Arial" w:eastAsia="Arial" w:hAnsi="Arial"/>
          <w:sz w:val="17"/>
          <w:szCs w:val="17"/>
          <w:color w:val="auto"/>
        </w:rPr>
        <w:t>” means one or more (A) debt facilities (including, without limitation, the Senior Secured Credit Facilities), or other financing arrangements (including, without limitation, commercial paper facilities with banks or other institutional lenders or investors or indentures), providing for revolving credit loans, term loans, receivables or inventory financing (including through the sale of receivables or inventory to lenders or to special purpose entities formed to borrow from lenders against such receivables or inventory, and including Qualified Securitization Financing) or letters of credit, debt securities, indentures or other forms of indebtedness, including any notes, mortgages, guarantees, collateral documents, instruments and agreements executed in connection therewith, and any amendments, supplements, modifications, extensions, renewals, restatements or refundings thereof, in whole or in part, and any indentures or credit facilities or commercial paper facilities with banks or other institutional lenders or investors that replace, refund, refinance, extend, renew, restate, amend, supplement or modify any part of the loans, notes, other credit facilities or commitments thereunder, including any such exchanged, replacement, refunding, refinancing, extended, renewed, restated, amended, supplemented or modified facility or indenture that increases the amount permitted to be borrowed or issued thereunder or alters the maturity thereof (provided that such increase in borrowings or issuance is permitted under Section 4.09) or adds Restricted Subsidiaries as additional borrowers or guarantors thereunder and whether by the same or any other agent, Trustee, lender or group of lenders or other holders or investors.</w:t>
      </w:r>
    </w:p>
    <w:p>
      <w:pPr>
        <w:spacing w:after="0" w:line="17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Currency Agreement</w:t>
      </w:r>
      <w:r>
        <w:rPr>
          <w:rFonts w:ascii="Arial" w:cs="Arial" w:eastAsia="Arial" w:hAnsi="Arial"/>
          <w:sz w:val="16"/>
          <w:szCs w:val="16"/>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Deferred Acquisition Consideration</w:t>
      </w:r>
      <w:r>
        <w:rPr>
          <w:rFonts w:ascii="Arial" w:cs="Arial" w:eastAsia="Arial" w:hAnsi="Arial"/>
          <w:sz w:val="18"/>
          <w:szCs w:val="18"/>
          <w:color w:val="auto"/>
        </w:rPr>
        <w:t>” means any purchase price adjustments, contingent or other deferred payment payments of a similar nature (including any non-compete payments and consulting payments) made in connection with any Permitted Investment or other acquisition (including the acquisition of any intellectual property or license in respect thereof).</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3" w:name="page244"/>
    <w:bookmarkEnd w:id="243"/>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Noncash Consideration</w:t>
      </w:r>
      <w:r>
        <w:rPr>
          <w:rFonts w:ascii="Arial" w:cs="Arial" w:eastAsia="Arial" w:hAnsi="Arial"/>
          <w:sz w:val="18"/>
          <w:szCs w:val="18"/>
          <w:color w:val="auto"/>
        </w:rPr>
        <w:t>” means noncash consideration received by the Parent or one of the Restricted Subsidiaries in connection with an Asset Sale that is designated by the Parent as Designated Noncash Consideration, less the amount of cash or cash equivalents received in connection with a subsequent sale of such Designated Noncash Consideration, which cash and cash equivalents shall be considered Net Proceeds received as of such date and shall be applied pursuant to Section 4.10.</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Disposition</w:t>
      </w:r>
      <w:r>
        <w:rPr>
          <w:rFonts w:ascii="Arial" w:cs="Arial" w:eastAsia="Arial" w:hAnsi="Arial"/>
          <w:sz w:val="18"/>
          <w:szCs w:val="18"/>
          <w:color w:val="auto"/>
        </w:rPr>
        <w:t>” means a sale, transfer, lease, disposition or exclusive license, including any “</w:t>
      </w:r>
      <w:r>
        <w:rPr>
          <w:rFonts w:ascii="Arial" w:cs="Arial" w:eastAsia="Arial" w:hAnsi="Arial"/>
          <w:sz w:val="18"/>
          <w:szCs w:val="18"/>
          <w:i w:val="1"/>
          <w:iCs w:val="1"/>
          <w:color w:val="auto"/>
        </w:rPr>
        <w:t>Disposition</w:t>
      </w:r>
      <w:r>
        <w:rPr>
          <w:rFonts w:ascii="Arial" w:cs="Arial" w:eastAsia="Arial" w:hAnsi="Arial"/>
          <w:sz w:val="18"/>
          <w:szCs w:val="18"/>
          <w:color w:val="auto"/>
        </w:rPr>
        <w:t>” by means of a merger, consolidation or similar transaction. “</w:t>
      </w:r>
      <w:r>
        <w:rPr>
          <w:rFonts w:ascii="Arial" w:cs="Arial" w:eastAsia="Arial" w:hAnsi="Arial"/>
          <w:sz w:val="18"/>
          <w:szCs w:val="18"/>
          <w:i w:val="1"/>
          <w:iCs w:val="1"/>
          <w:color w:val="auto"/>
        </w:rPr>
        <w:t>Dispose</w:t>
      </w:r>
      <w:r>
        <w:rPr>
          <w:rFonts w:ascii="Arial" w:cs="Arial" w:eastAsia="Arial" w:hAnsi="Arial"/>
          <w:sz w:val="18"/>
          <w:szCs w:val="18"/>
          <w:color w:val="auto"/>
        </w:rPr>
        <w:t>” and “</w:t>
      </w:r>
      <w:r>
        <w:rPr>
          <w:rFonts w:ascii="Arial" w:cs="Arial" w:eastAsia="Arial" w:hAnsi="Arial"/>
          <w:sz w:val="18"/>
          <w:szCs w:val="18"/>
          <w:i w:val="1"/>
          <w:iCs w:val="1"/>
          <w:color w:val="auto"/>
        </w:rPr>
        <w:t>Disposed</w:t>
      </w:r>
      <w:r>
        <w:rPr>
          <w:rFonts w:ascii="Arial" w:cs="Arial" w:eastAsia="Arial" w:hAnsi="Arial"/>
          <w:sz w:val="18"/>
          <w:szCs w:val="18"/>
          <w:color w:val="auto"/>
        </w:rPr>
        <w:t>” as to any assets subject to a Disposition shall have a corollary meaning.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Disposition Consideration</w:t>
      </w:r>
      <w:r>
        <w:rPr>
          <w:rFonts w:ascii="Arial" w:cs="Arial" w:eastAsia="Arial" w:hAnsi="Arial"/>
          <w:sz w:val="18"/>
          <w:szCs w:val="18"/>
          <w:color w:val="auto"/>
        </w:rPr>
        <w:t>” means for any Disposition, the aggregate fair market value of any assets sold, transferred, leased, licensed or otherwise disposed 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4" w:lineRule="exact"/>
        <w:rPr>
          <w:sz w:val="20"/>
          <w:szCs w:val="20"/>
          <w:color w:val="auto"/>
        </w:rPr>
      </w:pPr>
    </w:p>
    <w:p>
      <w:pPr>
        <w:ind w:right="20" w:firstLine="656"/>
        <w:spacing w:after="0" w:line="308" w:lineRule="auto"/>
        <w:tabs>
          <w:tab w:leader="none" w:pos="1469" w:val="left"/>
        </w:tabs>
        <w:numPr>
          <w:ilvl w:val="0"/>
          <w:numId w:val="257"/>
        </w:numPr>
        <w:rPr>
          <w:rFonts w:ascii="Arial" w:cs="Arial" w:eastAsia="Arial" w:hAnsi="Arial"/>
          <w:sz w:val="17"/>
          <w:szCs w:val="17"/>
          <w:color w:val="auto"/>
        </w:rPr>
      </w:pPr>
      <w:r>
        <w:rPr>
          <w:rFonts w:ascii="Arial" w:cs="Arial" w:eastAsia="Arial" w:hAnsi="Arial"/>
          <w:sz w:val="17"/>
          <w:szCs w:val="17"/>
          <w:color w:val="auto"/>
        </w:rPr>
        <w:t>matures or is mandatorily redeemable (other than solely for Equity Interests in such Person or of the Parent that do not constitute Disqualified Stock and cash in lieu of fractional shares of such Equity Interests), whether pursuant to a sinking fund obligation or otherwise;</w:t>
      </w:r>
    </w:p>
    <w:p>
      <w:pPr>
        <w:spacing w:after="0" w:line="146" w:lineRule="exact"/>
        <w:rPr>
          <w:rFonts w:ascii="Arial" w:cs="Arial" w:eastAsia="Arial" w:hAnsi="Arial"/>
          <w:sz w:val="17"/>
          <w:szCs w:val="17"/>
          <w:color w:val="auto"/>
        </w:rPr>
      </w:pPr>
    </w:p>
    <w:p>
      <w:pPr>
        <w:ind w:firstLine="656"/>
        <w:spacing w:after="0" w:line="308" w:lineRule="auto"/>
        <w:tabs>
          <w:tab w:leader="none" w:pos="145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is convertible or exchangeable at the option of the holder thereof for Indebtedness or Equity Interests (other than solely for Equity Interests in such Person or of the Parent that do not constitute Disqualified Stock and cash in lieu of fractional shares of such Equity Interests; or</w:t>
      </w:r>
    </w:p>
    <w:p>
      <w:pPr>
        <w:spacing w:after="0" w:line="146" w:lineRule="exact"/>
        <w:rPr>
          <w:rFonts w:ascii="Arial" w:cs="Arial" w:eastAsia="Arial" w:hAnsi="Arial"/>
          <w:sz w:val="17"/>
          <w:szCs w:val="17"/>
          <w:color w:val="auto"/>
        </w:rPr>
      </w:pPr>
    </w:p>
    <w:p>
      <w:pPr>
        <w:jc w:val="both"/>
        <w:ind w:firstLine="656"/>
        <w:spacing w:after="0" w:line="259" w:lineRule="auto"/>
        <w:tabs>
          <w:tab w:leader="none" w:pos="133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is or may be redeemable (other than solely for Equity Interests in such Person or of the Parent that do not constitute Disqualified Stock and cash in lieu of fractional shares of such Equity Interests) or is or may be required to be repurchased by such Person or any of its Affiliates (other than, at the option of such Person, solely for Equity Interests in such Person or of the Parent that do not constitute Disqualified Stock and cash in lieu of fractional shares of such Equity Interests), in whole or in part, at the option of the holder thereof;</w:t>
      </w:r>
    </w:p>
    <w:p>
      <w:pPr>
        <w:spacing w:after="0" w:line="186" w:lineRule="exact"/>
        <w:rPr>
          <w:rFonts w:ascii="Arial" w:cs="Arial" w:eastAsia="Arial" w:hAnsi="Arial"/>
          <w:sz w:val="18"/>
          <w:szCs w:val="18"/>
          <w:color w:val="auto"/>
        </w:rPr>
      </w:pPr>
    </w:p>
    <w:p>
      <w:pPr>
        <w:ind w:right="20" w:firstLine="656"/>
        <w:spacing w:after="0" w:line="270" w:lineRule="auto"/>
        <w:tabs>
          <w:tab w:leader="none" w:pos="126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in each case on or prior to the date that is 91 days after the Stated Maturity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Capital Stock that would not constitute Disqualified Stock but for provisions thereof giving holders thereof the right to require such Person to purchase or redeem such Capital Stock upon the occurrence of an “asset sale,” “fundamental change” or “change of control” occurring prior to the date that is 91 days after the Stated Maturity of the Notes shall not constitute Disqualified Stock if the “asset sale”, “fundamental change” or “change of control” provisions applicable to such Capital Stock are not more favorable to the holders of such Capital Stock than the terms applicable to the Notes under Sections 4.10 and 4.14 or are subject to compliance by the relevant Person with Section 4.07;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Capital Stock is issued to any plan for the benefit of directors, managers, employees or consultants of the Parent or its Subsidiaries or by any such plan to such directors, managers, employees or consultants, such Capital Stock shall not constitute Disqualified Stock solely because it may be required to be repurchased by the Parent or its Subsidiaries in order to satisfy applicable statutory or regulatory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4" w:name="page245"/>
    <w:bookmarkEnd w:id="244"/>
    <w:p>
      <w:pPr>
        <w:ind w:right="20" w:firstLine="656"/>
        <w:spacing w:after="0" w:line="275" w:lineRule="auto"/>
        <w:tabs>
          <w:tab w:leader="none" w:pos="1259"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The amount of any Disqualified Stock that does not have a fixed redemption, repayment or repurchase price will be calculated in accordance with the terms of such Disqualified Stock as if such Disqualified Stock were redeemed, repaid or repurchased by the issuer thereof on any date on which the amount of such Disqualified Stock is to be determined pursuant to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Disqualified Stock could not be required to be redeemed, repaid or repurchased by the issuer thereof at the time of such determination, the redemption, repayment or repurchase price will be the book value of such Disqualified Stock as reflected in the most recent financial statements of such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Domestic Subsidiary</w:t>
      </w:r>
      <w:r>
        <w:rPr>
          <w:rFonts w:ascii="Arial" w:cs="Arial" w:eastAsia="Arial" w:hAnsi="Arial"/>
          <w:sz w:val="17"/>
          <w:szCs w:val="17"/>
          <w:color w:val="auto"/>
        </w:rPr>
        <w:t>” means a Subsidiary organized under the laws of the United States, any state thereof or the District of Columbia.</w:t>
      </w:r>
    </w:p>
    <w:p>
      <w:pPr>
        <w:spacing w:after="0" w:line="23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Drug Development Fund</w:t>
      </w:r>
      <w:r>
        <w:rPr>
          <w:rFonts w:ascii="Arial" w:cs="Arial" w:eastAsia="Arial" w:hAnsi="Arial"/>
          <w:sz w:val="17"/>
          <w:szCs w:val="17"/>
          <w:color w:val="auto"/>
        </w:rPr>
        <w:t>” means a fund, the primary business purpose of which is to invest in the development of pharmaceutical Products or investigational medicinal Products or devices, in which the Parent or any of its Restricted Subsidiaries owns a minority of the Equity Interests.</w:t>
      </w:r>
    </w:p>
    <w:p>
      <w:pPr>
        <w:spacing w:after="0" w:line="14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xml:space="preserve">” means Capital Stock and all warrants, options or other rights to acquire Capital Stock (but excluding any Indebtedness that is convertible into, or exchangeable for, Capital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Permitted Convertible Indebtedness Call Transactions shall not constitute Equity Interests.</w:t>
      </w:r>
    </w:p>
    <w:p>
      <w:pPr>
        <w:spacing w:after="0" w:line="184"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Equity Offering</w:t>
      </w:r>
      <w:r>
        <w:rPr>
          <w:rFonts w:ascii="Arial" w:cs="Arial" w:eastAsia="Arial" w:hAnsi="Arial"/>
          <w:sz w:val="17"/>
          <w:szCs w:val="17"/>
          <w:color w:val="auto"/>
        </w:rPr>
        <w:t>” means a public or private sale either (1) of Equity Interests of the Parent by the Parent (other than Disqualified Stock and other than to a Subsidiary of the Parent) or (2) of Equity Interests of a direct or indirect parent entity of the Parent (other than to the Parent or a Subsidiary of the Parent) to the extent that the net proceeds therefrom are contributed to the common equity capital of the Parent.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Accounts</w:t>
      </w:r>
      <w:r>
        <w:rPr>
          <w:rFonts w:ascii="Arial" w:cs="Arial" w:eastAsia="Arial" w:hAnsi="Arial"/>
          <w:sz w:val="16"/>
          <w:szCs w:val="16"/>
          <w:color w:val="auto"/>
        </w:rPr>
        <w:t>” means (i) accounts used exclusively for payroll, (ii) accounts used exclusively for payroll taxes and/or withheld income taxes, (iii) accounts used exclusively for employee wage and benefit payments, (iv) escrow accounts and trust accounts, in each case entered into in the ordinary course of business and consistent with prudent business practice conduct where the Issuer or the applicable Guarantor holds the funds exclusively for the benefit of one or more unaffiliated third parties, (v) accounts exclusively used to secure letters of credit, bank guarantees, obligations under Treasury Management Arrangements and obligations under Swap Agreements, in each case, to the extent constituting Permitted Liens and (vi) accounts exclusively used to hold deposits from customers that are required pursuant to agreements with such customers to be held in a segregated account that, pursuant to such agreements, is not permitted to be subject to a Lien securing the Obligations in respect of the Notes and the Note Guarantees.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5" w:name="page246"/>
    <w:bookmarkEnd w:id="245"/>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Assets</w:t>
      </w:r>
      <w:r>
        <w:rPr>
          <w:rFonts w:ascii="Arial" w:cs="Arial" w:eastAsia="Arial" w:hAnsi="Arial"/>
          <w:sz w:val="16"/>
          <w:szCs w:val="16"/>
          <w:color w:val="auto"/>
        </w:rPr>
        <w:t>” means (i) any fee-owned real property and any leasehold interests in real property (other than the Headquarters); (ii) motor vehicles and other assets subject to certificates of title; (iii) pledges and security interests prohibited by applicable law, rule or regulation (including any requirement to obtain the consent of any governmental authority or third party) after giving effect to the applicable anti-assignment provisions of the Uniform Commercial Code or similar provisions under applicable law and other than proceeds and receivables thereof the assignment of which is expressly deemed effective under the Uniform Commercial Code or other applicable law notwithstanding such prohibition (iv) Margin Stock and Equity Interests in any Person other than wholly-owned Subsidiaries, to the extent a pledge of such Equity Interests is prohibited by the organizational documents, or agreements with other equity holders, of such equity; (v) voting Equity Interests in any Restricted Subsidiary of any U.S. Corporate Subsidiary that is a CFC or FSHCO to the extent such Equity Interest exceeds 65% of the outstanding voting Equity Interests of such CFC or FSHCO; (vi) assets to the extent a security interest in such assets could reasonably result in a material adverse Tax consequence to the Parent or any of its Restricted Subsidiaries (including as a result of the operation of Section 956 of the Code or any similar law or regulation in any applicable jurisdiction) as reasonably determined by the Issuer; (vii) any lease, license or other agreement and any property subject to a permitted purchase money security interest or similar permitted arrangement or Lien permitted by clauses (4), (5), (7) (solely in respect of Liens referenced in clauses (4), (5) and (11) of the definition of “Permitted Liens” in the credit agreement governing the Senior Secured Credit Facilities), (viii) (with respect to cash collateral or deposits), (11), (16), (19), (22) (with respect to cash collateral or deposits with a value not in excess of $50,000,000), (27), and (34) of the definition of “Permitted Liens” in the credit agreement governing the Senior Secured Credit Facilities to the extent that a grant of a security interest therein would violate or invalidate such lease, license, contract, property right or agreement or purchase money arrangement or the documents governing such Permitted Lien or create a right of termination in favor of any other party thereto (other than a the Issuer or any Guarantor), in each case (other than with respect to property subject to such purchase money interests or similar arrangements or Lien permitted by clauses (4), (5), (7) (solely in respect of Liens referenced in clauses (4), (5) and (11) of the definition of “Permitted Liens” in the credit agreement governing the Senior Secured Credit Facilities) or (11 of the definition of “Permitted Liens” in the credit agreement governing the Senior Secured Credit Facilities), after giving effect to the applicable anti-assignment provisions of the Uniform Commercial Code or similar provisions under applicable law other than proceeds and receivables thereof and only so long as the applicable provision giving rise to such violation or invalidity or such right of termination was not incurred in anticipation of this Agreement; (ix) those assets as to which the Issuer reasonably determines that the cost (including, without limitation, costs of notarization, taxes, stamp duties, registration or other applicable fees), consequences or burden of obtaining such a security interest or perfection thereof are excessive in relation to the benefit to the holders of the security to be afforded thereby; (x) any of the capital stock of Restricted Subsidiaries not owned directly by the Issuer or a Guarantor; (xi)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UCC or similar provisions under applicable law, and other than proceeds and receivables thereof, the assignment of which is expressly deemed effective under the Uniform Commercial Code or other applicable law notwithstanding such prohibition (xii) any assets to the extent expressly excluded pursuant to the Agreed Guarantee and Security Principles; (xiii) any “intent-to-use” applications for trademarks or service marks filed in the United States Patent and Trademark Office, or any successor office thereto or any successor office thereto, prior to the filing and acceptance of a “Statement of Use” or “Amendment to Allege Use” with respect thereto, only to the extent, if any, that, and solely during the period, if any, in which, the grant of a security interest therein would impair the validity or enforceability of such intent-to-use application or any registration that issues from such intent-to-use application under applicable federal law; (xiv) any Excluded Accounts; (xv) letter-of-credit rights (except to the extent a security interest therein can be perfected by the filing of UCC financing statements or similar filings under applicable law) (it being understood that no actions shall be required to perfect a security interest in letter of credit rights, other than the filing of a Uniform Commercial Code financing statement or applicable filings under applicable law); (xvi) any commercial tort claim with a value not in excess of $10,000,000; (xvii) [reserved]; (xviii) [reserved];</w:t>
      </w:r>
    </w:p>
    <w:p>
      <w:pPr>
        <w:spacing w:after="0" w:line="8" w:lineRule="exact"/>
        <w:rPr>
          <w:sz w:val="20"/>
          <w:szCs w:val="20"/>
          <w:color w:val="auto"/>
        </w:rPr>
      </w:pPr>
    </w:p>
    <w:p>
      <w:pPr>
        <w:jc w:val="both"/>
        <w:ind w:firstLine="8"/>
        <w:spacing w:after="0" w:line="268" w:lineRule="auto"/>
        <w:tabs>
          <w:tab w:leader="none" w:pos="39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Equity Interests in Unrestricted Subsidiaries; and (xx) Equity Interests in Securitization Subsidiaries, to the extent a pledge of such Equity Interests is prohibited by the applicable Qualified Securitization Financing and Securitization Assets subject to Qualified Securitization Financing or a Qualified Receivables Factoring and (xxi) so long as the Senior Secured Credit Facilities are outstanding, any asset that is not pledged to secure obligations arising in respect to the Senior Secured Credit Facilities (whether pursuant to the terms of the credit agreement governing the Senior Secured Credit Facilities (and any related documents)) or as a result of any determination made thereunder, or by amendment, waiver or otherwise (other than a release in connection with payment in full thereof). In addition notwithstanding anything to the contrary herein or in any Collateral Document, the following assets shall not be required to be subject to a fixed charge in Ireland: (a) all plant and equipment, in each case, located in Ireland and (b) customer contracts or other agreements with third parties (including, without limitation, distribution agreements, license agreements or similar agreements), provided that, for the avoidance of doubt, the Headquarters shall be subject to a fixed charge in Ireland.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6" w:name="page247"/>
    <w:bookmarkEnd w:id="246"/>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means (a) any Foreign Subsidiary of any U.S. Corporate Subsidiary and, in the case of any such Foreign Subsidiary that is a CFC, any Subsidiary of such CFC; provided that this clause (a) shall not apply at any time after the Issue Date to any entity that is a Restricted Subsidiary of the Issuer on the Issue Date unless this clause (a) applied to such entity on the Issue Date, (b) any FSHCO, (c) any Subsidiary that is prohibited or restricted by applicable law, rule or regulation or by any contractual obligation existing on the Issue Date or at the time of acquisition thereof after the Issue Date and not in contemplation thereof, in each case, from guaranteeing the Notes or which would require governmental (including regulatory) consent, approval, license or authorization to provide a guarantee unless such consent, approval, license or authorization has been received or a Subsidiary a guarantee from which could reasonably result in a material adverse tax consequence to Issuer or any of its Subsidiaries (including as a result of the operation of Section 956 of the Code or any similar law or regulation in any applicable jurisdiction) as reasonably determined by the Issuer, (d) not-for-profit Subsidiaries, if any, (e) certain special purpose entities, (f) captive insurance companies, if any, (g) any Subsidiary where the Issuer reasonably determines in good faith that the cost, consequences or burden of obtaining a guarantee by such Subsidiary would be excessive in light of the practical benefit afforded thereby, (h) IGPHS and each other Subsidiary listed on Schedule 1.01D of the Senior Secured Credit Facilities, (i) any non-wholly-owned Subsidiaries, (j) at the option of Issuer, an Immaterial Subsidiary and (k) any Securitization Subsidiary.</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or property, the sale value that would be obtained in an arm’s-length free market transaction between an informed and willing seller under no compulsion to sell and an informed and willing buyer under no compulsion to buy. Fair Market Value shall be determined in good faith by the Parent.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7" w:name="page248"/>
    <w:bookmarkEnd w:id="247"/>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Lien Intercreditor Agreement</w:t>
      </w:r>
      <w:r>
        <w:rPr>
          <w:rFonts w:ascii="Arial" w:cs="Arial" w:eastAsia="Arial" w:hAnsi="Arial"/>
          <w:sz w:val="16"/>
          <w:szCs w:val="16"/>
          <w:color w:val="auto"/>
        </w:rPr>
        <w:t>” means that certain First Lien Intercreditor Agreement, dated as of the Issue Date, among the Parent, the Issuer, the other Guarantors (as defined therein) party thereto, the Credit Agreement Administrative Agent, the Credit Agreement Collateral Agent, the Trustee, the Notes Collateral Agent and each additional authorized representative and collateral agent from time to time party thereto, as amended, restated, amended and restated, extended, supplemented or otherwise modified from time to time in accordance with its terms and this Indenture.</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“First Lien Net Leverage Ratio</w:t>
      </w:r>
      <w:r>
        <w:rPr>
          <w:rFonts w:ascii="Arial" w:cs="Arial" w:eastAsia="Arial" w:hAnsi="Arial"/>
          <w:sz w:val="16"/>
          <w:szCs w:val="16"/>
          <w:color w:val="auto"/>
        </w:rPr>
        <w:t>” means, with respect to any Four Quarter Period, the ratio of (i) Consolidated Total Indebtedness secured by a</w:t>
      </w:r>
      <w:r>
        <w:rPr>
          <w:rFonts w:ascii="Arial" w:cs="Arial" w:eastAsia="Arial" w:hAnsi="Arial"/>
          <w:sz w:val="16"/>
          <w:szCs w:val="16"/>
          <w:i w:val="1"/>
          <w:iCs w:val="1"/>
          <w:color w:val="auto"/>
        </w:rPr>
        <w:t xml:space="preserve"> </w:t>
      </w:r>
      <w:r>
        <w:rPr>
          <w:rFonts w:ascii="Arial" w:cs="Arial" w:eastAsia="Arial" w:hAnsi="Arial"/>
          <w:sz w:val="16"/>
          <w:szCs w:val="16"/>
          <w:color w:val="auto"/>
        </w:rPr>
        <w:t>Lien on the Collateral that ranks pari passu with the Liens on the Collateral securing the Notes and the Note Guarantees, net of Unrestricted Cash, as of the last day of such Four Quarter Period, to (ii) Consolidated EBITDA for such Four Quarter Period; in each case, calculated on a pro forma basis.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Notes Secured Parties</w:t>
      </w:r>
      <w:r>
        <w:rPr>
          <w:rFonts w:ascii="Arial" w:cs="Arial" w:eastAsia="Arial" w:hAnsi="Arial"/>
          <w:sz w:val="18"/>
          <w:szCs w:val="18"/>
          <w:color w:val="auto"/>
        </w:rPr>
        <w:t>” means the Trustee, the Notes Collateral Agent and the Holders of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Credit Obligations</w:t>
      </w:r>
      <w:r>
        <w:rPr>
          <w:rFonts w:ascii="Arial" w:cs="Arial" w:eastAsia="Arial" w:hAnsi="Arial"/>
          <w:sz w:val="18"/>
          <w:szCs w:val="18"/>
          <w:color w:val="auto"/>
        </w:rPr>
        <w:t>” means all Secured Obligations (as defined in the Senior Secured 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Priority Notes Obligations</w:t>
      </w:r>
      <w:r>
        <w:rPr>
          <w:rFonts w:ascii="Arial" w:cs="Arial" w:eastAsia="Arial" w:hAnsi="Arial"/>
          <w:sz w:val="16"/>
          <w:szCs w:val="16"/>
          <w:color w:val="auto"/>
        </w:rPr>
        <w:t>” means Obligations in respect of the Notes, this Indenture, the Note Guarantees and the Collateral Documents.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Obligations</w:t>
      </w:r>
      <w:r>
        <w:rPr>
          <w:rFonts w:ascii="Arial" w:cs="Arial" w:eastAsia="Arial" w:hAnsi="Arial"/>
          <w:sz w:val="18"/>
          <w:szCs w:val="18"/>
          <w:color w:val="auto"/>
        </w:rPr>
        <w:t>” means (i) the First Priority Credit Obligations, (ii) the First Priority Notes Obligations and (iii) and any other Obligations secured by first priority Liens on the Collateral and subject to the First Lien Intercreditor Agreement that are permitted to be incurred and secured by such Liens pursuant to this Indenture.</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 Coverage Ratio</w:t>
      </w:r>
      <w:r>
        <w:rPr>
          <w:rFonts w:ascii="Arial" w:cs="Arial" w:eastAsia="Arial" w:hAnsi="Arial"/>
          <w:sz w:val="18"/>
          <w:szCs w:val="18"/>
          <w:color w:val="auto"/>
        </w:rPr>
        <w:t>” means, on any determination date (subject to the second succeeding paragraph below, the “</w:t>
      </w:r>
      <w:r>
        <w:rPr>
          <w:rFonts w:ascii="Arial" w:cs="Arial" w:eastAsia="Arial" w:hAnsi="Arial"/>
          <w:sz w:val="18"/>
          <w:szCs w:val="18"/>
          <w:i w:val="1"/>
          <w:iCs w:val="1"/>
          <w:color w:val="auto"/>
        </w:rPr>
        <w:t>Transaction Date</w:t>
      </w:r>
      <w:r>
        <w:rPr>
          <w:rFonts w:ascii="Arial" w:cs="Arial" w:eastAsia="Arial" w:hAnsi="Arial"/>
          <w:sz w:val="18"/>
          <w:szCs w:val="18"/>
          <w:color w:val="auto"/>
        </w:rPr>
        <w:t>”), the ratio of Consolidated EBITDA of the Group for the most recent four consecutive fiscal quarters ending immediately prior to such determination date for which internal financial statements are available (the “</w:t>
      </w:r>
      <w:r>
        <w:rPr>
          <w:rFonts w:ascii="Arial" w:cs="Arial" w:eastAsia="Arial" w:hAnsi="Arial"/>
          <w:sz w:val="18"/>
          <w:szCs w:val="18"/>
          <w:i w:val="1"/>
          <w:iCs w:val="1"/>
          <w:color w:val="auto"/>
        </w:rPr>
        <w:t>Four Quarter Period</w:t>
      </w:r>
      <w:r>
        <w:rPr>
          <w:rFonts w:ascii="Arial" w:cs="Arial" w:eastAsia="Arial" w:hAnsi="Arial"/>
          <w:sz w:val="18"/>
          <w:szCs w:val="18"/>
          <w:color w:val="auto"/>
        </w:rPr>
        <w:t>”) to Fixed Charges of the Parent for the Four Quarter Period. In addition to and without limitation of the foregoing, for purposes of this definition, “</w:t>
      </w:r>
      <w:r>
        <w:rPr>
          <w:rFonts w:ascii="Arial" w:cs="Arial" w:eastAsia="Arial" w:hAnsi="Arial"/>
          <w:sz w:val="18"/>
          <w:szCs w:val="18"/>
          <w:i w:val="1"/>
          <w:iCs w:val="1"/>
          <w:color w:val="auto"/>
        </w:rPr>
        <w:t>Consolidated EBITDA</w:t>
      </w:r>
      <w:r>
        <w:rPr>
          <w:rFonts w:ascii="Arial" w:cs="Arial" w:eastAsia="Arial" w:hAnsi="Arial"/>
          <w:sz w:val="18"/>
          <w:szCs w:val="18"/>
          <w:color w:val="auto"/>
        </w:rPr>
        <w:t>” and “</w:t>
      </w:r>
      <w:r>
        <w:rPr>
          <w:rFonts w:ascii="Arial" w:cs="Arial" w:eastAsia="Arial" w:hAnsi="Arial"/>
          <w:sz w:val="18"/>
          <w:szCs w:val="18"/>
          <w:i w:val="1"/>
          <w:iCs w:val="1"/>
          <w:color w:val="auto"/>
        </w:rPr>
        <w:t>Fixed Charges</w:t>
      </w:r>
      <w:r>
        <w:rPr>
          <w:rFonts w:ascii="Arial" w:cs="Arial" w:eastAsia="Arial" w:hAnsi="Arial"/>
          <w:sz w:val="18"/>
          <w:szCs w:val="18"/>
          <w:color w:val="auto"/>
        </w:rPr>
        <w:t>” shall be calculated on a pro forma basis for such period. Furthermore, in calculating Fixed Charges for purposes of determining the denominator (but not the numerator) of this “</w:t>
      </w:r>
      <w:r>
        <w:rPr>
          <w:rFonts w:ascii="Arial" w:cs="Arial" w:eastAsia="Arial" w:hAnsi="Arial"/>
          <w:sz w:val="18"/>
          <w:szCs w:val="18"/>
          <w:i w:val="1"/>
          <w:iCs w:val="1"/>
          <w:color w:val="auto"/>
        </w:rPr>
        <w:t>Fixed Charge</w:t>
      </w:r>
      <w:r>
        <w:rPr>
          <w:rFonts w:ascii="Arial" w:cs="Arial" w:eastAsia="Arial" w:hAnsi="Arial"/>
          <w:sz w:val="18"/>
          <w:szCs w:val="18"/>
          <w:color w:val="auto"/>
        </w:rPr>
        <w:t xml:space="preserve"> </w:t>
      </w:r>
      <w:r>
        <w:rPr>
          <w:rFonts w:ascii="Arial" w:cs="Arial" w:eastAsia="Arial" w:hAnsi="Arial"/>
          <w:sz w:val="18"/>
          <w:szCs w:val="18"/>
          <w:i w:val="1"/>
          <w:iCs w:val="1"/>
          <w:color w:val="auto"/>
        </w:rPr>
        <w:t>Coverage Ratio</w:t>
      </w:r>
      <w:r>
        <w:rPr>
          <w:rFonts w:ascii="Arial" w:cs="Arial" w:eastAsia="Arial" w:hAnsi="Arial"/>
          <w:sz w:val="18"/>
          <w:szCs w:val="18"/>
          <w:color w:val="auto"/>
        </w:rPr>
        <w:t>”:</w:t>
      </w:r>
    </w:p>
    <w:p>
      <w:pPr>
        <w:spacing w:after="0" w:line="192" w:lineRule="exact"/>
        <w:rPr>
          <w:sz w:val="20"/>
          <w:szCs w:val="20"/>
          <w:color w:val="auto"/>
        </w:rPr>
      </w:pPr>
    </w:p>
    <w:p>
      <w:pPr>
        <w:jc w:val="both"/>
        <w:ind w:right="780" w:firstLine="656"/>
        <w:spacing w:after="0" w:line="263" w:lineRule="auto"/>
        <w:tabs>
          <w:tab w:leader="none" w:pos="126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that will continue to be so determined thereafter shall be deemed to have accrued at a fixed rate per annum equal to the rate of interest on such Indebtedness in effect on the Transaction Date;</w:t>
      </w:r>
    </w:p>
    <w:p>
      <w:pPr>
        <w:spacing w:after="0" w:line="183" w:lineRule="exact"/>
        <w:rPr>
          <w:rFonts w:ascii="Arial" w:cs="Arial" w:eastAsia="Arial" w:hAnsi="Arial"/>
          <w:sz w:val="18"/>
          <w:szCs w:val="18"/>
          <w:color w:val="auto"/>
        </w:rPr>
      </w:pPr>
    </w:p>
    <w:p>
      <w:pPr>
        <w:ind w:right="400" w:firstLine="656"/>
        <w:spacing w:after="0" w:line="342" w:lineRule="auto"/>
        <w:tabs>
          <w:tab w:leader="none" w:pos="1263" w:val="left"/>
        </w:tabs>
        <w:numPr>
          <w:ilvl w:val="0"/>
          <w:numId w:val="260"/>
        </w:numPr>
        <w:rPr>
          <w:rFonts w:ascii="Arial" w:cs="Arial" w:eastAsia="Arial" w:hAnsi="Arial"/>
          <w:sz w:val="16"/>
          <w:szCs w:val="16"/>
          <w:color w:val="auto"/>
        </w:rPr>
      </w:pPr>
      <w:r>
        <w:rPr>
          <w:rFonts w:ascii="Arial" w:cs="Arial" w:eastAsia="Arial" w:hAnsi="Arial"/>
          <w:sz w:val="16"/>
          <w:szCs w:val="16"/>
          <w:color w:val="auto"/>
        </w:rPr>
        <w:t>notwithstanding clause (1) above, interest on Indebtedness determined on a fluctuating basis, to the extent such interest is covered by Interest Rate Agreements, shall be deemed to accrue at the rate per annum resulting after giving effect to the operation of such agreements;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8" w:name="page249"/>
    <w:bookmarkEnd w:id="248"/>
    <w:p>
      <w:pPr>
        <w:ind w:right="40" w:firstLine="656"/>
        <w:spacing w:after="0" w:line="286" w:lineRule="auto"/>
        <w:tabs>
          <w:tab w:leader="none" w:pos="1263"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amount of Fixed Charges attributable to any Preferred Stock (other than Disqualified Stock) issued by the Parent that is mandatorily convertible or redeemable solely into common equity of the Parent within 365 days of the Transaction Date will be recalculated by multiplying (x) the actual amount of Fixed Charges attributable thereto for the Four Quarter Period by (y) a fraction, the numerator of which is the number of days from (and including) the Transaction Date to (but excluding) the applicable conversion or redemption date and the denominator of which is 365. If any Indebtedness bears a floating rate of interest and is being given pro forma effect, the interest on such Indebtedness shall be calculated as if the rate in effect on the date of the event for which the calculation of the Fixed Charge Coverage Ratio is made had been the applicable margin for the entire period (taking into account any interest hedging arrangements applicable to such Indebtedness). Interest on a Capital Lease Obligation shall be deemed to accrue at an interest rate reasonably determined the Parent to be the rate of interest implicit in such Capital Lease Obligation in accordance with GAAP. For purposes of the computation above, interest on any Indebtedness under a revolving credit facility computed on a pro forma basis shall be computed on the average daily balances of such Indebtedness during the applicable period.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Parent or Restricted Subsidiary may designate. For purposes of this definition, whenever pro forma effect is to be given to a transaction, the pro forma calculations shall be made in good faith by a responsible financial or accounting officer of the Parent, giving effect to (a) Pro Forma Synergies and (b) any cost savings that could then be reflected in pro forma financial statements in accordance with Regulation S-X under the Securities Act or any other regulation or policy of the SEC related thereto.</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225" w:lineRule="exact"/>
        <w:rPr>
          <w:sz w:val="20"/>
          <w:szCs w:val="20"/>
          <w:color w:val="auto"/>
        </w:rPr>
      </w:pPr>
    </w:p>
    <w:p>
      <w:pPr>
        <w:ind w:left="1280" w:hanging="624"/>
        <w:spacing w:after="0"/>
        <w:tabs>
          <w:tab w:leader="none" w:pos="12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Consolidated Interest Expense for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right="260" w:firstLine="656"/>
        <w:spacing w:after="0" w:line="263" w:lineRule="auto"/>
        <w:tabs>
          <w:tab w:leader="none" w:pos="126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amount of all dividend payments on any series of Preferred Stock or Disqualified Stock of the Parent or any Restricted Subsidiary (other than dividends paid or accrued in Qualifying Equity Interests or dividends paid or accrued to the Parent or any Restricted Subsidiary) paid in cash during such period (without duplication).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Four Quarter Period</w:t>
      </w:r>
      <w:r>
        <w:rPr>
          <w:rFonts w:ascii="Arial" w:cs="Arial" w:eastAsia="Arial" w:hAnsi="Arial"/>
          <w:sz w:val="18"/>
          <w:szCs w:val="18"/>
          <w:color w:val="auto"/>
        </w:rPr>
        <w:t>” has the meaning assigned to that term in the definition of Fixed Charge Coverage Ratio.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FSHCO</w:t>
      </w:r>
      <w:r>
        <w:rPr>
          <w:rFonts w:ascii="Arial" w:cs="Arial" w:eastAsia="Arial" w:hAnsi="Arial"/>
          <w:sz w:val="18"/>
          <w:szCs w:val="18"/>
          <w:color w:val="auto"/>
        </w:rPr>
        <w:t>” means any Domestic Subsidiary of any U.S. Corporate Subsidiary that has no material assets other than equity interests and/or indebtedness of one or more (1) Foreign Subsidiaries of any U.S. Corporate Subsidiary that were Foreign Subsidiaries of a U.S. Corporate Subsidiary on the Issue Date or (2) entities described in clause (1).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9" w:name="page250"/>
    <w:bookmarkEnd w:id="249"/>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2.06(f)(2) hereof, which is required to be placed on all Global Notes issued under this Indenture.</w:t>
      </w:r>
    </w:p>
    <w:p>
      <w:pPr>
        <w:spacing w:after="0" w:line="17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Depositary or its nominee, substantially in the form of Exhibit A hereto and that bears the Global Note Legend and that has the “Schedule of Exchanges of Interests in the Global Note” attached thereto, issued in accordance with Section 2.01, 2.06(b)(3), 2.06(b)(4), 2.06(d)(1) or 2.06(d)(2) hereof.</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w:t>
      </w:r>
      <w:r>
        <w:rPr>
          <w:rFonts w:ascii="Arial" w:cs="Arial" w:eastAsia="Arial" w:hAnsi="Arial"/>
          <w:sz w:val="18"/>
          <w:szCs w:val="18"/>
          <w:color w:val="auto"/>
        </w:rPr>
        <w:t>” means the Parent and its Restricted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any obligation, contingent or otherwise, of any Person directly or indirectly guaranteeing any Indebtedness of any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 and any obligation, direct or indirect, contingent or otherwise, of such Person:</w:t>
      </w:r>
    </w:p>
    <w:p>
      <w:pPr>
        <w:spacing w:after="0" w:line="211" w:lineRule="exact"/>
        <w:rPr>
          <w:sz w:val="20"/>
          <w:szCs w:val="20"/>
          <w:color w:val="auto"/>
        </w:rPr>
      </w:pPr>
    </w:p>
    <w:p>
      <w:pPr>
        <w:ind w:right="180" w:firstLine="656"/>
        <w:spacing w:after="0" w:line="263" w:lineRule="auto"/>
        <w:tabs>
          <w:tab w:leader="none" w:pos="126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83" w:lineRule="exact"/>
        <w:rPr>
          <w:rFonts w:ascii="Arial" w:cs="Arial" w:eastAsia="Arial" w:hAnsi="Arial"/>
          <w:sz w:val="18"/>
          <w:szCs w:val="18"/>
          <w:color w:val="auto"/>
        </w:rPr>
      </w:pPr>
    </w:p>
    <w:p>
      <w:pPr>
        <w:ind w:left="1280" w:hanging="624"/>
        <w:spacing w:after="0"/>
        <w:tabs>
          <w:tab w:leader="none" w:pos="12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entered into for the purpose of assuring in any other manner the obligee against loss in respect thereof (in whole or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term “</w:t>
      </w:r>
      <w:r>
        <w:rPr>
          <w:rFonts w:ascii="Arial" w:cs="Arial" w:eastAsia="Arial" w:hAnsi="Arial"/>
          <w:sz w:val="18"/>
          <w:szCs w:val="18"/>
          <w:i w:val="1"/>
          <w:iCs w:val="1"/>
          <w:color w:val="auto"/>
        </w:rPr>
        <w:t>Guarantee</w:t>
      </w:r>
      <w:r>
        <w:rPr>
          <w:rFonts w:ascii="Arial" w:cs="Arial" w:eastAsia="Arial" w:hAnsi="Arial"/>
          <w:sz w:val="18"/>
          <w:szCs w:val="18"/>
          <w:color w:val="auto"/>
        </w:rPr>
        <w:t>” shall not include:</w:t>
      </w:r>
    </w:p>
    <w:p>
      <w:pPr>
        <w:spacing w:after="0" w:line="225" w:lineRule="exact"/>
        <w:rPr>
          <w:sz w:val="20"/>
          <w:szCs w:val="20"/>
          <w:color w:val="auto"/>
        </w:rPr>
      </w:pPr>
    </w:p>
    <w:p>
      <w:pPr>
        <w:ind w:left="1880" w:hanging="644"/>
        <w:spacing w:after="0"/>
        <w:tabs>
          <w:tab w:leader="none" w:pos="18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 or</w:t>
      </w:r>
    </w:p>
    <w:p>
      <w:pPr>
        <w:spacing w:after="0" w:line="225" w:lineRule="exact"/>
        <w:rPr>
          <w:rFonts w:ascii="Arial" w:cs="Arial" w:eastAsia="Arial" w:hAnsi="Arial"/>
          <w:sz w:val="18"/>
          <w:szCs w:val="18"/>
          <w:color w:val="auto"/>
        </w:rPr>
      </w:pPr>
    </w:p>
    <w:p>
      <w:pPr>
        <w:ind w:left="1880" w:right="360" w:hanging="644"/>
        <w:spacing w:after="0" w:line="308" w:lineRule="auto"/>
        <w:tabs>
          <w:tab w:leader="none" w:pos="188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 contractual commitment by one Person to invest in another Person for so long as such Investment is reasonably expected to constitute a Permitted Investment under clause (3) of the definition of “</w:t>
      </w:r>
      <w:r>
        <w:rPr>
          <w:rFonts w:ascii="Arial" w:cs="Arial" w:eastAsia="Arial" w:hAnsi="Arial"/>
          <w:sz w:val="17"/>
          <w:szCs w:val="17"/>
          <w:i w:val="1"/>
          <w:iCs w:val="1"/>
          <w:color w:val="auto"/>
        </w:rPr>
        <w:t>Permitted Investment</w:t>
      </w:r>
      <w:r>
        <w:rPr>
          <w:rFonts w:ascii="Arial" w:cs="Arial" w:eastAsia="Arial" w:hAnsi="Arial"/>
          <w:sz w:val="17"/>
          <w:szCs w:val="17"/>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w:t>
      </w:r>
      <w:r>
        <w:rPr>
          <w:rFonts w:ascii="Arial" w:cs="Arial" w:eastAsia="Arial" w:hAnsi="Arial"/>
          <w:sz w:val="18"/>
          <w:szCs w:val="18"/>
          <w:i w:val="1"/>
          <w:iCs w:val="1"/>
          <w:color w:val="auto"/>
        </w:rPr>
        <w:t>Guarantee</w:t>
      </w:r>
      <w:r>
        <w:rPr>
          <w:rFonts w:ascii="Arial" w:cs="Arial" w:eastAsia="Arial" w:hAnsi="Arial"/>
          <w:sz w:val="18"/>
          <w:szCs w:val="18"/>
          <w:color w:val="auto"/>
        </w:rPr>
        <w:t>” and “</w:t>
      </w:r>
      <w:r>
        <w:rPr>
          <w:rFonts w:ascii="Arial" w:cs="Arial" w:eastAsia="Arial" w:hAnsi="Arial"/>
          <w:sz w:val="18"/>
          <w:szCs w:val="18"/>
          <w:i w:val="1"/>
          <w:iCs w:val="1"/>
          <w:color w:val="auto"/>
        </w:rPr>
        <w:t>Guaranteed</w:t>
      </w:r>
      <w:r>
        <w:rPr>
          <w:rFonts w:ascii="Arial" w:cs="Arial" w:eastAsia="Arial" w:hAnsi="Arial"/>
          <w:sz w:val="18"/>
          <w:szCs w:val="18"/>
          <w:color w:val="auto"/>
        </w:rPr>
        <w:t>” shall have correlative meanings.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0" w:name="page251"/>
    <w:bookmarkEnd w:id="250"/>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the Parent or any Restricted Subsidiary of the Parent (other than the Issuer) that Guarantees the obligations of the Issuer under the Notes, until such Note Guarantee is released in accordance with the terms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Headquarters</w:t>
      </w:r>
      <w:r>
        <w:rPr>
          <w:rFonts w:ascii="Arial" w:cs="Arial" w:eastAsia="Arial" w:hAnsi="Arial"/>
          <w:sz w:val="18"/>
          <w:szCs w:val="18"/>
          <w:color w:val="auto"/>
        </w:rPr>
        <w:t>” means the corporate headquarters of the Parent as of the Issue Date, located in Dublin, Ireland.</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Hedge Agreement</w:t>
      </w:r>
      <w:r>
        <w:rPr>
          <w:rFonts w:ascii="Arial" w:cs="Arial" w:eastAsia="Arial" w:hAnsi="Arial"/>
          <w:sz w:val="17"/>
          <w:szCs w:val="17"/>
          <w:color w:val="auto"/>
        </w:rPr>
        <w:t>” means any agreement with respect to any swap, forward, spot, future or derivative transaction or options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 foregoing.</w:t>
      </w:r>
    </w:p>
    <w:p>
      <w:pPr>
        <w:spacing w:after="0" w:line="16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pursuant to any Interest Rate Agreement, Currency Agreement, Commodity Price Protection Agreement or any other similar agreement or arrangement. For the avoidance of doubt, any Permitted Equity Derivatives will not constitute a Hedging Obligation.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IGPHS</w:t>
      </w:r>
      <w:r>
        <w:rPr>
          <w:rFonts w:ascii="Arial" w:cs="Arial" w:eastAsia="Arial" w:hAnsi="Arial"/>
          <w:sz w:val="18"/>
          <w:szCs w:val="18"/>
          <w:color w:val="auto"/>
        </w:rPr>
        <w:t>” means ICON Government and Public Health Solutions, Inc.</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IAI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“Immediate Family Members</w:t>
      </w:r>
      <w:r>
        <w:rPr>
          <w:rFonts w:ascii="Arial" w:cs="Arial" w:eastAsia="Arial" w:hAnsi="Arial"/>
          <w:sz w:val="18"/>
          <w:szCs w:val="18"/>
          <w:color w:val="auto"/>
        </w:rPr>
        <w:t>” means with respect to any individual, such individual’s child, stepchild, grandchild or more remote descendant,</w:t>
      </w:r>
      <w:r>
        <w:rPr>
          <w:rFonts w:ascii="Arial" w:cs="Arial" w:eastAsia="Arial" w:hAnsi="Arial"/>
          <w:sz w:val="18"/>
          <w:szCs w:val="18"/>
          <w:i w:val="1"/>
          <w:iCs w:val="1"/>
          <w:color w:val="auto"/>
        </w:rPr>
        <w:t xml:space="preserve"> </w:t>
      </w:r>
      <w:r>
        <w:rPr>
          <w:rFonts w:ascii="Arial" w:cs="Arial" w:eastAsia="Arial" w:hAnsi="Arial"/>
          <w:sz w:val="18"/>
          <w:szCs w:val="18"/>
          <w:color w:val="auto"/>
        </w:rPr>
        <w:t>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Immaterial Subsidiary</w:t>
      </w:r>
      <w:r>
        <w:rPr>
          <w:rFonts w:ascii="Arial" w:cs="Arial" w:eastAsia="Arial" w:hAnsi="Arial"/>
          <w:sz w:val="18"/>
          <w:szCs w:val="18"/>
          <w:color w:val="auto"/>
        </w:rPr>
        <w:t>” means, at any date of determination, each Restricted Subsidiary that has total assets (as determined in accordance with GAAP) of less than 5.0% of the Parent’s Total Assets and Consolidated EBITDA (measured, in the case of Total Assets, at the end of the most recent fiscal period for which internal financial statements are available and, in the case of Consolidated EBITDA, for the most recently ended four consecutive fiscal quarters ended for which internal consolidated financial statements are available, in each case measured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1" w:name="page252"/>
    <w:bookmarkEnd w:id="251"/>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Incur</w:t>
      </w:r>
      <w:r>
        <w:rPr>
          <w:rFonts w:ascii="Arial" w:cs="Arial" w:eastAsia="Arial" w:hAnsi="Arial"/>
          <w:sz w:val="17"/>
          <w:szCs w:val="17"/>
          <w:color w:val="auto"/>
        </w:rPr>
        <w:t xml:space="preserve">” means issue, assume, Guarantee, incur or otherwise become liable 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Indebtedness of a Person existing at the time such Person becomes a Restricted Subsidiary (whether by merger, consolidation, acquisition or otherwise) shall be deemed to be Incurred by such Person at the time it becomes a Restricted Subsidiary. The terms “</w:t>
      </w:r>
      <w:r>
        <w:rPr>
          <w:rFonts w:ascii="Arial" w:cs="Arial" w:eastAsia="Arial" w:hAnsi="Arial"/>
          <w:sz w:val="17"/>
          <w:szCs w:val="17"/>
          <w:i w:val="1"/>
          <w:iCs w:val="1"/>
          <w:color w:val="auto"/>
        </w:rPr>
        <w:t>Incurrence</w:t>
      </w:r>
      <w:r>
        <w:rPr>
          <w:rFonts w:ascii="Arial" w:cs="Arial" w:eastAsia="Arial" w:hAnsi="Arial"/>
          <w:sz w:val="17"/>
          <w:szCs w:val="17"/>
          <w:color w:val="auto"/>
        </w:rPr>
        <w:t>” and “</w:t>
      </w:r>
      <w:r>
        <w:rPr>
          <w:rFonts w:ascii="Arial" w:cs="Arial" w:eastAsia="Arial" w:hAnsi="Arial"/>
          <w:sz w:val="17"/>
          <w:szCs w:val="17"/>
          <w:i w:val="1"/>
          <w:iCs w:val="1"/>
          <w:color w:val="auto"/>
        </w:rPr>
        <w:t>Incurred</w:t>
      </w:r>
      <w:r>
        <w:rPr>
          <w:rFonts w:ascii="Arial" w:cs="Arial" w:eastAsia="Arial" w:hAnsi="Arial"/>
          <w:sz w:val="17"/>
          <w:szCs w:val="17"/>
          <w:color w:val="auto"/>
        </w:rPr>
        <w:t>” shall have correlative meanings.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Solely for purposes of determining compliance with Section 4.09, the following shall not be deemed to be the Incurrence of Indebtedness:</w:t>
      </w:r>
    </w:p>
    <w:p>
      <w:pPr>
        <w:spacing w:after="0" w:line="225" w:lineRule="exact"/>
        <w:rPr>
          <w:sz w:val="20"/>
          <w:szCs w:val="20"/>
          <w:color w:val="auto"/>
        </w:rPr>
      </w:pPr>
    </w:p>
    <w:p>
      <w:pPr>
        <w:ind w:left="1280" w:hanging="624"/>
        <w:spacing w:after="0"/>
        <w:tabs>
          <w:tab w:leader="none" w:pos="12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amortization of debt discount or the accretion of principal with respect to a non-interest bearing or other discount security;</w:t>
      </w:r>
    </w:p>
    <w:p>
      <w:pPr>
        <w:spacing w:after="0" w:line="225" w:lineRule="exact"/>
        <w:rPr>
          <w:rFonts w:ascii="Arial" w:cs="Arial" w:eastAsia="Arial" w:hAnsi="Arial"/>
          <w:sz w:val="18"/>
          <w:szCs w:val="18"/>
          <w:color w:val="auto"/>
        </w:rPr>
      </w:pPr>
    </w:p>
    <w:p>
      <w:pPr>
        <w:ind w:right="360" w:firstLine="656"/>
        <w:spacing w:after="0" w:line="308" w:lineRule="auto"/>
        <w:tabs>
          <w:tab w:leader="none" w:pos="1263"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payment of regularly scheduled interest in the form of additional Indebtedness of the same instrument or the payment of regularly scheduled dividends on Capital Stock in the form of additional Capital Stock of the same class and with the same terms;</w:t>
      </w:r>
    </w:p>
    <w:p>
      <w:pPr>
        <w:spacing w:after="0" w:line="146" w:lineRule="exact"/>
        <w:rPr>
          <w:rFonts w:ascii="Arial" w:cs="Arial" w:eastAsia="Arial" w:hAnsi="Arial"/>
          <w:sz w:val="17"/>
          <w:szCs w:val="17"/>
          <w:color w:val="auto"/>
        </w:rPr>
      </w:pPr>
    </w:p>
    <w:p>
      <w:pPr>
        <w:ind w:right="100" w:firstLine="656"/>
        <w:spacing w:after="0" w:line="277" w:lineRule="auto"/>
        <w:tabs>
          <w:tab w:leader="none" w:pos="126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changes in the fair value of Indebtedness (including the valuation of any Permitted Convertible Indebtedness attributable to movement in the mark-to-market valuation thereof); and</w:t>
      </w:r>
    </w:p>
    <w:p>
      <w:pPr>
        <w:spacing w:after="0" w:line="170" w:lineRule="exact"/>
        <w:rPr>
          <w:rFonts w:ascii="Arial" w:cs="Arial" w:eastAsia="Arial" w:hAnsi="Arial"/>
          <w:sz w:val="18"/>
          <w:szCs w:val="18"/>
          <w:color w:val="auto"/>
        </w:rPr>
      </w:pPr>
    </w:p>
    <w:p>
      <w:pPr>
        <w:ind w:right="100" w:firstLine="656"/>
        <w:spacing w:after="0" w:line="277" w:lineRule="auto"/>
        <w:tabs>
          <w:tab w:leader="none" w:pos="126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obligation to pay a premium in respect of Indebtedness arising in connection with the issuance of a notice of redemption, making of a mandatory offer to purchase such Indebtedness or any other prepayment thereof.</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addition, the Issuer may, at its option, elect to treat all or any portion of the commitment under any Indebtedness (including with respect to any revolving loan commitment) as being Incurred at the time of such commitment, in which case any subsequent Incurrence of Indebtedness under such commitment shall not be deemed to be an Incurrence at such subsequent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means, without duplication,</w:t>
      </w:r>
    </w:p>
    <w:p>
      <w:pPr>
        <w:spacing w:after="0" w:line="225" w:lineRule="exact"/>
        <w:rPr>
          <w:sz w:val="20"/>
          <w:szCs w:val="20"/>
          <w:color w:val="auto"/>
        </w:rPr>
      </w:pPr>
    </w:p>
    <w:p>
      <w:pPr>
        <w:ind w:left="1260" w:hanging="604"/>
        <w:spacing w:after="0"/>
        <w:tabs>
          <w:tab w:leader="none" w:pos="12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principal component of all obligations of such Person for borrowed money,</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principal component of all obligations of such Person evidenced by bonds, debentures, notes or similar instruments,</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142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obligations of such Person under conditional sale or other title retention agreements relating to property acquired by such Person (excluding trade accounts payable and accrued expenses arising in the ordinary course of business and licenses entered into in the ordinary course of business),</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35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principal component of all obligations of such Person in respect of the deferred purchase price of property or services if and to the extent such obligation would appear as a liability upon the balance sheet of the specified Person in accordance with GAAP (including payments or other arrangements representing acquisition consideration, in each case entered into in connection with an acquisition, but excluding (i) accounts payable, accrued interest or other liability to trade creditors incurred in the ordinary course of business, (ii) deferred revenue, deferred compensation and severance, pension, health and welfare retirement and equivalent benefits to current or former employees, directors or managers of such Person and its Subsidiaries, and (iii) any Deferred Acquisition Consideration),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2" w:name="page253"/>
    <w:bookmarkEnd w:id="252"/>
    <w:p>
      <w:pPr>
        <w:ind w:left="1260" w:hanging="604"/>
        <w:spacing w:after="0"/>
        <w:tabs>
          <w:tab w:leader="none" w:pos="12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Capital Lease Obligations of such Person,</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all obligations, contingent or otherwise, of such Person as an account party in respect of letters of credit and letters of guaranty,</w:t>
      </w:r>
    </w:p>
    <w:p>
      <w:pPr>
        <w:spacing w:after="0" w:line="236" w:lineRule="exact"/>
        <w:rPr>
          <w:rFonts w:ascii="Arial" w:cs="Arial" w:eastAsia="Arial" w:hAnsi="Arial"/>
          <w:sz w:val="17"/>
          <w:szCs w:val="17"/>
          <w:color w:val="auto"/>
        </w:rPr>
      </w:pPr>
    </w:p>
    <w:p>
      <w:pPr>
        <w:ind w:left="1220" w:hanging="564"/>
        <w:spacing w:after="0"/>
        <w:tabs>
          <w:tab w:leader="none" w:pos="12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obligations, contingent or otherwise, of such Person in respect of bankers’ acceptances,</w:t>
      </w:r>
    </w:p>
    <w:p>
      <w:pPr>
        <w:spacing w:after="0" w:line="225" w:lineRule="exact"/>
        <w:rPr>
          <w:rFonts w:ascii="Arial" w:cs="Arial" w:eastAsia="Arial" w:hAnsi="Arial"/>
          <w:sz w:val="18"/>
          <w:szCs w:val="18"/>
          <w:color w:val="auto"/>
        </w:rPr>
      </w:pPr>
    </w:p>
    <w:p>
      <w:pPr>
        <w:jc w:val="both"/>
        <w:ind w:firstLine="656"/>
        <w:spacing w:after="0" w:line="301" w:lineRule="auto"/>
        <w:tabs>
          <w:tab w:leader="none" w:pos="1296"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 provided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Issuer’s good faith estimate),</w:t>
      </w:r>
    </w:p>
    <w:p>
      <w:pPr>
        <w:spacing w:after="0" w:line="157" w:lineRule="exact"/>
        <w:rPr>
          <w:rFonts w:ascii="Arial" w:cs="Arial" w:eastAsia="Arial" w:hAnsi="Arial"/>
          <w:sz w:val="16"/>
          <w:szCs w:val="16"/>
          <w:color w:val="auto"/>
        </w:rPr>
      </w:pPr>
    </w:p>
    <w:p>
      <w:pPr>
        <w:ind w:left="1280" w:hanging="624"/>
        <w:spacing w:after="0"/>
        <w:tabs>
          <w:tab w:leader="none" w:pos="1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Guarantees by such Person of Indebtedness of others and</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326"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amount of all obligations of such Person with respect to the redemption, repayment or other repurchase of any Disqualified Stock of such Person or, with respect to any Preferred Stock of any Restricted Subsidiary of such Person, the principal amount of such Preferred Stock to be determined in accordance with this Indenture (but excluding, in each case, any accrued dividends), in each case of clause (a) through (g), to the extent such Indebtedness would appear as a liability upon the balance sheet (excluding the footnotes thereto) of such Person prepared in accordance with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the avoidance of doubt, deferred revenue and advances and deposits received from customers shall not constitute Indebtedness.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the first $500.0 million aggregate principal amount of Notes issued under this Indenture on the Issue Date.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Citigroup Global Markets Inc., Morgan Stanley &amp; Co. LLC, HSBC Continental Europe SA, J.P. Morgan Securities LLC and Santander Investment Securities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3" w:name="page254"/>
    <w:bookmarkEnd w:id="253"/>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Insolvency or Liquidation Proceeding</w:t>
      </w:r>
      <w:r>
        <w:rPr>
          <w:rFonts w:ascii="Arial" w:cs="Arial" w:eastAsia="Arial" w:hAnsi="Arial"/>
          <w:sz w:val="16"/>
          <w:szCs w:val="16"/>
          <w:color w:val="auto"/>
        </w:rPr>
        <w:t>” means, with respect to any Person, (a) any voluntary or involuntary case or proceeding under any debtor relief law with respect to any such Person, (b) any other voluntary or involuntary insolvency, reorganization or bankruptcy case or proceeding, or any receivership, liquidation, reorganization, examinership, administration or other similar event, case, process, action or proceeding or private or judicial foreclosure with respect to any such Person or with respect to all or any material portion of its assets, (c) any liquidation, dissolution, examinership, reorganization or winding up of any such Person whether voluntary or involuntary or otherwise and whether or not involving insolvency or bankruptcy or</w:t>
      </w:r>
    </w:p>
    <w:p>
      <w:pPr>
        <w:spacing w:after="0" w:line="2" w:lineRule="exact"/>
        <w:rPr>
          <w:sz w:val="20"/>
          <w:szCs w:val="20"/>
          <w:color w:val="auto"/>
        </w:rPr>
      </w:pPr>
    </w:p>
    <w:p>
      <w:pPr>
        <w:jc w:val="both"/>
        <w:ind w:firstLine="8"/>
        <w:spacing w:after="0" w:line="255" w:lineRule="auto"/>
        <w:tabs>
          <w:tab w:leader="none" w:pos="27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assignment for the benefit of creditors or any other marshalling of all or any material part of the assets and liabilities of any such Person. In addition, in respect of any Guarantor incorporated in Luxembourg or having its “centre of main interests” in Luxembourg, “Insolvency or Liquidation Proceeding” shall also mean a Luxembourg Insolvency Event.</w:t>
      </w:r>
    </w:p>
    <w:p>
      <w:pPr>
        <w:spacing w:after="0" w:line="19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 who are not also QIBs.</w:t>
      </w:r>
    </w:p>
    <w:p>
      <w:pPr>
        <w:spacing w:after="0" w:line="170"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Rate Agreement</w:t>
      </w:r>
      <w:r>
        <w:rPr>
          <w:rFonts w:ascii="Arial" w:cs="Arial" w:eastAsia="Arial" w:hAnsi="Arial"/>
          <w:sz w:val="18"/>
          <w:szCs w:val="18"/>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 of loans (including Guarantees or other obligations), advances or capital contributions (excluding accounts receivable, credit card and debit card receivables, trade credit, advances to customers, commission, travel and similar advances to officers and employees, in each case, created or made in the ordinary course of business), purchases or other acquisitions for consideration of Indebtedness, Equity Interests or other securities, together with all items that are or would be classified as investments on a balance sheet prepared in accordance with GAAP. If the Parent or any Restricted Subsidiary sells or otherwise disposes of any Equity Interests of any direct or indirect Restricted Subsidiary such that, after giving effect to any such sale or disposition, such Person is no longer a Restricted Subsidiary, the Parent will be deemed to have made an Investment on the date of any such sale or disposition equal to the Fair Market Value of the Parent’s Investments in such Subsidiary that were not sold or disposed of in an amount determined as provided in Section 4.07(c). The acquisition by the Parent or any Restricted Subsidiary of a Person that holds an Investment in a third Person will be deemed to be an Investment by the Parent or such Restricted Subsidiary in such third Person in an amount equal to the Fair Market Value of the Investments held by the acquired Person in such third Person in an amount determined as provided in Section 4.07(c). Except as otherwise provided in this Indenture, the amount of an Investment will be determined at the time the Investment is made and without giving effect to subsequent changes in value, less any amounts paid, repaid, refinanced, distributed or otherwise received in cash in respect of such Investment. For the avoidance of doubt, Permitted Equity Derivatives and acquisitions of or licenses for intellectual property or tangible assets used or useful in a Permitted Business do not constitute Investments.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July 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has the meaning assigned to it in the preamble to this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4" w:name="page255"/>
    <w:bookmarkEnd w:id="254"/>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any precautionary UCC financing statements or similar filings (including any filing of a UCC financing statement or other filing with a Governmental Authority in respect of an operating lease or a consignment) and any filings with any Governmental Authority in respect of any license shall not constitute Liens to the extent that such operating lease, consignment or license to which the filings relate are otherwise Permitted Liens hereunder; provided that in no event shall any operating lease or any non-exclusive license, sub-license or cross-license to intellectual property be deemed to constitute a Lien.</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Limited Condition Transaction</w:t>
      </w:r>
      <w:r>
        <w:rPr>
          <w:rFonts w:ascii="Arial" w:cs="Arial" w:eastAsia="Arial" w:hAnsi="Arial"/>
          <w:sz w:val="16"/>
          <w:szCs w:val="16"/>
          <w:color w:val="auto"/>
        </w:rPr>
        <w:t>” means any (a) any acquisition or Investment that the Parent or any of its Restricted Subsidiaries is contractually committed to consummate, which commitment is not conditioned on the availability of, or on obtaining, third party financing or (b) redemption or repayment of Indebtedness requiring irrevocable advance notice or any irrevocable offer to purchase Indebtedness that is not subject to obtaining financing.</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Luxembourg</w:t>
      </w:r>
      <w:r>
        <w:rPr>
          <w:rFonts w:ascii="Arial" w:cs="Arial" w:eastAsia="Arial" w:hAnsi="Arial"/>
          <w:sz w:val="18"/>
          <w:szCs w:val="18"/>
          <w:color w:val="auto"/>
        </w:rPr>
        <w:t>” means the Grand Duchy of Luxembourg.</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Luxembourg Insolvency Event</w:t>
      </w:r>
      <w:r>
        <w:rPr>
          <w:rFonts w:ascii="Arial" w:cs="Arial" w:eastAsia="Arial" w:hAnsi="Arial"/>
          <w:sz w:val="18"/>
          <w:szCs w:val="18"/>
          <w:color w:val="auto"/>
        </w:rPr>
        <w:t>” means, in relation to any entity incorporated or existing under the laws of Luxembourg or any of their assets, any corporate action, legal proceedings or other procedure or step in relation to bankruptcy (faillite), insolvency, judicial or voluntary liquidation (liquidation judiciaire ou volontaire), composition with creditors (concordat préventif de la faillite), moratorium or reprieve from payment (sursis de paiement), controlled management (gestion contrôlée), fraudulent conveyance (action paulienne), general settlement with creditors, the appointment of a juge délégué, a commissaire, a juge-commissaire, a mandataire ad hoc, an administrateur provisoire, a liquidateur or a curateur reorganization or similar laws affecting the rights of creditors generally.</w:t>
      </w:r>
    </w:p>
    <w:p>
      <w:pPr>
        <w:spacing w:after="0" w:line="188"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Luxembourg Guarantor</w:t>
      </w:r>
      <w:r>
        <w:rPr>
          <w:rFonts w:ascii="Arial" w:cs="Arial" w:eastAsia="Arial" w:hAnsi="Arial"/>
          <w:sz w:val="18"/>
          <w:szCs w:val="18"/>
          <w:color w:val="auto"/>
        </w:rPr>
        <w:t>” means ICON Luxembourg, S.à r.l., a private limited liability company (société à responsabilité limitée) incorporated under the laws of Luxembourg, having its registered office at 61, rue de Rollingergrund, L-2440 Luxembourg, and registered with the Luxembourg Register of Commerce and Companies (R.C.S. Luxembourg) under number B 66588 and any Guarantor incorporated under the laws of Luxembourg and/or having its registered office and/or its “centre of main interests” (as this term is used in Article 3(1) of Regulation (EU) 2015/848 of 20 May 2015 on insolvency proceeds (recast)) in Luxembourg, in each case, until the Note Guarantee of such Luxembourg Guarantor is released in accordance with the terms of this Indenture.</w:t>
      </w:r>
    </w:p>
    <w:p>
      <w:pPr>
        <w:spacing w:after="0" w:line="19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Margin Stock</w:t>
      </w:r>
      <w:r>
        <w:rPr>
          <w:rFonts w:ascii="Arial" w:cs="Arial" w:eastAsia="Arial" w:hAnsi="Arial"/>
          <w:sz w:val="18"/>
          <w:szCs w:val="18"/>
          <w:color w:val="auto"/>
        </w:rPr>
        <w:t>” has the meaning assigned to such term in Regulation U of the Board of Governors of the Federal Reserve System of the United States of America.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5" w:name="page256"/>
    <w:bookmarkEnd w:id="255"/>
    <w:p>
      <w:pPr>
        <w:ind w:right="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Market Capitalization</w:t>
      </w:r>
      <w:r>
        <w:rPr>
          <w:rFonts w:ascii="Arial" w:cs="Arial" w:eastAsia="Arial" w:hAnsi="Arial"/>
          <w:sz w:val="16"/>
          <w:szCs w:val="16"/>
          <w:color w:val="auto"/>
        </w:rPr>
        <w:t>” means an amount equal to (i) the total number of issued and outstanding shares of common Equity Interests of the Parent or any one of the Issuer’s other parent entities that are traded on a securities exchange on the date of the declaration of a Restricted Payment, multiplied by</w:t>
      </w:r>
    </w:p>
    <w:p>
      <w:pPr>
        <w:ind w:firstLine="8"/>
        <w:spacing w:after="0" w:line="290" w:lineRule="auto"/>
        <w:tabs>
          <w:tab w:leader="none" w:pos="26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arithmetic mean of the closing prices per share of such common Equity Interests on the principal securities exchange on which such common Equity Interests are traded for the 30 consecutive trading days immediately preceding the date of declaration of such Restricted Payment.</w:t>
      </w:r>
    </w:p>
    <w:p>
      <w:pPr>
        <w:spacing w:after="0" w:line="16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Acquisition</w:t>
      </w:r>
      <w:r>
        <w:rPr>
          <w:rFonts w:ascii="Arial" w:cs="Arial" w:eastAsia="Arial" w:hAnsi="Arial"/>
          <w:sz w:val="18"/>
          <w:szCs w:val="18"/>
          <w:color w:val="auto"/>
        </w:rPr>
        <w:t>” means any Permitted Acquisition that involves the payment of acquisition consideration by the Parent and its Restricted Subsidiaries in excess of $50,000,000.</w:t>
      </w:r>
    </w:p>
    <w:p>
      <w:pPr>
        <w:spacing w:after="0" w:line="170"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Disposition</w:t>
      </w:r>
      <w:r>
        <w:rPr>
          <w:rFonts w:ascii="Arial" w:cs="Arial" w:eastAsia="Arial" w:hAnsi="Arial"/>
          <w:sz w:val="18"/>
          <w:szCs w:val="18"/>
          <w:color w:val="auto"/>
        </w:rPr>
        <w:t>” means any Asset Sale that involves payment of Disposition Consideration to the Parent or any of its Restricted Subsidiaries in excess of $50,000,000.</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Intellectual Property</w:t>
      </w:r>
      <w:r>
        <w:rPr>
          <w:rFonts w:ascii="Arial" w:cs="Arial" w:eastAsia="Arial" w:hAnsi="Arial"/>
          <w:sz w:val="18"/>
          <w:szCs w:val="18"/>
          <w:color w:val="auto"/>
        </w:rPr>
        <w:t>” means intellectual property that is material to the business of the Parent and its Subsidiaries, taken as a whole, as determined by the Parent in good faith.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has the meaning assigned to it in the preamble to this Indenture.</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the Agreement and Plan of Merger dated as of February 24, 2021 among Parent, ICON US Holdings Inc., a Delaware corporation, Merger Sub and PRA (including, without limitation all exhibits, schedules and disclosure letters thereto), as the same may be altered, amended, changed, supplemented or with any provision or condition therein waived.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Cash Proceeds</w:t>
      </w:r>
      <w:r>
        <w:rPr>
          <w:rFonts w:ascii="Arial" w:cs="Arial" w:eastAsia="Arial" w:hAnsi="Arial"/>
          <w:sz w:val="17"/>
          <w:szCs w:val="17"/>
          <w:color w:val="auto"/>
        </w:rPr>
        <w:t>” means with respect to a transaction, the proceeds of such transaction in the form of cash or Cash Equivalents including payments in respect of deferred payment obligations when received in the form of, or stock or other assets when disposed of for, cash or Cash Equivalents (except to the extent that such obligations are financed or sold with recourse to the Parent or any Restricted Subsidiary), net of attorney’s fees, accountant’s fees and brokerage, consultation, underwriting, taxes and other fees and expenses actually incurred or reserved in good faith for post-closing adjustments in connection with such transaction and net of taxes paid or payable as a result thereof.</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Proceeds</w:t>
      </w:r>
      <w:r>
        <w:rPr>
          <w:rFonts w:ascii="Arial" w:cs="Arial" w:eastAsia="Arial" w:hAnsi="Arial"/>
          <w:sz w:val="17"/>
          <w:szCs w:val="17"/>
          <w:color w:val="auto"/>
        </w:rPr>
        <w:t>” from an Asset Sale means cash payments received therefrom (including any cash payments received by way of deferred payment of principal pursuant to a note or installment receivable or otherwise and proceeds from the sale or other disposition of any securities received as consideration, but only as and when received, but excluding any other consideration received in the form of assumption by the acquiring Person of Indebtedness or other obligations relating to such properties or assets or received in any other non-cash form), in each case net of:</w:t>
      </w:r>
    </w:p>
    <w:p>
      <w:pPr>
        <w:spacing w:after="0" w:line="171" w:lineRule="exact"/>
        <w:rPr>
          <w:sz w:val="20"/>
          <w:szCs w:val="20"/>
          <w:color w:val="auto"/>
        </w:rPr>
      </w:pPr>
    </w:p>
    <w:p>
      <w:pPr>
        <w:jc w:val="both"/>
        <w:ind w:firstLine="1304"/>
        <w:spacing w:after="0" w:line="279" w:lineRule="auto"/>
        <w:tabs>
          <w:tab w:leader="none" w:pos="197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all legal, title and recording tax expenses, commissions and other fees and expenses incurred, and all Federal, state, provincial, foreign and local taxes paid, reasonably estimated to be payable or required to be accrued as a liability under GAAP, as a consequence of such Asset Sale (including, for the avoidance of doubt, any income, withholding and other taxes payable as a result of the distribution, contribution or other transfer of such proceeds to the Issuer and after taking into account any available tax credits or deductions and any tax sharing agreements);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6" w:name="page257"/>
    <w:bookmarkEnd w:id="256"/>
    <w:p>
      <w:pPr>
        <w:jc w:val="both"/>
        <w:ind w:right="20" w:firstLine="1304"/>
        <w:spacing w:after="0" w:line="263" w:lineRule="auto"/>
        <w:tabs>
          <w:tab w:leader="none" w:pos="195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payments made on any Indebtedness which is secured by any assets subject to such Asset Sale, in accordance with the terms of any Lien upon or other security agreement of any kind with respect to such assets, or which must by its terms, or in order to obtain a necessary consent to such Asset Sale, or by applicable law, be repaid out of the proceeds from such Asset Sale;</w:t>
      </w:r>
    </w:p>
    <w:p>
      <w:pPr>
        <w:spacing w:after="0" w:line="183" w:lineRule="exact"/>
        <w:rPr>
          <w:rFonts w:ascii="Arial" w:cs="Arial" w:eastAsia="Arial" w:hAnsi="Arial"/>
          <w:sz w:val="18"/>
          <w:szCs w:val="18"/>
          <w:color w:val="auto"/>
        </w:rPr>
      </w:pPr>
    </w:p>
    <w:p>
      <w:pPr>
        <w:ind w:firstLine="1304"/>
        <w:spacing w:after="0" w:line="277" w:lineRule="auto"/>
        <w:tabs>
          <w:tab w:leader="none" w:pos="19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distributions and other payments required to be made to minority interest holders in Restricted Subsidiaries or joint ventures as a result of such Asset Sale;</w:t>
      </w:r>
    </w:p>
    <w:p>
      <w:pPr>
        <w:spacing w:after="0" w:line="170" w:lineRule="exact"/>
        <w:rPr>
          <w:rFonts w:ascii="Arial" w:cs="Arial" w:eastAsia="Arial" w:hAnsi="Arial"/>
          <w:sz w:val="18"/>
          <w:szCs w:val="18"/>
          <w:color w:val="auto"/>
        </w:rPr>
      </w:pPr>
    </w:p>
    <w:p>
      <w:pPr>
        <w:ind w:left="1980" w:hanging="676"/>
        <w:spacing w:after="0"/>
        <w:tabs>
          <w:tab w:leader="none" w:pos="19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amount of any reserves established to fund contingent liabilities reasonably estimated by the Issuer to be payable in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Asset Sale; and</w:t>
      </w:r>
    </w:p>
    <w:p>
      <w:pPr>
        <w:spacing w:after="0" w:line="210" w:lineRule="exact"/>
        <w:rPr>
          <w:rFonts w:ascii="Arial" w:cs="Arial" w:eastAsia="Arial" w:hAnsi="Arial"/>
          <w:sz w:val="16"/>
          <w:szCs w:val="16"/>
          <w:color w:val="auto"/>
        </w:rPr>
      </w:pPr>
    </w:p>
    <w:p>
      <w:pPr>
        <w:jc w:val="both"/>
        <w:ind w:firstLine="1304"/>
        <w:spacing w:after="0" w:line="259" w:lineRule="auto"/>
        <w:tabs>
          <w:tab w:leader="none" w:pos="192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any portion of the purchase price from an Asset Sale placed in escrow, whether as a reserve for adjustment of the purchase price, for satisfaction of indemnities in respect of such Asset Sale or otherwise in connection with that Asset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upon the termination of that escrow, Net Proceeds will be increased by any portion of funds in the escrow that are released to the Parent or any Restricted Subsidiary (subject to any reserves established in respect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Non-Guarantor Subsidiary</w:t>
      </w:r>
      <w:r>
        <w:rPr>
          <w:rFonts w:ascii="Arial" w:cs="Arial" w:eastAsia="Arial" w:hAnsi="Arial"/>
          <w:sz w:val="18"/>
          <w:szCs w:val="18"/>
          <w:color w:val="auto"/>
        </w:rPr>
        <w:t>” means a Restricted Subsidiary that is not a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obligations of the Issuer under this Indenture and the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xml:space="preserve">” means the Initial Notes and the Additional Notes. The Initial Notes and the Additional Notes shall be treated as a single class for all purposes under this Indenture, and unless the context otherwise requires, all references to the Notes shall include the Initial Notes and any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any such Additional Notes are fungible with the Initial Notes for U.S. federal tax and securities law purposes, such Additional Notes shall be issued with a separate CUSIP number.</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 Collateral Agent</w:t>
      </w:r>
      <w:r>
        <w:rPr>
          <w:rFonts w:ascii="Arial" w:cs="Arial" w:eastAsia="Arial" w:hAnsi="Arial"/>
          <w:sz w:val="18"/>
          <w:szCs w:val="18"/>
          <w:color w:val="auto"/>
        </w:rPr>
        <w:t>” means Citibank, N.A., London Branch,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 Documents</w:t>
      </w:r>
      <w:r>
        <w:rPr>
          <w:rFonts w:ascii="Arial" w:cs="Arial" w:eastAsia="Arial" w:hAnsi="Arial"/>
          <w:sz w:val="18"/>
          <w:szCs w:val="18"/>
          <w:color w:val="auto"/>
        </w:rPr>
        <w:t>” means this Indenture, the Notes and the Collateral Documents.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to Purchase</w:t>
      </w:r>
      <w:r>
        <w:rPr>
          <w:rFonts w:ascii="Arial" w:cs="Arial" w:eastAsia="Arial" w:hAnsi="Arial"/>
          <w:sz w:val="18"/>
          <w:szCs w:val="18"/>
          <w:color w:val="auto"/>
        </w:rPr>
        <w:t>” means a Change of Control Offer, Alternate Offer, Collateral Advance Offer, Collateral Asset Sale Offer, Advance Offer or Asset Sale Offer.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7" w:name="page258"/>
    <w:bookmarkEnd w:id="2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final offering memorandum of the Issuer, dated as of June 16, 2021, relating to the Notes.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with respect to any Person, the Chairman of the Board, the Chief Executive Officer, manager, the President, the Chief Operating Officer, the Chief Financial Officer, the Treasurer, any Assistant Treasurer, the Controller, any assistant Controller, the Secretary, any Assistant Secretary, any Vice-President or authorized signatory of such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Parent or the Issuer, as applicable, and delivered to the Trustee.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an opinion meeting the requirements of this Indenture from legal counsel who is reasonably acceptable to the Trustee and delivered to the Trustee. The counsel may be an employee of or counsel to the Issuer or any Subsidiary of the Issuer.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ICON Public Limited Company, an Irish public limited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Indebtedness of the Issuer or a Guarantor that is secured equally and ratably by Liens on the Collateral having the same priority as the Liens securing the Notes; provided that an authorized representative of the holders of such Indebtedness shall be a party to the First Lien Intercreditor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Bond Hedge Transaction</w:t>
      </w:r>
      <w:r>
        <w:rPr>
          <w:rFonts w:ascii="Arial" w:cs="Arial" w:eastAsia="Arial" w:hAnsi="Arial"/>
          <w:sz w:val="16"/>
          <w:szCs w:val="16"/>
          <w:color w:val="auto"/>
        </w:rPr>
        <w:t xml:space="preserve">” means (a) any call option or capped call option (or substantively equivalent derivative transaction) on the common or ordinary Capital Stock of the Parent (or any direct or indirect parent company thereof) purchased by the Parent or any of its Subsidiaries in connection with an Incurrence of Permitted Convertible Indebtedness, and (b) any call option or capped call option (or substantively equivalent derivative transaction) replacing or refinancing the foregoing; </w:t>
      </w:r>
      <w:r>
        <w:rPr>
          <w:rFonts w:ascii="Arial" w:cs="Arial" w:eastAsia="Arial" w:hAnsi="Arial"/>
          <w:sz w:val="16"/>
          <w:szCs w:val="16"/>
          <w:i w:val="1"/>
          <w:iCs w:val="1"/>
          <w:color w:val="auto"/>
        </w:rPr>
        <w:t>provided</w:t>
      </w:r>
      <w:r>
        <w:rPr>
          <w:rFonts w:ascii="Arial" w:cs="Arial" w:eastAsia="Arial" w:hAnsi="Arial"/>
          <w:sz w:val="16"/>
          <w:szCs w:val="16"/>
          <w:color w:val="auto"/>
        </w:rPr>
        <w:t>, that (x) the sum of (i) the purchase price for any Permitted Bond Hedge Transaction occurring after the Issue Date, plus (ii) the purchase price for any Permitted Bond Hedge Transaction it is refinancing or replacing, if any, minus (iii) the cash proceeds received upon the termination or the retirement of the Permitted Bond Hedge Transaction it is replacing or refinancing, if any, less (y) the sum of</w:t>
      </w:r>
    </w:p>
    <w:p>
      <w:pPr>
        <w:spacing w:after="0" w:line="4" w:lineRule="exact"/>
        <w:rPr>
          <w:sz w:val="20"/>
          <w:szCs w:val="20"/>
          <w:color w:val="auto"/>
        </w:rPr>
      </w:pPr>
    </w:p>
    <w:p>
      <w:pPr>
        <w:jc w:val="both"/>
        <w:ind w:firstLine="8"/>
        <w:spacing w:after="0" w:line="302" w:lineRule="auto"/>
        <w:tabs>
          <w:tab w:leader="none" w:pos="24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cash proceeds from the sale of the related Permitted Warrant Transaction plus (ii) the cash proceeds from the sale of any Permitted Warrant Transaction refinancing or replacing such related Permitted Warrant Transaction, if any, minus (iii) the amount paid upon termination or retirement of such related Permitted Warrant Transaction, if any, does not exceed the net cash proceeds from the Incurrence of the related Permitted Convertible Indebtedness.</w:t>
      </w:r>
    </w:p>
    <w:p>
      <w:pPr>
        <w:spacing w:after="0" w:line="1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business and any services, activities or businesses incidental, or reasonably related or complementary or similar to, any line of business engaged in by the Parent and its Subsidiaries as of the Issue Date or any business activity that is a reasonable extension, development or expansion thereof or ancillary thereto.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8" w:name="page259"/>
    <w:bookmarkEnd w:id="258"/>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Convertible Indebtedness</w:t>
      </w:r>
      <w:r>
        <w:rPr>
          <w:rFonts w:ascii="Arial" w:cs="Arial" w:eastAsia="Arial" w:hAnsi="Arial"/>
          <w:sz w:val="17"/>
          <w:szCs w:val="17"/>
          <w:color w:val="auto"/>
        </w:rPr>
        <w:t>” means Indebtedness of the Parent or any of the Restricted Subsidiaries (which may be Guaranteed by the Guarantors) permitted to be Incurred pursuant to Section 4.09 that is (1) convertible into, or exchangeable for, Capital Stock of the Parent or any of its direct or indirect parent companies (and cash in lieu of fractional shares) and/or cash (in an amount determined by reference to the price of such common or ordinary Capital Stock) and/or (2) sold as units with call options, warrants, rights or obligations to purchase (or substantially equivalent derivative transactions) that are exercisable for Capital Stock of the Parent or any of its direct or indirect parent companies and/or cash (in an amount determined by reference to the price of such common or ordinary Capital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Convertible Indebtedness Call Transaction</w:t>
      </w:r>
      <w:r>
        <w:rPr>
          <w:rFonts w:ascii="Arial" w:cs="Arial" w:eastAsia="Arial" w:hAnsi="Arial"/>
          <w:sz w:val="16"/>
          <w:szCs w:val="16"/>
          <w:color w:val="auto"/>
        </w:rPr>
        <w:t>” means any Permitted Bond Hedge Transaction and any Permitted Warrant Transaction.</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Equity Derivatives</w:t>
      </w:r>
      <w:r>
        <w:rPr>
          <w:rFonts w:ascii="Arial" w:cs="Arial" w:eastAsia="Arial" w:hAnsi="Arial"/>
          <w:sz w:val="16"/>
          <w:szCs w:val="16"/>
          <w:color w:val="auto"/>
        </w:rPr>
        <w:t xml:space="preserve">” means (a) any forward purchase, accelerated share purchase, call option, warrant transaction or other equity derivative transactions relating to the Capital Stock of the Parent entered into by the Parent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Restricted Payment made in connection with such transaction is permitted pursuant to Section 4.07 and (b) any Permitted Convertible Indebtedness Call Transactions.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Hedging Obligations</w:t>
      </w:r>
      <w:r>
        <w:rPr>
          <w:rFonts w:ascii="Arial" w:cs="Arial" w:eastAsia="Arial" w:hAnsi="Arial"/>
          <w:sz w:val="18"/>
          <w:szCs w:val="18"/>
          <w:color w:val="auto"/>
        </w:rPr>
        <w:t>” means obligations of the Parent or any Restricted Subsidiary in respect of non-speculative Swap Agreements entered into (i) to hedge or mitigate risks to which Parent or any Restricted Subsidiary has actual exposure (other than those in respect of Equity Interests of Parent or any of its Restricted Subsidiaries but excluding convertible debt securities) or (ii) in order to effectively cap, collar or exchange interest rates (from fixed to floating rates, from one floating rate to another floating rate or otherwise) with respect to any interest-bearing liability or investment of the Parent or any Restricted Subsidiary.</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Incremental Amount</w:t>
      </w:r>
      <w:r>
        <w:rPr>
          <w:rFonts w:ascii="Arial" w:cs="Arial" w:eastAsia="Arial" w:hAnsi="Arial"/>
          <w:sz w:val="17"/>
          <w:szCs w:val="17"/>
          <w:color w:val="auto"/>
        </w:rPr>
        <w:t>” means an unlimited amount so long as (1) in the case of any Indebtedness secured by a Lien on the Collateral that is pari passu with any Lien on the Collateral securing the Obligations under the Notes and the Note Guarantees, the First Lien Net Leverage Ratio, determined on a pro forma basis for the Four Quarter Period, would not exceed 5.00:1.00 and (2) in the case of any Indebtedness secured by the Collateral on a junior lien basis relative to the Liens on such Collateral securing the Obligations under the Notes and the Note Guarantees, the Secured Net Leverage Ratio, determined on a pro forma basis for the Four Quarter Period, would not exceed 5.25:1.00.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left="1280" w:hanging="624"/>
        <w:spacing w:after="0"/>
        <w:tabs>
          <w:tab w:leader="none" w:pos="12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225" w:lineRule="exact"/>
        <w:rPr>
          <w:rFonts w:ascii="Arial" w:cs="Arial" w:eastAsia="Arial" w:hAnsi="Arial"/>
          <w:sz w:val="18"/>
          <w:szCs w:val="18"/>
          <w:color w:val="auto"/>
        </w:rPr>
      </w:pPr>
    </w:p>
    <w:p>
      <w:pPr>
        <w:ind w:firstLine="656"/>
        <w:spacing w:after="0" w:line="277" w:lineRule="auto"/>
        <w:tabs>
          <w:tab w:leader="none" w:pos="132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Investment in the Parent or in a Restricted Subsidiary of the Parent (including, for the avoidance of doubt, the purchase of Equity Interests of non-wholly owned Restricted Subsidiaries);</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Investment in cash and Cash Equivalents;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1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Investment by the Parent or any Restricted Subsidiary in a Person, if as a result of such Investment: (a) such Person becomes a Restricted Subsidiary; or (b) such Person is merged, consolidated or amalgamated with or into, or transfers or conveys substantially all of its assets to, or is liquidated into, the Parent or a Restricted Subsidiary (any such Investment, a “</w:t>
      </w:r>
      <w:r>
        <w:rPr>
          <w:rFonts w:ascii="Arial" w:cs="Arial" w:eastAsia="Arial" w:hAnsi="Arial"/>
          <w:sz w:val="18"/>
          <w:szCs w:val="18"/>
          <w:i w:val="1"/>
          <w:iCs w:val="1"/>
          <w:color w:val="auto"/>
        </w:rPr>
        <w:t>Permitted Acquisition</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9" w:name="page260"/>
    <w:bookmarkEnd w:id="259"/>
    <w:p>
      <w:pPr>
        <w:ind w:right="20" w:firstLine="656"/>
        <w:spacing w:after="0" w:line="277" w:lineRule="auto"/>
        <w:tabs>
          <w:tab w:leader="none" w:pos="145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 an Asset Sale that was made pursuant to and in compliance with Section 4.10 or (b) a Disposition or other transfer of assets not constituting an Asset Sale;</w:t>
      </w:r>
    </w:p>
    <w:p>
      <w:pPr>
        <w:spacing w:after="0" w:line="170" w:lineRule="exact"/>
        <w:rPr>
          <w:rFonts w:ascii="Arial" w:cs="Arial" w:eastAsia="Arial" w:hAnsi="Arial"/>
          <w:sz w:val="18"/>
          <w:szCs w:val="18"/>
          <w:color w:val="auto"/>
        </w:rPr>
      </w:pPr>
    </w:p>
    <w:p>
      <w:pPr>
        <w:ind w:firstLine="656"/>
        <w:spacing w:after="0" w:line="277" w:lineRule="auto"/>
        <w:tabs>
          <w:tab w:leader="none" w:pos="127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Investments to the extent made in exchange for the issuance of Equity Interests (other than Disqualified Stock) of the Parent or any of its direct or indirect parent companies;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30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Investments received in settlement, satisfaction, compromise or resolution of (A) obligations of trade creditors or customers or other debts that were incurred in the ordinary course of business of the Parent or any of its Restricted Subsidiaries, including pursuant to any plan of reorganization or similar arrangement upon the bankruptcy or insolvency of any trade creditor or customer; or (B) judgments, litigation, arbitration or other disputes;</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Investments represented by Swap Agreements, Permitted Hedging Obligations and Permitted Equity Derivatives;</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26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loans and advances to, or guarantees of Indebtedness of officers, directors, employees, consultants and members of management not in excess of $25,000,000 outstanding at any one time, in the aggregate and (b) other loans and advances to employees, directors, officers, members of management and consultants for business-related travel expenses, moving expenses and other similar expenses or payroll advances, in each case incurred in the ordinary course of business or consistent with past practices or to future, present and former employees, directors, officers, members of management and consultants (and their Controlled Affiliates and Immediate Family Members) to fund such Person’s purchase of Equity Interests of the Parent or any direct or indirect parent company thereof;</w:t>
      </w:r>
    </w:p>
    <w:p>
      <w:pPr>
        <w:spacing w:after="0" w:line="192" w:lineRule="exact"/>
        <w:rPr>
          <w:rFonts w:ascii="Arial" w:cs="Arial" w:eastAsia="Arial" w:hAnsi="Arial"/>
          <w:sz w:val="18"/>
          <w:szCs w:val="18"/>
          <w:color w:val="auto"/>
        </w:rPr>
      </w:pPr>
    </w:p>
    <w:p>
      <w:pPr>
        <w:ind w:left="1280" w:hanging="624"/>
        <w:spacing w:after="0"/>
        <w:tabs>
          <w:tab w:leader="none" w:pos="12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any guarantee of Indebtedness permitted to be incurred under Section 4.09 and performance guarantees provided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jc w:val="both"/>
        <w:ind w:firstLine="656"/>
        <w:spacing w:after="0" w:line="259" w:lineRule="auto"/>
        <w:tabs>
          <w:tab w:leader="none" w:pos="132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any Investment existing on, or made pursuant to binding commitments existing on, the date hereof and any Investment consisting of an extension, modification or renewal of any Investment existing on, or made pursuant to a binding commitment existing on, the Issue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Investment may be increased (a) as required by the terms of such Investment as in existence on the Issue Date or (b) as otherwise permitted under this Indenture;</w:t>
      </w:r>
    </w:p>
    <w:p>
      <w:pPr>
        <w:spacing w:after="0" w:line="186" w:lineRule="exact"/>
        <w:rPr>
          <w:rFonts w:ascii="Arial" w:cs="Arial" w:eastAsia="Arial" w:hAnsi="Arial"/>
          <w:sz w:val="18"/>
          <w:szCs w:val="18"/>
          <w:color w:val="auto"/>
        </w:rPr>
      </w:pPr>
    </w:p>
    <w:p>
      <w:pPr>
        <w:jc w:val="both"/>
        <w:ind w:firstLine="656"/>
        <w:spacing w:after="0" w:line="301" w:lineRule="auto"/>
        <w:tabs>
          <w:tab w:leader="none" w:pos="150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Investments of any Person in existence at the time such Person becomes a Restricted Subsidiary, or is merged, consolidated or amalgamated with or into, or transfers or conveys substantially all of its assets to, or is liquidated into, the Parent or a Restricted Subsidiary; provided such Investment was not made in connection with or in anticipation of such Person becoming a Restricted Subsidiary and, to the extent in an amount not greater than such Investment as existing on the date such Person became a Restricted Subsidiary, any modification, replacement, renewal or extension thereof;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0" w:name="page261"/>
    <w:bookmarkEnd w:id="260"/>
    <w:p>
      <w:pPr>
        <w:ind w:firstLine="656"/>
        <w:spacing w:after="0" w:line="277" w:lineRule="auto"/>
        <w:tabs>
          <w:tab w:leader="none" w:pos="141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37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receivables owing to the Parent or any Restricted Subsidiary if created or acquired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that such trade terms may include such concessionary trade terms as the Parent or any such Restricted Subsidiary deems reasonable under the circumstances;</w:t>
      </w:r>
    </w:p>
    <w:p>
      <w:pPr>
        <w:spacing w:after="0" w:line="183" w:lineRule="exact"/>
        <w:rPr>
          <w:rFonts w:ascii="Arial" w:cs="Arial" w:eastAsia="Arial" w:hAnsi="Arial"/>
          <w:sz w:val="18"/>
          <w:szCs w:val="18"/>
          <w:color w:val="auto"/>
        </w:rPr>
      </w:pPr>
    </w:p>
    <w:p>
      <w:pPr>
        <w:ind w:firstLine="656"/>
        <w:spacing w:after="0" w:line="308" w:lineRule="auto"/>
        <w:tabs>
          <w:tab w:leader="none" w:pos="1437"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advances, loans or extensions of trade or other credit (including to officers, directors, consultants and employees of the Parent, its Subsidiaries or its direct and indirect parent companies) in the ordinary course of business by the Parent or any of its Restricted Subsidiaries;</w:t>
      </w:r>
    </w:p>
    <w:p>
      <w:pPr>
        <w:spacing w:after="0" w:line="146" w:lineRule="exact"/>
        <w:rPr>
          <w:rFonts w:ascii="Arial" w:cs="Arial" w:eastAsia="Arial" w:hAnsi="Arial"/>
          <w:sz w:val="17"/>
          <w:szCs w:val="17"/>
          <w:color w:val="auto"/>
        </w:rPr>
      </w:pPr>
    </w:p>
    <w:p>
      <w:pPr>
        <w:ind w:left="1280" w:hanging="624"/>
        <w:spacing w:after="0"/>
        <w:tabs>
          <w:tab w:leader="none" w:pos="12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lease, utility and similar deposits in the ordinary course of business and other deposits constituting Permitted Liens;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w:t>
      </w:r>
    </w:p>
    <w:p>
      <w:pPr>
        <w:spacing w:after="0" w:line="225" w:lineRule="exact"/>
        <w:rPr>
          <w:rFonts w:ascii="Arial" w:cs="Arial" w:eastAsia="Arial" w:hAnsi="Arial"/>
          <w:sz w:val="18"/>
          <w:szCs w:val="18"/>
          <w:color w:val="auto"/>
        </w:rPr>
      </w:pPr>
    </w:p>
    <w:p>
      <w:pPr>
        <w:ind w:firstLine="656"/>
        <w:spacing w:after="0" w:line="277" w:lineRule="auto"/>
        <w:tabs>
          <w:tab w:leader="none" w:pos="136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Investments among the Parent and its Subsidiaries in the ordinary course of business for purposes of funding the working capital and maintenance capital expenditure requirements and research and development activities of the Parent and its Subsidiaries;</w:t>
      </w:r>
    </w:p>
    <w:p>
      <w:pPr>
        <w:spacing w:after="0" w:line="170" w:lineRule="exact"/>
        <w:rPr>
          <w:rFonts w:ascii="Arial" w:cs="Arial" w:eastAsia="Arial" w:hAnsi="Arial"/>
          <w:sz w:val="18"/>
          <w:szCs w:val="18"/>
          <w:color w:val="auto"/>
        </w:rPr>
      </w:pPr>
    </w:p>
    <w:p>
      <w:pPr>
        <w:ind w:firstLine="656"/>
        <w:spacing w:after="0" w:line="277" w:lineRule="auto"/>
        <w:tabs>
          <w:tab w:leader="none" w:pos="134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materials and equipment or purchases of contract rights or licenses or leases of intellectual property, in each case in the ordinary course of business;</w:t>
      </w:r>
    </w:p>
    <w:p>
      <w:pPr>
        <w:spacing w:after="0" w:line="170" w:lineRule="exact"/>
        <w:rPr>
          <w:rFonts w:ascii="Arial" w:cs="Arial" w:eastAsia="Arial" w:hAnsi="Arial"/>
          <w:sz w:val="18"/>
          <w:szCs w:val="18"/>
          <w:color w:val="auto"/>
        </w:rPr>
      </w:pPr>
    </w:p>
    <w:p>
      <w:pPr>
        <w:ind w:firstLine="656"/>
        <w:spacing w:after="0" w:line="277" w:lineRule="auto"/>
        <w:tabs>
          <w:tab w:leader="none" w:pos="127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customary upfront, milestone, marketing or other funding payment in the ordinary course of business to another Person in connection with obtaining a right to receive royalty or other payments in the future;</w:t>
      </w:r>
    </w:p>
    <w:p>
      <w:pPr>
        <w:spacing w:after="0" w:line="170" w:lineRule="exact"/>
        <w:rPr>
          <w:rFonts w:ascii="Arial" w:cs="Arial" w:eastAsia="Arial" w:hAnsi="Arial"/>
          <w:sz w:val="18"/>
          <w:szCs w:val="18"/>
          <w:color w:val="auto"/>
        </w:rPr>
      </w:pPr>
    </w:p>
    <w:p>
      <w:pPr>
        <w:jc w:val="both"/>
        <w:ind w:firstLine="656"/>
        <w:spacing w:after="0" w:line="293" w:lineRule="auto"/>
        <w:tabs>
          <w:tab w:leader="none" w:pos="139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Investments in any joint ventures in an amount outstanding at any one time not to exceed the greater of $175.0 million and 15% of Consolidated EBITDA for the Four Quarter Period (with the Fair Market Value as determined in good faith by the Parent of each Investment (other than any Investment consisting of a guarantee) being measured at the time made and without giving effect to subsequent changes in value);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Investment pursuant to this clause (22)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(22) for so long as such Person continues to be a Restricted Subsidiary;</w:t>
      </w:r>
    </w:p>
    <w:p>
      <w:pPr>
        <w:spacing w:after="0" w:line="164" w:lineRule="exact"/>
        <w:rPr>
          <w:rFonts w:ascii="Arial" w:cs="Arial" w:eastAsia="Arial" w:hAnsi="Arial"/>
          <w:sz w:val="16"/>
          <w:szCs w:val="16"/>
          <w:color w:val="auto"/>
        </w:rPr>
      </w:pPr>
    </w:p>
    <w:p>
      <w:pPr>
        <w:jc w:val="both"/>
        <w:ind w:firstLine="656"/>
        <w:spacing w:after="0" w:line="296" w:lineRule="auto"/>
        <w:tabs>
          <w:tab w:leader="none" w:pos="130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Investments in a Permitted Business in an aggregate amount, taken together with all other Investments made pursuant to this clause (23) that are at that time outstanding, not to exceed the greater of $290.0 million and 25% of Consolidated EBITDA for the Four Quarter Period; provided, however, that if any Investment pursuant to this clause (23)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(23) for so long as such Person continues to be a Restricted Subsidiary;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1" w:name="page262"/>
    <w:bookmarkEnd w:id="261"/>
    <w:p>
      <w:pPr>
        <w:jc w:val="both"/>
        <w:ind w:firstLine="656"/>
        <w:spacing w:after="0" w:line="263" w:lineRule="auto"/>
        <w:tabs>
          <w:tab w:leader="none" w:pos="137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Investments consisting of co-development agreements or consisting of the licensing or contribution of intellectual property, new drug applications or similar assets pursuant to development, marketing or manufacturing agreements, alliances or arrangements or similar agreements or arrangements with other Persons;</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263" w:val="left"/>
        </w:tabs>
        <w:numPr>
          <w:ilvl w:val="0"/>
          <w:numId w:val="276"/>
        </w:numPr>
        <w:rPr>
          <w:rFonts w:ascii="Arial" w:cs="Arial" w:eastAsia="Arial" w:hAnsi="Arial"/>
          <w:sz w:val="16"/>
          <w:szCs w:val="16"/>
          <w:color w:val="auto"/>
        </w:rPr>
      </w:pPr>
      <w:r>
        <w:rPr>
          <w:rFonts w:ascii="Arial" w:cs="Arial" w:eastAsia="Arial" w:hAnsi="Arial"/>
          <w:sz w:val="16"/>
          <w:szCs w:val="16"/>
          <w:color w:val="auto"/>
        </w:rPr>
        <w:t>other Investments in any Person having an aggregate fair market value (measured on the date each such Investment was made and without giving effect to subsequent changes in value), when taken together with all other Investments made pursuant to this clause (25) that are at the time outstanding, not to exceed the greater of $290.0 million and 25% of Consolidated EBITDA for the Four Quarter Period; provided, however, that if any Investment pursuant to this clause (25)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(25) for so long as such Person continues to be a Restricted Subsidiary;</w:t>
      </w:r>
    </w:p>
    <w:p>
      <w:pPr>
        <w:spacing w:after="0" w:line="164" w:lineRule="exact"/>
        <w:rPr>
          <w:rFonts w:ascii="Arial" w:cs="Arial" w:eastAsia="Arial" w:hAnsi="Arial"/>
          <w:sz w:val="16"/>
          <w:szCs w:val="16"/>
          <w:color w:val="auto"/>
        </w:rPr>
      </w:pPr>
    </w:p>
    <w:p>
      <w:pPr>
        <w:ind w:right="20" w:firstLine="656"/>
        <w:spacing w:after="0" w:line="277" w:lineRule="auto"/>
        <w:tabs>
          <w:tab w:leader="none" w:pos="131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Investments in or relating to a Securitization Subsidiary that, in the good faith determination of the Parent, are necessary or advisable to effect or maintain any Qualified Securitization Financing or any repurchase obligation in connection therewith;</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Investments in IGPHS to fund its cash management and working capital requirements;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(x) Investments in Drug Development Funds, (y) Investments in Oncacare Limited to fund its cash management and working capital requirements and (z) loans made to Oncacare Limited pursuant to the shareholders agreement thereof, in an aggregate amount, taken together with all other Investments made pursuant to this clause (28) that are at that time outstanding, not to exceed the greater of $580.0 million and 50% of Consolidated EBITDA for the Four Quarter Period;</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assets or services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132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in connection with obtaining, maintaining or renewing client contacts and loans or advances made to distributors in the ordinary course of business;</w:t>
      </w:r>
    </w:p>
    <w:p>
      <w:pPr>
        <w:spacing w:after="0" w:line="170" w:lineRule="exact"/>
        <w:rPr>
          <w:rFonts w:ascii="Arial" w:cs="Arial" w:eastAsia="Arial" w:hAnsi="Arial"/>
          <w:sz w:val="18"/>
          <w:szCs w:val="18"/>
          <w:color w:val="auto"/>
        </w:rPr>
      </w:pPr>
    </w:p>
    <w:p>
      <w:pPr>
        <w:ind w:firstLine="656"/>
        <w:spacing w:after="0" w:line="308" w:lineRule="auto"/>
        <w:tabs>
          <w:tab w:leader="none" w:pos="1319" w:val="left"/>
        </w:tabs>
        <w:numPr>
          <w:ilvl w:val="0"/>
          <w:numId w:val="276"/>
        </w:numPr>
        <w:rPr>
          <w:rFonts w:ascii="Arial" w:cs="Arial" w:eastAsia="Arial" w:hAnsi="Arial"/>
          <w:sz w:val="17"/>
          <w:szCs w:val="17"/>
          <w:color w:val="auto"/>
        </w:rPr>
      </w:pPr>
      <w:r>
        <w:rPr>
          <w:rFonts w:ascii="Arial" w:cs="Arial" w:eastAsia="Arial" w:hAnsi="Arial"/>
          <w:sz w:val="17"/>
          <w:szCs w:val="17"/>
          <w:color w:val="auto"/>
        </w:rPr>
        <w:t>Guarantees by the Parent or any of its Restricted Subsidiaries of leases (other than capitalized leases) or of other obligations that do not constitute Indebtedness, in each case entered into in the ordinary course of business and consistent with past practice;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2" w:name="page263"/>
    <w:bookmarkEnd w:id="262"/>
    <w:p>
      <w:pPr>
        <w:ind w:left="-20" w:firstLine="656"/>
        <w:spacing w:after="0" w:line="277" w:lineRule="auto"/>
        <w:tabs>
          <w:tab w:leader="none" w:pos="14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Investment in any Subsidiary or any joint venture in connection with intercompany cash management arrangements or related activities arising in the ordinary course of business and consistent with past practice;</w:t>
      </w:r>
    </w:p>
    <w:p>
      <w:pPr>
        <w:spacing w:after="0" w:line="170" w:lineRule="exact"/>
        <w:rPr>
          <w:rFonts w:ascii="Arial" w:cs="Arial" w:eastAsia="Arial" w:hAnsi="Arial"/>
          <w:sz w:val="18"/>
          <w:szCs w:val="18"/>
          <w:color w:val="auto"/>
        </w:rPr>
      </w:pPr>
    </w:p>
    <w:p>
      <w:pPr>
        <w:ind w:left="1260" w:hanging="624"/>
        <w:spacing w:after="0"/>
        <w:tabs>
          <w:tab w:leader="none" w:pos="12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Investments in the Notes; and</w:t>
      </w:r>
    </w:p>
    <w:p>
      <w:pPr>
        <w:spacing w:after="0" w:line="225" w:lineRule="exact"/>
        <w:rPr>
          <w:rFonts w:ascii="Arial" w:cs="Arial" w:eastAsia="Arial" w:hAnsi="Arial"/>
          <w:sz w:val="18"/>
          <w:szCs w:val="18"/>
          <w:color w:val="auto"/>
        </w:rPr>
      </w:pPr>
    </w:p>
    <w:p>
      <w:pPr>
        <w:ind w:left="-20" w:firstLine="656"/>
        <w:spacing w:after="0" w:line="277" w:lineRule="auto"/>
        <w:tabs>
          <w:tab w:leader="none" w:pos="130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Investment by the Parent or any of its Restricted Subsidiaries so long as the Total Net Leverage Ratio on a Pro Forma Basis is less than or equal to 4.25:1.00.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20" w:right="40" w:firstLine="656"/>
        <w:spacing w:after="0" w:line="301" w:lineRule="auto"/>
        <w:tabs>
          <w:tab w:leader="none" w:pos="124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Liens to secure (a) Indebtedness (and other related Obligations) that was incurred pursuant to clause (1) or clause (14) of the definition of Permitted Debt and (b) Obligations with regard to Treasury Management Arrangements and Hedging Obligations; provided that (i) if such Indebtedness constitutes First Priority Obligations, such Liens shall be subject to the First Lien Intercreditor Agreement and (ii) if such Indebtedness is secured by a Lien that is junior to the Lien securing the Notes and the Note Guarantees, such Lien shall be subject to the Junior Lien Intercreditor Agreement;</w:t>
      </w:r>
    </w:p>
    <w:p>
      <w:pPr>
        <w:spacing w:after="0" w:line="157" w:lineRule="exact"/>
        <w:rPr>
          <w:rFonts w:ascii="Arial" w:cs="Arial" w:eastAsia="Arial" w:hAnsi="Arial"/>
          <w:sz w:val="16"/>
          <w:szCs w:val="16"/>
          <w:color w:val="auto"/>
        </w:rPr>
      </w:pPr>
    </w:p>
    <w:p>
      <w:pPr>
        <w:ind w:left="-20" w:right="100" w:firstLine="656"/>
        <w:spacing w:after="0" w:line="263" w:lineRule="auto"/>
        <w:tabs>
          <w:tab w:leader="none" w:pos="124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Liens on assets of Foreign Subsidiaries or Non-Guarantor Subsidiaries securing Indebtedness (and other related Obligations) of such Foreign Subsidiary or Non-Guarantor Subsidiary that was Incurred in accordance with Section 4.09 and (b) Liens securing Indebtedness (and other related Obligations) that was Incurred pursuant to clause (22) of the definition of Permitted Debt;</w:t>
      </w:r>
    </w:p>
    <w:p>
      <w:pPr>
        <w:spacing w:after="0" w:line="183" w:lineRule="exact"/>
        <w:rPr>
          <w:rFonts w:ascii="Arial" w:cs="Arial" w:eastAsia="Arial" w:hAnsi="Arial"/>
          <w:sz w:val="18"/>
          <w:szCs w:val="18"/>
          <w:color w:val="auto"/>
        </w:rPr>
      </w:pPr>
    </w:p>
    <w:p>
      <w:pPr>
        <w:ind w:left="1260" w:hanging="624"/>
        <w:spacing w:after="0"/>
        <w:tabs>
          <w:tab w:leader="none" w:pos="12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Liens in favor of the Parent or any Restricted Subsidiary;</w:t>
      </w:r>
    </w:p>
    <w:p>
      <w:pPr>
        <w:spacing w:after="0" w:line="225" w:lineRule="exact"/>
        <w:rPr>
          <w:rFonts w:ascii="Arial" w:cs="Arial" w:eastAsia="Arial" w:hAnsi="Arial"/>
          <w:sz w:val="18"/>
          <w:szCs w:val="18"/>
          <w:color w:val="auto"/>
        </w:rPr>
      </w:pPr>
    </w:p>
    <w:p>
      <w:pPr>
        <w:ind w:left="-20" w:right="240" w:firstLine="656"/>
        <w:spacing w:after="0" w:line="275" w:lineRule="auto"/>
        <w:tabs>
          <w:tab w:leader="none" w:pos="1243"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Liens on property or Equity Interests of another Person existing at the time such other Person becomes a Restricted Subsidiary of the Parent or is merged with or into or consolidated with the Parent or any Subsidiary of the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(a) are not incurred in contemplation thereof and (b) do not extend to any other property owned by the Parent or any of the Restricted Subsidiaries (other than after acquired property of such Person (to the extent required to become subject to such Liens under the terms of the applicable agreements as in effect at the time such Person becomes a Subsidiary of the Parent) assets and property affixed or appurtenant thereto);</w:t>
      </w:r>
    </w:p>
    <w:p>
      <w:pPr>
        <w:spacing w:after="0" w:line="176" w:lineRule="exact"/>
        <w:rPr>
          <w:rFonts w:ascii="Arial" w:cs="Arial" w:eastAsia="Arial" w:hAnsi="Arial"/>
          <w:sz w:val="17"/>
          <w:szCs w:val="17"/>
          <w:color w:val="auto"/>
        </w:rPr>
      </w:pPr>
    </w:p>
    <w:p>
      <w:pPr>
        <w:ind w:left="-20" w:right="340" w:firstLine="656"/>
        <w:spacing w:after="0" w:line="308" w:lineRule="auto"/>
        <w:tabs>
          <w:tab w:leader="none" w:pos="1243"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Liens on property (including Equity Interests) existing at the time of acquisition of the property by the Parent or any Subsidiary of the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were in existence prior to such acquisition and not incurred in contemplation of, such acquisition;</w:t>
      </w:r>
    </w:p>
    <w:p>
      <w:pPr>
        <w:spacing w:after="0" w:line="146" w:lineRule="exact"/>
        <w:rPr>
          <w:rFonts w:ascii="Arial" w:cs="Arial" w:eastAsia="Arial" w:hAnsi="Arial"/>
          <w:sz w:val="17"/>
          <w:szCs w:val="17"/>
          <w:color w:val="auto"/>
        </w:rPr>
      </w:pPr>
    </w:p>
    <w:p>
      <w:pPr>
        <w:ind w:left="1260" w:hanging="624"/>
        <w:spacing w:after="0"/>
        <w:tabs>
          <w:tab w:leader="none" w:pos="12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Liens on the Equity Interests of Unrestricted Subsidiaries;</w:t>
      </w:r>
    </w:p>
    <w:p>
      <w:pPr>
        <w:spacing w:after="0" w:line="225" w:lineRule="exact"/>
        <w:rPr>
          <w:rFonts w:ascii="Arial" w:cs="Arial" w:eastAsia="Arial" w:hAnsi="Arial"/>
          <w:sz w:val="18"/>
          <w:szCs w:val="18"/>
          <w:color w:val="auto"/>
        </w:rPr>
      </w:pPr>
    </w:p>
    <w:p>
      <w:pPr>
        <w:ind w:left="-20" w:right="20" w:firstLine="656"/>
        <w:spacing w:after="0" w:line="272" w:lineRule="auto"/>
        <w:tabs>
          <w:tab w:leader="none" w:pos="1243" w:val="left"/>
        </w:tabs>
        <w:numPr>
          <w:ilvl w:val="0"/>
          <w:numId w:val="278"/>
        </w:numPr>
        <w:rPr>
          <w:rFonts w:ascii="Arial" w:cs="Arial" w:eastAsia="Arial" w:hAnsi="Arial"/>
          <w:sz w:val="17"/>
          <w:szCs w:val="17"/>
          <w:color w:val="auto"/>
        </w:rPr>
      </w:pPr>
      <w:r>
        <w:rPr>
          <w:rFonts w:ascii="Arial" w:cs="Arial" w:eastAsia="Arial" w:hAnsi="Arial"/>
          <w:sz w:val="17"/>
          <w:szCs w:val="17"/>
          <w:color w:val="auto"/>
        </w:rPr>
        <w:t>Liens (a) to secure the performance of, or arising in connection with, public or statutory obligations (including worker’s compensation laws, unemployment insurance laws or similar legislation), insurance, surety or appeal bonds, performance bonds or other obligations of a like nature, good faith deposits in connection with bids, tenders, contracts (other than for the payment of Indebtedness) or leases, deposits as security for contested taxes or import duties or for the payment of rent, in each case Incurred in the ordinary course of business (including Liens to secure letters of credit or similar instruments issued to assure payment or performance of such obligations), (b) in respect of letters of credit, bank guarantees or similar instruments issued for the account of the Parent or any Subsidiary supporting obligations of the type set forth in clause (a) above and (c) Liens on cash and Cash Equivalents securing letters of credit issued in the ordinary course of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263" w:name="page264"/>
    <w:bookmarkEnd w:id="263"/>
    <w:p>
      <w:pPr>
        <w:ind w:left="1200" w:hanging="624"/>
        <w:spacing w:after="0"/>
        <w:tabs>
          <w:tab w:leader="none" w:pos="12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Liens on securities that are the subject of repurchase agreements permitted hereunder;</w:t>
      </w:r>
    </w:p>
    <w:p>
      <w:pPr>
        <w:spacing w:after="0" w:line="225" w:lineRule="exact"/>
        <w:rPr>
          <w:rFonts w:ascii="Arial" w:cs="Arial" w:eastAsia="Arial" w:hAnsi="Arial"/>
          <w:sz w:val="18"/>
          <w:szCs w:val="18"/>
          <w:color w:val="auto"/>
        </w:rPr>
      </w:pPr>
    </w:p>
    <w:p>
      <w:pPr>
        <w:ind w:left="-80" w:right="340" w:firstLine="656"/>
        <w:spacing w:after="0" w:line="277" w:lineRule="auto"/>
        <w:tabs>
          <w:tab w:leader="none" w:pos="118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Liens to secure Indebtedness ( and related obligations) permitted by clause (11) of the definition of Permitted Debt covering only the assets acquired with, improved, constructed, leased or financed by such Indebtedness and the proceeds thereof;</w:t>
      </w:r>
    </w:p>
    <w:p>
      <w:pPr>
        <w:spacing w:after="0" w:line="170" w:lineRule="exact"/>
        <w:rPr>
          <w:rFonts w:ascii="Arial" w:cs="Arial" w:eastAsia="Arial" w:hAnsi="Arial"/>
          <w:sz w:val="18"/>
          <w:szCs w:val="18"/>
          <w:color w:val="auto"/>
        </w:rPr>
      </w:pPr>
    </w:p>
    <w:p>
      <w:pPr>
        <w:ind w:left="1200" w:hanging="624"/>
        <w:spacing w:after="0"/>
        <w:tabs>
          <w:tab w:leader="none" w:pos="12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Liens existing on the Issue Date (other than Liens referred to in the foregoing clause (1)(a));</w:t>
      </w:r>
    </w:p>
    <w:p>
      <w:pPr>
        <w:spacing w:after="0" w:line="225" w:lineRule="exact"/>
        <w:rPr>
          <w:rFonts w:ascii="Arial" w:cs="Arial" w:eastAsia="Arial" w:hAnsi="Arial"/>
          <w:sz w:val="18"/>
          <w:szCs w:val="18"/>
          <w:color w:val="auto"/>
        </w:rPr>
      </w:pPr>
    </w:p>
    <w:p>
      <w:pPr>
        <w:ind w:left="-80" w:firstLine="656"/>
        <w:spacing w:after="0" w:line="263" w:lineRule="auto"/>
        <w:tabs>
          <w:tab w:leader="none" w:pos="117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claims that are (a) not yet delinquent, or (b) being contested in good faith by appropriate proceedings and with respect to which adequate reserves have been established in accordance with, and to the extent required by, applicable accounting standards;</w:t>
      </w:r>
    </w:p>
    <w:p>
      <w:pPr>
        <w:spacing w:after="0" w:line="183" w:lineRule="exact"/>
        <w:rPr>
          <w:rFonts w:ascii="Arial" w:cs="Arial" w:eastAsia="Arial" w:hAnsi="Arial"/>
          <w:sz w:val="18"/>
          <w:szCs w:val="18"/>
          <w:color w:val="auto"/>
        </w:rPr>
      </w:pPr>
    </w:p>
    <w:p>
      <w:pPr>
        <w:ind w:left="-80" w:right="540" w:firstLine="656"/>
        <w:spacing w:after="0" w:line="277" w:lineRule="auto"/>
        <w:tabs>
          <w:tab w:leader="none" w:pos="118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and mechanics’ Liens, in each case, either (a) incurred in the ordinary course of business or (b) for sums not yet due or being contested in good faith by appropriate proceedings;</w:t>
      </w:r>
    </w:p>
    <w:p>
      <w:pPr>
        <w:spacing w:after="0" w:line="170" w:lineRule="exact"/>
        <w:rPr>
          <w:rFonts w:ascii="Arial" w:cs="Arial" w:eastAsia="Arial" w:hAnsi="Arial"/>
          <w:sz w:val="18"/>
          <w:szCs w:val="18"/>
          <w:color w:val="auto"/>
        </w:rPr>
      </w:pPr>
    </w:p>
    <w:p>
      <w:pPr>
        <w:ind w:left="-80" w:right="120" w:firstLine="656"/>
        <w:spacing w:after="0" w:line="301" w:lineRule="auto"/>
        <w:tabs>
          <w:tab w:leader="none" w:pos="118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their properties which were not incurred in connection with Indebtedness and that do not in the aggregate materially adversely affect the value of said properties or materially impair their use in the operation of the business of such Person;</w:t>
      </w:r>
    </w:p>
    <w:p>
      <w:pPr>
        <w:spacing w:after="0" w:line="157" w:lineRule="exact"/>
        <w:rPr>
          <w:rFonts w:ascii="Arial" w:cs="Arial" w:eastAsia="Arial" w:hAnsi="Arial"/>
          <w:sz w:val="16"/>
          <w:szCs w:val="16"/>
          <w:color w:val="auto"/>
        </w:rPr>
      </w:pPr>
    </w:p>
    <w:p>
      <w:pPr>
        <w:ind w:left="1200" w:hanging="624"/>
        <w:spacing w:after="0"/>
        <w:tabs>
          <w:tab w:leader="none" w:pos="12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Liens securing the Notes (other than any Additional Notes) and the Note Guarantees;</w:t>
      </w:r>
    </w:p>
    <w:p>
      <w:pPr>
        <w:spacing w:after="0" w:line="225" w:lineRule="exact"/>
        <w:rPr>
          <w:rFonts w:ascii="Arial" w:cs="Arial" w:eastAsia="Arial" w:hAnsi="Arial"/>
          <w:sz w:val="18"/>
          <w:szCs w:val="18"/>
          <w:color w:val="auto"/>
        </w:rPr>
      </w:pPr>
    </w:p>
    <w:p>
      <w:pPr>
        <w:ind w:left="-80" w:right="40" w:firstLine="656"/>
        <w:spacing w:after="0" w:line="301" w:lineRule="auto"/>
        <w:tabs>
          <w:tab w:leader="none" w:pos="118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Liens to secure any Permitted Refinancing Indebtedness permitted to be incurred under this Indenture or to secure any Refinancing (or successive Refinancings), as a whole or in part, of any Indebtedness secured by a Lien referred to in clauses (2)(b), (4), (5), (9), (10), (40) and (42) hereof;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new Lien is limited to property and assets that secured or, under the written agreements pursuant to which the original Liens</w:t>
      </w:r>
      <w:r>
        <w:rPr>
          <w:rFonts w:ascii="Arial" w:cs="Arial" w:eastAsia="Arial" w:hAnsi="Arial"/>
          <w:sz w:val="16"/>
          <w:szCs w:val="16"/>
          <w:i w:val="1"/>
          <w:iCs w:val="1"/>
          <w:color w:val="auto"/>
        </w:rPr>
        <w:t xml:space="preserve"> </w:t>
      </w:r>
      <w:r>
        <w:rPr>
          <w:rFonts w:ascii="Arial" w:cs="Arial" w:eastAsia="Arial" w:hAnsi="Arial"/>
          <w:sz w:val="16"/>
          <w:szCs w:val="16"/>
          <w:color w:val="auto"/>
        </w:rPr>
        <w:t>arose, could secure the Refinanced Indebtedness (plus improvements and accessions to, such property or proceeds or distributions thereof);</w:t>
      </w:r>
    </w:p>
    <w:p>
      <w:pPr>
        <w:spacing w:after="0" w:line="157" w:lineRule="exact"/>
        <w:rPr>
          <w:rFonts w:ascii="Arial" w:cs="Arial" w:eastAsia="Arial" w:hAnsi="Arial"/>
          <w:sz w:val="16"/>
          <w:szCs w:val="16"/>
          <w:color w:val="auto"/>
        </w:rPr>
      </w:pPr>
    </w:p>
    <w:p>
      <w:pPr>
        <w:ind w:left="-80" w:right="600" w:firstLine="656"/>
        <w:spacing w:after="0" w:line="277" w:lineRule="auto"/>
        <w:tabs>
          <w:tab w:leader="none" w:pos="118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Liens on insurance policies, premiums and proceeds thereof, or other deposits, to secure insurance premium financings and other liabilities to insurance carriers;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80"/>
          </w:cols>
          <w:pgMar w:left="400" w:top="692" w:right="419" w:bottom="1440" w:gutter="0" w:footer="0" w:header="0"/>
        </w:sectPr>
      </w:pPr>
    </w:p>
    <w:bookmarkStart w:id="264" w:name="page265"/>
    <w:bookmarkEnd w:id="264"/>
    <w:p>
      <w:pPr>
        <w:ind w:left="-40" w:right="180" w:firstLine="656"/>
        <w:spacing w:after="0" w:line="308" w:lineRule="auto"/>
        <w:tabs>
          <w:tab w:leader="none" w:pos="1223" w:val="left"/>
        </w:tabs>
        <w:numPr>
          <w:ilvl w:val="0"/>
          <w:numId w:val="280"/>
        </w:numPr>
        <w:rPr>
          <w:rFonts w:ascii="Arial" w:cs="Arial" w:eastAsia="Arial" w:hAnsi="Arial"/>
          <w:sz w:val="17"/>
          <w:szCs w:val="17"/>
          <w:color w:val="auto"/>
        </w:rPr>
      </w:pPr>
      <w:r>
        <w:rPr>
          <w:rFonts w:ascii="Arial" w:cs="Arial" w:eastAsia="Arial" w:hAnsi="Arial"/>
          <w:sz w:val="17"/>
          <w:szCs w:val="17"/>
          <w:color w:val="auto"/>
        </w:rPr>
        <w:t>Liens arising from Uniform Commercial Code (“</w:t>
      </w:r>
      <w:r>
        <w:rPr>
          <w:rFonts w:ascii="Arial" w:cs="Arial" w:eastAsia="Arial" w:hAnsi="Arial"/>
          <w:sz w:val="17"/>
          <w:szCs w:val="17"/>
          <w:i w:val="1"/>
          <w:iCs w:val="1"/>
          <w:color w:val="auto"/>
        </w:rPr>
        <w:t>UCC</w:t>
      </w:r>
      <w:r>
        <w:rPr>
          <w:rFonts w:ascii="Arial" w:cs="Arial" w:eastAsia="Arial" w:hAnsi="Arial"/>
          <w:sz w:val="17"/>
          <w:szCs w:val="17"/>
          <w:color w:val="auto"/>
        </w:rPr>
        <w:t>”) financing statement filings regarding operating leases or consignments entered into by the Parent and the Restricted Subsidiaries and other precautionary UCC financing statements or similar filings;</w:t>
      </w:r>
    </w:p>
    <w:p>
      <w:pPr>
        <w:spacing w:after="0" w:line="146" w:lineRule="exact"/>
        <w:rPr>
          <w:rFonts w:ascii="Arial" w:cs="Arial" w:eastAsia="Arial" w:hAnsi="Arial"/>
          <w:sz w:val="17"/>
          <w:szCs w:val="17"/>
          <w:color w:val="auto"/>
        </w:rPr>
      </w:pPr>
    </w:p>
    <w:p>
      <w:pPr>
        <w:ind w:left="-40" w:firstLine="656"/>
        <w:spacing w:after="0" w:line="259" w:lineRule="auto"/>
        <w:tabs>
          <w:tab w:leader="none" w:pos="122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Liens securing or arising out of judgments, decrees, orders, awards or notices of lis pendens and associated rights related to litigation with respect to which such Person shall then be proceeding with an appeal or other proceedings for review, or in respect of which the period within which such appeal or proceedings may be initiated shall not have expired, and Liens on litigation proceeds securing obligations to pay expenses incurred in connection with such litigation;</w:t>
      </w:r>
    </w:p>
    <w:p>
      <w:pPr>
        <w:spacing w:after="0" w:line="186" w:lineRule="exact"/>
        <w:rPr>
          <w:rFonts w:ascii="Arial" w:cs="Arial" w:eastAsia="Arial" w:hAnsi="Arial"/>
          <w:sz w:val="18"/>
          <w:szCs w:val="18"/>
          <w:color w:val="auto"/>
        </w:rPr>
      </w:pPr>
    </w:p>
    <w:p>
      <w:pPr>
        <w:ind w:left="-40" w:right="180" w:firstLine="656"/>
        <w:spacing w:after="0" w:line="263" w:lineRule="auto"/>
        <w:tabs>
          <w:tab w:leader="none" w:pos="122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Liens arising by virtue of any statutory or common law provisions relating to banker’s liens and rights of set-off or similar rights and remedies as to deposit accounts or other funds maintained with a depository or financial institution or as to purchase orders and other agreements entered into with customers in the ordinary course of business;</w:t>
      </w:r>
    </w:p>
    <w:p>
      <w:pPr>
        <w:spacing w:after="0" w:line="183" w:lineRule="exact"/>
        <w:rPr>
          <w:rFonts w:ascii="Arial" w:cs="Arial" w:eastAsia="Arial" w:hAnsi="Arial"/>
          <w:sz w:val="18"/>
          <w:szCs w:val="18"/>
          <w:color w:val="auto"/>
        </w:rPr>
      </w:pPr>
    </w:p>
    <w:p>
      <w:pPr>
        <w:ind w:left="1240" w:hanging="624"/>
        <w:spacing w:after="0"/>
        <w:tabs>
          <w:tab w:leader="none" w:pos="12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Liens on cash, Cash Equivalents or other property arising in connection with the defeasance, discharge or redemption of Indebtedness;</w:t>
      </w:r>
    </w:p>
    <w:p>
      <w:pPr>
        <w:spacing w:after="0" w:line="248" w:lineRule="exact"/>
        <w:rPr>
          <w:rFonts w:ascii="Arial" w:cs="Arial" w:eastAsia="Arial" w:hAnsi="Arial"/>
          <w:sz w:val="16"/>
          <w:szCs w:val="16"/>
          <w:color w:val="auto"/>
        </w:rPr>
      </w:pPr>
    </w:p>
    <w:p>
      <w:pPr>
        <w:ind w:left="1240" w:hanging="624"/>
        <w:spacing w:after="0"/>
        <w:tabs>
          <w:tab w:leader="none" w:pos="12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Liens on cash, Cash Equivalents or other property securing Indebtedness permitted by clause (16) of the definition of Permitted Debt;</w:t>
      </w:r>
    </w:p>
    <w:p>
      <w:pPr>
        <w:spacing w:after="0" w:line="248" w:lineRule="exact"/>
        <w:rPr>
          <w:rFonts w:ascii="Arial" w:cs="Arial" w:eastAsia="Arial" w:hAnsi="Arial"/>
          <w:sz w:val="16"/>
          <w:szCs w:val="16"/>
          <w:color w:val="auto"/>
        </w:rPr>
      </w:pPr>
    </w:p>
    <w:p>
      <w:pPr>
        <w:ind w:left="-40" w:right="20" w:firstLine="656"/>
        <w:spacing w:after="0" w:line="342" w:lineRule="auto"/>
        <w:tabs>
          <w:tab w:leader="none" w:pos="122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the proceeds thereof) of any Person securing such Person’s obligations in respect of bankers’ acceptances issued or created for the account of such Person to facilitate the purchase, shipment or storage of such inventory or other goods;</w:t>
      </w:r>
    </w:p>
    <w:p>
      <w:pPr>
        <w:spacing w:after="0" w:line="123" w:lineRule="exact"/>
        <w:rPr>
          <w:rFonts w:ascii="Arial" w:cs="Arial" w:eastAsia="Arial" w:hAnsi="Arial"/>
          <w:sz w:val="16"/>
          <w:szCs w:val="16"/>
          <w:color w:val="auto"/>
        </w:rPr>
      </w:pPr>
    </w:p>
    <w:p>
      <w:pPr>
        <w:ind w:left="-40" w:right="100" w:firstLine="656"/>
        <w:spacing w:after="0" w:line="275" w:lineRule="auto"/>
        <w:tabs>
          <w:tab w:leader="none" w:pos="1223"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Liens to secure Indebtedness (and other related Obligations) that was Incurred pursuant to Section 4.09;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if such Indebtedness constitutes First Priority Obligations, (1) the First Lien Net Leverage Ratio, determined on a pro forma basis for the Four Quarter Period, would not exceed 5.00:1.00 and (2) such Liens shall be subject to the First Lien Intercreditor Agreement and (ii) if such Indebtedness is secured by a Lien that is junior to the Lien securing the Notes and the Note Guarantees, (1) the Secured Net Leverage Ratio, determined on a pro forma basis for the Four Quarter Period, would not exceed 5.25:1.00 and (2) such Lien shall be subject to the Junior Lien Intercreditor Agreement;</w:t>
      </w:r>
    </w:p>
    <w:p>
      <w:pPr>
        <w:spacing w:after="0" w:line="176" w:lineRule="exact"/>
        <w:rPr>
          <w:rFonts w:ascii="Arial" w:cs="Arial" w:eastAsia="Arial" w:hAnsi="Arial"/>
          <w:sz w:val="17"/>
          <w:szCs w:val="17"/>
          <w:color w:val="auto"/>
        </w:rPr>
      </w:pPr>
    </w:p>
    <w:p>
      <w:pPr>
        <w:ind w:left="-40" w:right="20" w:firstLine="656"/>
        <w:spacing w:after="0" w:line="277" w:lineRule="auto"/>
        <w:tabs>
          <w:tab w:leader="none" w:pos="122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in the ordinary course of business;</w:t>
      </w:r>
    </w:p>
    <w:p>
      <w:pPr>
        <w:spacing w:after="0" w:line="170" w:lineRule="exact"/>
        <w:rPr>
          <w:rFonts w:ascii="Arial" w:cs="Arial" w:eastAsia="Arial" w:hAnsi="Arial"/>
          <w:sz w:val="18"/>
          <w:szCs w:val="18"/>
          <w:color w:val="auto"/>
        </w:rPr>
      </w:pPr>
    </w:p>
    <w:p>
      <w:pPr>
        <w:ind w:left="1240" w:hanging="624"/>
        <w:spacing w:after="0"/>
        <w:tabs>
          <w:tab w:leader="none" w:pos="12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40" w:hanging="624"/>
        <w:spacing w:after="0"/>
        <w:tabs>
          <w:tab w:leader="none" w:pos="12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0" w:right="540" w:firstLine="656"/>
        <w:spacing w:after="0" w:line="277" w:lineRule="auto"/>
        <w:tabs>
          <w:tab w:leader="none" w:pos="122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Liens securing obligations in an aggregate amount not to exceed $50,000,000 in respect of obligations under or in respect of Swap Agreements (including Permitted Hedging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60" w:top="692" w:right="379" w:bottom="1440" w:gutter="0" w:footer="0" w:header="0"/>
        </w:sectPr>
      </w:pPr>
    </w:p>
    <w:bookmarkStart w:id="265" w:name="page266"/>
    <w:bookmarkEnd w:id="265"/>
    <w:p>
      <w:pPr>
        <w:ind w:left="-20" w:right="220" w:firstLine="656"/>
        <w:spacing w:after="0" w:line="277" w:lineRule="auto"/>
        <w:tabs>
          <w:tab w:leader="none" w:pos="124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20" w:right="220" w:firstLine="656"/>
        <w:spacing w:after="0" w:line="277" w:lineRule="auto"/>
        <w:tabs>
          <w:tab w:leader="none" w:pos="124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Liens on equipment or inventory of the Parent or any Restricted Subsidiary granted in the ordinary course of business to the Parent’s or such Restricted Subsidiary’s supplier at which such equipment or inventory is located;</w:t>
      </w:r>
    </w:p>
    <w:p>
      <w:pPr>
        <w:spacing w:after="0" w:line="170" w:lineRule="exact"/>
        <w:rPr>
          <w:rFonts w:ascii="Arial" w:cs="Arial" w:eastAsia="Arial" w:hAnsi="Arial"/>
          <w:sz w:val="18"/>
          <w:szCs w:val="18"/>
          <w:color w:val="auto"/>
        </w:rPr>
      </w:pPr>
    </w:p>
    <w:p>
      <w:pPr>
        <w:ind w:left="-20" w:right="680" w:firstLine="656"/>
        <w:spacing w:after="0" w:line="277" w:lineRule="auto"/>
        <w:tabs>
          <w:tab w:leader="none" w:pos="124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minority investment or similar arrangement pursuant to any joint venture, shareholder, investor rights or similar agreement;</w:t>
      </w:r>
    </w:p>
    <w:p>
      <w:pPr>
        <w:spacing w:after="0" w:line="170" w:lineRule="exact"/>
        <w:rPr>
          <w:rFonts w:ascii="Arial" w:cs="Arial" w:eastAsia="Arial" w:hAnsi="Arial"/>
          <w:sz w:val="18"/>
          <w:szCs w:val="18"/>
          <w:color w:val="auto"/>
        </w:rPr>
      </w:pPr>
    </w:p>
    <w:p>
      <w:pPr>
        <w:jc w:val="both"/>
        <w:ind w:left="-20" w:right="420" w:firstLine="656"/>
        <w:spacing w:after="0" w:line="263" w:lineRule="auto"/>
        <w:tabs>
          <w:tab w:leader="none" w:pos="124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Liens (a) consisting of deposits or advances made by the Parent or any of the Restricted Subsidiaries in connection with any letter of intent or purchase agreement in respect of any Investment permitted under this Indenture or (b) consisting of an option or agreement to dispose of any property permitted to be sold pursuant to Section 4.10;</w:t>
      </w:r>
    </w:p>
    <w:p>
      <w:pPr>
        <w:spacing w:after="0" w:line="183" w:lineRule="exact"/>
        <w:rPr>
          <w:rFonts w:ascii="Arial" w:cs="Arial" w:eastAsia="Arial" w:hAnsi="Arial"/>
          <w:sz w:val="18"/>
          <w:szCs w:val="18"/>
          <w:color w:val="auto"/>
        </w:rPr>
      </w:pPr>
    </w:p>
    <w:p>
      <w:pPr>
        <w:ind w:left="-20" w:right="280" w:firstLine="656"/>
        <w:spacing w:after="0" w:line="263" w:lineRule="auto"/>
        <w:tabs>
          <w:tab w:leader="none" w:pos="124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leases, subleases, non-exclusive licenses or non-exclusive sublicenses granted to third parties (a) entered into in the ordinary course of business which do not materially interfere with the conduct of the business of the Parent and the Restricted Subsidiaries and which do not secure any Indebtedness or (b) that are not otherwise prohibited by Section 4.07;</w:t>
      </w:r>
    </w:p>
    <w:p>
      <w:pPr>
        <w:spacing w:after="0" w:line="183" w:lineRule="exact"/>
        <w:rPr>
          <w:rFonts w:ascii="Arial" w:cs="Arial" w:eastAsia="Arial" w:hAnsi="Arial"/>
          <w:sz w:val="18"/>
          <w:szCs w:val="18"/>
          <w:color w:val="auto"/>
        </w:rPr>
      </w:pPr>
    </w:p>
    <w:p>
      <w:pPr>
        <w:ind w:left="-20" w:right="180" w:firstLine="656"/>
        <w:spacing w:after="0" w:line="263" w:lineRule="auto"/>
        <w:tabs>
          <w:tab w:leader="none" w:pos="124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on items in the course of collection and (b) attaching to commodity trading accounts or other commodities brokerage accounts incurred in the ordinary course of business, including Liens encumbering reasonable customary initial deposits and margin deposits;</w:t>
      </w:r>
    </w:p>
    <w:p>
      <w:pPr>
        <w:spacing w:after="0" w:line="183" w:lineRule="exact"/>
        <w:rPr>
          <w:rFonts w:ascii="Arial" w:cs="Arial" w:eastAsia="Arial" w:hAnsi="Arial"/>
          <w:sz w:val="18"/>
          <w:szCs w:val="18"/>
          <w:color w:val="auto"/>
        </w:rPr>
      </w:pPr>
    </w:p>
    <w:p>
      <w:pPr>
        <w:ind w:left="-20" w:right="100" w:firstLine="656"/>
        <w:spacing w:after="0" w:line="308" w:lineRule="auto"/>
        <w:tabs>
          <w:tab w:leader="none" w:pos="1243" w:val="left"/>
        </w:tabs>
        <w:numPr>
          <w:ilvl w:val="0"/>
          <w:numId w:val="281"/>
        </w:numPr>
        <w:rPr>
          <w:rFonts w:ascii="Arial" w:cs="Arial" w:eastAsia="Arial" w:hAnsi="Arial"/>
          <w:sz w:val="17"/>
          <w:szCs w:val="17"/>
          <w:color w:val="auto"/>
        </w:rPr>
      </w:pPr>
      <w:r>
        <w:rPr>
          <w:rFonts w:ascii="Arial" w:cs="Arial" w:eastAsia="Arial" w:hAnsi="Arial"/>
          <w:sz w:val="17"/>
          <w:szCs w:val="17"/>
          <w:color w:val="auto"/>
        </w:rPr>
        <w:t>ground leases in respect of real property on which facilities owned or leased by the Parent or any of its Subsidiaries are located and other Liens affecting the interest of any landlord (and any underlying landlord) of any real property leased by the Parent or any Subsidiary;</w:t>
      </w:r>
    </w:p>
    <w:p>
      <w:pPr>
        <w:spacing w:after="0" w:line="146" w:lineRule="exact"/>
        <w:rPr>
          <w:rFonts w:ascii="Arial" w:cs="Arial" w:eastAsia="Arial" w:hAnsi="Arial"/>
          <w:sz w:val="17"/>
          <w:szCs w:val="17"/>
          <w:color w:val="auto"/>
        </w:rPr>
      </w:pPr>
    </w:p>
    <w:p>
      <w:pPr>
        <w:ind w:left="-20" w:firstLine="656"/>
        <w:spacing w:after="0" w:line="277" w:lineRule="auto"/>
        <w:tabs>
          <w:tab w:leader="none" w:pos="124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Liens to secure contractual payments (contingent or otherwise) payable by the Parent or its Subsidiaries to a seller after the consummation of an acquisition of a product, business, license or other assets;</w:t>
      </w:r>
    </w:p>
    <w:p>
      <w:pPr>
        <w:spacing w:after="0" w:line="170" w:lineRule="exact"/>
        <w:rPr>
          <w:rFonts w:ascii="Arial" w:cs="Arial" w:eastAsia="Arial" w:hAnsi="Arial"/>
          <w:sz w:val="18"/>
          <w:szCs w:val="18"/>
          <w:color w:val="auto"/>
        </w:rPr>
      </w:pPr>
    </w:p>
    <w:p>
      <w:pPr>
        <w:ind w:left="-20" w:right="140" w:firstLine="656"/>
        <w:spacing w:after="0" w:line="263" w:lineRule="auto"/>
        <w:tabs>
          <w:tab w:leader="none" w:pos="124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Liens on any assets held by a Trustee (i) under any indenture or other debt instrument where the proceeds of the securities issued thereunder are held in escrow pursuant to customary escrow arrangements pending the release thereof, and (ii) under any indenture pursuant to customary discharge, redemption or defeasance provisions; and</w:t>
      </w:r>
    </w:p>
    <w:p>
      <w:pPr>
        <w:spacing w:after="0" w:line="183" w:lineRule="exact"/>
        <w:rPr>
          <w:rFonts w:ascii="Arial" w:cs="Arial" w:eastAsia="Arial" w:hAnsi="Arial"/>
          <w:sz w:val="18"/>
          <w:szCs w:val="18"/>
          <w:color w:val="auto"/>
        </w:rPr>
      </w:pPr>
    </w:p>
    <w:p>
      <w:pPr>
        <w:ind w:left="-20" w:right="280" w:firstLine="656"/>
        <w:spacing w:after="0" w:line="263" w:lineRule="auto"/>
        <w:tabs>
          <w:tab w:leader="none" w:pos="124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interest or title of a lessor or licensor under any lease, sublease, license or sublicense entered into by the Parent or any Restricted Subsidiary (A) existing on the Issue Date (but not created in contemplation hereof), (B) entered into in the ordinary course of its business or (C) entered into in connection with an acquisition;</w:t>
      </w:r>
    </w:p>
    <w:p>
      <w:pPr>
        <w:spacing w:after="0" w:line="183" w:lineRule="exact"/>
        <w:rPr>
          <w:rFonts w:ascii="Arial" w:cs="Arial" w:eastAsia="Arial" w:hAnsi="Arial"/>
          <w:sz w:val="18"/>
          <w:szCs w:val="18"/>
          <w:color w:val="auto"/>
        </w:rPr>
      </w:pPr>
    </w:p>
    <w:p>
      <w:pPr>
        <w:ind w:left="-20" w:right="120" w:firstLine="656"/>
        <w:spacing w:after="0" w:line="286" w:lineRule="auto"/>
        <w:tabs>
          <w:tab w:leader="none" w:pos="1243" w:val="left"/>
        </w:tabs>
        <w:numPr>
          <w:ilvl w:val="0"/>
          <w:numId w:val="281"/>
        </w:numPr>
        <w:rPr>
          <w:rFonts w:ascii="Arial" w:cs="Arial" w:eastAsia="Arial" w:hAnsi="Arial"/>
          <w:sz w:val="17"/>
          <w:szCs w:val="17"/>
          <w:color w:val="auto"/>
        </w:rPr>
      </w:pPr>
      <w:r>
        <w:rPr>
          <w:rFonts w:ascii="Arial" w:cs="Arial" w:eastAsia="Arial" w:hAnsi="Arial"/>
          <w:sz w:val="17"/>
          <w:szCs w:val="17"/>
          <w:color w:val="auto"/>
        </w:rPr>
        <w:t>usual and customary Liens incurred to secure ACH Indebtedness, business credit card programs, and netting services, overdrafts and related liabilities arising from treasury, depositary and cash management services and Liens in the nature of the right of setoff in favor of counterparties to contractual agreements with the Parent and its Restricted Subsidiaries in the ordinary course of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40" w:top="692" w:right="359" w:bottom="1440" w:gutter="0" w:footer="0" w:header="0"/>
        </w:sectPr>
      </w:pPr>
    </w:p>
    <w:bookmarkStart w:id="266" w:name="page267"/>
    <w:bookmarkEnd w:id="266"/>
    <w:p>
      <w:pPr>
        <w:ind w:right="560" w:firstLine="656"/>
        <w:spacing w:after="0" w:line="342" w:lineRule="auto"/>
        <w:tabs>
          <w:tab w:leader="none" w:pos="1263" w:val="left"/>
        </w:tabs>
        <w:numPr>
          <w:ilvl w:val="0"/>
          <w:numId w:val="282"/>
        </w:numPr>
        <w:rPr>
          <w:rFonts w:ascii="Arial" w:cs="Arial" w:eastAsia="Arial" w:hAnsi="Arial"/>
          <w:sz w:val="16"/>
          <w:szCs w:val="16"/>
          <w:color w:val="auto"/>
        </w:rPr>
      </w:pPr>
      <w:r>
        <w:rPr>
          <w:rFonts w:ascii="Arial" w:cs="Arial" w:eastAsia="Arial" w:hAnsi="Arial"/>
          <w:sz w:val="16"/>
          <w:szCs w:val="16"/>
          <w:color w:val="auto"/>
        </w:rPr>
        <w:t>Liens on deposits or other amounts held in escrow to secure payments (contingent or otherwise) payable by the Parent or any of its Restricted Subsidiaries with respect to the settlement, satisfaction, compromise or resolution or judgments, litigation, arbitration or other disputes;</w:t>
      </w:r>
    </w:p>
    <w:p>
      <w:pPr>
        <w:spacing w:after="0" w:line="123" w:lineRule="exact"/>
        <w:rPr>
          <w:rFonts w:ascii="Arial" w:cs="Arial" w:eastAsia="Arial" w:hAnsi="Arial"/>
          <w:sz w:val="16"/>
          <w:szCs w:val="16"/>
          <w:color w:val="auto"/>
        </w:rPr>
      </w:pPr>
    </w:p>
    <w:p>
      <w:pPr>
        <w:ind w:right="220" w:firstLine="656"/>
        <w:spacing w:after="0" w:line="259" w:lineRule="auto"/>
        <w:tabs>
          <w:tab w:leader="none" w:pos="126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other Liens securing Indebtedness to the extent such Indebtedness, when taken together with all other Indebtedness secured by Liens Incurred pursuant to this clause (40) that are at that time outstanding and the Indebtedness secured by Liens pursuant to clause (15) above with respect to the Refinancing of Indebtedness originally secured by Liens pursuant to this clause (40), does not exceed the greater of $405.0 million or 35.0% of Consolidated EBITDA for the Four Quarter Period;</w:t>
      </w:r>
    </w:p>
    <w:p>
      <w:pPr>
        <w:spacing w:after="0" w:line="186" w:lineRule="exact"/>
        <w:rPr>
          <w:rFonts w:ascii="Arial" w:cs="Arial" w:eastAsia="Arial" w:hAnsi="Arial"/>
          <w:sz w:val="18"/>
          <w:szCs w:val="18"/>
          <w:color w:val="auto"/>
        </w:rPr>
      </w:pPr>
    </w:p>
    <w:p>
      <w:pPr>
        <w:ind w:right="440" w:firstLine="656"/>
        <w:spacing w:after="0" w:line="263" w:lineRule="auto"/>
        <w:tabs>
          <w:tab w:leader="none" w:pos="126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Liens on Securitization Assets in connection with Qualified Securitization Financing or a Qualified Receivables Factoring or Liens existing by reason of other contractual requirements of a Securitization Subsidiary or any Qualified Securitization Financing or Qualified Receivables Factoring;</w:t>
      </w:r>
    </w:p>
    <w:p>
      <w:pPr>
        <w:spacing w:after="0" w:line="183" w:lineRule="exact"/>
        <w:rPr>
          <w:rFonts w:ascii="Arial" w:cs="Arial" w:eastAsia="Arial" w:hAnsi="Arial"/>
          <w:sz w:val="18"/>
          <w:szCs w:val="18"/>
          <w:color w:val="auto"/>
        </w:rPr>
      </w:pPr>
    </w:p>
    <w:p>
      <w:pPr>
        <w:ind w:right="280" w:firstLine="656"/>
        <w:spacing w:after="0" w:line="277" w:lineRule="auto"/>
        <w:tabs>
          <w:tab w:leader="none" w:pos="126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purchase options, calls and similar rights of, and restrictions for the benefit of, a third party with respect to Equity Interests held by the Parent or any Restricted Subsidiary in joint ventures;</w:t>
      </w:r>
    </w:p>
    <w:p>
      <w:pPr>
        <w:spacing w:after="0" w:line="170" w:lineRule="exact"/>
        <w:rPr>
          <w:rFonts w:ascii="Arial" w:cs="Arial" w:eastAsia="Arial" w:hAnsi="Arial"/>
          <w:sz w:val="18"/>
          <w:szCs w:val="18"/>
          <w:color w:val="auto"/>
        </w:rPr>
      </w:pPr>
    </w:p>
    <w:p>
      <w:pPr>
        <w:ind w:right="340" w:firstLine="656"/>
        <w:spacing w:after="0" w:line="311" w:lineRule="auto"/>
        <w:tabs>
          <w:tab w:leader="none" w:pos="1263"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clause (5) of the definition of “Permitted Debt” and Permitted Refinancing Indebtedness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shall be secured solely by Liens existing at the time such Restricted Subsidiary is acquired by the Parent or a Restricted Subsidiary of the Parent and shall not extend to any other property owned by the Parent or any of its other Restricted Subsidiaries; and</w:t>
      </w:r>
    </w:p>
    <w:p>
      <w:pPr>
        <w:spacing w:after="0" w:line="148" w:lineRule="exact"/>
        <w:rPr>
          <w:rFonts w:ascii="Arial" w:cs="Arial" w:eastAsia="Arial" w:hAnsi="Arial"/>
          <w:sz w:val="16"/>
          <w:szCs w:val="16"/>
          <w:color w:val="auto"/>
        </w:rPr>
      </w:pPr>
    </w:p>
    <w:p>
      <w:pPr>
        <w:ind w:left="1280" w:hanging="624"/>
        <w:spacing w:after="0"/>
        <w:tabs>
          <w:tab w:leader="none" w:pos="12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Liens securing the Headquarters arising as a result of a Sale and Leaseback Transaction thereof.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avoidance of doubt, the inclusion of any specific Lien in the definition of Permitted Liens shall not give rise to any implication that the obligations secured by such Lien constitute Indebtedness.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Parent may, in its sole discretion, classify or reclassify such item of Permitted Liens (or any portion thereof) in any manner that complies with this definition and the Parent may divide and classify a Lien in more than one of the types of Permitted Liens in one of the above clauses.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7" w:name="page268"/>
    <w:bookmarkEnd w:id="267"/>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Refinancing Indebtedness</w:t>
      </w:r>
      <w:r>
        <w:rPr>
          <w:rFonts w:ascii="Arial" w:cs="Arial" w:eastAsia="Arial" w:hAnsi="Arial"/>
          <w:sz w:val="17"/>
          <w:szCs w:val="17"/>
          <w:color w:val="auto"/>
        </w:rPr>
        <w:t xml:space="preserve">” means any Indebtedness that Refinances any Indebtedness of the Parent or any of the Restricted Subsidiaries (other than intercompany Indebtedness), including Indebtedness that Refinances Permitted Refinancing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46" w:lineRule="exact"/>
        <w:rPr>
          <w:sz w:val="20"/>
          <w:szCs w:val="20"/>
          <w:color w:val="auto"/>
        </w:rPr>
      </w:pPr>
    </w:p>
    <w:p>
      <w:pPr>
        <w:jc w:val="both"/>
        <w:ind w:firstLine="656"/>
        <w:spacing w:after="0" w:line="259" w:lineRule="auto"/>
        <w:tabs>
          <w:tab w:leader="none" w:pos="131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being Refinanced (plus accrued interest and premium (including tender premium) thereon, any committed or undrawn amounts associated with, original issue discount on, and underwriting discounts, fees, commissions and expenses incurred in connection with, such Refinancing);</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such Permitted Refinancing Indebtedness has a final maturity date no earlier than the earlier of (i) the final maturity date of the Notes or</w:t>
      </w:r>
    </w:p>
    <w:p>
      <w:pPr>
        <w:spacing w:after="0" w:line="46" w:lineRule="exact"/>
        <w:rPr>
          <w:rFonts w:ascii="Arial" w:cs="Arial" w:eastAsia="Arial" w:hAnsi="Arial"/>
          <w:sz w:val="16"/>
          <w:szCs w:val="16"/>
          <w:color w:val="auto"/>
        </w:rPr>
      </w:pPr>
    </w:p>
    <w:p>
      <w:pPr>
        <w:ind w:right="20" w:firstLine="8"/>
        <w:spacing w:after="0" w:line="260" w:lineRule="auto"/>
        <w:tabs>
          <w:tab w:leader="none" w:pos="28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final maturity of the Indebtedness being Refinanced, and has a Weighted Average Life to Maturity that is equal to or greater than the Weighted Average Life to Maturity of the Indebtedness being Refinanced;</w:t>
      </w:r>
    </w:p>
    <w:p>
      <w:pPr>
        <w:spacing w:after="0" w:line="185" w:lineRule="exact"/>
        <w:rPr>
          <w:rFonts w:ascii="Arial" w:cs="Arial" w:eastAsia="Arial" w:hAnsi="Arial"/>
          <w:sz w:val="18"/>
          <w:szCs w:val="18"/>
          <w:color w:val="auto"/>
        </w:rPr>
      </w:pPr>
    </w:p>
    <w:p>
      <w:pPr>
        <w:jc w:val="both"/>
        <w:ind w:firstLine="656"/>
        <w:spacing w:after="0" w:line="263" w:lineRule="auto"/>
        <w:tabs>
          <w:tab w:leader="none" w:pos="15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the Indebtedness being Refinanced is contractually subordinated in right of payment to the Notes, such Permitted Refinancing Indebtedness is contractually subordinated in right of payment to the Notes on terms at least as favorable to the Holders of Notes as those contained in the documentation governing the Indebtedness being Refinanced; and</w:t>
      </w:r>
    </w:p>
    <w:p>
      <w:pPr>
        <w:spacing w:after="0" w:line="183" w:lineRule="exact"/>
        <w:rPr>
          <w:rFonts w:ascii="Arial" w:cs="Arial" w:eastAsia="Arial" w:hAnsi="Arial"/>
          <w:sz w:val="18"/>
          <w:szCs w:val="18"/>
          <w:color w:val="auto"/>
        </w:rPr>
      </w:pPr>
    </w:p>
    <w:p>
      <w:pPr>
        <w:ind w:firstLine="656"/>
        <w:spacing w:after="0" w:line="342" w:lineRule="auto"/>
        <w:tabs>
          <w:tab w:leader="none" w:pos="1362" w:val="left"/>
        </w:tabs>
        <w:numPr>
          <w:ilvl w:val="1"/>
          <w:numId w:val="284"/>
        </w:numPr>
        <w:rPr>
          <w:rFonts w:ascii="Arial" w:cs="Arial" w:eastAsia="Arial" w:hAnsi="Arial"/>
          <w:sz w:val="16"/>
          <w:szCs w:val="16"/>
          <w:color w:val="auto"/>
        </w:rPr>
      </w:pPr>
      <w:r>
        <w:rPr>
          <w:rFonts w:ascii="Arial" w:cs="Arial" w:eastAsia="Arial" w:hAnsi="Arial"/>
          <w:sz w:val="16"/>
          <w:szCs w:val="16"/>
          <w:color w:val="auto"/>
        </w:rPr>
        <w:t>no Permitted Refinancing Indebtedness shall have direct obligors or contingent obligors that were not the direct obligors or contingent obligors (or that would not have been required to become direct obligors or contingent obligors) in respect of the Indebtedness being Refinanced.</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Warrant Transaction</w:t>
      </w:r>
      <w:r>
        <w:rPr>
          <w:rFonts w:ascii="Arial" w:cs="Arial" w:eastAsia="Arial" w:hAnsi="Arial"/>
          <w:sz w:val="17"/>
          <w:szCs w:val="17"/>
          <w:color w:val="auto"/>
        </w:rPr>
        <w:t>” means any call options, warrants or rights to purchase (or substantively equivalent derivative transactions) on common or ordinary Capital Stock of the Parent or any of its direct or indirect parent companies purchased or sold by the Parent, any of its Subsidiaries or any of the Parent’s direct or indirect parent companies substantially concurrently with a Permitted Bond Hedge Transaction.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 of Payment</w:t>
      </w:r>
      <w:r>
        <w:rPr>
          <w:rFonts w:ascii="Arial" w:cs="Arial" w:eastAsia="Arial" w:hAnsi="Arial"/>
          <w:sz w:val="18"/>
          <w:szCs w:val="18"/>
          <w:color w:val="auto"/>
        </w:rPr>
        <w:t>”, when used with respect to the Notes, means the place or places where the principal of (and premium, if any) and interest on the Notes are payable as contemplated by Section 4.02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Pounds Sterling</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as applied to the Capital Stock of any Person, means Capital Stock of any class of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2.06(f)(1)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8" w:name="page269"/>
    <w:bookmarkEnd w:id="268"/>
    <w:p>
      <w:pPr>
        <w:ind w:right="4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 basis</w:t>
      </w:r>
      <w:r>
        <w:rPr>
          <w:rFonts w:ascii="Arial" w:cs="Arial" w:eastAsia="Arial" w:hAnsi="Arial"/>
          <w:sz w:val="16"/>
          <w:szCs w:val="16"/>
          <w:color w:val="auto"/>
        </w:rPr>
        <w:t>” and “</w:t>
      </w:r>
      <w:r>
        <w:rPr>
          <w:rFonts w:ascii="Arial" w:cs="Arial" w:eastAsia="Arial" w:hAnsi="Arial"/>
          <w:sz w:val="16"/>
          <w:szCs w:val="16"/>
          <w:i w:val="1"/>
          <w:iCs w:val="1"/>
          <w:color w:val="auto"/>
        </w:rPr>
        <w:t>pro forma effect</w:t>
      </w:r>
      <w:r>
        <w:rPr>
          <w:rFonts w:ascii="Arial" w:cs="Arial" w:eastAsia="Arial" w:hAnsi="Arial"/>
          <w:sz w:val="16"/>
          <w:szCs w:val="16"/>
          <w:color w:val="auto"/>
        </w:rPr>
        <w:t>” mean, with respect to compliance with any test or covenant or calculation of any ratio (or Consolidated EBITDA or Total Assets) under this Indenture, in determining or calculating such test, covenant or ratio (including in connection with Specified Transactions), (1) Specified Transactions (with any incurrence or repayment of any Indebtedness in connection therewith to be subject to clause (2) below) that have been made (i) during the applicable Four Quarter Period or (ii) if applicable, subsequent to such Four Quarter Period and prior to or simultaneously with the event for which the calculation of any such ratio or test (or Consolidated EBITDA or Total Assets)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Four Quarter Period (or, in the case of Total Assets, on the last day of the applicable Four Quarter Period). and (2) in the event that (w) the Parent or any Restricted Subsidiary incurs (including by assumption or guarantees) or repays (including by redemption, repayment, retirement or extinguishment) any Indebtedness (other than Indebtedness incurred or repaid under any revolving credit facility (including, without limitation, the revolving loans under the Senior Secured Credit Facilities) in the ordinary course of business for working capital purposes), (x) the Parent or any Restricted Subsidiary issues, repurchases or redeems Disqualified Stock or</w:t>
      </w:r>
    </w:p>
    <w:p>
      <w:pPr>
        <w:spacing w:after="0" w:line="4" w:lineRule="exact"/>
        <w:rPr>
          <w:sz w:val="20"/>
          <w:szCs w:val="20"/>
          <w:color w:val="auto"/>
        </w:rPr>
      </w:pPr>
    </w:p>
    <w:p>
      <w:pPr>
        <w:ind w:firstLine="8"/>
        <w:spacing w:after="0" w:line="286" w:lineRule="auto"/>
        <w:tabs>
          <w:tab w:leader="none" w:pos="25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any Restricted Subsidiary issues, repurchases or redeems Preferred Stock, (i) during the applicable Four Quarter Period or (ii) if applicable, subsequent to the end of the applicable Four Quarter Period and prior to or simultaneously with the event for which the calculation of any such ratio is made, then such financial ratio or test shall be calculated giving pro forma effect to such incurrence or repayment of Indebtedness, or such issuance or redemption of Disqualified Stock or Preferred Stock, in each case to the extent required, as if the same had occurred on the last day of the applicable Four Quarter Period (except in the case of the Fixed Charge Coverage Ratio (or similar ratio), in which case such incurrence, assumption, guarantee, redemption, repayment, retirement or extinguishment of Indebtedness or such issuance, repurchase or redemption of Disqualified Stock or Preferred Stock will be given effect, as if the same had occurred on the first day of the applicable Four Quarter Period). If since the beginning of any applicable Four Quarter Period any Person that subsequently became a Restricted Subsidiary or was merged, amalgamated or consolidated with or into the Parent or any of its Restricted Subsidiaries since the beginning of such Four Quarter Period shall have made any Specified Transaction that would have required adjustment pursuant to this definition, then such financial ratio or test (or Consolidated EBITDA or Total Assets) shall be calculated to give pro forma effect thereto in accordance with this definition.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 Synergies</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Product</w:t>
      </w:r>
      <w:r>
        <w:rPr>
          <w:rFonts w:ascii="Arial" w:cs="Arial" w:eastAsia="Arial" w:hAnsi="Arial"/>
          <w:sz w:val="18"/>
          <w:szCs w:val="18"/>
          <w:color w:val="auto"/>
        </w:rPr>
        <w:t>” means any product developed, acquired, produced, marketed or promoted by the Parent or any of its Subsidiaries in connection with the conduct of a Permitted Business.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Capital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9" w:name="page270"/>
    <w:bookmarkEnd w:id="269"/>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Purchase Money Indebtedness</w:t>
      </w:r>
      <w:r>
        <w:rPr>
          <w:rFonts w:ascii="Arial" w:cs="Arial" w:eastAsia="Arial" w:hAnsi="Arial"/>
          <w:sz w:val="17"/>
          <w:szCs w:val="17"/>
          <w:color w:val="auto"/>
        </w:rPr>
        <w:t xml:space="preserve">” means Indebtedness Incurred to finance the acquisition, development, construction or lease by the Parent or a Restricted Subsidiary of Property, including additions and improvements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Indebtedness is Incurred within 270 days after the completion of the acquisition, development, construction or lease of such Property by the Parent or such Restricted Subsidiary.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Receivables Factoring</w:t>
      </w:r>
      <w:r>
        <w:rPr>
          <w:rFonts w:ascii="Arial" w:cs="Arial" w:eastAsia="Arial" w:hAnsi="Arial"/>
          <w:sz w:val="18"/>
          <w:szCs w:val="18"/>
          <w:color w:val="auto"/>
        </w:rPr>
        <w:t>” means any transaction or series of transactions that may be entered into by the Parent or any Restricted Subsidiary pursuant to which the Parent or such Subsidiary may sell, convey, assign or otherwise transfer Securitization Assets (which may include a backup or precautionary grant of security interest in such Securitization Assets so sold, conveyed, assigned or otherwise transferred or purported to be so sold, conveyed, assigned or otherwise transferred) to any Person other than a Securitization Subsidiary, which may include Standard Securitization Undertakings. The grant of a security interest in any accounts receivable of the Parent or any of its Restricted Subsidiaries to secure the Obligations shall not be deemed to be a Qualified Receivables Factoring.</w:t>
      </w:r>
    </w:p>
    <w:p>
      <w:pPr>
        <w:spacing w:after="0" w:line="19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Securitization Financing</w:t>
      </w:r>
      <w:r>
        <w:rPr>
          <w:rFonts w:ascii="Arial" w:cs="Arial" w:eastAsia="Arial" w:hAnsi="Arial"/>
          <w:sz w:val="16"/>
          <w:szCs w:val="16"/>
          <w:color w:val="auto"/>
        </w:rPr>
        <w:t>” means any Securitization Financing of a Securitization Subsidiary that meets the following conditions: (a) such Qualified Securitization Financing (including financing terms, covenants, termination events and other provisions) is in the aggregate economically fair and reasonable to the Parent and the Securitization Subsidiary as determined by the Parent in good faith and (b) all sales and/or contributions of Securitization Assets and related assets to the Securitization Subsidiary are made at fair market value as determined by the Parent in good faith. The grant of a security interest in any Securitization Assets of the Parent or any of the Restricted Subsidiaries (other than a Securitization Subsidiary) to secure Indebtedness under this Indenture prior to engaging in any Securitization Financing shall not be deemed a Qualified Securitization Financing.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Equity Interests</w:t>
      </w:r>
      <w:r>
        <w:rPr>
          <w:rFonts w:ascii="Arial" w:cs="Arial" w:eastAsia="Arial" w:hAnsi="Arial"/>
          <w:sz w:val="18"/>
          <w:szCs w:val="18"/>
          <w:color w:val="auto"/>
        </w:rPr>
        <w:t>” means Equity Interests of the Parent other than Disqualified Stock.</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Repurchase Obligation</w:t>
      </w:r>
      <w:r>
        <w:rPr>
          <w:rFonts w:ascii="Arial" w:cs="Arial" w:eastAsia="Arial" w:hAnsi="Arial"/>
          <w:sz w:val="18"/>
          <w:szCs w:val="18"/>
          <w:color w:val="auto"/>
        </w:rPr>
        <w:t>” means any obligation of a seller of receivables in a Qualified Receivables Factoring or Qualified Securitization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in each case, that are customary (as determined in good faith by the Parent) for non-recourse receivables financings.</w:t>
      </w:r>
    </w:p>
    <w:p>
      <w:pPr>
        <w:spacing w:after="0" w:line="18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Refinance</w:t>
      </w:r>
      <w:r>
        <w:rPr>
          <w:rFonts w:ascii="Arial" w:cs="Arial" w:eastAsia="Arial" w:hAnsi="Arial"/>
          <w:sz w:val="16"/>
          <w:szCs w:val="16"/>
          <w:color w:val="auto"/>
        </w:rPr>
        <w:t>” means, in respect of any Indebtedness, to refinance, extend, renew, refund, repay, prepay, purchase, redeem, defease or retire, or to issue other Indebtedness in exchange or replacement for, such Indebtedness. The terms “</w:t>
      </w:r>
      <w:r>
        <w:rPr>
          <w:rFonts w:ascii="Arial" w:cs="Arial" w:eastAsia="Arial" w:hAnsi="Arial"/>
          <w:sz w:val="16"/>
          <w:szCs w:val="16"/>
          <w:i w:val="1"/>
          <w:iCs w:val="1"/>
          <w:color w:val="auto"/>
        </w:rPr>
        <w:t>Refinanced</w:t>
      </w:r>
      <w:r>
        <w:rPr>
          <w:rFonts w:ascii="Arial" w:cs="Arial" w:eastAsia="Arial" w:hAnsi="Arial"/>
          <w:sz w:val="16"/>
          <w:szCs w:val="16"/>
          <w:color w:val="auto"/>
        </w:rPr>
        <w:t>” and “</w:t>
      </w:r>
      <w:r>
        <w:rPr>
          <w:rFonts w:ascii="Arial" w:cs="Arial" w:eastAsia="Arial" w:hAnsi="Arial"/>
          <w:sz w:val="16"/>
          <w:szCs w:val="16"/>
          <w:i w:val="1"/>
          <w:iCs w:val="1"/>
          <w:color w:val="auto"/>
        </w:rPr>
        <w:t>Refinancing</w:t>
      </w:r>
      <w:r>
        <w:rPr>
          <w:rFonts w:ascii="Arial" w:cs="Arial" w:eastAsia="Arial" w:hAnsi="Arial"/>
          <w:sz w:val="16"/>
          <w:szCs w:val="16"/>
          <w:color w:val="auto"/>
        </w:rPr>
        <w:t>” shall have correlative meanings.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0" w:name="page271"/>
    <w:bookmarkEnd w:id="270"/>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 means a Global Note in the form of Exhibit A hereto bearing the Global Note Legend and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 Legend</w:t>
      </w:r>
      <w:r>
        <w:rPr>
          <w:rFonts w:ascii="Arial" w:cs="Arial" w:eastAsia="Arial" w:hAnsi="Arial"/>
          <w:sz w:val="18"/>
          <w:szCs w:val="18"/>
          <w:color w:val="auto"/>
        </w:rPr>
        <w:t>” means the legend set forth in Section 2.06(f)(3) hereof.</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Responsible Officer</w:t>
      </w:r>
      <w:r>
        <w:rPr>
          <w:rFonts w:ascii="Arial" w:cs="Arial" w:eastAsia="Arial" w:hAnsi="Arial"/>
          <w:sz w:val="16"/>
          <w:szCs w:val="16"/>
          <w:color w:val="auto"/>
        </w:rPr>
        <w:t>” when used with respect to the Trustee, means any officer within the corporate trust department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in each case, who shall have direct responsibility for the administration of this Indenture.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w:t>
      </w:r>
      <w:r>
        <w:rPr>
          <w:rFonts w:ascii="Arial" w:cs="Arial" w:eastAsia="Arial" w:hAnsi="Arial"/>
          <w:sz w:val="18"/>
          <w:szCs w:val="18"/>
          <w:color w:val="auto"/>
        </w:rPr>
        <w:t>” means a Note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(as defined at such time) that is not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any sale or other transfer of any property or asset by any Person with the intent to lease such property or asset as lessee.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and any successor to its rating agency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Indebtedness</w:t>
      </w:r>
      <w:r>
        <w:rPr>
          <w:rFonts w:ascii="Arial" w:cs="Arial" w:eastAsia="Arial" w:hAnsi="Arial"/>
          <w:sz w:val="18"/>
          <w:szCs w:val="18"/>
          <w:color w:val="auto"/>
        </w:rPr>
        <w:t>” means any Indebtedness of the Parent or any of the Restricted Subsidiaries secured by a Lien.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1" w:name="page272"/>
    <w:bookmarkEnd w:id="271"/>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Net Leverage Ratio</w:t>
      </w:r>
      <w:r>
        <w:rPr>
          <w:rFonts w:ascii="Arial" w:cs="Arial" w:eastAsia="Arial" w:hAnsi="Arial"/>
          <w:sz w:val="18"/>
          <w:szCs w:val="18"/>
          <w:color w:val="auto"/>
        </w:rPr>
        <w:t>” means, with respect to any Four Quarter Period, the ratio of (a) Consolidated Total Indebtedness secured by a Lien on Collateral, net of Unrestricted Cash, as of the last day of such Four Quarter Period to (b) Consolidated EBITDA for such Four Quarter Period in each case, calculated on a pro forma basis.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Securitization Assets</w:t>
      </w:r>
      <w:r>
        <w:rPr>
          <w:rFonts w:ascii="Arial" w:cs="Arial" w:eastAsia="Arial" w:hAnsi="Arial"/>
          <w:sz w:val="18"/>
          <w:szCs w:val="18"/>
          <w:color w:val="auto"/>
        </w:rPr>
        <w:t>” means (a) the accounts receivable, royalty or other revenue streams and other rights to payment and other assets related thereto and the proceeds thereof and (b) contract rights, lockbox accounts and records with respect to such accounts receivable and any other assets customarily transferred together with accounts receivable in a securitization financing.</w:t>
      </w:r>
    </w:p>
    <w:p>
      <w:pPr>
        <w:spacing w:after="0" w:line="18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Securitization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that is not a Securitization Subsidiary in connection with any Qualified Securitization Financing.</w:t>
      </w:r>
    </w:p>
    <w:p>
      <w:pPr>
        <w:spacing w:after="0" w:line="18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Securitization Financing</w:t>
      </w:r>
      <w:r>
        <w:rPr>
          <w:rFonts w:ascii="Arial" w:cs="Arial" w:eastAsia="Arial" w:hAnsi="Arial"/>
          <w:sz w:val="17"/>
          <w:szCs w:val="17"/>
          <w:color w:val="auto"/>
        </w:rPr>
        <w:t>” means any transaction or series of transactions that may be entered into by the Parent or any of its Subsidiaries pursuant to which the Parent or any of its Subsidiaries may sell, convey or otherwise transfer to (a) a Securitization Subsidiary (in the case of a transfer by the Parent or any of its Subsidiaries) or (b) any other Person (in the case of a transfer by a Securitization Subsidiary), or may grant a security interest in (which in either case may include a backup or precautionary grant) any Securitization Assets of the Parent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Securitization Subsidiary</w:t>
      </w:r>
      <w:r>
        <w:rPr>
          <w:rFonts w:ascii="Arial" w:cs="Arial" w:eastAsia="Arial" w:hAnsi="Arial"/>
          <w:sz w:val="18"/>
          <w:szCs w:val="18"/>
          <w:color w:val="auto"/>
        </w:rPr>
        <w:t>” means a wholly-owned Subsidiary of the Parent (or another Person formed for the purposes of engaging in a Qualified Securitization Financing in which the Parent or any Subsidiary of the Parent makes an investment and to which the Parent or any Subsidiary of the Parent transfers Securitization Assets and related assets) that engages in no activities other than in connection with the financing of Securitization Assets of the Parent or its Subsidiaries, all proceeds thereof and all rights (contingent and other), collateral and other assets relating thereto, and any business or activities incidental or related to such business, and which is designated by the Board of Directors or such other Person (as provided below) as a Securitization Subsidiary.</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w:t>
      </w:r>
      <w:r>
        <w:rPr>
          <w:rFonts w:ascii="Arial" w:cs="Arial" w:eastAsia="Arial" w:hAnsi="Arial"/>
          <w:sz w:val="18"/>
          <w:szCs w:val="18"/>
          <w:color w:val="auto"/>
        </w:rPr>
        <w:t>” means that certain U.S. Pledge and Security Agreement, to be entered into by and among each of the grantors party thereto and the Notes Collateral Agent.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72" w:name="page273"/>
    <w:bookmarkEnd w:id="272"/>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Senior Indebtedness</w:t>
      </w:r>
      <w:r>
        <w:rPr>
          <w:rFonts w:ascii="Arial" w:cs="Arial" w:eastAsia="Arial" w:hAnsi="Arial"/>
          <w:sz w:val="16"/>
          <w:szCs w:val="16"/>
          <w:color w:val="auto"/>
        </w:rPr>
        <w:t xml:space="preserve">” means with respect to any Person: Indebtedness of such Person, whether outstanding on the Issue Date or thereafter Incurred; and all other Obligations of such Person (including interest accruing on or after the filing of any petition in bankruptcy or for reorganization relating to such Person, whether or not post-filing interest is allowed in such proceeding) in respect of Indebtedness described in clause (1) above; unless, in the case of clauses (1) and (2), in the instrument creating or evidencing the same or pursuant to which the same is outstanding, it 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or other obligations are subordinate in right of payment to the Notes or the Note Guarantee of such Person,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Senior Indebtedness shall not include: any obligation of such Person to the Parent or any Subsidiary; any liability for federal, state, local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taxes owed or owing by such Person; any accounts payable or other liability to trade creditors arising in the ordinary course of business; any Indebtedness or other Obligation of such Person which is subordinate or junior in any respect to any other Indebtedness or other Obligation of such Person; or that portion of any Indebtedness which at the time of Incurrence is Incurred in violation of this Indenture.</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Senior Secured Credit Facilities</w:t>
      </w:r>
      <w:r>
        <w:rPr>
          <w:rFonts w:ascii="Arial" w:cs="Arial" w:eastAsia="Arial" w:hAnsi="Arial"/>
          <w:sz w:val="17"/>
          <w:szCs w:val="17"/>
          <w:color w:val="auto"/>
        </w:rPr>
        <w:t>” means the revolving credit facility and term loan facilities under the Credit Agreement, dated as of July 1, 2021, as amended,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replacements,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replace, exchange, refinance, renew or defease any part of the loans, notes, other credit facilities or commitments thereunder, including any such replacement, refunding, exchange or refinancing facility or indenture that increases the amount permitted to be borrowed or issued thereunder or alters the maturity thereof (provided that such increase in borrowings is permitted under Section 4.09) or adds Restricted Subsidiaries as additional borrowers or guarantors thereunder and whether by the same or any other agent, Trustee, lender or group of lenders, investors, holders or otherwise.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means (i) the Notes, (ii) the obligations under the Senior Secured Credit Facilities and (iii) each other issuance or incurrence of Indebtedness constituting First Priority Obligations that is secured on a pari passu basis with the foregoing.</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Shared Collateral</w:t>
      </w:r>
      <w:r>
        <w:rPr>
          <w:rFonts w:ascii="Arial" w:cs="Arial" w:eastAsia="Arial" w:hAnsi="Arial"/>
          <w:sz w:val="18"/>
          <w:szCs w:val="18"/>
          <w:color w:val="auto"/>
        </w:rPr>
        <w:t>” means, at any time, Collateral in which the holders of two or more Series of First Priority Obligations (or their respective collateral agents) hold a valid and perfected security interest at such time. If more than two Series of First Priority Obligations are outstanding at any time and the holders of less than all Series of First Priority Obligations hold a valid and perfected security interest in any Collateral at such time, then such Collateral shall constitute Shared Collateral for those Series of First Priority Obligations that hold a valid and perfected security interest in such Collateral at such time and shall not constitute Shared Collateral for any Series which does not have a valid and perfected security interest in such Collateral at such time.</w:t>
      </w:r>
    </w:p>
    <w:p>
      <w:pPr>
        <w:spacing w:after="0" w:line="19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Restricted Subsidiary that would be a “significant subsidiary” as defined in Article 1, Rule 1-02 of Regulation S-X under the Securities Act.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3" w:name="page274"/>
    <w:bookmarkEnd w:id="273"/>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Transaction</w:t>
      </w:r>
      <w:r>
        <w:rPr>
          <w:rFonts w:ascii="Arial" w:cs="Arial" w:eastAsia="Arial" w:hAnsi="Arial"/>
          <w:sz w:val="16"/>
          <w:szCs w:val="16"/>
          <w:color w:val="auto"/>
        </w:rPr>
        <w:t>” means (a) at the option of the Parent, any designation of operations or assets of the Parent or a Restricted Subsidiary as discontinued operations (as defined under GAAP), (b) at the option of the Parent, any Investment that results in a Person becoming a Restricted Subsidiary,</w:t>
      </w:r>
    </w:p>
    <w:p>
      <w:pPr>
        <w:ind w:right="20" w:firstLine="8"/>
        <w:spacing w:after="0" w:line="292" w:lineRule="auto"/>
        <w:tabs>
          <w:tab w:leader="none" w:pos="24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any designation of a Subsidiary as a Restricted Subsidiary or an Unrestricted Subsidiary, (d) any Material Acquisition, (e) any Material Disposition that results in a Restricted Subsidiary ceasing to be a Subsidiary of the Parent or any Disposition of a business unit, line of business or division or Product line of the Parent, in each case whether by merger, consolidation, amalgamation or otherwise, (f) or any incurrence or repayment of Indebtedness (other than Indebtedness incurred or repaid under any revolving credit facility or line of credit in the ordinary course of business for working capital purposes) that by the terms of this Indenture requires such test to be calculated on a pro forma basis or after giving pro forma effect and (g) the Transactions.</w:t>
      </w:r>
    </w:p>
    <w:p>
      <w:pPr>
        <w:spacing w:after="0" w:line="16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means representations, warranties, covenants, and indemnities entered into by the Parent or any Subsidiary of the Parent that are customary (as determined by the Parent in good faith) in a Securitization Financing or a Qualified Receivables Factoring, including without limitation those relating to the servicing of the assets of a Securitization Subsidiary, it being understood that a Receivables Repurchase Obligations shall be deemed to be a Standard Securitization Undertaking.</w:t>
      </w:r>
    </w:p>
    <w:p>
      <w:pPr>
        <w:spacing w:after="0" w:line="18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its date of issue, and will not include any contingent obligations to repay, redeem or repurchase any such interest or principal prior to the date originally scheduled for the payment thereof.</w:t>
      </w:r>
    </w:p>
    <w:p>
      <w:pPr>
        <w:spacing w:after="0" w:line="14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Subordinated Indebtedness</w:t>
      </w:r>
      <w:r>
        <w:rPr>
          <w:rFonts w:ascii="Arial" w:cs="Arial" w:eastAsia="Arial" w:hAnsi="Arial"/>
          <w:sz w:val="16"/>
          <w:szCs w:val="16"/>
          <w:color w:val="auto"/>
        </w:rPr>
        <w:t>” means any Indebtedness of the Parent or any Restricted Subsidiary the payment of which is contractually subordinated in right of payment to the Notes or to any Note Guarantee (excluding intercompany Indebtedness between or among members of the Group).</w:t>
      </w:r>
    </w:p>
    <w:p>
      <w:pPr>
        <w:spacing w:after="0" w:line="1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Person (the “parent”) at any date, (i)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and (ii) in the case of any Person incorporated in Ireland, any subsidiary of that Person within the meaning of Section 7 of the Companies Act or Regulation 4 of the European Communities (Companies Group Accounts) Regulations 1992.</w:t>
      </w:r>
    </w:p>
    <w:p>
      <w:pPr>
        <w:spacing w:after="0" w:line="17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Swap Agreement</w:t>
      </w:r>
      <w:r>
        <w:rPr>
          <w:rFonts w:ascii="Arial" w:cs="Arial" w:eastAsia="Arial" w:hAnsi="Arial"/>
          <w:sz w:val="17"/>
          <w:szCs w:val="17"/>
          <w:color w:val="auto"/>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Parent or its Restricted Subsidiaries shall be a Swap Agreement.</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74" w:name="page275"/>
    <w:bookmarkEnd w:id="274"/>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means all present or future taxes, levies, imposts, duties, assessments, withholdings or similar charges imposed by any Governmental Authority, including any interest, additions to tax or penalties applicable thereto.</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means the total assets of the Group, as shown on the most recent balance sheet of the Parent for which internal financial statements are available immediately preceding the date on which any calculation of Total Assets is being made, calculated on a pro forma basis.</w:t>
      </w:r>
    </w:p>
    <w:p>
      <w:pPr>
        <w:spacing w:after="0" w:line="14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Net Leverage Ratio</w:t>
      </w:r>
      <w:r>
        <w:rPr>
          <w:rFonts w:ascii="Arial" w:cs="Arial" w:eastAsia="Arial" w:hAnsi="Arial"/>
          <w:sz w:val="16"/>
          <w:szCs w:val="16"/>
          <w:color w:val="auto"/>
        </w:rPr>
        <w:t>” means, with respect to any Four Quarter Period, the ratio of Consolidated Total Indebtedness net of Unrestricted Cash, as of the last day of such Four Quarter Period to Consolidated EBITDA for such Four Quarter Period, in each case calculated on a pro forma basis.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transactions described under “Summary—The Transactions” in the Offering Memorandum.</w:t>
      </w:r>
    </w:p>
    <w:p>
      <w:pPr>
        <w:spacing w:after="0" w:line="22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Management Arrangement</w:t>
      </w:r>
      <w:r>
        <w:rPr>
          <w:rFonts w:ascii="Arial" w:cs="Arial" w:eastAsia="Arial" w:hAnsi="Arial"/>
          <w:sz w:val="16"/>
          <w:szCs w:val="16"/>
          <w:color w:val="auto"/>
        </w:rPr>
        <w:t>” means any agreement or other arrangement governing the provision of treasury or cash management services, including deposit accounts, overdraft, credit or debit card, funds transfer, automated clearinghouse transfers, zero balance accounts, returned check concentration, controlled disbursement, lockbox, account reconciliation and reporting, trade finance services and other cash management services.</w:t>
      </w:r>
    </w:p>
    <w:p>
      <w:pPr>
        <w:spacing w:after="0" w:line="14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as determined by the Parent,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July 15, 2023;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July 15, 2023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July 15, 2023 is less than one year, the weekly average yield on actively traded United States Treasury securities adjusted to a constant maturity of one year shall be used.</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Citibank, N.A., London Branch, until a successor replaces it in accordance with the applicable provisions of this Indenture and thereafter means the successor serving hereunder.</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5" w:name="page276"/>
    <w:bookmarkEnd w:id="275"/>
    <w:p>
      <w:pPr>
        <w:ind w:right="2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Cash</w:t>
      </w:r>
      <w:r>
        <w:rPr>
          <w:rFonts w:ascii="Arial" w:cs="Arial" w:eastAsia="Arial" w:hAnsi="Arial"/>
          <w:sz w:val="18"/>
          <w:szCs w:val="18"/>
          <w:color w:val="auto"/>
        </w:rPr>
        <w:t>” means at any time the sum of (i) unrestricted cash and Cash Equivalents whether or not held in a pledged account plus (ii) cash and Cash Equivalents restricted in favor of the Notes Collateral Agent for its benefit and the benefit and the benefit of the Trustee and Holders of Notes (which may also include cash and Cash Equivalents securing other Indebtedness secured by a Lien on the Collateral along with the Obligations at such time (including, without limitation, the Senior Secured Credit Facilities)), in each case, such unrestricted cash and restricted cash and Cash Equivalents to be determined in accordance with GAAP.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Definitive Note</w:t>
      </w:r>
      <w:r>
        <w:rPr>
          <w:rFonts w:ascii="Arial" w:cs="Arial" w:eastAsia="Arial" w:hAnsi="Arial"/>
          <w:sz w:val="18"/>
          <w:szCs w:val="18"/>
          <w:color w:val="auto"/>
        </w:rPr>
        <w:t>” 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IGPHS, (2) each Securitization Subsidiary, (3) any Subsidiary that at the time of determination shall be designated an Unrestricted Subsidiary by the Board of Directors of the Parent in accordance with Section 4.19 and (4) any Subsidiary of an Unrestricted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Corporate Subsidiary</w:t>
      </w:r>
      <w:r>
        <w:rPr>
          <w:rFonts w:ascii="Arial" w:cs="Arial" w:eastAsia="Arial" w:hAnsi="Arial"/>
          <w:sz w:val="17"/>
          <w:szCs w:val="17"/>
          <w:color w:val="auto"/>
        </w:rPr>
        <w:t>” means a Domestic Subsidiary of Parent that is treated as a corporation for U.S. federal income tax purposes.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Voting Stock</w:t>
      </w:r>
      <w:r>
        <w:rPr>
          <w:rFonts w:ascii="Arial" w:cs="Arial" w:eastAsia="Arial" w:hAnsi="Arial"/>
          <w:sz w:val="17"/>
          <w:szCs w:val="17"/>
          <w:color w:val="auto"/>
        </w:rPr>
        <w:t>” of any specified Person as of any date means the Capital Stock of such Person of the class or classes that has the general voting power under ordinary circumstances to elect at least a majority of the Board of Directors of such Person (irrespective of whether or not at the time Capital Stock of any other class or classes shall have or might have voting power by reason of the happening of any contingency).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237" w:lineRule="exact"/>
        <w:rPr>
          <w:sz w:val="20"/>
          <w:szCs w:val="20"/>
          <w:color w:val="auto"/>
        </w:rPr>
      </w:pPr>
    </w:p>
    <w:p>
      <w:pPr>
        <w:jc w:val="both"/>
        <w:ind w:firstLine="656"/>
        <w:spacing w:after="0" w:line="263" w:lineRule="auto"/>
        <w:tabs>
          <w:tab w:leader="none" w:pos="92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of which the Parent owns, directly or indirectly, all of the Capital Stock, other than directors’ qualifying shares, of such Restricted Subsidiary.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30"/>
        </w:trPr>
        <w:tc>
          <w:tcPr>
            <w:tcW w:w="4340" w:type="dxa"/>
            <w:vAlign w:val="bottom"/>
          </w:tcPr>
          <w:p>
            <w:pPr>
              <w:ind w:left="6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p>
        </w:tc>
        <w:tc>
          <w:tcPr>
            <w:tcW w:w="6900" w:type="dxa"/>
            <w:vAlign w:val="bottom"/>
          </w:tcPr>
          <w:p>
            <w:pPr>
              <w:spacing w:after="0"/>
              <w:rPr>
                <w:sz w:val="20"/>
                <w:szCs w:val="20"/>
                <w:color w:val="auto"/>
              </w:rPr>
            </w:pPr>
          </w:p>
        </w:tc>
      </w:tr>
      <w:tr>
        <w:trPr>
          <w:trHeight w:val="418"/>
        </w:trPr>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Term</w:t>
            </w:r>
          </w:p>
        </w:tc>
        <w:tc>
          <w:tcPr>
            <w:tcW w:w="6900" w:type="dxa"/>
            <w:vAlign w:val="bottom"/>
          </w:tcPr>
          <w:p>
            <w:pPr>
              <w:jc w:val="right"/>
              <w:ind w:right="2990"/>
              <w:spacing w:after="0"/>
              <w:rPr>
                <w:sz w:val="20"/>
                <w:szCs w:val="20"/>
                <w:color w:val="auto"/>
              </w:rPr>
            </w:pPr>
            <w:r>
              <w:rPr>
                <w:rFonts w:ascii="Arial" w:cs="Arial" w:eastAsia="Arial" w:hAnsi="Arial"/>
                <w:sz w:val="18"/>
                <w:szCs w:val="18"/>
                <w:b w:val="1"/>
                <w:bCs w:val="1"/>
                <w:color w:val="auto"/>
              </w:rPr>
              <w:t>Defined in Section</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Acceptable Commitment</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Action</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12.08(w)</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4.21</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2.02</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 Offer</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4.10(e)</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 Portion</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4.10(e)</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4.11(a)</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Alternate Offer</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4.14(b)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 Deficit</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8.04(a)</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Proceeds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4.10(e)</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 Amount</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3"/>
              </w:rPr>
              <w:t>4.10(j)</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 Purchase Date</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3"/>
              </w:rPr>
              <w:t>4.10(i)</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Proceeds Application Period</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Authentication Order</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2.02</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4.14(a)</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4.14(a)</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4.21</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Advance Offer</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2"/>
              </w:rPr>
              <w:t>4.10(c)</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Advance Portion</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2"/>
              </w:rPr>
              <w:t>4.10(c)</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Asset Sale Offer</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2"/>
              </w:rPr>
              <w:t>4.10(c)</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8.03</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Declined Collateral Proceeds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4.10(d)</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Declined Proceeds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2"/>
              </w:rPr>
              <w:t>4.10(f)</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4.19</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2.03</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Equal Payment Priority Indebtedness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6.01</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i w:val="1"/>
                <w:iCs w:val="1"/>
                <w:color w:val="auto"/>
              </w:rPr>
              <w:t>First Commitment Application Period</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Amounts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1.04(b)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Incurrence-Based Amounts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1.04(b)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Status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4.20(a)</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Lien Intercreditor Agreement</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9.01</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LCT Test Date</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1.04(a)</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8.02</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2.03</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Debt</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4.09</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Date</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3.09</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2.03</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Person</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89"/>
              </w:rPr>
              <w:t>12.08(b)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4.07</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Reversion Date</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4.20(b)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Revocation</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2"/>
              </w:rPr>
              <w:t>4.19(c)</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Commitment</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4.10(b)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Subject Lien</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4.12</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Guarantor</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89"/>
              </w:rPr>
              <w:t>10.04(a)</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Suspended Covenants</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4.20(a)</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Group</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4.07(b)</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Jurisdiction</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4.21</w:t>
            </w: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Redemption Date</w:t>
            </w:r>
            <w:r>
              <w:rPr>
                <w:rFonts w:ascii="Arial" w:cs="Arial" w:eastAsia="Arial" w:hAnsi="Arial"/>
                <w:sz w:val="18"/>
                <w:szCs w:val="18"/>
                <w:color w:val="auto"/>
              </w:rPr>
              <w:t>”</w:t>
            </w:r>
          </w:p>
        </w:tc>
        <w:tc>
          <w:tcPr>
            <w:tcW w:w="6900" w:type="dxa"/>
            <w:vAlign w:val="bottom"/>
          </w:tcPr>
          <w:p>
            <w:pPr>
              <w:jc w:val="center"/>
              <w:ind w:right="570"/>
              <w:spacing w:after="0"/>
              <w:rPr>
                <w:sz w:val="20"/>
                <w:szCs w:val="20"/>
                <w:color w:val="auto"/>
              </w:rPr>
            </w:pPr>
            <w:r>
              <w:rPr>
                <w:rFonts w:ascii="Arial" w:cs="Arial" w:eastAsia="Arial" w:hAnsi="Arial"/>
                <w:sz w:val="18"/>
                <w:szCs w:val="18"/>
                <w:color w:val="auto"/>
                <w:w w:val="91"/>
              </w:rPr>
              <w:t>3.10</w:t>
            </w:r>
          </w:p>
        </w:tc>
      </w:tr>
      <w:tr>
        <w:trPr>
          <w:trHeight w:val="561"/>
        </w:trPr>
        <w:tc>
          <w:tcPr>
            <w:tcW w:w="434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240"/>
          </w:cols>
          <w:pgMar w:left="320" w:top="341" w:right="339" w:bottom="1440" w:gutter="0" w:footer="0" w:header="0"/>
        </w:sectPr>
      </w:pPr>
    </w:p>
    <w:bookmarkStart w:id="277" w:name="page278"/>
    <w:bookmarkEnd w:id="277"/>
    <w:p>
      <w:pPr>
        <w:ind w:left="460"/>
        <w:spacing w:after="0"/>
        <w:tabs>
          <w:tab w:leader="none" w:pos="15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Rules of Construction.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980" w:hanging="524"/>
        <w:spacing w:after="0"/>
        <w:tabs>
          <w:tab w:leader="none" w:pos="9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980" w:hanging="524"/>
        <w:spacing w:after="0"/>
        <w:tabs>
          <w:tab w:leader="none" w:pos="9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980" w:hanging="524"/>
        <w:spacing w:after="0"/>
        <w:tabs>
          <w:tab w:leader="none" w:pos="9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980" w:hanging="524"/>
        <w:spacing w:after="0"/>
        <w:tabs>
          <w:tab w:leader="none" w:pos="9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980" w:hanging="524"/>
        <w:spacing w:after="0"/>
        <w:tabs>
          <w:tab w:leader="none" w:pos="9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rFonts w:ascii="Arial" w:cs="Arial" w:eastAsia="Arial" w:hAnsi="Arial"/>
          <w:sz w:val="18"/>
          <w:szCs w:val="18"/>
          <w:color w:val="auto"/>
        </w:rPr>
      </w:pPr>
    </w:p>
    <w:p>
      <w:pPr>
        <w:ind w:left="960" w:hanging="504"/>
        <w:spacing w:after="0"/>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200" w:firstLine="656"/>
        <w:spacing w:after="0" w:line="277" w:lineRule="auto"/>
        <w:tabs>
          <w:tab w:leader="none" w:pos="97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13232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840"/>
          </w:cols>
          <w:pgMar w:left="520" w:top="341" w:right="539" w:bottom="1440" w:gutter="0" w:footer="0" w:header="0"/>
        </w:sectPr>
      </w:pPr>
    </w:p>
    <w:bookmarkStart w:id="278" w:name="page279"/>
    <w:bookmarkEnd w:id="278"/>
    <w:p>
      <w:pPr>
        <w:ind w:left="660"/>
        <w:spacing w:after="0"/>
        <w:tabs>
          <w:tab w:leader="none" w:pos="17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Certain Compliance Calculations / Limited Condition Transactions.</w:t>
      </w:r>
    </w:p>
    <w:p>
      <w:pPr>
        <w:spacing w:after="0" w:line="225" w:lineRule="exact"/>
        <w:rPr>
          <w:sz w:val="20"/>
          <w:szCs w:val="20"/>
          <w:color w:val="auto"/>
        </w:rPr>
      </w:pPr>
    </w:p>
    <w:p>
      <w:pPr>
        <w:jc w:val="both"/>
        <w:ind w:firstLine="656"/>
        <w:spacing w:after="0" w:line="284" w:lineRule="auto"/>
        <w:tabs>
          <w:tab w:leader="none" w:pos="118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Solely for purposes of determining (i) compliance on a pro forma basis with any provision of this Indenture that requires the calculation of the First Lien Net Leverage Ratio, Secured Net Leverage Ratio, Total Net Leverage Ratio, Fixed Charge Coverage Ratio, Total Assets or Consolidated EBITDA or (ii) whether a Default or an Event of Default has occurred and is continuing, in each case in connection with any determination as to whether a Limited Condition Transaction or any Indebtedness and Liens to be incurred in connection with such Limited Condition Transaction is permitted to be consummated, the date of determination of whether such Limited Condition Transaction or any Indebtedness and Liens to be incurred in connection with such Limited Condition Transaction is permitted under this Indenture shall, at the option of Parent, be the date on which the definitive agreements for such Limited Condition Transaction are entered into or the date such irrevocable notice or offer for such Limited Condition Transaction is delivered, as applicable (the “</w:t>
      </w:r>
      <w:r>
        <w:rPr>
          <w:rFonts w:ascii="Arial" w:cs="Arial" w:eastAsia="Arial" w:hAnsi="Arial"/>
          <w:sz w:val="16"/>
          <w:szCs w:val="16"/>
          <w:i w:val="1"/>
          <w:iCs w:val="1"/>
          <w:color w:val="auto"/>
        </w:rPr>
        <w:t>LCT Test Date</w:t>
      </w:r>
      <w:r>
        <w:rPr>
          <w:rFonts w:ascii="Arial" w:cs="Arial" w:eastAsia="Arial" w:hAnsi="Arial"/>
          <w:sz w:val="16"/>
          <w:szCs w:val="16"/>
          <w:color w:val="auto"/>
        </w:rPr>
        <w: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Parent exercises such option by delivering to the Trustee an Officer’s Certificate on or prior to the LCT Test Date), with such determination to give pro forma effect to such Limited Condition Transaction and the other transactions to be entered into in connection therewith (including any incurrence of Indebtedness or Liens and the use of proceeds thereof) as if they had occurred at the beginning of the most recent Four-Quarter Period ending prior to the LCT Test Date. For the avoidance of doubt, (x) if the Parent has exercised such option and any of the tests, ratios, baskets or amounts for which compliance was determined or tested as of the LCT Test Date are exceeded as a result of fluctuations in any such test, ratio, basket or amount, including due to fluctuations in Total Assets or Consolidated EBITDA or Total Assets of the Parent or the Person subject to such Limited Condition Transaction, at or prior to the consummation of the Limited Condition Transaction, such test, ratios, baskets and amounts will not be deemed to have been exceeded as a result of such fluctuations solely for purposes of determining whether the Limited Condition Transaction is permitted to be consummated and (y) if any Default or Event of Default occurs following the LCT Test Date and prior to the consummation of such Limited Condition Transaction, any such Default or Event of Default shall be deemed not to have occurred or be continuing for purposes of determining whether any action being taken in connection with such Limited Condition Transaction is permitted. If the Parent has exercised such option for any Limited Condition Transaction, then, in connection with any subsequent calculation of such test, ratios, baskets or amounts on or following the relevant LCT Test Date and prior to the earlier of (i) the date on which such Limited Condition Transaction is consummated and (ii) the date that the definitive agreements for such Limited Condition Transaction are terminated or expire without consummation of such Limited Condition Transaction, any such test, ratio basket or basket shall be calculated on a pro forma basis assuming such Limited Condition Transaction and the other transactions in connection therewith (including any incurrence of Indebtedness or Liens and the use of proceeds thereof) have been consummated;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Parent elects to have such determinations occur at the time of entry into such definitive agreement or the date such irrevocable notice or offer for such Limited Condition Transaction is delivered, as applicable, any indebtedness to be incurred (and any associated lien) shall be deemed incurred at the time of such election (until such time as the indebtedness is actually incurred or the applicable acquisition agreement is terminated without actually consummating the applicable acquisition) and outstanding thereafter for purposes of pro forma compliance with any applicable financial test.</w:t>
      </w:r>
    </w:p>
    <w:p>
      <w:pPr>
        <w:spacing w:after="0" w:line="169" w:lineRule="exact"/>
        <w:rPr>
          <w:rFonts w:ascii="Arial" w:cs="Arial" w:eastAsia="Arial" w:hAnsi="Arial"/>
          <w:sz w:val="16"/>
          <w:szCs w:val="16"/>
          <w:color w:val="auto"/>
        </w:rPr>
      </w:pPr>
    </w:p>
    <w:p>
      <w:pPr>
        <w:jc w:val="both"/>
        <w:ind w:firstLine="656"/>
        <w:spacing w:after="0" w:line="286" w:lineRule="auto"/>
        <w:tabs>
          <w:tab w:leader="none" w:pos="121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Indenture, with respect to any amounts incurred or transactions (or series of transactions) entered into (or consummated) in reliance on a provision within the same covenant that does not require compliance with a financial ratio or test (any such amounts, the “</w:t>
      </w:r>
      <w:r>
        <w:rPr>
          <w:rFonts w:ascii="Arial" w:cs="Arial" w:eastAsia="Arial" w:hAnsi="Arial"/>
          <w:sz w:val="16"/>
          <w:szCs w:val="16"/>
          <w:i w:val="1"/>
          <w:iCs w:val="1"/>
          <w:color w:val="auto"/>
        </w:rPr>
        <w:t>Fixed Amounts</w:t>
      </w:r>
      <w:r>
        <w:rPr>
          <w:rFonts w:ascii="Arial" w:cs="Arial" w:eastAsia="Arial" w:hAnsi="Arial"/>
          <w:sz w:val="16"/>
          <w:szCs w:val="16"/>
          <w:color w:val="auto"/>
        </w:rPr>
        <w:t>”) substantially concurrently or in a series of related transactions with any amounts incurred or transactions entered into (or consummated) in reliance on a provision within the same covenant that requires compliance with any such financial ratio or test (including any First Lien Net Leverage Ratio test, any Secured Net Leverage Ratio, any Total Net Leverage Ratio, any Fixed Charge Coverage Ratio or the amount of Consolidated EBITDA) (any such amounts, the “</w:t>
      </w:r>
      <w:r>
        <w:rPr>
          <w:rFonts w:ascii="Arial" w:cs="Arial" w:eastAsia="Arial" w:hAnsi="Arial"/>
          <w:sz w:val="16"/>
          <w:szCs w:val="16"/>
          <w:i w:val="1"/>
          <w:iCs w:val="1"/>
          <w:color w:val="auto"/>
        </w:rPr>
        <w:t>Incurrence-Based Amounts</w:t>
      </w:r>
      <w:r>
        <w:rPr>
          <w:rFonts w:ascii="Arial" w:cs="Arial" w:eastAsia="Arial" w:hAnsi="Arial"/>
          <w:sz w:val="16"/>
          <w:szCs w:val="16"/>
          <w:color w:val="auto"/>
        </w:rPr>
        <w:t xml:space="preserve">”), it is understood and agreed that (a) the Fixed Amounts under such covenant shall be disregarded in the calculation of the financial ratio or test applicable to any substantially concurrent utilization of the Incurrence-Based Amounts and (b) the entire transaction (or series of related transactions) shall be calculated on a pro forma basis (including the use of proceeds of all Indebtedness to be incurred and any repayments, repurchases and redemptions of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such calculations, Unrestricted Cash shall not include the cash proceeds of any Indebtedness the incurrence of which is the specified transaction or that is incurred to finance the specified transaction). Notwithstanding anything herein to the contrary, if at any time any applicable ratio or financial test for any category based on an Incurrence-Based Amount permits Indebtedness, Liens, Restricted Payments, Asset Sales, and Investments, as applicable, previously incurred under a category based on a Fixed Amount, such Indebtedness, Liens, Restricted Payments, Asset Sales, and Investments, as applicable, shall be deemed to have been automatically reclassified as incurred under such category based on an Incurrence-Based Amount.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9" w:name="page280"/>
    <w:bookmarkEnd w:id="279"/>
    <w:p>
      <w:pPr>
        <w:ind w:left="660"/>
        <w:spacing w:after="0"/>
        <w:tabs>
          <w:tab w:leader="none" w:pos="176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i w:val="1"/>
          <w:iCs w:val="1"/>
          <w:color w:val="auto"/>
        </w:rPr>
        <w:t>Divisions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all purposes under this Indenture and the Notes,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5"/>
          <w:szCs w:val="15"/>
          <w:i w:val="1"/>
          <w:iCs w:val="1"/>
          <w:color w:val="auto"/>
        </w:rPr>
        <w:t>Luxembourg Terms.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Words in the English language used in this Indenture to describe Luxembourg law concepts only intend to describe such concepts and the consequences of the use of those words in English law or any other foreign law are to be disregarded.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Without prejudice to the generality of any provision of this Indenture, to the extent this Indenture relates to any Luxembourg Guarantor or any entity incorporated or existing under the laws of Luxembourg, a reference to: (a) a winding-up, administration or dissolution includes, without limitation, bankruptcy (</w:t>
      </w:r>
      <w:r>
        <w:rPr>
          <w:rFonts w:ascii="Arial" w:cs="Arial" w:eastAsia="Arial" w:hAnsi="Arial"/>
          <w:sz w:val="16"/>
          <w:szCs w:val="16"/>
          <w:i w:val="1"/>
          <w:iCs w:val="1"/>
          <w:color w:val="auto"/>
        </w:rPr>
        <w:t>faillite</w:t>
      </w:r>
      <w:r>
        <w:rPr>
          <w:rFonts w:ascii="Arial" w:cs="Arial" w:eastAsia="Arial" w:hAnsi="Arial"/>
          <w:sz w:val="16"/>
          <w:szCs w:val="16"/>
          <w:color w:val="auto"/>
        </w:rPr>
        <w:t>), insolvency, liquidation, composition with creditors (</w:t>
      </w:r>
      <w:r>
        <w:rPr>
          <w:rFonts w:ascii="Arial" w:cs="Arial" w:eastAsia="Arial" w:hAnsi="Arial"/>
          <w:sz w:val="16"/>
          <w:szCs w:val="16"/>
          <w:i w:val="1"/>
          <w:iCs w:val="1"/>
          <w:color w:val="auto"/>
        </w:rPr>
        <w:t>concordat préventif de la faillite</w:t>
      </w:r>
      <w:r>
        <w:rPr>
          <w:rFonts w:ascii="Arial" w:cs="Arial" w:eastAsia="Arial" w:hAnsi="Arial"/>
          <w:sz w:val="16"/>
          <w:szCs w:val="16"/>
          <w:color w:val="auto"/>
        </w:rPr>
        <w:t>), moratorium or reprieve from payment (</w:t>
      </w:r>
      <w:r>
        <w:rPr>
          <w:rFonts w:ascii="Arial" w:cs="Arial" w:eastAsia="Arial" w:hAnsi="Arial"/>
          <w:sz w:val="16"/>
          <w:szCs w:val="16"/>
          <w:i w:val="1"/>
          <w:iCs w:val="1"/>
          <w:color w:val="auto"/>
        </w:rPr>
        <w:t>sursis</w:t>
      </w:r>
      <w:r>
        <w:rPr>
          <w:rFonts w:ascii="Arial" w:cs="Arial" w:eastAsia="Arial" w:hAnsi="Arial"/>
          <w:sz w:val="16"/>
          <w:szCs w:val="16"/>
          <w:color w:val="auto"/>
        </w:rPr>
        <w:t xml:space="preserve"> </w:t>
      </w:r>
      <w:r>
        <w:rPr>
          <w:rFonts w:ascii="Arial" w:cs="Arial" w:eastAsia="Arial" w:hAnsi="Arial"/>
          <w:sz w:val="16"/>
          <w:szCs w:val="16"/>
          <w:i w:val="1"/>
          <w:iCs w:val="1"/>
          <w:color w:val="auto"/>
        </w:rPr>
        <w:t>de paiement</w:t>
      </w:r>
      <w:r>
        <w:rPr>
          <w:rFonts w:ascii="Arial" w:cs="Arial" w:eastAsia="Arial" w:hAnsi="Arial"/>
          <w:sz w:val="16"/>
          <w:szCs w:val="16"/>
          <w:color w:val="auto"/>
        </w:rPr>
        <w:t>), controlled management (</w:t>
      </w:r>
      <w:r>
        <w:rPr>
          <w:rFonts w:ascii="Arial" w:cs="Arial" w:eastAsia="Arial" w:hAnsi="Arial"/>
          <w:sz w:val="16"/>
          <w:szCs w:val="16"/>
          <w:i w:val="1"/>
          <w:iCs w:val="1"/>
          <w:color w:val="auto"/>
        </w:rPr>
        <w:t>gestion contrôlée</w:t>
      </w:r>
      <w:r>
        <w:rPr>
          <w:rFonts w:ascii="Arial" w:cs="Arial" w:eastAsia="Arial" w:hAnsi="Arial"/>
          <w:sz w:val="16"/>
          <w:szCs w:val="16"/>
          <w:color w:val="auto"/>
        </w:rPr>
        <w:t>), fraudulent conveyance (</w:t>
      </w:r>
      <w:r>
        <w:rPr>
          <w:rFonts w:ascii="Arial" w:cs="Arial" w:eastAsia="Arial" w:hAnsi="Arial"/>
          <w:sz w:val="16"/>
          <w:szCs w:val="16"/>
          <w:i w:val="1"/>
          <w:iCs w:val="1"/>
          <w:color w:val="auto"/>
        </w:rPr>
        <w:t>actio pauliana</w:t>
      </w:r>
      <w:r>
        <w:rPr>
          <w:rFonts w:ascii="Arial" w:cs="Arial" w:eastAsia="Arial" w:hAnsi="Arial"/>
          <w:sz w:val="16"/>
          <w:szCs w:val="16"/>
          <w:color w:val="auto"/>
        </w:rPr>
        <w:t>), general settlement with creditors, reorganization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similar laws affecting the rights of creditors generally; (b) a receiver, administrative receiver, administrator, trustee, custodian, sequestrator, conservator or similar officer appointed for the reorganization or liquidation of the business of a Person includes, without limitation, a </w:t>
      </w:r>
      <w:r>
        <w:rPr>
          <w:rFonts w:ascii="Arial" w:cs="Arial" w:eastAsia="Arial" w:hAnsi="Arial"/>
          <w:sz w:val="16"/>
          <w:szCs w:val="16"/>
          <w:i w:val="1"/>
          <w:iCs w:val="1"/>
          <w:color w:val="auto"/>
        </w:rPr>
        <w:t>juge délégué</w:t>
      </w:r>
      <w:r>
        <w:rPr>
          <w:rFonts w:ascii="Arial" w:cs="Arial" w:eastAsia="Arial" w:hAnsi="Arial"/>
          <w:sz w:val="16"/>
          <w:szCs w:val="16"/>
          <w:color w:val="auto"/>
        </w:rPr>
        <w:t xml:space="preserve">, </w:t>
      </w:r>
      <w:r>
        <w:rPr>
          <w:rFonts w:ascii="Arial" w:cs="Arial" w:eastAsia="Arial" w:hAnsi="Arial"/>
          <w:sz w:val="16"/>
          <w:szCs w:val="16"/>
          <w:i w:val="1"/>
          <w:iCs w:val="1"/>
          <w:color w:val="auto"/>
        </w:rPr>
        <w:t>commissaire</w:t>
      </w:r>
      <w:r>
        <w:rPr>
          <w:rFonts w:ascii="Arial" w:cs="Arial" w:eastAsia="Arial" w:hAnsi="Arial"/>
          <w:sz w:val="16"/>
          <w:szCs w:val="16"/>
          <w:color w:val="auto"/>
        </w:rPr>
        <w:t xml:space="preserve">, </w:t>
      </w:r>
      <w:r>
        <w:rPr>
          <w:rFonts w:ascii="Arial" w:cs="Arial" w:eastAsia="Arial" w:hAnsi="Arial"/>
          <w:sz w:val="16"/>
          <w:szCs w:val="16"/>
          <w:i w:val="1"/>
          <w:iCs w:val="1"/>
          <w:color w:val="auto"/>
        </w:rPr>
        <w:t>juge-commissaire</w:t>
      </w:r>
      <w:r>
        <w:rPr>
          <w:rFonts w:ascii="Arial" w:cs="Arial" w:eastAsia="Arial" w:hAnsi="Arial"/>
          <w:sz w:val="16"/>
          <w:szCs w:val="16"/>
          <w:color w:val="auto"/>
        </w:rPr>
        <w:t>,</w:t>
      </w:r>
      <w:r>
        <w:rPr>
          <w:rFonts w:ascii="Arial" w:cs="Arial" w:eastAsia="Arial" w:hAnsi="Arial"/>
          <w:sz w:val="16"/>
          <w:szCs w:val="16"/>
          <w:i w:val="1"/>
          <w:iCs w:val="1"/>
          <w:color w:val="auto"/>
        </w:rPr>
        <w:t xml:space="preserve"> mandataire ad hoc</w:t>
      </w:r>
      <w:r>
        <w:rPr>
          <w:rFonts w:ascii="Arial" w:cs="Arial" w:eastAsia="Arial" w:hAnsi="Arial"/>
          <w:sz w:val="16"/>
          <w:szCs w:val="16"/>
          <w:color w:val="auto"/>
        </w:rPr>
        <w:t>,</w:t>
      </w:r>
      <w:r>
        <w:rPr>
          <w:rFonts w:ascii="Arial" w:cs="Arial" w:eastAsia="Arial" w:hAnsi="Arial"/>
          <w:sz w:val="16"/>
          <w:szCs w:val="16"/>
          <w:i w:val="1"/>
          <w:iCs w:val="1"/>
          <w:color w:val="auto"/>
        </w:rPr>
        <w:t xml:space="preserve"> administrateur provisoire</w:t>
      </w:r>
      <w:r>
        <w:rPr>
          <w:rFonts w:ascii="Arial" w:cs="Arial" w:eastAsia="Arial" w:hAnsi="Arial"/>
          <w:sz w:val="16"/>
          <w:szCs w:val="16"/>
          <w:color w:val="auto"/>
        </w:rPr>
        <w:t>,</w:t>
      </w:r>
      <w:r>
        <w:rPr>
          <w:rFonts w:ascii="Arial" w:cs="Arial" w:eastAsia="Arial" w:hAnsi="Arial"/>
          <w:sz w:val="16"/>
          <w:szCs w:val="16"/>
          <w:i w:val="1"/>
          <w:iCs w:val="1"/>
          <w:color w:val="auto"/>
        </w:rPr>
        <w:t xml:space="preserve"> liquidateur </w:t>
      </w:r>
      <w:r>
        <w:rPr>
          <w:rFonts w:ascii="Arial" w:cs="Arial" w:eastAsia="Arial" w:hAnsi="Arial"/>
          <w:sz w:val="16"/>
          <w:szCs w:val="16"/>
          <w:color w:val="auto"/>
        </w:rPr>
        <w:t>or</w:t>
      </w:r>
      <w:r>
        <w:rPr>
          <w:rFonts w:ascii="Arial" w:cs="Arial" w:eastAsia="Arial" w:hAnsi="Arial"/>
          <w:sz w:val="16"/>
          <w:szCs w:val="16"/>
          <w:i w:val="1"/>
          <w:iCs w:val="1"/>
          <w:color w:val="auto"/>
        </w:rPr>
        <w:t xml:space="preserve"> curateur</w:t>
      </w:r>
      <w:r>
        <w:rPr>
          <w:rFonts w:ascii="Arial" w:cs="Arial" w:eastAsia="Arial" w:hAnsi="Arial"/>
          <w:sz w:val="16"/>
          <w:szCs w:val="16"/>
          <w:color w:val="auto"/>
        </w:rPr>
        <w:t>; (c) a lien or security interest includes any</w:t>
      </w:r>
      <w:r>
        <w:rPr>
          <w:rFonts w:ascii="Arial" w:cs="Arial" w:eastAsia="Arial" w:hAnsi="Arial"/>
          <w:sz w:val="16"/>
          <w:szCs w:val="16"/>
          <w:i w:val="1"/>
          <w:iCs w:val="1"/>
          <w:color w:val="auto"/>
        </w:rPr>
        <w:t xml:space="preserve"> hypothèque, nantissement, gage, privilège, sûreté réelle, droit de rétention </w:t>
      </w:r>
      <w:r>
        <w:rPr>
          <w:rFonts w:ascii="Arial" w:cs="Arial" w:eastAsia="Arial" w:hAnsi="Arial"/>
          <w:sz w:val="16"/>
          <w:szCs w:val="16"/>
          <w:color w:val="auto"/>
        </w:rPr>
        <w:t>and any type of security in rem (</w:t>
      </w:r>
      <w:r>
        <w:rPr>
          <w:rFonts w:ascii="Arial" w:cs="Arial" w:eastAsia="Arial" w:hAnsi="Arial"/>
          <w:sz w:val="16"/>
          <w:szCs w:val="16"/>
          <w:i w:val="1"/>
          <w:iCs w:val="1"/>
          <w:color w:val="auto"/>
        </w:rPr>
        <w:t>sûreté réelle</w:t>
      </w:r>
      <w:r>
        <w:rPr>
          <w:rFonts w:ascii="Arial" w:cs="Arial" w:eastAsia="Arial" w:hAnsi="Arial"/>
          <w:sz w:val="16"/>
          <w:szCs w:val="16"/>
          <w:color w:val="auto"/>
        </w:rPr>
        <w:t>) or agreement or arrangement having a similar effect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 of title by way of security; (d) a person being unable to pay its debts includes that person being in a state of </w:t>
      </w:r>
      <w:r>
        <w:rPr>
          <w:rFonts w:ascii="Arial" w:cs="Arial" w:eastAsia="Arial" w:hAnsi="Arial"/>
          <w:sz w:val="16"/>
          <w:szCs w:val="16"/>
          <w:i w:val="1"/>
          <w:iCs w:val="1"/>
          <w:color w:val="auto"/>
        </w:rPr>
        <w:t>cessation de paiements</w:t>
      </w:r>
      <w:r>
        <w:rPr>
          <w:rFonts w:ascii="Arial" w:cs="Arial" w:eastAsia="Arial" w:hAnsi="Arial"/>
          <w:sz w:val="16"/>
          <w:szCs w:val="16"/>
          <w:color w:val="auto"/>
        </w:rPr>
        <w:t>; (e) creditors process means an executory attachment (</w:t>
      </w:r>
      <w:r>
        <w:rPr>
          <w:rFonts w:ascii="Arial" w:cs="Arial" w:eastAsia="Arial" w:hAnsi="Arial"/>
          <w:sz w:val="16"/>
          <w:szCs w:val="16"/>
          <w:i w:val="1"/>
          <w:iCs w:val="1"/>
          <w:color w:val="auto"/>
        </w:rPr>
        <w:t>saisie exécutoire</w:t>
      </w:r>
      <w:r>
        <w:rPr>
          <w:rFonts w:ascii="Arial" w:cs="Arial" w:eastAsia="Arial" w:hAnsi="Arial"/>
          <w:sz w:val="16"/>
          <w:szCs w:val="16"/>
          <w:color w:val="auto"/>
        </w:rPr>
        <w:t>) or conservatory attachment (</w:t>
      </w:r>
      <w:r>
        <w:rPr>
          <w:rFonts w:ascii="Arial" w:cs="Arial" w:eastAsia="Arial" w:hAnsi="Arial"/>
          <w:sz w:val="16"/>
          <w:szCs w:val="16"/>
          <w:i w:val="1"/>
          <w:iCs w:val="1"/>
          <w:color w:val="auto"/>
        </w:rPr>
        <w:t>saisie conservatoire</w:t>
      </w:r>
      <w:r>
        <w:rPr>
          <w:rFonts w:ascii="Arial" w:cs="Arial" w:eastAsia="Arial" w:hAnsi="Arial"/>
          <w:sz w:val="16"/>
          <w:szCs w:val="16"/>
          <w:color w:val="auto"/>
        </w:rPr>
        <w:t>); (f) by-laws or constitutional documents includes its up-to-date (restated) articles of association (</w:t>
      </w:r>
      <w:r>
        <w:rPr>
          <w:rFonts w:ascii="Arial" w:cs="Arial" w:eastAsia="Arial" w:hAnsi="Arial"/>
          <w:sz w:val="16"/>
          <w:szCs w:val="16"/>
          <w:i w:val="1"/>
          <w:iCs w:val="1"/>
          <w:color w:val="auto"/>
        </w:rPr>
        <w:t>statuts coordonnés</w:t>
      </w:r>
      <w:r>
        <w:rPr>
          <w:rFonts w:ascii="Arial" w:cs="Arial" w:eastAsia="Arial" w:hAnsi="Arial"/>
          <w:sz w:val="16"/>
          <w:szCs w:val="16"/>
          <w:color w:val="auto"/>
        </w:rPr>
        <w:t xml:space="preserve">) and (g) a director, a manager or officer includes an </w:t>
      </w:r>
      <w:r>
        <w:rPr>
          <w:rFonts w:ascii="Arial" w:cs="Arial" w:eastAsia="Arial" w:hAnsi="Arial"/>
          <w:sz w:val="16"/>
          <w:szCs w:val="16"/>
          <w:i w:val="1"/>
          <w:iCs w:val="1"/>
          <w:color w:val="auto"/>
        </w:rPr>
        <w:t>administrateur</w:t>
      </w:r>
      <w:r>
        <w:rPr>
          <w:rFonts w:ascii="Arial" w:cs="Arial" w:eastAsia="Arial" w:hAnsi="Arial"/>
          <w:sz w:val="16"/>
          <w:szCs w:val="16"/>
          <w:color w:val="auto"/>
        </w:rPr>
        <w:t xml:space="preserve"> or a </w:t>
      </w:r>
      <w:r>
        <w:rPr>
          <w:rFonts w:ascii="Arial" w:cs="Arial" w:eastAsia="Arial" w:hAnsi="Arial"/>
          <w:sz w:val="16"/>
          <w:szCs w:val="16"/>
          <w:i w:val="1"/>
          <w:iCs w:val="1"/>
          <w:color w:val="auto"/>
        </w:rPr>
        <w:t>gérant</w:t>
      </w:r>
      <w:r>
        <w:rPr>
          <w:rFonts w:ascii="Arial" w:cs="Arial" w:eastAsia="Arial" w:hAnsi="Arial"/>
          <w:sz w:val="16"/>
          <w:szCs w:val="16"/>
          <w:color w:val="auto"/>
        </w:rPr>
        <w:t>.</w:t>
      </w:r>
    </w:p>
    <w:p>
      <w:pPr>
        <w:spacing w:after="0" w:line="17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w:t>
      </w:r>
    </w:p>
    <w:p>
      <w:pPr>
        <w:spacing w:after="0" w:line="225" w:lineRule="exact"/>
        <w:rPr>
          <w:sz w:val="20"/>
          <w:szCs w:val="20"/>
          <w:color w:val="auto"/>
        </w:rPr>
      </w:pPr>
    </w:p>
    <w:p>
      <w:pPr>
        <w:ind w:right="100" w:firstLine="656"/>
        <w:spacing w:after="0" w:line="259" w:lineRule="auto"/>
        <w:tabs>
          <w:tab w:leader="none" w:pos="1162"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Initial Notes issued on the date hereof will be in an aggregate principal amount of $500,000,000. In addition, the Issuer may</w:t>
      </w:r>
      <w:r>
        <w:rPr>
          <w:rFonts w:ascii="Arial" w:cs="Arial" w:eastAsia="Arial" w:hAnsi="Arial"/>
          <w:sz w:val="18"/>
          <w:szCs w:val="18"/>
          <w:i w:val="1"/>
          <w:iCs w:val="1"/>
          <w:color w:val="auto"/>
        </w:rPr>
        <w:t xml:space="preserve"> </w:t>
      </w:r>
      <w:r>
        <w:rPr>
          <w:rFonts w:ascii="Arial" w:cs="Arial" w:eastAsia="Arial" w:hAnsi="Arial"/>
          <w:sz w:val="18"/>
          <w:szCs w:val="18"/>
          <w:color w:val="auto"/>
        </w:rPr>
        <w:t>issue, from time to time in accordance with the provisions of this Indenture, Additional Notes. The Notes may have notations, legends or endorsements required by law, stock exchange rule or usage. Each Note will be dated the date of its authentication. The Notes shall be in denominations of $200,000 and integral multiples of $1,000 in excess of $200,000.</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0" w:name="page281"/>
    <w:bookmarkEnd w:id="280"/>
    <w:p>
      <w:pPr>
        <w:ind w:right="200" w:firstLine="648"/>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7" w:lineRule="exact"/>
        <w:rPr>
          <w:sz w:val="20"/>
          <w:szCs w:val="20"/>
          <w:color w:val="auto"/>
        </w:rPr>
      </w:pPr>
    </w:p>
    <w:p>
      <w:pPr>
        <w:ind w:firstLine="656"/>
        <w:spacing w:after="0" w:line="290" w:lineRule="auto"/>
        <w:tabs>
          <w:tab w:leader="none" w:pos="1173" w:val="left"/>
        </w:tabs>
        <w:numPr>
          <w:ilvl w:val="0"/>
          <w:numId w:val="291"/>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Notes issued in global form will be substantially in the form of Exhibit A hereto (with the Global Note Legend thereon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 hereof.</w:t>
      </w:r>
    </w:p>
    <w:p>
      <w:pPr>
        <w:spacing w:after="0" w:line="165" w:lineRule="exact"/>
        <w:rPr>
          <w:rFonts w:ascii="Arial" w:cs="Arial" w:eastAsia="Arial" w:hAnsi="Arial"/>
          <w:sz w:val="16"/>
          <w:szCs w:val="16"/>
          <w:color w:val="auto"/>
        </w:rPr>
      </w:pPr>
    </w:p>
    <w:p>
      <w:pPr>
        <w:jc w:val="both"/>
        <w:ind w:right="60" w:firstLine="656"/>
        <w:spacing w:after="0" w:line="311" w:lineRule="auto"/>
        <w:tabs>
          <w:tab w:leader="none" w:pos="1162" w:val="left"/>
        </w:tabs>
        <w:numPr>
          <w:ilvl w:val="0"/>
          <w:numId w:val="291"/>
        </w:numPr>
        <w:rPr>
          <w:rFonts w:ascii="Arial" w:cs="Arial" w:eastAsia="Arial" w:hAnsi="Arial"/>
          <w:sz w:val="16"/>
          <w:szCs w:val="16"/>
          <w:color w:val="auto"/>
        </w:rPr>
      </w:pPr>
      <w:r>
        <w:rPr>
          <w:rFonts w:ascii="Arial" w:cs="Arial" w:eastAsia="Arial" w:hAnsi="Arial"/>
          <w:sz w:val="16"/>
          <w:szCs w:val="16"/>
          <w:i w:val="1"/>
          <w:iCs w:val="1"/>
          <w:color w:val="auto"/>
        </w:rPr>
        <w:t>Euroclear and Clearstream Procedures Applicable</w:t>
      </w:r>
      <w:r>
        <w:rPr>
          <w:rFonts w:ascii="Arial" w:cs="Arial" w:eastAsia="Arial" w:hAnsi="Arial"/>
          <w:sz w:val="16"/>
          <w:szCs w:val="16"/>
          <w:color w:val="auto"/>
        </w:rPr>
        <w:t>. 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4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least one Officer must sign the Notes for the Issuer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 valid.</w:t>
      </w:r>
    </w:p>
    <w:p>
      <w:pPr>
        <w:spacing w:after="0" w:line="23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Note will not be valid until authenticated by the manual signature of the Trustee. The signature will be conclusive evidence that the Note has been authenticated under this Indenture.</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Trustee will, upon receipt of a written order of the Issuer signed by an Officer of the Issuer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Notes in an aggregate principal amount of $500,000,000 for original issue on the Issue Date. The Trustee shall authenticate additional Notes (“</w:t>
      </w:r>
      <w:r>
        <w:rPr>
          <w:rFonts w:ascii="Arial" w:cs="Arial" w:eastAsia="Arial" w:hAnsi="Arial"/>
          <w:sz w:val="18"/>
          <w:szCs w:val="18"/>
          <w:i w:val="1"/>
          <w:iCs w:val="1"/>
          <w:color w:val="auto"/>
        </w:rPr>
        <w:t>Additional Notes</w:t>
      </w:r>
      <w:r>
        <w:rPr>
          <w:rFonts w:ascii="Arial" w:cs="Arial" w:eastAsia="Arial" w:hAnsi="Arial"/>
          <w:sz w:val="18"/>
          <w:szCs w:val="18"/>
          <w:color w:val="auto"/>
        </w:rPr>
        <w:t>”) thereafter in unlimited aggregate principal amount for original issue upon receipt of an Authentication Order. The aggregate principal amount of Notes outstanding at any time may not exceed the aggregate principal amount of Notes authorized for issuance by the Issuer pursuant to one or more Authentication Orders, except as provided in Section 2.07 hereof.</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1" w:name="page282"/>
    <w:bookmarkEnd w:id="281"/>
    <w:p>
      <w:pPr>
        <w:ind w:right="80" w:firstLine="648"/>
        <w:spacing w:after="0" w:line="263" w:lineRule="auto"/>
        <w:rPr>
          <w:sz w:val="20"/>
          <w:szCs w:val="20"/>
          <w:color w:val="auto"/>
        </w:rPr>
      </w:pPr>
      <w:r>
        <w:rPr>
          <w:rFonts w:ascii="Arial" w:cs="Arial" w:eastAsia="Arial" w:hAnsi="Arial"/>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Issuer will maintain an office or agency where Notes may be presented for registration of transfer or for exchange (“</w:t>
      </w:r>
      <w:r>
        <w:rPr>
          <w:rFonts w:ascii="Arial" w:cs="Arial" w:eastAsia="Arial" w:hAnsi="Arial"/>
          <w:sz w:val="18"/>
          <w:szCs w:val="18"/>
          <w:i w:val="1"/>
          <w:iCs w:val="1"/>
          <w:color w:val="auto"/>
        </w:rPr>
        <w:t>Registrar</w:t>
      </w:r>
      <w:r>
        <w:rPr>
          <w:rFonts w:ascii="Arial" w:cs="Arial" w:eastAsia="Arial" w:hAnsi="Arial"/>
          <w:sz w:val="18"/>
          <w:szCs w:val="18"/>
          <w:color w:val="auto"/>
        </w:rPr>
        <w:t>”) and an office or agency within London, United Kingdom where Notes may be presented for payment (“</w:t>
      </w:r>
      <w:r>
        <w:rPr>
          <w:rFonts w:ascii="Arial" w:cs="Arial" w:eastAsia="Arial" w:hAnsi="Arial"/>
          <w:sz w:val="18"/>
          <w:szCs w:val="18"/>
          <w:i w:val="1"/>
          <w:iCs w:val="1"/>
          <w:color w:val="auto"/>
        </w:rPr>
        <w:t>Paying Agent</w:t>
      </w:r>
      <w:r>
        <w:rPr>
          <w:rFonts w:ascii="Arial" w:cs="Arial" w:eastAsia="Arial" w:hAnsi="Arial"/>
          <w:sz w:val="18"/>
          <w:szCs w:val="18"/>
          <w:color w:val="auto"/>
        </w:rPr>
        <w:t>”) and an office or agency within London, United Kingdom where notices and demands to or upon the Issuer, if any, in respect of the Notes and this Indenture may be served. The Registrar will keep a register of the Notes and of their transfer and exchange. The Issuer may appoint one or more co-registrars and one or more additional paying agents.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and the term “</w:t>
      </w:r>
      <w:r>
        <w:rPr>
          <w:rFonts w:ascii="Arial" w:cs="Arial" w:eastAsia="Arial" w:hAnsi="Arial"/>
          <w:sz w:val="18"/>
          <w:szCs w:val="18"/>
          <w:i w:val="1"/>
          <w:iCs w:val="1"/>
          <w:color w:val="auto"/>
        </w:rPr>
        <w:t>Paying Agent</w:t>
      </w:r>
      <w:r>
        <w:rPr>
          <w:rFonts w:ascii="Arial" w:cs="Arial" w:eastAsia="Arial" w:hAnsi="Arial"/>
          <w:sz w:val="18"/>
          <w:szCs w:val="18"/>
          <w:color w:val="auto"/>
        </w:rPr>
        <w:t>” includes any additional paying agent. The Issuer may change any Paying Agent or Registrar without notice to any Holder. The Issuer will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Issuer initially appoints Citibank, N.A., London Branch to act as the Registrar, Paying Agent and Transfer Agent for service of notices and demands in connection with the Notes and this Indenture, and to act as Custodian with respect to the Global Notes, and Citibank, N.A., London Branch accepts such appointments.</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Issuer will require each Paying Agent other than the Trustee to agree in writing that the Paying Agent will hold in trust for the benefit of Holders or the Trustee all money held by the Paying Agent for the payment of principal of, premium on, if any, or interest on, the Notes, and will notify the Trustee in writing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any of its Subsidiaries) will have no further liability for the money. If the Issuer or a Subsidiary acts as Paying Agent, it will segregate and hold in a separate trust fund for the benefit of the Holders all money held by it as Paying Agent. Upon any bankruptcy or reorganization proceedings relating to the Issuer, the Trustee will serve as Paying Agent for the Notes. The Issuer shall two (2) Business Days prior to the day on which the Paying Agent is to receive any payment of principal, premium, if any, and interest on the Notes, procure that the bank effecting payment for the Issuer confirms by tested Swift MT199 message, email (or equivalent message) to the Paying Agent that the payment instructions relating to such payment have been sent to the Paying Agent. For the avoidance of doubt, the Paying Agent and the Trustee shall be held harmless and have no liability with respect to payments or disbursements to be made by the Paying Agent and Trustee (i) for which payment instructions are not made or that are not otherwise deposited by the respective times set forth in this Section 2.04; and (ii) until the Paying Agent and Trustee have confirmed receipt of funds sufficient to make such relevant payment.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2" w:name="page283"/>
    <w:bookmarkEnd w:id="282"/>
    <w:p>
      <w:pPr>
        <w:ind w:left="660"/>
        <w:spacing w:after="0"/>
        <w:tabs>
          <w:tab w:leader="none" w:pos="176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Trustee will preserve in as current a form as is reasonably practicable the most recent list available to it of the names and addresses of all Holders. If the Trustee is not the Registrar, the Issuer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ind w:right="300" w:firstLine="656"/>
        <w:spacing w:after="0" w:line="311" w:lineRule="auto"/>
        <w:tabs>
          <w:tab w:leader="none" w:pos="1162" w:val="left"/>
        </w:tabs>
        <w:numPr>
          <w:ilvl w:val="0"/>
          <w:numId w:val="292"/>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except as a whole by the Depositary to a nominee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by a nominee of the Depositary to the Depositary or to another nominee of the Depositary, or by the Depositary or any such nominee to a successor Depositary or a nominee of such successor Depositary. All Global Notes will be exchanged by the Issuer for Definitive Notes if:</w:t>
      </w:r>
    </w:p>
    <w:p>
      <w:pPr>
        <w:spacing w:after="0" w:line="148" w:lineRule="exact"/>
        <w:rPr>
          <w:rFonts w:ascii="Arial" w:cs="Arial" w:eastAsia="Arial" w:hAnsi="Arial"/>
          <w:sz w:val="16"/>
          <w:szCs w:val="16"/>
          <w:color w:val="auto"/>
        </w:rPr>
      </w:pPr>
    </w:p>
    <w:p>
      <w:pPr>
        <w:ind w:left="820" w:firstLine="646"/>
        <w:spacing w:after="0" w:line="263" w:lineRule="auto"/>
        <w:tabs>
          <w:tab w:leader="none" w:pos="1993"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Issuer delivers to the Trustee notice from the Depositary that it is unwilling or unable to continue to act as Depositary or that it is no longer a clearing agency registered under the Exchange Act and, in either case, a successor Depositary is not appointed by the Issuer within 90 days after the date of such notice from the Depositary;</w:t>
      </w:r>
    </w:p>
    <w:p>
      <w:pPr>
        <w:spacing w:after="0" w:line="183" w:lineRule="exact"/>
        <w:rPr>
          <w:rFonts w:ascii="Arial" w:cs="Arial" w:eastAsia="Arial" w:hAnsi="Arial"/>
          <w:sz w:val="18"/>
          <w:szCs w:val="18"/>
          <w:color w:val="auto"/>
        </w:rPr>
      </w:pPr>
    </w:p>
    <w:p>
      <w:pPr>
        <w:ind w:left="2000" w:hanging="534"/>
        <w:spacing w:after="0"/>
        <w:tabs>
          <w:tab w:leader="none" w:pos="20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Issuer, at its option, notifies the Trustee that it elects to cause the issuance of certificated notes; or</w:t>
      </w:r>
    </w:p>
    <w:p>
      <w:pPr>
        <w:spacing w:after="0" w:line="225" w:lineRule="exact"/>
        <w:rPr>
          <w:rFonts w:ascii="Arial" w:cs="Arial" w:eastAsia="Arial" w:hAnsi="Arial"/>
          <w:sz w:val="18"/>
          <w:szCs w:val="18"/>
          <w:color w:val="auto"/>
        </w:rPr>
      </w:pPr>
    </w:p>
    <w:p>
      <w:pPr>
        <w:ind w:left="820" w:right="440" w:firstLine="646"/>
        <w:spacing w:after="0" w:line="277" w:lineRule="auto"/>
        <w:tabs>
          <w:tab w:leader="none" w:pos="1993"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 and the Trustee has received a request from the Depositary.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Upon the occurrence of either of the preceding events in (1) or (2) above, Definitive Notes shall be issued in such names as the Depositary shall instruct the Trustee in writing.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192"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Notwithstanding the foregoing, in no event shall the Regulation S Global Note be exchanged by the Issuer for Definitive Notes prior to (A) the expiration of the Restricted Period and (B) the receipt by the Registrar of any certificates required pursuant to Rule 903(b)(3)(ii)(B) under the Securities Act.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3" w:name="page284"/>
    <w:bookmarkEnd w:id="283"/>
    <w:p>
      <w:pPr>
        <w:ind w:left="-20" w:right="20" w:firstLine="656"/>
        <w:spacing w:after="0" w:line="257" w:lineRule="auto"/>
        <w:tabs>
          <w:tab w:leader="none" w:pos="1153" w:val="left"/>
        </w:tabs>
        <w:numPr>
          <w:ilvl w:val="0"/>
          <w:numId w:val="293"/>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87" w:lineRule="exact"/>
        <w:rPr>
          <w:rFonts w:ascii="Arial" w:cs="Arial" w:eastAsia="Arial" w:hAnsi="Arial"/>
          <w:sz w:val="18"/>
          <w:szCs w:val="18"/>
          <w:color w:val="auto"/>
        </w:rPr>
      </w:pPr>
    </w:p>
    <w:p>
      <w:pPr>
        <w:ind w:left="800" w:right="100" w:firstLine="646"/>
        <w:spacing w:after="0" w:line="296" w:lineRule="auto"/>
        <w:tabs>
          <w:tab w:leader="none" w:pos="1973" w:val="left"/>
        </w:tabs>
        <w:numPr>
          <w:ilvl w:val="1"/>
          <w:numId w:val="293"/>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Note</w:t>
      </w:r>
      <w:r>
        <w:rPr>
          <w:rFonts w:ascii="Arial" w:cs="Arial" w:eastAsia="Arial" w:hAnsi="Arial"/>
          <w:sz w:val="16"/>
          <w:szCs w:val="16"/>
          <w:color w:val="auto"/>
        </w:rPr>
        <w:t>. Beneficial interests in any Restricted Global Note may be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Persons who take delivery thereof in the form of a beneficial interest in the same Restricted Global Note in accordance with the transfer restrictions set forth in the Private Placement Legend applicable to such Restricted Global Note.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61" w:lineRule="exact"/>
        <w:rPr>
          <w:rFonts w:ascii="Arial" w:cs="Arial" w:eastAsia="Arial" w:hAnsi="Arial"/>
          <w:sz w:val="16"/>
          <w:szCs w:val="16"/>
          <w:color w:val="auto"/>
        </w:rPr>
      </w:pPr>
    </w:p>
    <w:p>
      <w:pPr>
        <w:ind w:left="800" w:right="60" w:firstLine="646"/>
        <w:spacing w:after="0" w:line="342" w:lineRule="auto"/>
        <w:tabs>
          <w:tab w:leader="none" w:pos="1973" w:val="left"/>
        </w:tabs>
        <w:numPr>
          <w:ilvl w:val="1"/>
          <w:numId w:val="293"/>
        </w:numPr>
        <w:rPr>
          <w:rFonts w:ascii="Arial" w:cs="Arial" w:eastAsia="Arial" w:hAnsi="Arial"/>
          <w:sz w:val="16"/>
          <w:szCs w:val="16"/>
          <w:color w:val="auto"/>
        </w:rPr>
      </w:pPr>
      <w:r>
        <w:rPr>
          <w:rFonts w:ascii="Arial" w:cs="Arial" w:eastAsia="Arial" w:hAnsi="Arial"/>
          <w:sz w:val="16"/>
          <w:szCs w:val="16"/>
          <w:i w:val="1"/>
          <w:iCs w:val="1"/>
          <w:color w:val="auto"/>
        </w:rPr>
        <w:t>All Other Transfers and Exchanges of Beneficial Interests in Global Notes</w:t>
      </w:r>
      <w:r>
        <w:rPr>
          <w:rFonts w:ascii="Arial" w:cs="Arial" w:eastAsia="Arial" w:hAnsi="Arial"/>
          <w:sz w:val="16"/>
          <w:szCs w:val="16"/>
          <w:color w:val="auto"/>
        </w:rPr>
        <w:t>. In connection with all transfers and exchanges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interests that are not subject to Section 2.06(b)(1) above, the transferor of such beneficial interest must deliver to the Registrar either:</w:t>
      </w:r>
    </w:p>
    <w:p>
      <w:pPr>
        <w:spacing w:after="0" w:line="123" w:lineRule="exact"/>
        <w:rPr>
          <w:rFonts w:ascii="Arial" w:cs="Arial" w:eastAsia="Arial" w:hAnsi="Arial"/>
          <w:sz w:val="16"/>
          <w:szCs w:val="16"/>
          <w:color w:val="auto"/>
        </w:rPr>
      </w:pPr>
    </w:p>
    <w:p>
      <w:pPr>
        <w:ind w:left="2500" w:hanging="568"/>
        <w:spacing w:after="0"/>
        <w:tabs>
          <w:tab w:leader="none" w:pos="250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ind w:left="1940" w:firstLine="640"/>
        <w:spacing w:after="0" w:line="263" w:lineRule="auto"/>
        <w:tabs>
          <w:tab w:leader="none" w:pos="3073" w:val="left"/>
        </w:tabs>
        <w:numPr>
          <w:ilvl w:val="3"/>
          <w:numId w:val="293"/>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3" w:lineRule="exact"/>
        <w:rPr>
          <w:rFonts w:ascii="Arial" w:cs="Arial" w:eastAsia="Arial" w:hAnsi="Arial"/>
          <w:sz w:val="18"/>
          <w:szCs w:val="18"/>
          <w:color w:val="auto"/>
        </w:rPr>
      </w:pPr>
    </w:p>
    <w:p>
      <w:pPr>
        <w:ind w:left="1940" w:right="200" w:firstLine="640"/>
        <w:spacing w:after="0" w:line="277" w:lineRule="auto"/>
        <w:tabs>
          <w:tab w:leader="none" w:pos="3123" w:val="left"/>
        </w:tabs>
        <w:numPr>
          <w:ilvl w:val="3"/>
          <w:numId w:val="293"/>
        </w:numPr>
        <w:rPr>
          <w:rFonts w:ascii="Arial" w:cs="Arial" w:eastAsia="Arial" w:hAnsi="Arial"/>
          <w:sz w:val="18"/>
          <w:szCs w:val="18"/>
          <w:color w:val="auto"/>
        </w:rPr>
      </w:pPr>
      <w:r>
        <w:rPr>
          <w:rFonts w:ascii="Arial" w:cs="Arial" w:eastAsia="Arial" w:hAnsi="Arial"/>
          <w:sz w:val="18"/>
          <w:szCs w:val="18"/>
          <w:color w:val="auto"/>
        </w:rPr>
        <w:t>written instructions given in accordance with the Applicable Procedures containing information regarding the Participant account to be credited with such increase; or</w:t>
      </w:r>
    </w:p>
    <w:p>
      <w:pPr>
        <w:spacing w:after="0" w:line="170" w:lineRule="exact"/>
        <w:rPr>
          <w:rFonts w:ascii="Arial" w:cs="Arial" w:eastAsia="Arial" w:hAnsi="Arial"/>
          <w:sz w:val="18"/>
          <w:szCs w:val="18"/>
          <w:color w:val="auto"/>
        </w:rPr>
      </w:pPr>
    </w:p>
    <w:p>
      <w:pPr>
        <w:ind w:left="2480" w:hanging="548"/>
        <w:spacing w:after="0"/>
        <w:tabs>
          <w:tab w:leader="none" w:pos="24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ind w:left="1940" w:right="400" w:firstLine="640"/>
        <w:spacing w:after="0" w:line="263" w:lineRule="auto"/>
        <w:tabs>
          <w:tab w:leader="none" w:pos="3073" w:val="left"/>
        </w:tabs>
        <w:numPr>
          <w:ilvl w:val="3"/>
          <w:numId w:val="293"/>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83" w:lineRule="exact"/>
        <w:rPr>
          <w:rFonts w:ascii="Arial" w:cs="Arial" w:eastAsia="Arial" w:hAnsi="Arial"/>
          <w:sz w:val="18"/>
          <w:szCs w:val="18"/>
          <w:color w:val="auto"/>
        </w:rPr>
      </w:pPr>
    </w:p>
    <w:p>
      <w:pPr>
        <w:ind w:left="1940" w:right="280" w:firstLine="640"/>
        <w:spacing w:after="0" w:line="263" w:lineRule="auto"/>
        <w:tabs>
          <w:tab w:leader="none" w:pos="3123" w:val="left"/>
        </w:tabs>
        <w:numPr>
          <w:ilvl w:val="3"/>
          <w:numId w:val="293"/>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 except in compliance with Section 2.06(a) above.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284" w:name="page285"/>
    <w:bookmarkEnd w:id="284"/>
    <w:p>
      <w:pPr>
        <w:ind w:right="460" w:firstLine="648"/>
        <w:spacing w:after="0" w:line="263" w:lineRule="auto"/>
        <w:rPr>
          <w:sz w:val="20"/>
          <w:szCs w:val="20"/>
          <w:color w:val="auto"/>
        </w:rPr>
      </w:pPr>
      <w:r>
        <w:rPr>
          <w:rFonts w:ascii="Arial" w:cs="Arial" w:eastAsia="Arial" w:hAnsi="Arial"/>
          <w:sz w:val="18"/>
          <w:szCs w:val="18"/>
          <w:color w:val="auto"/>
        </w:rPr>
        <w:t>Upon satisfaction of all of the requirements for transfer of beneficial interests in Global Notes contained in this Indenture and the Notes or otherwise applicable under the Securities Act, the Trustee shall adjust the principal amount of the relevant Global Note(s) pursuant to Section 2.06(g) hereof.</w:t>
      </w:r>
    </w:p>
    <w:p>
      <w:pPr>
        <w:spacing w:after="0" w:line="184" w:lineRule="exact"/>
        <w:rPr>
          <w:sz w:val="20"/>
          <w:szCs w:val="20"/>
          <w:color w:val="auto"/>
        </w:rPr>
      </w:pPr>
    </w:p>
    <w:p>
      <w:pPr>
        <w:jc w:val="both"/>
        <w:ind w:left="820" w:right="140" w:firstLine="646"/>
        <w:spacing w:after="0" w:line="263" w:lineRule="auto"/>
        <w:tabs>
          <w:tab w:leader="none" w:pos="1993" w:val="left"/>
        </w:tabs>
        <w:numPr>
          <w:ilvl w:val="0"/>
          <w:numId w:val="294"/>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to Another Restricted Global Note</w:t>
      </w:r>
      <w:r>
        <w:rPr>
          <w:rFonts w:ascii="Arial" w:cs="Arial" w:eastAsia="Arial" w:hAnsi="Arial"/>
          <w:sz w:val="18"/>
          <w:szCs w:val="18"/>
          <w:color w:val="auto"/>
        </w:rPr>
        <w:t>. A beneficial interest in any Restricted Global Note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to a Person who takes delivery thereof in the form of a beneficial interest in another Restricted Global Note if the transfer complies with the requirements of Section 2.06(b)(2) above and the Registrar receives the following:</w:t>
      </w:r>
    </w:p>
    <w:p>
      <w:pPr>
        <w:spacing w:after="0" w:line="183" w:lineRule="exact"/>
        <w:rPr>
          <w:rFonts w:ascii="Arial" w:cs="Arial" w:eastAsia="Arial" w:hAnsi="Arial"/>
          <w:sz w:val="18"/>
          <w:szCs w:val="18"/>
          <w:color w:val="auto"/>
        </w:rPr>
      </w:pPr>
    </w:p>
    <w:p>
      <w:pPr>
        <w:ind w:left="1300" w:right="140" w:firstLine="652"/>
        <w:spacing w:after="0" w:line="277" w:lineRule="auto"/>
        <w:tabs>
          <w:tab w:leader="none" w:pos="251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170" w:lineRule="exact"/>
        <w:rPr>
          <w:rFonts w:ascii="Arial" w:cs="Arial" w:eastAsia="Arial" w:hAnsi="Arial"/>
          <w:sz w:val="18"/>
          <w:szCs w:val="18"/>
          <w:color w:val="auto"/>
        </w:rPr>
      </w:pPr>
    </w:p>
    <w:p>
      <w:pPr>
        <w:ind w:left="1300" w:right="20" w:firstLine="652"/>
        <w:spacing w:after="0" w:line="277" w:lineRule="auto"/>
        <w:tabs>
          <w:tab w:leader="none" w:pos="250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Regulation S Global Note, then the transferor must deliver a certificate in the form of Exhibit B hereto, including the certifications in item (2) thereof; and</w:t>
      </w:r>
    </w:p>
    <w:p>
      <w:pPr>
        <w:spacing w:after="0" w:line="170" w:lineRule="exact"/>
        <w:rPr>
          <w:rFonts w:ascii="Arial" w:cs="Arial" w:eastAsia="Arial" w:hAnsi="Arial"/>
          <w:sz w:val="18"/>
          <w:szCs w:val="18"/>
          <w:color w:val="auto"/>
        </w:rPr>
      </w:pPr>
    </w:p>
    <w:p>
      <w:pPr>
        <w:ind w:left="1300" w:right="40" w:firstLine="652"/>
        <w:spacing w:after="0" w:line="257" w:lineRule="auto"/>
        <w:tabs>
          <w:tab w:leader="none" w:pos="250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IAI Global Note, then the transferor must deliver a certificate in the form of Exhibit B hereto, including the certifications, certificates and Opinion of Counsel required by item (3) thereof, if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if the requested transfer involves a beneficial interest in a Regulation S Global Note, such transfer may be effected only upon (A) the expiration of the Restricted Period and (B) the receipt by the Registrar of any certificates required pursuant to Rule 903(b)(3)(ii)(B) under the Securities Act.</w:t>
      </w:r>
    </w:p>
    <w:p>
      <w:pPr>
        <w:spacing w:after="0" w:line="187" w:lineRule="exact"/>
        <w:rPr>
          <w:rFonts w:ascii="Arial" w:cs="Arial" w:eastAsia="Arial" w:hAnsi="Arial"/>
          <w:sz w:val="18"/>
          <w:szCs w:val="18"/>
          <w:color w:val="auto"/>
        </w:rPr>
      </w:pPr>
    </w:p>
    <w:p>
      <w:pPr>
        <w:ind w:left="820" w:right="300" w:firstLine="646"/>
        <w:spacing w:after="0" w:line="301" w:lineRule="auto"/>
        <w:tabs>
          <w:tab w:leader="none" w:pos="1989"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if the Registrar receives the following:</w:t>
      </w:r>
    </w:p>
    <w:p>
      <w:pPr>
        <w:spacing w:after="0" w:line="157" w:lineRule="exact"/>
        <w:rPr>
          <w:rFonts w:ascii="Arial" w:cs="Arial" w:eastAsia="Arial" w:hAnsi="Arial"/>
          <w:sz w:val="16"/>
          <w:szCs w:val="16"/>
          <w:color w:val="auto"/>
        </w:rPr>
      </w:pPr>
    </w:p>
    <w:p>
      <w:pPr>
        <w:ind w:left="1300" w:right="240" w:firstLine="652"/>
        <w:spacing w:after="0" w:line="263" w:lineRule="auto"/>
        <w:tabs>
          <w:tab w:leader="none" w:pos="251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83" w:lineRule="exact"/>
        <w:rPr>
          <w:rFonts w:ascii="Arial" w:cs="Arial" w:eastAsia="Arial" w:hAnsi="Arial"/>
          <w:sz w:val="18"/>
          <w:szCs w:val="18"/>
          <w:color w:val="auto"/>
        </w:rPr>
      </w:pPr>
    </w:p>
    <w:p>
      <w:pPr>
        <w:ind w:left="1300" w:firstLine="652"/>
        <w:spacing w:after="0" w:line="263" w:lineRule="auto"/>
        <w:tabs>
          <w:tab w:leader="none" w:pos="250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5" w:name="page286"/>
    <w:bookmarkEnd w:id="285"/>
    <w:p>
      <w:pPr>
        <w:ind w:left="660" w:right="80" w:firstLine="648"/>
        <w:spacing w:after="0" w:line="259" w:lineRule="auto"/>
        <w:rPr>
          <w:sz w:val="20"/>
          <w:szCs w:val="20"/>
          <w:color w:val="auto"/>
        </w:rPr>
      </w:pPr>
      <w:r>
        <w:rPr>
          <w:rFonts w:ascii="Arial" w:cs="Arial" w:eastAsia="Arial" w:hAnsi="Arial"/>
          <w:sz w:val="18"/>
          <w:szCs w:val="18"/>
          <w:color w:val="auto"/>
        </w:rPr>
        <w:t>and, in each such case set forth in this subparagraph (4),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any such transfer is effected pursuant to subparagraph (4)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(4) above.</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70" w:lineRule="exact"/>
        <w:rPr>
          <w:sz w:val="20"/>
          <w:szCs w:val="20"/>
          <w:color w:val="auto"/>
        </w:rPr>
      </w:pPr>
    </w:p>
    <w:p>
      <w:pPr>
        <w:ind w:left="1180" w:hanging="524"/>
        <w:spacing w:after="0"/>
        <w:tabs>
          <w:tab w:leader="none" w:pos="1180" w:val="left"/>
        </w:tabs>
        <w:numPr>
          <w:ilvl w:val="0"/>
          <w:numId w:val="295"/>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20" w:right="80" w:firstLine="646"/>
        <w:spacing w:after="0" w:line="259" w:lineRule="auto"/>
        <w:tabs>
          <w:tab w:leader="none" w:pos="1993" w:val="left"/>
        </w:tabs>
        <w:numPr>
          <w:ilvl w:val="2"/>
          <w:numId w:val="295"/>
        </w:numPr>
        <w:rPr>
          <w:rFonts w:ascii="Arial" w:cs="Arial" w:eastAsia="Arial" w:hAnsi="Arial"/>
          <w:sz w:val="18"/>
          <w:szCs w:val="18"/>
          <w:color w:val="auto"/>
        </w:rPr>
      </w:pPr>
      <w:r>
        <w:rPr>
          <w:rFonts w:ascii="Arial" w:cs="Arial" w:eastAsia="Arial" w:hAnsi="Arial"/>
          <w:sz w:val="18"/>
          <w:szCs w:val="18"/>
          <w:i w:val="1"/>
          <w:iCs w:val="1"/>
          <w:color w:val="auto"/>
        </w:rPr>
        <w:t>Beneficial Interests in Restricted Global Notes to Restricted Definitive Notes</w:t>
      </w:r>
      <w:r>
        <w:rPr>
          <w:rFonts w:ascii="Arial" w:cs="Arial" w:eastAsia="Arial" w:hAnsi="Arial"/>
          <w:sz w:val="18"/>
          <w:szCs w:val="18"/>
          <w:color w:val="auto"/>
        </w:rPr>
        <w:t>. If, in accordance with Section 2.06(a), any holder</w:t>
      </w:r>
      <w:r>
        <w:rPr>
          <w:rFonts w:ascii="Arial" w:cs="Arial" w:eastAsia="Arial" w:hAnsi="Arial"/>
          <w:sz w:val="18"/>
          <w:szCs w:val="18"/>
          <w:i w:val="1"/>
          <w:iCs w:val="1"/>
          <w:color w:val="auto"/>
        </w:rPr>
        <w:t xml:space="preserve"> </w:t>
      </w:r>
      <w:r>
        <w:rPr>
          <w:rFonts w:ascii="Arial" w:cs="Arial" w:eastAsia="Arial" w:hAnsi="Arial"/>
          <w:sz w:val="18"/>
          <w:szCs w:val="18"/>
          <w:color w:val="auto"/>
        </w:rPr>
        <w:t>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86" w:lineRule="exact"/>
        <w:rPr>
          <w:rFonts w:ascii="Arial" w:cs="Arial" w:eastAsia="Arial" w:hAnsi="Arial"/>
          <w:sz w:val="18"/>
          <w:szCs w:val="18"/>
          <w:color w:val="auto"/>
        </w:rPr>
      </w:pPr>
    </w:p>
    <w:p>
      <w:pPr>
        <w:ind w:left="1300" w:right="260" w:firstLine="652"/>
        <w:spacing w:after="0" w:line="263" w:lineRule="auto"/>
        <w:tabs>
          <w:tab w:leader="none" w:pos="2513" w:val="left"/>
        </w:tabs>
        <w:numPr>
          <w:ilvl w:val="3"/>
          <w:numId w:val="295"/>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83" w:lineRule="exact"/>
        <w:rPr>
          <w:rFonts w:ascii="Arial" w:cs="Arial" w:eastAsia="Arial" w:hAnsi="Arial"/>
          <w:sz w:val="18"/>
          <w:szCs w:val="18"/>
          <w:color w:val="auto"/>
        </w:rPr>
      </w:pPr>
    </w:p>
    <w:p>
      <w:pPr>
        <w:ind w:left="1300" w:right="120" w:firstLine="652"/>
        <w:spacing w:after="0" w:line="277" w:lineRule="auto"/>
        <w:tabs>
          <w:tab w:leader="none" w:pos="2503" w:val="left"/>
        </w:tabs>
        <w:numPr>
          <w:ilvl w:val="3"/>
          <w:numId w:val="295"/>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170" w:lineRule="exact"/>
        <w:rPr>
          <w:rFonts w:ascii="Arial" w:cs="Arial" w:eastAsia="Arial" w:hAnsi="Arial"/>
          <w:sz w:val="18"/>
          <w:szCs w:val="18"/>
          <w:color w:val="auto"/>
        </w:rPr>
      </w:pPr>
    </w:p>
    <w:p>
      <w:pPr>
        <w:ind w:left="1300" w:right="240" w:firstLine="652"/>
        <w:spacing w:after="0" w:line="308" w:lineRule="auto"/>
        <w:tabs>
          <w:tab w:leader="none" w:pos="2503" w:val="left"/>
        </w:tabs>
        <w:numPr>
          <w:ilvl w:val="3"/>
          <w:numId w:val="295"/>
        </w:numPr>
        <w:rPr>
          <w:rFonts w:ascii="Arial" w:cs="Arial" w:eastAsia="Arial" w:hAnsi="Arial"/>
          <w:sz w:val="17"/>
          <w:szCs w:val="17"/>
          <w:color w:val="auto"/>
        </w:rPr>
      </w:pPr>
      <w:r>
        <w:rPr>
          <w:rFonts w:ascii="Arial" w:cs="Arial" w:eastAsia="Arial" w:hAnsi="Arial"/>
          <w:sz w:val="17"/>
          <w:szCs w:val="17"/>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46" w:lineRule="exact"/>
        <w:rPr>
          <w:rFonts w:ascii="Arial" w:cs="Arial" w:eastAsia="Arial" w:hAnsi="Arial"/>
          <w:sz w:val="17"/>
          <w:szCs w:val="17"/>
          <w:color w:val="auto"/>
        </w:rPr>
      </w:pPr>
    </w:p>
    <w:p>
      <w:pPr>
        <w:ind w:left="1300" w:right="100" w:firstLine="652"/>
        <w:spacing w:after="0" w:line="291" w:lineRule="auto"/>
        <w:tabs>
          <w:tab w:leader="none" w:pos="2513" w:val="left"/>
        </w:tabs>
        <w:numPr>
          <w:ilvl w:val="3"/>
          <w:numId w:val="295"/>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 (3)</w:t>
      </w:r>
    </w:p>
    <w:p>
      <w:pPr>
        <w:ind w:left="1540" w:hanging="236"/>
        <w:spacing w:after="0"/>
        <w:tabs>
          <w:tab w:leader="none" w:pos="15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thereof;</w:t>
      </w:r>
    </w:p>
    <w:p>
      <w:pPr>
        <w:spacing w:after="0" w:line="210" w:lineRule="exact"/>
        <w:rPr>
          <w:rFonts w:ascii="Arial" w:cs="Arial" w:eastAsia="Arial" w:hAnsi="Arial"/>
          <w:sz w:val="18"/>
          <w:szCs w:val="18"/>
          <w:color w:val="auto"/>
        </w:rPr>
      </w:pPr>
    </w:p>
    <w:p>
      <w:pPr>
        <w:ind w:left="1300" w:firstLine="652"/>
        <w:spacing w:after="0" w:line="311" w:lineRule="auto"/>
        <w:tabs>
          <w:tab w:leader="none" w:pos="2493" w:val="left"/>
        </w:tabs>
        <w:numPr>
          <w:ilvl w:val="3"/>
          <w:numId w:val="296"/>
        </w:numPr>
        <w:rPr>
          <w:rFonts w:ascii="Arial" w:cs="Arial" w:eastAsia="Arial" w:hAnsi="Arial"/>
          <w:sz w:val="16"/>
          <w:szCs w:val="16"/>
          <w:color w:val="auto"/>
        </w:rPr>
      </w:pPr>
      <w:r>
        <w:rPr>
          <w:rFonts w:ascii="Arial" w:cs="Arial" w:eastAsia="Arial" w:hAnsi="Arial"/>
          <w:sz w:val="16"/>
          <w:szCs w:val="16"/>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6" w:name="page287"/>
    <w:bookmarkEnd w:id="286"/>
    <w:p>
      <w:pPr>
        <w:ind w:left="180" w:right="20" w:firstLine="652"/>
        <w:spacing w:after="0" w:line="277" w:lineRule="auto"/>
        <w:tabs>
          <w:tab w:leader="none" w:pos="1363"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Issuer or any of its Subsidiaries, a certificate to the effect set forth in Exhibit B hereto, including the certifications in item (3)(b) thereof; or</w:t>
      </w:r>
    </w:p>
    <w:p>
      <w:pPr>
        <w:spacing w:after="0" w:line="170" w:lineRule="exact"/>
        <w:rPr>
          <w:rFonts w:ascii="Arial" w:cs="Arial" w:eastAsia="Arial" w:hAnsi="Arial"/>
          <w:sz w:val="18"/>
          <w:szCs w:val="18"/>
          <w:color w:val="auto"/>
        </w:rPr>
      </w:pPr>
    </w:p>
    <w:p>
      <w:pPr>
        <w:ind w:left="180" w:right="100" w:firstLine="652"/>
        <w:spacing w:after="0" w:line="269" w:lineRule="auto"/>
        <w:tabs>
          <w:tab w:leader="none" w:pos="1393" w:val="left"/>
        </w:tabs>
        <w:numPr>
          <w:ilvl w:val="1"/>
          <w:numId w:val="297"/>
        </w:numPr>
        <w:rPr>
          <w:rFonts w:ascii="Arial" w:cs="Arial" w:eastAsia="Arial" w:hAnsi="Arial"/>
          <w:sz w:val="17"/>
          <w:szCs w:val="17"/>
          <w:color w:val="auto"/>
        </w:rPr>
      </w:pPr>
      <w:r>
        <w:rPr>
          <w:rFonts w:ascii="Arial" w:cs="Arial" w:eastAsia="Arial" w:hAnsi="Arial"/>
          <w:sz w:val="17"/>
          <w:szCs w:val="17"/>
          <w:color w:val="auto"/>
        </w:rPr>
        <w:t>if such beneficial interest is being transferred pursuant to an effective registration statement under the Securities Act, a certificate to the effect set forth in Exhibit B hereto, including the certifications in item (3)(c) thereof, 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5" w:lineRule="exact"/>
        <w:rPr>
          <w:rFonts w:ascii="Arial" w:cs="Arial" w:eastAsia="Arial" w:hAnsi="Arial"/>
          <w:sz w:val="17"/>
          <w:szCs w:val="17"/>
          <w:color w:val="auto"/>
        </w:rPr>
      </w:pPr>
    </w:p>
    <w:p>
      <w:pPr>
        <w:ind w:left="-300" w:firstLine="646"/>
        <w:spacing w:after="0" w:line="259" w:lineRule="auto"/>
        <w:tabs>
          <w:tab w:leader="none" w:pos="873"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Beneficial Interests in Regulation S Global Note to Definitive Notes</w:t>
      </w:r>
      <w:r>
        <w:rPr>
          <w:rFonts w:ascii="Arial" w:cs="Arial" w:eastAsia="Arial" w:hAnsi="Arial"/>
          <w:sz w:val="18"/>
          <w:szCs w:val="18"/>
          <w:color w:val="auto"/>
        </w:rPr>
        <w:t>. Notwithstanding Sections 2.06(c)(1) hereof, a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the Regulation S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under the Securities Act.</w:t>
      </w:r>
    </w:p>
    <w:p>
      <w:pPr>
        <w:spacing w:after="0" w:line="186" w:lineRule="exact"/>
        <w:rPr>
          <w:rFonts w:ascii="Arial" w:cs="Arial" w:eastAsia="Arial" w:hAnsi="Arial"/>
          <w:sz w:val="18"/>
          <w:szCs w:val="18"/>
          <w:color w:val="auto"/>
        </w:rPr>
      </w:pPr>
    </w:p>
    <w:p>
      <w:pPr>
        <w:ind w:left="-300" w:right="180" w:firstLine="646"/>
        <w:spacing w:after="0" w:line="259" w:lineRule="auto"/>
        <w:tabs>
          <w:tab w:leader="none" w:pos="873"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Beneficial Interests in Restricted Global Notes to Unrestricted Definitive Notes</w:t>
      </w:r>
      <w:r>
        <w:rPr>
          <w:rFonts w:ascii="Arial" w:cs="Arial" w:eastAsia="Arial" w:hAnsi="Arial"/>
          <w:sz w:val="18"/>
          <w:szCs w:val="18"/>
          <w:color w:val="auto"/>
        </w:rPr>
        <w:t>. Subject to Section 2.06(a), a holder of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86" w:lineRule="exact"/>
        <w:rPr>
          <w:rFonts w:ascii="Arial" w:cs="Arial" w:eastAsia="Arial" w:hAnsi="Arial"/>
          <w:sz w:val="18"/>
          <w:szCs w:val="18"/>
          <w:color w:val="auto"/>
        </w:rPr>
      </w:pPr>
    </w:p>
    <w:p>
      <w:pPr>
        <w:ind w:left="180" w:right="100" w:firstLine="652"/>
        <w:spacing w:after="0" w:line="263" w:lineRule="auto"/>
        <w:tabs>
          <w:tab w:leader="none" w:pos="139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183" w:lineRule="exact"/>
        <w:rPr>
          <w:rFonts w:ascii="Arial" w:cs="Arial" w:eastAsia="Arial" w:hAnsi="Arial"/>
          <w:sz w:val="18"/>
          <w:szCs w:val="18"/>
          <w:color w:val="auto"/>
        </w:rPr>
      </w:pPr>
    </w:p>
    <w:p>
      <w:pPr>
        <w:ind w:left="180" w:right="400" w:firstLine="652"/>
        <w:spacing w:after="0" w:line="263" w:lineRule="auto"/>
        <w:tabs>
          <w:tab w:leader="none" w:pos="138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2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060"/>
          </w:cols>
          <w:pgMar w:left="1440" w:top="341" w:right="399" w:bottom="1440" w:gutter="0" w:footer="0" w:header="0"/>
        </w:sectPr>
      </w:pPr>
    </w:p>
    <w:bookmarkStart w:id="287" w:name="page288"/>
    <w:bookmarkEnd w:id="287"/>
    <w:p>
      <w:pPr>
        <w:ind w:left="4" w:firstLine="648"/>
        <w:spacing w:after="0" w:line="259" w:lineRule="auto"/>
        <w:rPr>
          <w:sz w:val="20"/>
          <w:szCs w:val="20"/>
          <w:color w:val="auto"/>
        </w:rPr>
      </w:pPr>
      <w:r>
        <w:rPr>
          <w:rFonts w:ascii="Arial" w:cs="Arial" w:eastAsia="Arial" w:hAnsi="Arial"/>
          <w:sz w:val="18"/>
          <w:szCs w:val="18"/>
          <w:color w:val="auto"/>
        </w:rPr>
        <w:t>and, in each such case set forth in this subparagraph (3), if the Registrar or the Issuer so request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164" w:right="80" w:firstLine="646"/>
        <w:spacing w:after="0" w:line="288" w:lineRule="auto"/>
        <w:tabs>
          <w:tab w:leader="none" w:pos="1337" w:val="left"/>
        </w:tabs>
        <w:numPr>
          <w:ilvl w:val="1"/>
          <w:numId w:val="299"/>
        </w:numPr>
        <w:rPr>
          <w:rFonts w:ascii="Arial" w:cs="Arial" w:eastAsia="Arial" w:hAnsi="Arial"/>
          <w:sz w:val="16"/>
          <w:szCs w:val="16"/>
          <w:color w:val="auto"/>
        </w:rPr>
      </w:pPr>
      <w:r>
        <w:rPr>
          <w:rFonts w:ascii="Arial" w:cs="Arial" w:eastAsia="Arial" w:hAnsi="Arial"/>
          <w:sz w:val="16"/>
          <w:szCs w:val="16"/>
          <w:i w:val="1"/>
          <w:iCs w:val="1"/>
          <w:color w:val="auto"/>
        </w:rPr>
        <w:t>Beneficial Interests in Unrestricted Global Notes to Unrestricted Definitive Notes</w:t>
      </w:r>
      <w:r>
        <w:rPr>
          <w:rFonts w:ascii="Arial" w:cs="Arial" w:eastAsia="Arial" w:hAnsi="Arial"/>
          <w:sz w:val="16"/>
          <w:szCs w:val="16"/>
          <w:color w:val="auto"/>
        </w:rPr>
        <w:t>. Subject to Section 2.06(a), if any holder of a</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Issuer will execute and the Trustee will authenticate and deliver to the Person designated in the instructions a Definitive Note in the appropriate principal amount. Any Definitive Note issued in exchange for a beneficial interest pursuant to this Section 2.06(c)(4)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2.06(c)(4) will not bear the Private Placement Legend.</w:t>
      </w:r>
    </w:p>
    <w:p>
      <w:pPr>
        <w:spacing w:after="0" w:line="168" w:lineRule="exact"/>
        <w:rPr>
          <w:rFonts w:ascii="Arial" w:cs="Arial" w:eastAsia="Arial" w:hAnsi="Arial"/>
          <w:sz w:val="16"/>
          <w:szCs w:val="16"/>
          <w:color w:val="auto"/>
        </w:rPr>
      </w:pPr>
    </w:p>
    <w:p>
      <w:pPr>
        <w:ind w:left="524" w:hanging="524"/>
        <w:spacing w:after="0"/>
        <w:tabs>
          <w:tab w:leader="none" w:pos="524" w:val="left"/>
        </w:tabs>
        <w:numPr>
          <w:ilvl w:val="0"/>
          <w:numId w:val="300"/>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4" w:right="160" w:firstLine="646"/>
        <w:spacing w:after="0" w:line="259" w:lineRule="auto"/>
        <w:tabs>
          <w:tab w:leader="none" w:pos="1337" w:val="left"/>
        </w:tabs>
        <w:numPr>
          <w:ilvl w:val="1"/>
          <w:numId w:val="300"/>
        </w:numPr>
        <w:rPr>
          <w:rFonts w:ascii="Arial" w:cs="Arial" w:eastAsia="Arial" w:hAnsi="Arial"/>
          <w:sz w:val="18"/>
          <w:szCs w:val="18"/>
          <w:color w:val="auto"/>
        </w:rPr>
      </w:pPr>
      <w:r>
        <w:rPr>
          <w:rFonts w:ascii="Arial" w:cs="Arial" w:eastAsia="Arial" w:hAnsi="Arial"/>
          <w:sz w:val="18"/>
          <w:szCs w:val="18"/>
          <w:i w:val="1"/>
          <w:iCs w:val="1"/>
          <w:color w:val="auto"/>
        </w:rPr>
        <w:t>Restricted Definitive Notes to Beneficial Interests in Restricted Global Notes</w:t>
      </w:r>
      <w:r>
        <w:rPr>
          <w:rFonts w:ascii="Arial" w:cs="Arial" w:eastAsia="Arial" w:hAnsi="Arial"/>
          <w:sz w:val="18"/>
          <w:szCs w:val="18"/>
          <w:color w:val="auto"/>
        </w:rPr>
        <w:t>. If any Holder of a 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86" w:lineRule="exact"/>
        <w:rPr>
          <w:rFonts w:ascii="Arial" w:cs="Arial" w:eastAsia="Arial" w:hAnsi="Arial"/>
          <w:sz w:val="18"/>
          <w:szCs w:val="18"/>
          <w:color w:val="auto"/>
        </w:rPr>
      </w:pPr>
    </w:p>
    <w:p>
      <w:pPr>
        <w:ind w:left="644" w:right="120" w:firstLine="652"/>
        <w:spacing w:after="0" w:line="342" w:lineRule="auto"/>
        <w:tabs>
          <w:tab w:leader="none" w:pos="1857" w:val="left"/>
        </w:tabs>
        <w:numPr>
          <w:ilvl w:val="2"/>
          <w:numId w:val="300"/>
        </w:numPr>
        <w:rPr>
          <w:rFonts w:ascii="Arial" w:cs="Arial" w:eastAsia="Arial" w:hAnsi="Arial"/>
          <w:sz w:val="16"/>
          <w:szCs w:val="16"/>
          <w:color w:val="auto"/>
        </w:rPr>
      </w:pPr>
      <w:r>
        <w:rPr>
          <w:rFonts w:ascii="Arial" w:cs="Arial" w:eastAsia="Arial" w:hAnsi="Arial"/>
          <w:sz w:val="16"/>
          <w:szCs w:val="16"/>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123" w:lineRule="exact"/>
        <w:rPr>
          <w:rFonts w:ascii="Arial" w:cs="Arial" w:eastAsia="Arial" w:hAnsi="Arial"/>
          <w:sz w:val="16"/>
          <w:szCs w:val="16"/>
          <w:color w:val="auto"/>
        </w:rPr>
      </w:pPr>
    </w:p>
    <w:p>
      <w:pPr>
        <w:ind w:left="644" w:right="120" w:firstLine="652"/>
        <w:spacing w:after="0" w:line="277" w:lineRule="auto"/>
        <w:tabs>
          <w:tab w:leader="none" w:pos="1847" w:val="left"/>
        </w:tabs>
        <w:numPr>
          <w:ilvl w:val="2"/>
          <w:numId w:val="300"/>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27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64"/>
          </w:cols>
          <w:pgMar w:left="976" w:top="341" w:right="359" w:bottom="1440" w:gutter="0" w:footer="0" w:header="0"/>
        </w:sectPr>
      </w:pPr>
    </w:p>
    <w:bookmarkStart w:id="288" w:name="page289"/>
    <w:bookmarkEnd w:id="288"/>
    <w:p>
      <w:pPr>
        <w:ind w:left="180" w:firstLine="652"/>
        <w:spacing w:after="0" w:line="308" w:lineRule="auto"/>
        <w:tabs>
          <w:tab w:leader="none" w:pos="1383" w:val="left"/>
        </w:tabs>
        <w:numPr>
          <w:ilvl w:val="2"/>
          <w:numId w:val="301"/>
        </w:numPr>
        <w:rPr>
          <w:rFonts w:ascii="Arial" w:cs="Arial" w:eastAsia="Arial" w:hAnsi="Arial"/>
          <w:sz w:val="17"/>
          <w:szCs w:val="17"/>
          <w:color w:val="auto"/>
        </w:rPr>
      </w:pPr>
      <w:r>
        <w:rPr>
          <w:rFonts w:ascii="Arial" w:cs="Arial" w:eastAsia="Arial" w:hAnsi="Arial"/>
          <w:sz w:val="17"/>
          <w:szCs w:val="17"/>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146" w:lineRule="exact"/>
        <w:rPr>
          <w:rFonts w:ascii="Arial" w:cs="Arial" w:eastAsia="Arial" w:hAnsi="Arial"/>
          <w:sz w:val="17"/>
          <w:szCs w:val="17"/>
          <w:color w:val="auto"/>
        </w:rPr>
      </w:pPr>
    </w:p>
    <w:p>
      <w:pPr>
        <w:ind w:left="180" w:firstLine="652"/>
        <w:spacing w:after="0" w:line="291" w:lineRule="auto"/>
        <w:tabs>
          <w:tab w:leader="none" w:pos="1393" w:val="left"/>
        </w:tabs>
        <w:numPr>
          <w:ilvl w:val="2"/>
          <w:numId w:val="301"/>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w:t>
      </w:r>
    </w:p>
    <w:p>
      <w:pPr>
        <w:ind w:left="420" w:hanging="236"/>
        <w:spacing w:after="0"/>
        <w:tabs>
          <w:tab w:leader="none" w:pos="4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thereof;</w:t>
      </w:r>
    </w:p>
    <w:p>
      <w:pPr>
        <w:spacing w:after="0" w:line="210" w:lineRule="exact"/>
        <w:rPr>
          <w:rFonts w:ascii="Arial" w:cs="Arial" w:eastAsia="Arial" w:hAnsi="Arial"/>
          <w:sz w:val="18"/>
          <w:szCs w:val="18"/>
          <w:color w:val="auto"/>
        </w:rPr>
      </w:pPr>
    </w:p>
    <w:p>
      <w:pPr>
        <w:jc w:val="both"/>
        <w:ind w:left="180" w:firstLine="652"/>
        <w:spacing w:after="0" w:line="259" w:lineRule="auto"/>
        <w:tabs>
          <w:tab w:leader="none" w:pos="1373" w:val="left"/>
        </w:tabs>
        <w:numPr>
          <w:ilvl w:val="2"/>
          <w:numId w:val="302"/>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186" w:lineRule="exact"/>
        <w:rPr>
          <w:rFonts w:ascii="Arial" w:cs="Arial" w:eastAsia="Arial" w:hAnsi="Arial"/>
          <w:sz w:val="18"/>
          <w:szCs w:val="18"/>
          <w:color w:val="auto"/>
        </w:rPr>
      </w:pPr>
    </w:p>
    <w:p>
      <w:pPr>
        <w:ind w:left="180" w:right="40" w:firstLine="652"/>
        <w:spacing w:after="0" w:line="277" w:lineRule="auto"/>
        <w:tabs>
          <w:tab w:leader="none" w:pos="1363" w:val="left"/>
        </w:tabs>
        <w:numPr>
          <w:ilvl w:val="2"/>
          <w:numId w:val="302"/>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Issuer or any of its Subsidiaries, a certificate to the effect set forth in Exhibit B hereto, including the certifications in item (3)(b) thereof; or</w:t>
      </w:r>
    </w:p>
    <w:p>
      <w:pPr>
        <w:spacing w:after="0" w:line="170" w:lineRule="exact"/>
        <w:rPr>
          <w:rFonts w:ascii="Arial" w:cs="Arial" w:eastAsia="Arial" w:hAnsi="Arial"/>
          <w:sz w:val="18"/>
          <w:szCs w:val="18"/>
          <w:color w:val="auto"/>
        </w:rPr>
      </w:pPr>
    </w:p>
    <w:p>
      <w:pPr>
        <w:ind w:left="180" w:right="40" w:firstLine="652"/>
        <w:spacing w:after="0" w:line="257" w:lineRule="auto"/>
        <w:tabs>
          <w:tab w:leader="none" w:pos="1393" w:val="left"/>
        </w:tabs>
        <w:numPr>
          <w:ilvl w:val="2"/>
          <w:numId w:val="302"/>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effective registration statement under the Securities Act, a certificate to the effect set forth in Exhibit B hereto, including the certifications in item (3)(c) thereof, the Trustee will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 and in all other cases, the IAI Global Note.</w:t>
      </w:r>
    </w:p>
    <w:p>
      <w:pPr>
        <w:spacing w:after="0" w:line="187" w:lineRule="exact"/>
        <w:rPr>
          <w:rFonts w:ascii="Arial" w:cs="Arial" w:eastAsia="Arial" w:hAnsi="Arial"/>
          <w:sz w:val="18"/>
          <w:szCs w:val="18"/>
          <w:color w:val="auto"/>
        </w:rPr>
      </w:pPr>
    </w:p>
    <w:p>
      <w:pPr>
        <w:ind w:left="-300" w:right="160" w:firstLine="646"/>
        <w:spacing w:after="0" w:line="286" w:lineRule="auto"/>
        <w:tabs>
          <w:tab w:leader="none" w:pos="873" w:val="left"/>
        </w:tabs>
        <w:numPr>
          <w:ilvl w:val="1"/>
          <w:numId w:val="302"/>
        </w:numPr>
        <w:rPr>
          <w:rFonts w:ascii="Arial" w:cs="Arial" w:eastAsia="Arial" w:hAnsi="Arial"/>
          <w:sz w:val="17"/>
          <w:szCs w:val="17"/>
          <w:color w:val="auto"/>
        </w:rPr>
      </w:pPr>
      <w:r>
        <w:rPr>
          <w:rFonts w:ascii="Arial" w:cs="Arial" w:eastAsia="Arial" w:hAnsi="Arial"/>
          <w:sz w:val="17"/>
          <w:szCs w:val="17"/>
          <w:i w:val="1"/>
          <w:iCs w:val="1"/>
          <w:color w:val="auto"/>
        </w:rPr>
        <w:t>Restricted Definitive Notes to Beneficial Interests in Unrestricted Global Notes</w:t>
      </w:r>
      <w:r>
        <w:rPr>
          <w:rFonts w:ascii="Arial" w:cs="Arial" w:eastAsia="Arial" w:hAnsi="Arial"/>
          <w:sz w:val="17"/>
          <w:szCs w:val="17"/>
          <w:color w:val="auto"/>
        </w:rPr>
        <w:t>. A Holder of a Restricted Definitive Note may</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65" w:lineRule="exact"/>
        <w:rPr>
          <w:rFonts w:ascii="Arial" w:cs="Arial" w:eastAsia="Arial" w:hAnsi="Arial"/>
          <w:sz w:val="17"/>
          <w:szCs w:val="17"/>
          <w:color w:val="auto"/>
        </w:rPr>
      </w:pPr>
    </w:p>
    <w:p>
      <w:pPr>
        <w:ind w:left="180" w:right="440" w:firstLine="652"/>
        <w:spacing w:after="0" w:line="342" w:lineRule="auto"/>
        <w:tabs>
          <w:tab w:leader="none" w:pos="1393" w:val="left"/>
        </w:tabs>
        <w:numPr>
          <w:ilvl w:val="2"/>
          <w:numId w:val="303"/>
        </w:numPr>
        <w:rPr>
          <w:rFonts w:ascii="Arial" w:cs="Arial" w:eastAsia="Arial" w:hAnsi="Arial"/>
          <w:sz w:val="16"/>
          <w:szCs w:val="16"/>
          <w:color w:val="auto"/>
        </w:rPr>
      </w:pPr>
      <w:r>
        <w:rPr>
          <w:rFonts w:ascii="Arial" w:cs="Arial" w:eastAsia="Arial" w:hAnsi="Arial"/>
          <w:sz w:val="16"/>
          <w:szCs w:val="16"/>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123" w:lineRule="exact"/>
        <w:rPr>
          <w:rFonts w:ascii="Arial" w:cs="Arial" w:eastAsia="Arial" w:hAnsi="Arial"/>
          <w:sz w:val="16"/>
          <w:szCs w:val="16"/>
          <w:color w:val="auto"/>
        </w:rPr>
      </w:pPr>
    </w:p>
    <w:p>
      <w:pPr>
        <w:ind w:left="180" w:right="40" w:firstLine="652"/>
        <w:spacing w:after="0" w:line="263" w:lineRule="auto"/>
        <w:tabs>
          <w:tab w:leader="none" w:pos="1383" w:val="left"/>
        </w:tabs>
        <w:numPr>
          <w:ilvl w:val="2"/>
          <w:numId w:val="303"/>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2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89" w:name="page290"/>
    <w:bookmarkEnd w:id="289"/>
    <w:p>
      <w:pPr>
        <w:ind w:left="660" w:right="20" w:firstLine="648"/>
        <w:spacing w:after="0" w:line="259" w:lineRule="auto"/>
        <w:rPr>
          <w:sz w:val="20"/>
          <w:szCs w:val="20"/>
          <w:color w:val="auto"/>
        </w:rPr>
      </w:pPr>
      <w:r>
        <w:rPr>
          <w:rFonts w:ascii="Arial" w:cs="Arial" w:eastAsia="Arial" w:hAnsi="Arial"/>
          <w:sz w:val="18"/>
          <w:szCs w:val="18"/>
          <w:color w:val="auto"/>
        </w:rPr>
        <w:t>and, in each such case set forth in this subparagraph (2), if the Registrar or the Issuer so request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170" w:lineRule="exact"/>
        <w:rPr>
          <w:sz w:val="20"/>
          <w:szCs w:val="20"/>
          <w:color w:val="auto"/>
        </w:rPr>
      </w:pPr>
    </w:p>
    <w:p>
      <w:pPr>
        <w:ind w:left="820" w:firstLine="646"/>
        <w:spacing w:after="0" w:line="257" w:lineRule="auto"/>
        <w:tabs>
          <w:tab w:leader="none" w:pos="1993" w:val="left"/>
        </w:tabs>
        <w:numPr>
          <w:ilvl w:val="0"/>
          <w:numId w:val="304"/>
        </w:numPr>
        <w:rPr>
          <w:rFonts w:ascii="Arial" w:cs="Arial" w:eastAsia="Arial" w:hAnsi="Arial"/>
          <w:sz w:val="18"/>
          <w:szCs w:val="18"/>
          <w:color w:val="auto"/>
        </w:rPr>
      </w:pPr>
      <w:r>
        <w:rPr>
          <w:rFonts w:ascii="Arial" w:cs="Arial" w:eastAsia="Arial" w:hAnsi="Arial"/>
          <w:sz w:val="18"/>
          <w:szCs w:val="18"/>
          <w:i w:val="1"/>
          <w:iCs w:val="1"/>
          <w:color w:val="auto"/>
        </w:rPr>
        <w:t>Unrestricted Definitive Notes to Beneficial Interests in Unrestricted Global Notes</w:t>
      </w:r>
      <w:r>
        <w:rPr>
          <w:rFonts w:ascii="Arial" w:cs="Arial" w:eastAsia="Arial" w:hAnsi="Arial"/>
          <w:sz w:val="18"/>
          <w:szCs w:val="18"/>
          <w:color w:val="auto"/>
        </w:rPr>
        <w:t>. A Holder of an Unrestricted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 (2)(B) or (3) above at a time when an Unrestricted Global Note has not yet been issued, the Issuer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87" w:lineRule="exact"/>
        <w:rPr>
          <w:sz w:val="20"/>
          <w:szCs w:val="20"/>
          <w:color w:val="auto"/>
        </w:rPr>
      </w:pPr>
    </w:p>
    <w:p>
      <w:pPr>
        <w:ind w:right="120" w:firstLine="656"/>
        <w:spacing w:after="0" w:line="255" w:lineRule="auto"/>
        <w:tabs>
          <w:tab w:leader="none" w:pos="1162"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Definitive Notes</w:t>
      </w:r>
      <w:r>
        <w:rPr>
          <w:rFonts w:ascii="Arial" w:cs="Arial" w:eastAsia="Arial" w:hAnsi="Arial"/>
          <w:sz w:val="18"/>
          <w:szCs w:val="18"/>
          <w:color w:val="auto"/>
        </w:rPr>
        <w:t>. Upon request by a Holder of Definitive Notes and such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2" w:lineRule="exact"/>
        <w:rPr>
          <w:rFonts w:ascii="Arial" w:cs="Arial" w:eastAsia="Arial" w:hAnsi="Arial"/>
          <w:sz w:val="18"/>
          <w:szCs w:val="18"/>
          <w:color w:val="auto"/>
        </w:rPr>
      </w:pPr>
    </w:p>
    <w:p>
      <w:pPr>
        <w:ind w:left="820" w:right="160" w:firstLine="646"/>
        <w:spacing w:after="0" w:line="342" w:lineRule="auto"/>
        <w:tabs>
          <w:tab w:leader="none" w:pos="1993" w:val="left"/>
        </w:tabs>
        <w:numPr>
          <w:ilvl w:val="1"/>
          <w:numId w:val="305"/>
        </w:numPr>
        <w:rPr>
          <w:rFonts w:ascii="Arial" w:cs="Arial" w:eastAsia="Arial" w:hAnsi="Arial"/>
          <w:sz w:val="16"/>
          <w:szCs w:val="16"/>
          <w:color w:val="auto"/>
        </w:rPr>
      </w:pPr>
      <w:r>
        <w:rPr>
          <w:rFonts w:ascii="Arial" w:cs="Arial" w:eastAsia="Arial" w:hAnsi="Arial"/>
          <w:sz w:val="16"/>
          <w:szCs w:val="16"/>
          <w:i w:val="1"/>
          <w:iCs w:val="1"/>
          <w:color w:val="auto"/>
        </w:rPr>
        <w:t>Restricted Definitive Notes to Restricted Definitive Notes</w:t>
      </w:r>
      <w:r>
        <w:rPr>
          <w:rFonts w:ascii="Arial" w:cs="Arial" w:eastAsia="Arial" w:hAnsi="Arial"/>
          <w:sz w:val="16"/>
          <w:szCs w:val="16"/>
          <w:color w:val="auto"/>
        </w:rPr>
        <w:t>. Any Restricted Definitive Note may be transferred to and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name of Persons who take delivery thereof in the form of a Restricted Definitive Note if the Registrar receives the following:</w:t>
      </w:r>
    </w:p>
    <w:p>
      <w:pPr>
        <w:spacing w:after="0" w:line="123" w:lineRule="exact"/>
        <w:rPr>
          <w:rFonts w:ascii="Arial" w:cs="Arial" w:eastAsia="Arial" w:hAnsi="Arial"/>
          <w:sz w:val="16"/>
          <w:szCs w:val="16"/>
          <w:color w:val="auto"/>
        </w:rPr>
      </w:pPr>
    </w:p>
    <w:p>
      <w:pPr>
        <w:ind w:left="1300" w:right="80" w:firstLine="652"/>
        <w:spacing w:after="0" w:line="277" w:lineRule="auto"/>
        <w:tabs>
          <w:tab w:leader="none" w:pos="2513" w:val="left"/>
        </w:tabs>
        <w:numPr>
          <w:ilvl w:val="2"/>
          <w:numId w:val="305"/>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170" w:lineRule="exact"/>
        <w:rPr>
          <w:rFonts w:ascii="Arial" w:cs="Arial" w:eastAsia="Arial" w:hAnsi="Arial"/>
          <w:sz w:val="18"/>
          <w:szCs w:val="18"/>
          <w:color w:val="auto"/>
        </w:rPr>
      </w:pPr>
    </w:p>
    <w:p>
      <w:pPr>
        <w:ind w:left="1300" w:right="60" w:firstLine="652"/>
        <w:spacing w:after="0" w:line="277" w:lineRule="auto"/>
        <w:tabs>
          <w:tab w:leader="none" w:pos="2503" w:val="left"/>
        </w:tabs>
        <w:numPr>
          <w:ilvl w:val="2"/>
          <w:numId w:val="305"/>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0" w:name="page291"/>
    <w:bookmarkEnd w:id="290"/>
    <w:p>
      <w:pPr>
        <w:ind w:left="1280" w:right="320" w:firstLine="652"/>
        <w:spacing w:after="0" w:line="263" w:lineRule="auto"/>
        <w:tabs>
          <w:tab w:leader="none" w:pos="2483" w:val="left"/>
        </w:tabs>
        <w:numPr>
          <w:ilvl w:val="1"/>
          <w:numId w:val="306"/>
        </w:numPr>
        <w:rPr>
          <w:rFonts w:ascii="Arial" w:cs="Arial" w:eastAsia="Arial" w:hAnsi="Arial"/>
          <w:sz w:val="18"/>
          <w:szCs w:val="18"/>
          <w:color w:val="auto"/>
        </w:rPr>
      </w:pPr>
      <w:r>
        <w:rPr>
          <w:rFonts w:ascii="Arial" w:cs="Arial" w:eastAsia="Arial" w:hAnsi="Arial"/>
          <w:sz w:val="18"/>
          <w:szCs w:val="18"/>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183" w:lineRule="exact"/>
        <w:rPr>
          <w:rFonts w:ascii="Arial" w:cs="Arial" w:eastAsia="Arial" w:hAnsi="Arial"/>
          <w:sz w:val="18"/>
          <w:szCs w:val="18"/>
          <w:color w:val="auto"/>
        </w:rPr>
      </w:pPr>
    </w:p>
    <w:p>
      <w:pPr>
        <w:ind w:left="800" w:right="180" w:firstLine="646"/>
        <w:spacing w:after="0" w:line="263" w:lineRule="auto"/>
        <w:tabs>
          <w:tab w:leader="none" w:pos="1973"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t>Restricted Definitive Notes to Unrestricted Definitive Notes</w:t>
      </w:r>
      <w:r>
        <w:rPr>
          <w:rFonts w:ascii="Arial" w:cs="Arial" w:eastAsia="Arial" w:hAnsi="Arial"/>
          <w:sz w:val="18"/>
          <w:szCs w:val="18"/>
          <w:color w:val="auto"/>
        </w:rPr>
        <w:t>. Any Restricted Definitive Note may be exchanged by the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for an Unrestricted Definitive Note or transferred to a Person or Persons who take delivery thereof in the form of an Unrestricted Definitive Note if the Registrar receives the following:</w:t>
      </w:r>
    </w:p>
    <w:p>
      <w:pPr>
        <w:spacing w:after="0" w:line="183" w:lineRule="exact"/>
        <w:rPr>
          <w:rFonts w:ascii="Arial" w:cs="Arial" w:eastAsia="Arial" w:hAnsi="Arial"/>
          <w:sz w:val="18"/>
          <w:szCs w:val="18"/>
          <w:color w:val="auto"/>
        </w:rPr>
      </w:pPr>
    </w:p>
    <w:p>
      <w:pPr>
        <w:ind w:left="1280" w:right="20" w:firstLine="652"/>
        <w:spacing w:after="0" w:line="308" w:lineRule="auto"/>
        <w:tabs>
          <w:tab w:leader="none" w:pos="2493" w:val="left"/>
        </w:tabs>
        <w:numPr>
          <w:ilvl w:val="1"/>
          <w:numId w:val="307"/>
        </w:numPr>
        <w:rPr>
          <w:rFonts w:ascii="Arial" w:cs="Arial" w:eastAsia="Arial" w:hAnsi="Arial"/>
          <w:sz w:val="17"/>
          <w:szCs w:val="17"/>
          <w:color w:val="auto"/>
        </w:rPr>
      </w:pPr>
      <w:r>
        <w:rPr>
          <w:rFonts w:ascii="Arial" w:cs="Arial" w:eastAsia="Arial" w:hAnsi="Arial"/>
          <w:sz w:val="17"/>
          <w:szCs w:val="17"/>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46" w:lineRule="exact"/>
        <w:rPr>
          <w:rFonts w:ascii="Arial" w:cs="Arial" w:eastAsia="Arial" w:hAnsi="Arial"/>
          <w:sz w:val="17"/>
          <w:szCs w:val="17"/>
          <w:color w:val="auto"/>
        </w:rPr>
      </w:pPr>
    </w:p>
    <w:p>
      <w:pPr>
        <w:ind w:left="1280" w:right="340" w:firstLine="652"/>
        <w:spacing w:after="0" w:line="263" w:lineRule="auto"/>
        <w:tabs>
          <w:tab w:leader="none" w:pos="2483"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184" w:lineRule="exact"/>
        <w:rPr>
          <w:sz w:val="20"/>
          <w:szCs w:val="20"/>
          <w:color w:val="auto"/>
        </w:rPr>
      </w:pPr>
    </w:p>
    <w:p>
      <w:pPr>
        <w:ind w:left="640" w:right="80" w:firstLine="648"/>
        <w:spacing w:after="0" w:line="311" w:lineRule="auto"/>
        <w:rPr>
          <w:sz w:val="20"/>
          <w:szCs w:val="20"/>
          <w:color w:val="auto"/>
        </w:rPr>
      </w:pPr>
      <w:r>
        <w:rPr>
          <w:rFonts w:ascii="Arial" w:cs="Arial" w:eastAsia="Arial" w:hAnsi="Arial"/>
          <w:sz w:val="16"/>
          <w:szCs w:val="16"/>
          <w:color w:val="auto"/>
        </w:rPr>
        <w:t>and, in each such case set forth in this subparagraph (2), if the Registrar or the Issuer so request,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9" w:lineRule="exact"/>
        <w:rPr>
          <w:sz w:val="20"/>
          <w:szCs w:val="20"/>
          <w:color w:val="auto"/>
        </w:rPr>
      </w:pPr>
    </w:p>
    <w:p>
      <w:pPr>
        <w:ind w:left="800" w:right="20" w:firstLine="646"/>
        <w:spacing w:after="0" w:line="286" w:lineRule="auto"/>
        <w:tabs>
          <w:tab w:leader="none" w:pos="1973" w:val="left"/>
        </w:tabs>
        <w:numPr>
          <w:ilvl w:val="1"/>
          <w:numId w:val="308"/>
        </w:numPr>
        <w:rPr>
          <w:rFonts w:ascii="Arial" w:cs="Arial" w:eastAsia="Arial" w:hAnsi="Arial"/>
          <w:sz w:val="17"/>
          <w:szCs w:val="17"/>
          <w:color w:val="auto"/>
        </w:rPr>
      </w:pPr>
      <w:r>
        <w:rPr>
          <w:rFonts w:ascii="Arial" w:cs="Arial" w:eastAsia="Arial" w:hAnsi="Arial"/>
          <w:sz w:val="17"/>
          <w:szCs w:val="17"/>
          <w:i w:val="1"/>
          <w:iCs w:val="1"/>
          <w:color w:val="auto"/>
        </w:rPr>
        <w:t>Unrestricted Definitive Notes to Unrestricted Definitive Notes</w:t>
      </w:r>
      <w:r>
        <w:rPr>
          <w:rFonts w:ascii="Arial" w:cs="Arial" w:eastAsia="Arial" w:hAnsi="Arial"/>
          <w:sz w:val="17"/>
          <w:szCs w:val="17"/>
          <w:color w:val="auto"/>
        </w:rPr>
        <w:t>. A Holder of Unrestricted Definitive Notes may transfer such</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65" w:lineRule="exact"/>
        <w:rPr>
          <w:rFonts w:ascii="Arial" w:cs="Arial" w:eastAsia="Arial" w:hAnsi="Arial"/>
          <w:sz w:val="17"/>
          <w:szCs w:val="17"/>
          <w:color w:val="auto"/>
        </w:rPr>
      </w:pPr>
    </w:p>
    <w:p>
      <w:pPr>
        <w:ind w:left="-20" w:right="640" w:firstLine="656"/>
        <w:spacing w:after="0" w:line="277" w:lineRule="auto"/>
        <w:tabs>
          <w:tab w:leader="none" w:pos="1122"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w:t>
      </w:r>
    </w:p>
    <w:p>
      <w:pPr>
        <w:spacing w:after="0" w:line="170" w:lineRule="exact"/>
        <w:rPr>
          <w:rFonts w:ascii="Arial" w:cs="Arial" w:eastAsia="Arial" w:hAnsi="Arial"/>
          <w:sz w:val="18"/>
          <w:szCs w:val="18"/>
          <w:color w:val="auto"/>
        </w:rPr>
      </w:pPr>
    </w:p>
    <w:p>
      <w:pPr>
        <w:ind w:left="1980" w:hanging="534"/>
        <w:spacing w:after="0"/>
        <w:tabs>
          <w:tab w:leader="none" w:pos="198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Private Placement Legend.</w:t>
      </w:r>
    </w:p>
    <w:p>
      <w:pPr>
        <w:spacing w:after="0" w:line="225" w:lineRule="exact"/>
        <w:rPr>
          <w:rFonts w:ascii="Arial" w:cs="Arial" w:eastAsia="Arial" w:hAnsi="Arial"/>
          <w:sz w:val="18"/>
          <w:szCs w:val="18"/>
          <w:color w:val="auto"/>
        </w:rPr>
      </w:pPr>
    </w:p>
    <w:p>
      <w:pPr>
        <w:ind w:left="1280" w:right="60" w:firstLine="652"/>
        <w:spacing w:after="0" w:line="277" w:lineRule="auto"/>
        <w:tabs>
          <w:tab w:leader="none" w:pos="2493" w:val="left"/>
        </w:tabs>
        <w:numPr>
          <w:ilvl w:val="2"/>
          <w:numId w:val="309"/>
        </w:numPr>
        <w:rPr>
          <w:rFonts w:ascii="Arial" w:cs="Arial" w:eastAsia="Arial" w:hAnsi="Arial"/>
          <w:sz w:val="18"/>
          <w:szCs w:val="18"/>
          <w:color w:val="auto"/>
        </w:rPr>
      </w:pPr>
      <w:r>
        <w:rPr>
          <w:rFonts w:ascii="Arial" w:cs="Arial" w:eastAsia="Arial" w:hAnsi="Arial"/>
          <w:sz w:val="18"/>
          <w:szCs w:val="18"/>
          <w:color w:val="auto"/>
        </w:rPr>
        <w:t>Except as permitted by subparagraph (B) or (C)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left="1280"/>
        <w:spacing w:after="0" w:line="273" w:lineRule="auto"/>
        <w:rPr>
          <w:sz w:val="20"/>
          <w:szCs w:val="20"/>
          <w:color w:val="auto"/>
        </w:rPr>
      </w:pPr>
      <w:r>
        <w:rPr>
          <w:rFonts w:ascii="Arial" w:cs="Arial" w:eastAsia="Arial" w:hAnsi="Arial"/>
          <w:sz w:val="17"/>
          <w:szCs w:val="17"/>
          <w:color w:val="auto"/>
        </w:rPr>
        <w:t>“THIS NOTE HAS NOT BEEN REGISTERED UNDER THE U.S. SECURITIES ACT OF 1933, AS AMENDED (THE “SECURITIES ACT”), OR UNDER THE SECURITIES LAWS OF ANY STATE OR OTHER JURISDICTION, AND, ACCORDINGLY, MAY NOT BE OFFERED OR SOLD WITHIN THE UNITED STATES OR TO, OR FOR THE ACCOUNT OR BENEFIT OF, U.S. PERSONS EXCEPT AS SET FORTH BELOW. EACH PURCHASER OF THIS NOTE IS HEREBY NOTIFIED THAT THE SELLER OF THIS NOTE MAY BE RELYING ON THE EXEMPTION FROM THE PROVISIONS OF SECTION 5 OF THE SECURITIES ACT PROVIDED BY RULE 144A THEREUNDER OR ANOTHER EXEMPTION UNDER THE SECURITIES ACT.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291" w:name="page292"/>
    <w:bookmarkEnd w:id="291"/>
    <w:p>
      <w:pPr>
        <w:ind w:left="180" w:right="219"/>
        <w:spacing w:after="0" w:line="266" w:lineRule="auto"/>
        <w:rPr>
          <w:sz w:val="20"/>
          <w:szCs w:val="20"/>
          <w:color w:val="auto"/>
        </w:rPr>
      </w:pPr>
      <w:r>
        <w:rPr>
          <w:rFonts w:ascii="Arial" w:cs="Arial" w:eastAsia="Arial" w:hAnsi="Arial"/>
          <w:sz w:val="17"/>
          <w:szCs w:val="17"/>
          <w:color w:val="auto"/>
        </w:rPr>
        <w:t>BY ITS ACCEPTANCE HEREOF, THE HOLDER OF THIS NOTE (1) REPRESENTS THAT (A) IT IS A “QUALIFIED INSTITUTIONAL BUYER” (AS DEFINED IN RULE 144A UNDER THE SECURITIES ACT), (B) IT IS NOT A U.S. PERSON AND IS ACQUIRING THIS NOTE IN AN OFFSHORE TRANSACTION IN COMPLIANCE WITH REGULATION S UNDER THE SECURITIES ACT OR (C) IT IS AN “INSTITUTIONAL” ACCREDITED INVESTOR (AS DEFINED IN RULE 501(a)(1), (2), (3) OR (7) UNDER REGULATION D PROMULGATED UNDER THE SECURITIES ACT (AN “ACCREDITED INVESTOR”)) AND (2) AGREES THAT IT WILL NOT WITHIN [ONE YEAR—FOR NOTES ISSUED PURSUANT TO RULE 144A][40 DAYS—FOR NOTES ISSUED IN OFFSHORE TRANSACTIONS PURSUANT TO REGULATION S] AFTER THE LATER OF THE DATE OF THE ORIGINAL ISSUANCE OF THIS NOTE AND THE DATE ON WHICH THE COMPANY OR ANY OF ITS RESPECTIVE AFFILIATES OWNED THIS NOTE, OFFER, RESELL OR OTHERWISE TRANSFER THIS NOTE EXCEPT (A) (I) TO THE COMPANY OR ANY SUBSIDIARY THEREOF, (II) FOR SO LONG AS THIS NOTE IS ELIGIBLE FOR RESALE PURSUANT TO RULE 144A UNDER THE SECURITIES ACT INSIDE THE UNITED STATES TO A PERSON WHOM THE SELLER REASONABLY BELIEVES IS A QUALIFIED INSTITUTIONAL BUYER IN COMPLIANCE WITH RULE 144A UNDER THE SECURITIES ACT, (III) INSIDE THE UNITED STATES TO AN ACCREDITED INVESTOR THAT IS ACQUIRING THE NOTES FOR ITS OWN ACCOUNT OR FOR THE ACCOUNT OF SUCH AN ACCREDITED INVESTOR, IN EACH CASE IN A MINIMUM PRINCIPAL AMOUNT OF THE NOTES OF $250,000, FOR INVESTMENT PURPOSES AND NOT WITH A VIEW TO OR FOR THE OFFER OR SALE IN CONNECTION WITH ANY DISTRIBUTION IN VIOLATION OF THE SECURITIES ACT, AND THAT PRIOR TO SUCH TRANSFER, FURNISHES (OR HAS FURNISHED ON ITS BEHALF BY A U.S. BROKER-DEALER) TO THE TRUSTEE A SIGNED LETTER CONTAINING CERTAIN REPRESENTATIONS AND AGREEMENTS RELATING TO THE RESTRICTIONS ON TRANSFER OF THIS NOTE (THE FORM OF WHICH LETTER CAN BE OBTAINED FROM THE TRUSTEE FOR THIS NOTE), (IV) OUTSIDE THE UNITED STATES IN AN OFFSHORE TRANSACTION IN COMPLIANCE WITH REGULATION S UNDER THE SECURITIES ACT (IF AVAILABLE), (V) PURSUANT TO THE EXEMPTION FROM REGISTRATION PROVIDED BY RULE 144 UNDER THE SECURITIES ACT (IF AVAILABLE), (VI) IN ACCORDANCE WITH ANOTHER EXEMPTION FROM THE REGISTRATION REQUIREMENTS OF THE SECURITIES ACT (AND BASED UPON AN OPINION OF COUNSEL IF THE COMPANY SO REQUESTS), OR (VII) PURSUANT TO AN EFFECTIVE REGISTRATION STATEMENT UNDER THE SECURITIES ACT AND (B) IN ACCORDANCE WITH ALL APPLICABLE SECURITIES LAWS OF THE STATES OF THE UNITED STATES AND OTHER JURISDICTIONS. BY ITS ACCEPTANCE HEREOF, THE HOLDER OF THIS NOTE FURTHER AGREES THAT IT WILL GIVE TO EACH PERSON TO WHOM THIS NOTE IS TRANSFERRED A NOTICE SUBSTANTIALLY TO THE EFFECT OF THIS LEGEND. IN CONNECTION WITH ANY TRANSFER OF THIS NOTE PURSUANT TO SUBCLAUSES (III) TO (VI) OF CLAUSE (A) ABOVE, THE HOLDER MUST, PRIOR TO SUCH TRANSFER, FURNISH TO THE TRUSTEE AND THE COMPANY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MEANINGS GIVEN TO THEM BY REGULATION S UNDER THE SECURITIES ACT.”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2" w:name="page293"/>
    <w:bookmarkEnd w:id="292"/>
    <w:p>
      <w:pPr>
        <w:ind w:left="180" w:firstLine="652"/>
        <w:spacing w:after="0" w:line="263" w:lineRule="auto"/>
        <w:tabs>
          <w:tab w:leader="none" w:pos="138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Notwithstanding the foregoing, any Global Note or Definitive Note issued pursuant to subparagraph (b)(4), (c)(3), (c)(4), (d)(2), (d)(3), (e)(2) or (e)(3) of this Section 2.06 (and all Notes issued in exchange therefor or substitution thereof) will not bear the Private Placement Legend.</w:t>
      </w:r>
    </w:p>
    <w:p>
      <w:pPr>
        <w:spacing w:after="0" w:line="183" w:lineRule="exact"/>
        <w:rPr>
          <w:rFonts w:ascii="Arial" w:cs="Arial" w:eastAsia="Arial" w:hAnsi="Arial"/>
          <w:sz w:val="18"/>
          <w:szCs w:val="18"/>
          <w:color w:val="auto"/>
        </w:rPr>
      </w:pPr>
    </w:p>
    <w:p>
      <w:pPr>
        <w:ind w:left="180" w:firstLine="652"/>
        <w:spacing w:after="0" w:line="286" w:lineRule="auto"/>
        <w:tabs>
          <w:tab w:leader="none" w:pos="1379"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The Issuer may cause the removal of the Private Placement Legend from a Global Note at any time on or after the 366th day after the date hereof through the mandatory exchange procedures of the Depositary by delivery to the Depositary an instruction letter for the Depositary’s mandatory exchange process (and/or otherwise complying with any Applicable Procedures). Until such time as the Issuer provides such instruction letter to the Depositary notifying and confirming to the Depositary that the restricted period for the Notes represented by such Global Note has elapsed and instructing the Depositary to exchange all “restricted securities” represented by a restricted CUSIP for “unrestricted securities” represented by an unrestricted CUSIP (and/or otherwise complies with the Applicable Procedures) and the Depositary moves the Notes represented by such Global Note from a restricted CUSIP number to an unrestricted CUSIP number in accordance with its Applicable Procedures, the restricted CUSIP will be the CUSIP number for such Notes. At such time as the Issuer provides such instruction letter to the Depositary (and/or otherwise complies with the Applicable Procedures) and the Depositary has moved all of such Notes represented by a restricted CUSIP number to an unrestricted CUSIP number, the Private Placement Legend will be deemed removed from such Global Note and an unrestricted CUSIP number for such Notes will be deemed to be the CUSIP number for such Notes. Thereafter such Global Notes shall be deemed an Unrestricted Global Note. No Opinion of Counsel shall be required to be delivered in connection with the mandatory exchange process under this clause (C) and the removal of the Private Placement Legend;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Trustee may rely on an Officer’s Certificate from the Issuer as sufficient evidence of the existence and satisfaction of the conditions as described above.</w:t>
      </w:r>
    </w:p>
    <w:p>
      <w:pPr>
        <w:spacing w:after="0" w:line="2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93" w:name="page294"/>
    <w:bookmarkEnd w:id="293"/>
    <w:p>
      <w:pPr>
        <w:ind w:left="880" w:hanging="534"/>
        <w:spacing w:after="0"/>
        <w:tabs>
          <w:tab w:leader="none" w:pos="880" w:val="left"/>
        </w:tabs>
        <w:numPr>
          <w:ilvl w:val="0"/>
          <w:numId w:val="311"/>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225" w:lineRule="exact"/>
        <w:rPr>
          <w:sz w:val="20"/>
          <w:szCs w:val="20"/>
          <w:color w:val="auto"/>
        </w:rPr>
      </w:pPr>
    </w:p>
    <w:p>
      <w:pPr>
        <w:ind w:left="180" w:right="279"/>
        <w:spacing w:after="0" w:line="253"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w:t>
      </w:r>
    </w:p>
    <w:p>
      <w:pPr>
        <w:spacing w:after="0" w:line="196" w:lineRule="exact"/>
        <w:rPr>
          <w:sz w:val="20"/>
          <w:szCs w:val="20"/>
          <w:color w:val="auto"/>
        </w:rPr>
      </w:pPr>
    </w:p>
    <w:p>
      <w:pPr>
        <w:ind w:left="180" w:right="279"/>
        <w:spacing w:after="0" w:line="268" w:lineRule="auto"/>
        <w:rPr>
          <w:sz w:val="20"/>
          <w:szCs w:val="20"/>
          <w:color w:val="auto"/>
        </w:rPr>
      </w:pPr>
      <w:r>
        <w:rPr>
          <w:rFonts w:ascii="Arial" w:cs="Arial" w:eastAsia="Arial" w:hAnsi="Arial"/>
          <w:sz w:val="17"/>
          <w:szCs w:val="17"/>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w:t>
      </w:r>
      <w:r>
        <w:rPr>
          <w:rFonts w:ascii="Arial" w:cs="Arial" w:eastAsia="Arial" w:hAnsi="Arial"/>
          <w:sz w:val="17"/>
          <w:szCs w:val="17"/>
          <w:i w:val="1"/>
          <w:iCs w:val="1"/>
          <w:color w:val="auto"/>
        </w:rPr>
        <w:t>DTC</w:t>
      </w:r>
      <w:r>
        <w:rPr>
          <w:rFonts w:ascii="Arial" w:cs="Arial" w:eastAsia="Arial" w:hAnsi="Arial"/>
          <w:sz w:val="17"/>
          <w:szCs w:val="17"/>
          <w:color w:val="auto"/>
        </w:rPr>
        <w:t>”),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4" w:name="page295"/>
    <w:bookmarkEnd w:id="294"/>
    <w:p>
      <w:pPr>
        <w:ind w:left="480" w:right="1120"/>
        <w:spacing w:after="0" w:line="252" w:lineRule="auto"/>
        <w:rPr>
          <w:sz w:val="20"/>
          <w:szCs w:val="20"/>
          <w:color w:val="auto"/>
        </w:rPr>
      </w:pPr>
      <w:r>
        <w:rPr>
          <w:rFonts w:ascii="Arial" w:cs="Arial" w:eastAsia="Arial" w:hAnsi="Arial"/>
          <w:sz w:val="18"/>
          <w:szCs w:val="18"/>
          <w:color w:val="auto"/>
        </w:rPr>
        <w:t>BY ITS ACQUISITION OF THIS SECURITY, THE HOLDER THEREOF WILL BE DEEMED TO HAVE REPRESENTED AND WARRANTED THAT EITHER (1) SUCH HOLDER IS NOT PURCHASING OR HOLDING THIS SECURITY WITH THE ASSETS OF (A) AN EMPLOYEE BENEFIT PLAN (AS DEFINED IN SECTION 3(3) OF THE EMPLOYEE RETIREMENT INCOME SECURITY ACT OF 1974, AS AMENDED (“</w:t>
      </w:r>
      <w:r>
        <w:rPr>
          <w:rFonts w:ascii="Arial" w:cs="Arial" w:eastAsia="Arial" w:hAnsi="Arial"/>
          <w:sz w:val="18"/>
          <w:szCs w:val="18"/>
          <w:i w:val="1"/>
          <w:iCs w:val="1"/>
          <w:color w:val="auto"/>
        </w:rPr>
        <w:t>ERISA</w:t>
      </w:r>
      <w:r>
        <w:rPr>
          <w:rFonts w:ascii="Arial" w:cs="Arial" w:eastAsia="Arial" w:hAnsi="Arial"/>
          <w:sz w:val="18"/>
          <w:szCs w:val="18"/>
          <w:color w:val="auto"/>
        </w:rPr>
        <w:t>”)) THAT IS SUBJECT TO TITLE I OF ERISA, (B) A “</w:t>
      </w:r>
      <w:r>
        <w:rPr>
          <w:rFonts w:ascii="Arial" w:cs="Arial" w:eastAsia="Arial" w:hAnsi="Arial"/>
          <w:sz w:val="18"/>
          <w:szCs w:val="18"/>
          <w:i w:val="1"/>
          <w:iCs w:val="1"/>
          <w:color w:val="auto"/>
        </w:rPr>
        <w:t>PLAN</w:t>
      </w:r>
      <w:r>
        <w:rPr>
          <w:rFonts w:ascii="Arial" w:cs="Arial" w:eastAsia="Arial" w:hAnsi="Arial"/>
          <w:sz w:val="18"/>
          <w:szCs w:val="18"/>
          <w:color w:val="auto"/>
        </w:rPr>
        <w:t>” THAT IS SUBJECT TO SECTION 4975 OF THE U.S.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(C) AN ENTITY DEEMED UNDER ERISA TO HOLD “</w:t>
      </w:r>
      <w:r>
        <w:rPr>
          <w:rFonts w:ascii="Arial" w:cs="Arial" w:eastAsia="Arial" w:hAnsi="Arial"/>
          <w:sz w:val="18"/>
          <w:szCs w:val="18"/>
          <w:i w:val="1"/>
          <w:iCs w:val="1"/>
          <w:color w:val="auto"/>
        </w:rPr>
        <w:t>PLAN ASSETS</w:t>
      </w:r>
      <w:r>
        <w:rPr>
          <w:rFonts w:ascii="Arial" w:cs="Arial" w:eastAsia="Arial" w:hAnsi="Arial"/>
          <w:sz w:val="18"/>
          <w:szCs w:val="18"/>
          <w:color w:val="auto"/>
        </w:rPr>
        <w:t>” OF ANY OF THE FOREGOING BY REASON OF AN EMPLOYEE BENEFIT PLAN OR PLAN’S INVESTMENT IN SUCH ENTITY, OR (D) A GOVERNMENTAL PLAN, CHURCH PLAN OR NON-U.S. PLAN SUBJECT TO PROVISIONS UNDER ANY FEDERAL, STATE, LOCAL, NON-U.S. OR OTHER LAWS OR REGULATIONS THAT ARE SIMILAR TO THE FOREGOING PROVISIONS OF ERISA OR THE CODE (“</w:t>
      </w:r>
      <w:r>
        <w:rPr>
          <w:rFonts w:ascii="Arial" w:cs="Arial" w:eastAsia="Arial" w:hAnsi="Arial"/>
          <w:sz w:val="18"/>
          <w:szCs w:val="18"/>
          <w:i w:val="1"/>
          <w:iCs w:val="1"/>
          <w:color w:val="auto"/>
        </w:rPr>
        <w:t>SIMILAR LAW</w:t>
      </w:r>
      <w:r>
        <w:rPr>
          <w:rFonts w:ascii="Arial" w:cs="Arial" w:eastAsia="Arial" w:hAnsi="Arial"/>
          <w:sz w:val="18"/>
          <w:szCs w:val="18"/>
          <w:color w:val="auto"/>
        </w:rPr>
        <w:t>”), OR (2) THE PURCHASE AND HOLDING OF THIS SECURITY WILL NOT CONSTITUTE OR RESULT IN A NON-EXEMPT PROHIBITED TRANSACTION UNDER SECTION 406 OF ERISA OR SECTION 4975 OF THE CODE OR A SIMILAR VIOLATION UNDER ANY APPLICABLE SIMILAR LAWS.”</w:t>
      </w:r>
    </w:p>
    <w:p>
      <w:pPr>
        <w:spacing w:after="0" w:line="197" w:lineRule="exact"/>
        <w:rPr>
          <w:sz w:val="20"/>
          <w:szCs w:val="20"/>
          <w:color w:val="auto"/>
        </w:rPr>
      </w:pPr>
    </w:p>
    <w:p>
      <w:pPr>
        <w:ind w:left="1180" w:hanging="534"/>
        <w:spacing w:after="0"/>
        <w:tabs>
          <w:tab w:leader="none" w:pos="1180" w:val="left"/>
        </w:tabs>
        <w:numPr>
          <w:ilvl w:val="0"/>
          <w:numId w:val="312"/>
        </w:numPr>
        <w:rPr>
          <w:rFonts w:ascii="Arial" w:cs="Arial" w:eastAsia="Arial" w:hAnsi="Arial"/>
          <w:sz w:val="16"/>
          <w:szCs w:val="16"/>
          <w:color w:val="auto"/>
        </w:rPr>
      </w:pPr>
      <w:r>
        <w:rPr>
          <w:rFonts w:ascii="Arial" w:cs="Arial" w:eastAsia="Arial" w:hAnsi="Arial"/>
          <w:sz w:val="16"/>
          <w:szCs w:val="16"/>
          <w:i w:val="1"/>
          <w:iCs w:val="1"/>
          <w:color w:val="auto"/>
        </w:rPr>
        <w:t>Regulation S Global Note Legend</w:t>
      </w:r>
      <w:r>
        <w:rPr>
          <w:rFonts w:ascii="Arial" w:cs="Arial" w:eastAsia="Arial" w:hAnsi="Arial"/>
          <w:sz w:val="16"/>
          <w:szCs w:val="16"/>
          <w:color w:val="auto"/>
        </w:rPr>
        <w:t>. The Regulation S Temporary Global Note will bear a legend in substantially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211" w:lineRule="exact"/>
        <w:rPr>
          <w:sz w:val="20"/>
          <w:szCs w:val="20"/>
          <w:color w:val="auto"/>
        </w:rPr>
      </w:pPr>
    </w:p>
    <w:p>
      <w:pPr>
        <w:ind w:left="480" w:right="1240"/>
        <w:spacing w:after="0" w:line="254" w:lineRule="auto"/>
        <w:rPr>
          <w:sz w:val="20"/>
          <w:szCs w:val="20"/>
          <w:color w:val="auto"/>
        </w:rPr>
      </w:pPr>
      <w:r>
        <w:rPr>
          <w:rFonts w:ascii="Arial" w:cs="Arial" w:eastAsia="Arial" w:hAnsi="Arial"/>
          <w:sz w:val="18"/>
          <w:szCs w:val="18"/>
          <w:color w:val="auto"/>
        </w:rPr>
        <w:t>“BENEFICIAL OWNERSHIP INTERESTS IN THIS REGULATION S GLOBAL NOTE WILL NOT BE EXCHANGEABLE FOR INTERESTS IN ANY OTHER NOTE, UNTIL THE EXPIRATION OF THE 40-DAY DISTRIBUTION COMPLIANCE PERIOD (WITHIN THE MEANING OF RULE 903(b)(3) OF REGULATION S UNDER THE SECURITIES ACT) AND THEN ONLY UPON CERTIFICATION IN FORM REASONABLY SATISFACTORY TO THE TRUSTEE THAT SUCH BENEFICIAL INTERESTS ARE OWNED EITHER BY NON U.S. PERSONS OR U.S. PERSONS WHO PURCHASED SUCH INTERESTS IN A TRANSACTION THAT DID NOT REQUIRE REGISTRATION UNDER THE SECURITIES ACT.”</w:t>
      </w:r>
    </w:p>
    <w:p>
      <w:pPr>
        <w:spacing w:after="0" w:line="30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7132320"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80"/>
          </w:cols>
          <w:pgMar w:left="1140" w:top="341" w:right="579" w:bottom="1440" w:gutter="0" w:footer="0" w:header="0"/>
        </w:sectPr>
      </w:pPr>
    </w:p>
    <w:bookmarkStart w:id="295" w:name="page296"/>
    <w:bookmarkEnd w:id="295"/>
    <w:p>
      <w:pPr>
        <w:ind w:left="-20" w:right="20" w:firstLine="656"/>
        <w:spacing w:after="0" w:line="253" w:lineRule="auto"/>
        <w:tabs>
          <w:tab w:leader="none" w:pos="1153"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 been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for 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96" w:lineRule="exact"/>
        <w:rPr>
          <w:rFonts w:ascii="Arial" w:cs="Arial" w:eastAsia="Arial" w:hAnsi="Arial"/>
          <w:sz w:val="18"/>
          <w:szCs w:val="18"/>
          <w:color w:val="auto"/>
        </w:rPr>
      </w:pPr>
    </w:p>
    <w:p>
      <w:pPr>
        <w:ind w:left="1160" w:hanging="524"/>
        <w:spacing w:after="0"/>
        <w:tabs>
          <w:tab w:leader="none" w:pos="11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General Provisions Relating to Transfers and Exchanges.</w:t>
      </w:r>
    </w:p>
    <w:p>
      <w:pPr>
        <w:spacing w:after="0" w:line="225" w:lineRule="exact"/>
        <w:rPr>
          <w:rFonts w:ascii="Arial" w:cs="Arial" w:eastAsia="Arial" w:hAnsi="Arial"/>
          <w:sz w:val="18"/>
          <w:szCs w:val="18"/>
          <w:color w:val="auto"/>
        </w:rPr>
      </w:pPr>
    </w:p>
    <w:p>
      <w:pPr>
        <w:ind w:left="800" w:right="260" w:firstLine="646"/>
        <w:spacing w:after="0" w:line="342" w:lineRule="auto"/>
        <w:tabs>
          <w:tab w:leader="none" w:pos="1969"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Issuer will execute and the Trustee will authenticate Global Notes and Definitive Notes upon receipt of an Authentication Order in accordance with Section 2.02 hereof or at the Registrar’s request.</w:t>
      </w:r>
    </w:p>
    <w:p>
      <w:pPr>
        <w:spacing w:after="0" w:line="123" w:lineRule="exact"/>
        <w:rPr>
          <w:rFonts w:ascii="Arial" w:cs="Arial" w:eastAsia="Arial" w:hAnsi="Arial"/>
          <w:sz w:val="16"/>
          <w:szCs w:val="16"/>
          <w:color w:val="auto"/>
        </w:rPr>
      </w:pPr>
    </w:p>
    <w:p>
      <w:pPr>
        <w:ind w:left="800" w:right="140" w:firstLine="646"/>
        <w:spacing w:after="0" w:line="259" w:lineRule="auto"/>
        <w:tabs>
          <w:tab w:leader="none" w:pos="1973" w:val="left"/>
        </w:tabs>
        <w:numPr>
          <w:ilvl w:val="1"/>
          <w:numId w:val="313"/>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2.10, 3.06, 3.09, 4.10, 4.14 and 9.05 hereof).</w:t>
      </w:r>
    </w:p>
    <w:p>
      <w:pPr>
        <w:spacing w:after="0" w:line="186" w:lineRule="exact"/>
        <w:rPr>
          <w:rFonts w:ascii="Arial" w:cs="Arial" w:eastAsia="Arial" w:hAnsi="Arial"/>
          <w:sz w:val="18"/>
          <w:szCs w:val="18"/>
          <w:color w:val="auto"/>
        </w:rPr>
      </w:pPr>
    </w:p>
    <w:p>
      <w:pPr>
        <w:ind w:left="800" w:firstLine="646"/>
        <w:spacing w:after="0" w:line="277" w:lineRule="auto"/>
        <w:tabs>
          <w:tab w:leader="none" w:pos="1969"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ind w:left="800" w:right="80" w:firstLine="646"/>
        <w:spacing w:after="0" w:line="263" w:lineRule="auto"/>
        <w:tabs>
          <w:tab w:leader="none" w:pos="1963"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Issuer, evidencing the same debt, and entitled to the same benefits under this Indenture, as the Global Notes or Definitive Notes surrendered upon such registration of transfer or exchange.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296" w:name="page297"/>
    <w:bookmarkEnd w:id="296"/>
    <w:p>
      <w:pPr>
        <w:ind w:left="2000" w:hanging="534"/>
        <w:spacing w:after="0"/>
        <w:tabs>
          <w:tab w:leader="none" w:pos="20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Neither the Registrar nor the Issuer will be required:</w:t>
      </w:r>
    </w:p>
    <w:p>
      <w:pPr>
        <w:spacing w:after="0" w:line="225" w:lineRule="exact"/>
        <w:rPr>
          <w:rFonts w:ascii="Arial" w:cs="Arial" w:eastAsia="Arial" w:hAnsi="Arial"/>
          <w:sz w:val="18"/>
          <w:szCs w:val="18"/>
          <w:color w:val="auto"/>
        </w:rPr>
      </w:pPr>
    </w:p>
    <w:p>
      <w:pPr>
        <w:ind w:left="1300" w:firstLine="652"/>
        <w:spacing w:after="0" w:line="263" w:lineRule="auto"/>
        <w:tabs>
          <w:tab w:leader="none" w:pos="2513"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to issue, to register the transfer of or to exchange any Notes during a period beginning at the opening of business 15 days before the day of delivering any notice of redemption under Section 1.03 hereof and ending at the close of business on the day of such delivery;</w:t>
      </w:r>
    </w:p>
    <w:p>
      <w:pPr>
        <w:spacing w:after="0" w:line="183" w:lineRule="exact"/>
        <w:rPr>
          <w:rFonts w:ascii="Arial" w:cs="Arial" w:eastAsia="Arial" w:hAnsi="Arial"/>
          <w:sz w:val="18"/>
          <w:szCs w:val="18"/>
          <w:color w:val="auto"/>
        </w:rPr>
      </w:pPr>
    </w:p>
    <w:p>
      <w:pPr>
        <w:ind w:left="1300" w:right="260" w:firstLine="652"/>
        <w:spacing w:after="0" w:line="277" w:lineRule="auto"/>
        <w:tabs>
          <w:tab w:leader="none" w:pos="2503"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170" w:lineRule="exact"/>
        <w:rPr>
          <w:rFonts w:ascii="Arial" w:cs="Arial" w:eastAsia="Arial" w:hAnsi="Arial"/>
          <w:sz w:val="18"/>
          <w:szCs w:val="18"/>
          <w:color w:val="auto"/>
        </w:rPr>
      </w:pPr>
    </w:p>
    <w:p>
      <w:pPr>
        <w:ind w:left="2500" w:hanging="548"/>
        <w:spacing w:after="0"/>
        <w:tabs>
          <w:tab w:leader="none" w:pos="250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to register the transfer of or to exchange a Note between a record date and the next succeeding interest payment date.</w:t>
      </w:r>
    </w:p>
    <w:p>
      <w:pPr>
        <w:spacing w:after="0" w:line="248" w:lineRule="exact"/>
        <w:rPr>
          <w:rFonts w:ascii="Arial" w:cs="Arial" w:eastAsia="Arial" w:hAnsi="Arial"/>
          <w:sz w:val="16"/>
          <w:szCs w:val="16"/>
          <w:color w:val="auto"/>
        </w:rPr>
      </w:pPr>
    </w:p>
    <w:p>
      <w:pPr>
        <w:ind w:left="820" w:right="40" w:firstLine="646"/>
        <w:spacing w:after="0" w:line="311" w:lineRule="auto"/>
        <w:tabs>
          <w:tab w:leader="none" w:pos="1993" w:val="left"/>
        </w:tabs>
        <w:numPr>
          <w:ilvl w:val="0"/>
          <w:numId w:val="314"/>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48" w:lineRule="exact"/>
        <w:rPr>
          <w:rFonts w:ascii="Arial" w:cs="Arial" w:eastAsia="Arial" w:hAnsi="Arial"/>
          <w:sz w:val="16"/>
          <w:szCs w:val="16"/>
          <w:color w:val="auto"/>
        </w:rPr>
      </w:pPr>
    </w:p>
    <w:p>
      <w:pPr>
        <w:ind w:left="1980" w:hanging="514"/>
        <w:spacing w:after="0"/>
        <w:tabs>
          <w:tab w:leader="none" w:pos="19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Trustee will authenticate Global Notes and Definitive Notes in accordance with the provisions of Section 2.02 hereof.</w:t>
      </w:r>
    </w:p>
    <w:p>
      <w:pPr>
        <w:spacing w:after="0" w:line="236" w:lineRule="exact"/>
        <w:rPr>
          <w:rFonts w:ascii="Arial" w:cs="Arial" w:eastAsia="Arial" w:hAnsi="Arial"/>
          <w:sz w:val="17"/>
          <w:szCs w:val="17"/>
          <w:color w:val="auto"/>
        </w:rPr>
      </w:pPr>
    </w:p>
    <w:p>
      <w:pPr>
        <w:ind w:left="820" w:right="60" w:firstLine="646"/>
        <w:spacing w:after="0" w:line="277" w:lineRule="auto"/>
        <w:tabs>
          <w:tab w:leader="none" w:pos="198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Neither the Trustee nor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any participants of the Depositary or beneficial owners of interests in any Global Notes)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6"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Neither the Trustee nor any Agent shall have any responsibility for any actions taken or not taken by the Depositary. None of the Trustee, any Paying Agent or Registrar shall have any responsibility or liability for any acts or omissions of any Depositary with respect to such global Note, for the records of any Depositary, including records in respect of beneficial ownership interests in respect of any such global Note, for any transactions between such depositary and any participant in such Depositary or between or among any such Depositary, any such participant and/or any holder or owner of a beneficial interest in such global Note or for any transfers of beneficial interests in any such global Note.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7" w:name="page298"/>
    <w:bookmarkEnd w:id="297"/>
    <w:p>
      <w:pPr>
        <w:ind w:left="660"/>
        <w:spacing w:after="0"/>
        <w:tabs>
          <w:tab w:leader="none" w:pos="176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i w:val="1"/>
          <w:iCs w:val="1"/>
          <w:color w:val="auto"/>
        </w:rPr>
        <w:t>Replacement Notes.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any mutilated Note is surrendered to the Trustee or the Issuer and the Trustee receives evidence to its satisfaction of the destruction, loss or theft of any Note, the Issuer will issue and the Trustee, upon receipt of an Authentication Order, will authenticate a replacement Note if the Trustee’s requirements are met. Upon written request for replacement of a Note by a Holder, the Trustee and the Issuer shall receive an indemnity bond sufficient in the judgment of the Trustee and the Issuer to protect the Issuer, the Trustee, any Agent and any authenticating agent from any loss that any of them may suffer if a Note is replaced. The Issuer may charge the Holder for its expenses in replacing a Note, with any expense of the Trustee to be reimbursed in accordance with the terms of this Indenture.</w:t>
      </w:r>
    </w:p>
    <w:p>
      <w:pPr>
        <w:spacing w:after="0" w:line="192"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Every replacement Note is an additional obligation of the Issuer and will be entitled to all of the benefits of this Indenture equally and proportionately with all other Notes duly issued hereunder.</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i w:val="1"/>
          <w:iCs w:val="1"/>
          <w:color w:val="auto"/>
        </w:rPr>
        <w:t>Outstanding Notes.</w:t>
      </w:r>
    </w:p>
    <w:p>
      <w:pPr>
        <w:spacing w:after="0" w:line="225"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paid under this Indenture,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 however, Notes held by the Issuer or a Subsidiary of the Issuer shall not be deemed to be outstanding for purposes of Section 1.07(d) hereof.</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 accrue.</w:t>
      </w:r>
    </w:p>
    <w:p>
      <w:pPr>
        <w:spacing w:after="0" w:line="248"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If the Paying Agent (other than the Issuer,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Treasury Notes.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determining whether the Holders of the required principal amount of Notes have concurred in any direction, waiver or consent, Notes owned by the Issuer or any Guarantor, or by any Person directly or indirectly controlling or controlled by or under direct or indirect common control with the Issuer or any Guarantor, will be considered as though not outstanding, except that for the purposes of determining whether the Trustee will be protected in conclusively relying on any such direction, waiver or consent, only Notes that a Responsible Officer of the Trustee actually knows are so owned will be so disregarded.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8" w:name="page299"/>
    <w:bookmarkEnd w:id="298"/>
    <w:p>
      <w:pPr>
        <w:ind w:left="660"/>
        <w:spacing w:after="0"/>
        <w:tabs>
          <w:tab w:leader="none" w:pos="17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Temporary Notes.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Until certificates representing Notes are ready for delivery, the Issuer may prepare and the Trustee, upon receipt of an Authentication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upon receipt of an Authentication Order, authenticate definitive Notes in exchange for temporary Notes. Holders of temporary Notes will be entitled to all of the benefits of this Indenture.</w:t>
      </w:r>
    </w:p>
    <w:p>
      <w:pPr>
        <w:spacing w:after="0" w:line="18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Issuer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such canceled Notes (subject to the record retention requirement of the Exchange Act) and in accordance with the Trustee’s customary procedures. Upon written request and at the expense of the Issuer, certification of the cancellation of such Notes will be delivered to the Issuer. The Issuer may not issue new Notes to replace Notes that they have paid or that have been delivered to the Trustee for cancellation.</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Defaulted Interest.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If the Issuer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Issuer will notify the Trustee in writing of the amount of defaulted interest proposed to be paid on each Note and the date of the proposed payment. The Issuer will fix or cause to be fixed each such special record date and payment date; </w:t>
      </w:r>
      <w:r>
        <w:rPr>
          <w:rFonts w:ascii="Arial" w:cs="Arial" w:eastAsia="Arial" w:hAnsi="Arial"/>
          <w:sz w:val="16"/>
          <w:szCs w:val="16"/>
          <w:i w:val="1"/>
          <w:iCs w:val="1"/>
          <w:color w:val="auto"/>
        </w:rPr>
        <w:t>provided</w:t>
      </w:r>
      <w:r>
        <w:rPr>
          <w:rFonts w:ascii="Arial" w:cs="Arial" w:eastAsia="Arial" w:hAnsi="Arial"/>
          <w:sz w:val="16"/>
          <w:szCs w:val="16"/>
          <w:color w:val="auto"/>
        </w:rPr>
        <w:t>, that no such special record date may be less than 10 days prior to the related payment date for such defaulted interest. At least 10 days before the special record date, the Issuer will deliver or cause to be delivered to Holders a notice that states the special record date, the related payment date and the amount of such interest to be paid.</w:t>
      </w:r>
    </w:p>
    <w:p>
      <w:pPr>
        <w:spacing w:after="0" w:line="16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CUSIP or ISIN Numbers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Issuer in issuing the Notes may use “CUSIP” or “ISIN” numbers (if then generally in use), and, if so, the Trustee shall use “CUSIP” or “ISIN” numbers in notices of redemption as a convenience to Holders; </w:t>
      </w:r>
      <w:r>
        <w:rPr>
          <w:rFonts w:ascii="Arial" w:cs="Arial" w:eastAsia="Arial" w:hAnsi="Arial"/>
          <w:sz w:val="17"/>
          <w:szCs w:val="17"/>
          <w:i w:val="1"/>
          <w:iCs w:val="1"/>
          <w:color w:val="auto"/>
        </w:rPr>
        <w:t>provided</w:t>
      </w:r>
      <w:r>
        <w:rPr>
          <w:rFonts w:ascii="Arial" w:cs="Arial" w:eastAsia="Arial" w:hAnsi="Arial"/>
          <w:sz w:val="17"/>
          <w:szCs w:val="17"/>
          <w:color w:val="auto"/>
        </w:rPr>
        <w:t>,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or “ISIN” numbers.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9" w:name="page300"/>
    <w:bookmarkEnd w:id="299"/>
    <w:p>
      <w:pPr>
        <w:ind w:left="660"/>
        <w:spacing w:after="0"/>
        <w:tabs>
          <w:tab w:leader="none" w:pos="176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5"/>
          <w:szCs w:val="15"/>
          <w:i w:val="1"/>
          <w:iCs w:val="1"/>
          <w:color w:val="auto"/>
        </w:rPr>
        <w:t>Agents.</w:t>
      </w:r>
    </w:p>
    <w:p>
      <w:pPr>
        <w:spacing w:after="0" w:line="225" w:lineRule="exact"/>
        <w:rPr>
          <w:sz w:val="20"/>
          <w:szCs w:val="20"/>
          <w:color w:val="auto"/>
        </w:rPr>
      </w:pPr>
    </w:p>
    <w:p>
      <w:pPr>
        <w:ind w:firstLine="656"/>
        <w:spacing w:after="0" w:line="277" w:lineRule="auto"/>
        <w:tabs>
          <w:tab w:leader="none" w:pos="123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Actions of Agents</w:t>
      </w:r>
      <w:r>
        <w:rPr>
          <w:rFonts w:ascii="Arial" w:cs="Arial" w:eastAsia="Arial" w:hAnsi="Arial"/>
          <w:sz w:val="18"/>
          <w:szCs w:val="18"/>
          <w:color w:val="auto"/>
        </w:rPr>
        <w:t>. The rights, powers, duties and obligations and actions of each Agent under this Indenture are several and not joint or</w:t>
      </w:r>
      <w:r>
        <w:rPr>
          <w:rFonts w:ascii="Arial" w:cs="Arial" w:eastAsia="Arial" w:hAnsi="Arial"/>
          <w:sz w:val="18"/>
          <w:szCs w:val="18"/>
          <w:i w:val="1"/>
          <w:iCs w:val="1"/>
          <w:color w:val="auto"/>
        </w:rPr>
        <w:t xml:space="preserve"> </w:t>
      </w:r>
      <w:r>
        <w:rPr>
          <w:rFonts w:ascii="Arial" w:cs="Arial" w:eastAsia="Arial" w:hAnsi="Arial"/>
          <w:sz w:val="18"/>
          <w:szCs w:val="18"/>
          <w:color w:val="auto"/>
        </w:rPr>
        <w:t>joint and several.</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173" w:val="left"/>
        </w:tabs>
        <w:numPr>
          <w:ilvl w:val="0"/>
          <w:numId w:val="315"/>
        </w:numPr>
        <w:rPr>
          <w:rFonts w:ascii="Arial" w:cs="Arial" w:eastAsia="Arial" w:hAnsi="Arial"/>
          <w:sz w:val="16"/>
          <w:szCs w:val="16"/>
          <w:color w:val="auto"/>
        </w:rPr>
      </w:pPr>
      <w:r>
        <w:rPr>
          <w:rFonts w:ascii="Arial" w:cs="Arial" w:eastAsia="Arial" w:hAnsi="Arial"/>
          <w:sz w:val="16"/>
          <w:szCs w:val="16"/>
          <w:i w:val="1"/>
          <w:iCs w:val="1"/>
          <w:color w:val="auto"/>
        </w:rPr>
        <w:t>Agents of the Trustee</w:t>
      </w:r>
      <w:r>
        <w:rPr>
          <w:rFonts w:ascii="Arial" w:cs="Arial" w:eastAsia="Arial" w:hAnsi="Arial"/>
          <w:sz w:val="16"/>
          <w:szCs w:val="16"/>
          <w:color w:val="auto"/>
        </w:rPr>
        <w:t>. The Issuer and the Agents acknowledge and agree that in the event of a Default or Event of Default, the Trustee may,</w:t>
      </w:r>
      <w:r>
        <w:rPr>
          <w:rFonts w:ascii="Arial" w:cs="Arial" w:eastAsia="Arial" w:hAnsi="Arial"/>
          <w:sz w:val="16"/>
          <w:szCs w:val="16"/>
          <w:i w:val="1"/>
          <w:iCs w:val="1"/>
          <w:color w:val="auto"/>
        </w:rPr>
        <w:t xml:space="preserve"> </w:t>
      </w:r>
      <w:r>
        <w:rPr>
          <w:rFonts w:ascii="Arial" w:cs="Arial" w:eastAsia="Arial" w:hAnsi="Arial"/>
          <w:sz w:val="16"/>
          <w:szCs w:val="16"/>
          <w:color w:val="auto"/>
        </w:rPr>
        <w:t>by notice in writing to the Issuer and the Agents, require that the Agents act as agents of, and take instructions exclusively from, the Trustee. Until they have received such written notice from the Trustee, the Agents shall act solely as agents of the Issuer and need have no concern for the interests of Holders.</w:t>
      </w:r>
    </w:p>
    <w:p>
      <w:pPr>
        <w:spacing w:after="0" w:line="148" w:lineRule="exact"/>
        <w:rPr>
          <w:rFonts w:ascii="Arial" w:cs="Arial" w:eastAsia="Arial" w:hAnsi="Arial"/>
          <w:sz w:val="16"/>
          <w:szCs w:val="16"/>
          <w:color w:val="auto"/>
        </w:rPr>
      </w:pPr>
    </w:p>
    <w:p>
      <w:pPr>
        <w:jc w:val="both"/>
        <w:ind w:firstLine="656"/>
        <w:spacing w:after="0" w:line="286" w:lineRule="auto"/>
        <w:tabs>
          <w:tab w:leader="none" w:pos="1176" w:val="left"/>
        </w:tabs>
        <w:numPr>
          <w:ilvl w:val="0"/>
          <w:numId w:val="315"/>
        </w:numPr>
        <w:rPr>
          <w:rFonts w:ascii="Arial" w:cs="Arial" w:eastAsia="Arial" w:hAnsi="Arial"/>
          <w:sz w:val="17"/>
          <w:szCs w:val="17"/>
          <w:color w:val="auto"/>
        </w:rPr>
      </w:pPr>
      <w:r>
        <w:rPr>
          <w:rFonts w:ascii="Arial" w:cs="Arial" w:eastAsia="Arial" w:hAnsi="Arial"/>
          <w:sz w:val="17"/>
          <w:szCs w:val="17"/>
          <w:i w:val="1"/>
          <w:iCs w:val="1"/>
          <w:color w:val="auto"/>
        </w:rPr>
        <w:t>Funds held by Agents</w:t>
      </w:r>
      <w:r>
        <w:rPr>
          <w:rFonts w:ascii="Arial" w:cs="Arial" w:eastAsia="Arial" w:hAnsi="Arial"/>
          <w:sz w:val="17"/>
          <w:szCs w:val="17"/>
          <w:color w:val="auto"/>
        </w:rPr>
        <w:t>. The Agents shall hold all funds as banker subject to the terms of this Indenture, and as a result, such money (i)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held in accordance with the rules established by the Financial Conduct Authority in the Financial Conduct Authority’s Handbook of rules and guidance from time to time in relation to client money and (ii) need not be segregated from other funds, except the extent required by law.</w:t>
      </w:r>
    </w:p>
    <w:p>
      <w:pPr>
        <w:spacing w:after="0" w:line="165" w:lineRule="exact"/>
        <w:rPr>
          <w:rFonts w:ascii="Arial" w:cs="Arial" w:eastAsia="Arial" w:hAnsi="Arial"/>
          <w:sz w:val="17"/>
          <w:szCs w:val="17"/>
          <w:color w:val="auto"/>
        </w:rPr>
      </w:pPr>
    </w:p>
    <w:p>
      <w:pPr>
        <w:ind w:right="20" w:firstLine="656"/>
        <w:spacing w:after="0" w:line="277" w:lineRule="auto"/>
        <w:tabs>
          <w:tab w:leader="none" w:pos="1213"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Publication of Notices</w:t>
      </w:r>
      <w:r>
        <w:rPr>
          <w:rFonts w:ascii="Arial" w:cs="Arial" w:eastAsia="Arial" w:hAnsi="Arial"/>
          <w:sz w:val="18"/>
          <w:szCs w:val="18"/>
          <w:color w:val="auto"/>
        </w:rPr>
        <w:t>. For so long as the Notes are held as Book-Entry Interests in Global Notes, any obligation the Agents may have to</w:t>
      </w:r>
      <w:r>
        <w:rPr>
          <w:rFonts w:ascii="Arial" w:cs="Arial" w:eastAsia="Arial" w:hAnsi="Arial"/>
          <w:sz w:val="18"/>
          <w:szCs w:val="18"/>
          <w:i w:val="1"/>
          <w:iCs w:val="1"/>
          <w:color w:val="auto"/>
        </w:rPr>
        <w:t xml:space="preserve"> </w:t>
      </w:r>
      <w:r>
        <w:rPr>
          <w:rFonts w:ascii="Arial" w:cs="Arial" w:eastAsia="Arial" w:hAnsi="Arial"/>
          <w:sz w:val="18"/>
          <w:szCs w:val="18"/>
          <w:color w:val="auto"/>
        </w:rPr>
        <w:t>publish a notice to Holders on behalf of the Issuer will be satisfied upon delivery of the notice to DTC.</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203"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Instructions to Agents</w:t>
      </w:r>
      <w:r>
        <w:rPr>
          <w:rFonts w:ascii="Arial" w:cs="Arial" w:eastAsia="Arial" w:hAnsi="Arial"/>
          <w:sz w:val="18"/>
          <w:szCs w:val="18"/>
          <w:color w:val="auto"/>
        </w:rPr>
        <w:t>. In the event that instructions given to any Agent are not reasonably clear, then such Agent shall be entitled to seek</w:t>
      </w:r>
      <w:r>
        <w:rPr>
          <w:rFonts w:ascii="Arial" w:cs="Arial" w:eastAsia="Arial" w:hAnsi="Arial"/>
          <w:sz w:val="18"/>
          <w:szCs w:val="18"/>
          <w:i w:val="1"/>
          <w:iCs w:val="1"/>
          <w:color w:val="auto"/>
        </w:rPr>
        <w:t xml:space="preserve"> </w:t>
      </w:r>
      <w:r>
        <w:rPr>
          <w:rFonts w:ascii="Arial" w:cs="Arial" w:eastAsia="Arial" w:hAnsi="Arial"/>
          <w:sz w:val="18"/>
          <w:szCs w:val="18"/>
          <w:color w:val="auto"/>
        </w:rPr>
        <w:t>clarification from the Issuer or other party entitled to give the Agents instructions under this Indenture by written request promptly and in any event within one Business Day of receipt by such Agent of such instructions. If an Agent has sought clarification in accordance with this Section 2.14, then such Agent shall be entitled to take no action until such clarification is provided, and shall not incur any liability for not taking any action pending receipt of such clarification.</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291"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Duty of Agents</w:t>
      </w:r>
      <w:r>
        <w:rPr>
          <w:rFonts w:ascii="Arial" w:cs="Arial" w:eastAsia="Arial" w:hAnsi="Arial"/>
          <w:sz w:val="18"/>
          <w:szCs w:val="18"/>
          <w:color w:val="auto"/>
        </w:rPr>
        <w:t>. Save as provided in this Section 2.14, no Agent shall be under any duty (fiduciary or otherwise) or other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towards, or have any relationship of agency or trust for or with, any person other than the Issuer. The Agents shall only be obliged to perform those duties expressly set out in this Indenture and no implied obligations shall be read into this Indenture against the Agents.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13"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Payments Made by Agents</w:t>
      </w:r>
      <w:r>
        <w:rPr>
          <w:rFonts w:ascii="Arial" w:cs="Arial" w:eastAsia="Arial" w:hAnsi="Arial"/>
          <w:sz w:val="18"/>
          <w:szCs w:val="18"/>
          <w:color w:val="auto"/>
        </w:rPr>
        <w:t>. No Agent shall be required to make any payment under this Indenture unless and until it has received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to be paid in accordance with the terms of this Indenture. To the extent that an Agent has made a payment for which it did not receive the full amount, the Issuer will reimburse the Agent the full amount of any shortfall.</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0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Roles of the Agents</w:t>
      </w:r>
      <w:r>
        <w:rPr>
          <w:rFonts w:ascii="Arial" w:cs="Arial" w:eastAsia="Arial" w:hAnsi="Arial"/>
          <w:sz w:val="18"/>
          <w:szCs w:val="18"/>
          <w:color w:val="auto"/>
        </w:rPr>
        <w:t>. The roles, duties and functions of the Agents are of a mechanical nature and each Agent shall only perform those 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duties as specifically set out in this Indenture and no other acts, covenants, obligations or duties shall be implied or read into this Indenture against any of the Agents.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0" w:name="page301"/>
    <w:bookmarkEnd w:id="300"/>
    <w:p>
      <w:pPr>
        <w:jc w:val="both"/>
        <w:ind w:firstLine="656"/>
        <w:spacing w:after="0" w:line="287" w:lineRule="auto"/>
        <w:tabs>
          <w:tab w:leader="none" w:pos="1187" w:val="left"/>
        </w:tabs>
        <w:numPr>
          <w:ilvl w:val="0"/>
          <w:numId w:val="316"/>
        </w:numPr>
        <w:rPr>
          <w:rFonts w:ascii="Arial" w:cs="Arial" w:eastAsia="Arial" w:hAnsi="Arial"/>
          <w:sz w:val="16"/>
          <w:szCs w:val="16"/>
          <w:color w:val="auto"/>
        </w:rPr>
      </w:pPr>
      <w:r>
        <w:rPr>
          <w:rFonts w:ascii="Arial" w:cs="Arial" w:eastAsia="Arial" w:hAnsi="Arial"/>
          <w:sz w:val="16"/>
          <w:szCs w:val="16"/>
          <w:i w:val="1"/>
          <w:iCs w:val="1"/>
          <w:color w:val="auto"/>
        </w:rPr>
        <w:t>Mutual Undertaking Regarding Information Reporting and Collection Obligations</w:t>
      </w:r>
      <w:r>
        <w:rPr>
          <w:rFonts w:ascii="Arial" w:cs="Arial" w:eastAsia="Arial" w:hAnsi="Arial"/>
          <w:sz w:val="16"/>
          <w:szCs w:val="16"/>
          <w:color w:val="auto"/>
        </w:rPr>
        <w:t>. Each party to this Indenture shall, within 10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Days of a written request by another party to this Indenture, supply to such other party such forms, documentation and other information relating to it, its operations, or the Notes as that other party reasonably requests for the purposes of that other party’s compliance with Applicable Law and shall notify the relevant other party reasonably promptly in the event that it becomes aware that any of the forms, documentation or other information provided by such party is (or becomes) inaccurate in any material respect;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party to this Indenture shall be required to provide any forms, documentation or other information pursuant to this Section 2.14(i) to the extent that: (i) any such form, documentation or other information (or the information required to be provided on such form or documentation) is not reasonably available to such party and cannot be obtained by such party using reasonable efforts; or (ii) doing so would or might in the reasonable opinion of such party constitute a breach of any: (a) Applicable Law; (b) fiduciary duty; or (c) duty of confidentiality. For purposes of this Section 2.14(i), “Applicable Law” shall be deemed to include (i) any published rule or published practice of any Authority by which any party to this Indenture is bound or with which it is accustomed to comply; (ii) any agreement between any Authorities; and (iii) any agreement between any Authority and any party to this Indenture that is customarily entered into by institutions of a similar nature, in each case, which facilitates the implementation of any information reporting or exchange of information regime.</w:t>
      </w:r>
    </w:p>
    <w:p>
      <w:pPr>
        <w:spacing w:after="0" w:line="167" w:lineRule="exact"/>
        <w:rPr>
          <w:rFonts w:ascii="Arial" w:cs="Arial" w:eastAsia="Arial" w:hAnsi="Arial"/>
          <w:sz w:val="16"/>
          <w:szCs w:val="16"/>
          <w:color w:val="auto"/>
        </w:rPr>
      </w:pPr>
    </w:p>
    <w:p>
      <w:pPr>
        <w:ind w:left="1140" w:hanging="484"/>
        <w:spacing w:after="0"/>
        <w:tabs>
          <w:tab w:leader="none" w:pos="1140"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3" w:lineRule="auto"/>
        <w:tabs>
          <w:tab w:leader="none" w:pos="1281"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Agent Right to Withhold</w:t>
      </w:r>
      <w:r>
        <w:rPr>
          <w:rFonts w:ascii="Arial" w:cs="Arial" w:eastAsia="Arial" w:hAnsi="Arial"/>
          <w:sz w:val="17"/>
          <w:szCs w:val="17"/>
          <w:color w:val="auto"/>
        </w:rPr>
        <w:t>. Notwithstanding any other provision of this Agreement, each Agent shall be entitled to make a deduction or</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from any payment which it makes under the Notes for or on account of any Tax, if and only to the extent so required by Applicable Law, in which event the Agent shall make such payment after such deduction or withholding has been made and shall account to the relevant Authority within the time allowed for the amount so deducted or withheld or, at its option, shall reasonably promptly after making such payment return to the Issuer the amount so deducted or withheld, in which case, the Issuer shall so account to the relevant Authority for such amount. For the avoidance of doubt, FATCA Withholding is a deduction or withholding which is deemed to be required by Applicable Law for the purposes of this Section 2.14(k).</w:t>
      </w:r>
    </w:p>
    <w:p>
      <w:pPr>
        <w:spacing w:after="0" w:line="177" w:lineRule="exact"/>
        <w:rPr>
          <w:rFonts w:ascii="Arial" w:cs="Arial" w:eastAsia="Arial" w:hAnsi="Arial"/>
          <w:sz w:val="17"/>
          <w:szCs w:val="17"/>
          <w:color w:val="auto"/>
        </w:rPr>
      </w:pPr>
    </w:p>
    <w:p>
      <w:pPr>
        <w:jc w:val="both"/>
        <w:ind w:firstLine="656"/>
        <w:spacing w:after="0" w:line="293" w:lineRule="auto"/>
        <w:tabs>
          <w:tab w:leader="none" w:pos="1146" w:val="left"/>
        </w:tabs>
        <w:numPr>
          <w:ilvl w:val="0"/>
          <w:numId w:val="316"/>
        </w:numPr>
        <w:rPr>
          <w:rFonts w:ascii="Arial" w:cs="Arial" w:eastAsia="Arial" w:hAnsi="Arial"/>
          <w:sz w:val="16"/>
          <w:szCs w:val="16"/>
          <w:color w:val="auto"/>
        </w:rPr>
      </w:pPr>
      <w:r>
        <w:rPr>
          <w:rFonts w:ascii="Arial" w:cs="Arial" w:eastAsia="Arial" w:hAnsi="Arial"/>
          <w:sz w:val="16"/>
          <w:szCs w:val="16"/>
          <w:i w:val="1"/>
          <w:iCs w:val="1"/>
          <w:color w:val="auto"/>
        </w:rPr>
        <w:t>Issuer Right to Redirect</w:t>
      </w:r>
      <w:r>
        <w:rPr>
          <w:rFonts w:ascii="Arial" w:cs="Arial" w:eastAsia="Arial" w:hAnsi="Arial"/>
          <w:sz w:val="16"/>
          <w:szCs w:val="16"/>
          <w:color w:val="auto"/>
        </w:rPr>
        <w:t>. In the event that the Issuer determines in its sole discretion that any deduction or withholding for or on account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Tax will be required by Applicable Law in connection with any payment due to any of the Agents on any Notes, then the Issuer may, at its option, redirect or reorganize any such payment in any way that it sees fit in order that the payment may be made without such deduction or withholding provided that, any such redirected or reorganized payment is made through a recognized institution of international standing and otherwise made in accordance with this Agreement. The Issuer will promptly notify the Agents and the Trustee in writing of any such redirection or reorganization. For the avoidance of doubt, FATCA Withholding is a deduction or withholding which is deemed to be required by Applicable Law for the purposes of this Section 2.14(l).</w:t>
      </w:r>
    </w:p>
    <w:p>
      <w:pPr>
        <w:spacing w:after="0" w:line="164" w:lineRule="exact"/>
        <w:rPr>
          <w:rFonts w:ascii="Arial" w:cs="Arial" w:eastAsia="Arial" w:hAnsi="Arial"/>
          <w:sz w:val="16"/>
          <w:szCs w:val="16"/>
          <w:color w:val="auto"/>
        </w:rPr>
      </w:pPr>
    </w:p>
    <w:p>
      <w:pPr>
        <w:jc w:val="both"/>
        <w:ind w:firstLine="656"/>
        <w:spacing w:after="0" w:line="269" w:lineRule="auto"/>
        <w:tabs>
          <w:tab w:leader="none" w:pos="1236"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Resignation of Agent</w:t>
      </w:r>
      <w:r>
        <w:rPr>
          <w:rFonts w:ascii="Arial" w:cs="Arial" w:eastAsia="Arial" w:hAnsi="Arial"/>
          <w:sz w:val="17"/>
          <w:szCs w:val="17"/>
          <w:color w:val="auto"/>
        </w:rPr>
        <w:t>. Any Agent may resign and be discharged from its duties under this Indenture at any time by giving thirty (30) days’</w:t>
      </w:r>
      <w:r>
        <w:rPr>
          <w:rFonts w:ascii="Arial" w:cs="Arial" w:eastAsia="Arial" w:hAnsi="Arial"/>
          <w:sz w:val="17"/>
          <w:szCs w:val="17"/>
          <w:i w:val="1"/>
          <w:iCs w:val="1"/>
          <w:color w:val="auto"/>
        </w:rPr>
        <w:t xml:space="preserve"> </w:t>
      </w:r>
      <w:r>
        <w:rPr>
          <w:rFonts w:ascii="Arial" w:cs="Arial" w:eastAsia="Arial" w:hAnsi="Arial"/>
          <w:sz w:val="17"/>
          <w:szCs w:val="17"/>
          <w:color w:val="auto"/>
        </w:rPr>
        <w:t>prior written notice of such resignation to the Trustee and Issuer. The Trustee or Issuer may remove any Agent at any time by giving thirty (30) days’ prior written notice to any Agent. Upon such notice, a successor Agent shall be appointed by the Issuer, who shall provide written notice of such to the Trustee. Such successor Agent shall become the Agent hereunder upon the resignation or removal date specified in such notice. If the Issuer is unable to replace the resigning Agent within thirty (30) days after such notice, the Agent shall deliver any funds then held hereunder in its possession to the Trustee or such Agent may itself appoint as its replacement any reputable and experienced financial institution or may apply to a court of competent jurisdiction for the appointment of a successor Agent or for other appropriate relief. The costs and expenses (including its counsels’ fees and expenses) incurred by the Agent in connection with such proceeding shall be paid by the Issuer.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7.06.</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1" w:name="page302"/>
    <w:bookmarkEnd w:id="301"/>
    <w:p>
      <w:pPr>
        <w:jc w:val="center"/>
        <w:ind w:right="-3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the Issuer elects to redeem Notes pursuant to the optional redemption provisions of Section 1.07 hereof, no later than the delivery of notice to Holders thereof, the Issuer shall notify the Trustee and the Paying Agent in writing of the redemption date, the principal amount of Notes to be redeemed, the clause of this Indenture pursuant to which the redemption shall occur and the redemption price (identifying the Notes by CUSIP or ISIN, as applicable). At the Issuer’s written request delivered at least two (2) Business Days prior to the applicable date of notice (unless a shorter period shall be acceptable to the Paying Agent), the Paying Agent shall deliver any notice pursuant to Section 1.07 as prepared by the Issuer, to each Holder of Notes to be redeemed in the Issuer’s name and at the Issuer’s expense. Notice given to the Trustee and the Paying Agent pursuant to this Section 1.01 may, at the Issuer’s discretion, state that any such redemption may be subject to the satisfaction of one or more conditions precedent.</w:t>
      </w:r>
    </w:p>
    <w:p>
      <w:pPr>
        <w:spacing w:after="0" w:line="1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225"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 xml:space="preserve">If less than all of the Notes are to be redeemed, (i) in the case of Notes issued in definitive form, the Trustee will select Notes for redemption or purchase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and (ii) in the case of Notes issued in global form pursuant to Article 2 hereof, Notes for redemption will be selected on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pass-through distribution basis in accordance with the Applicable Procedures of DTC, unless, in each case, otherwise required by law.</w:t>
      </w:r>
    </w:p>
    <w:p>
      <w:pPr>
        <w:spacing w:after="0" w:line="14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the case of Notes issued in definitive form, upon selection, the Trustee will promptly notify the Issuer in writing of the Notes selected for redemption or purchase and, in the case of any Note selected for partial redemption or purchase, the principal amount thereof to be redeemed or purchased. Notes and portions of Notes selected will be in amounts of $200,000 or whole multiples of $1,000 in excess thereof; except that if all of the Notes of a Holder are to be redeemed or purchased, the entire outstanding amount of Notes held by such Holder shall be redeemed or purchased. Except as provided in the preceding sentence, provisions of this Indenture that apply to Notes called for redemption or purchase also apply to portions of Notes called for redemption or purchase. No Notes of $200,000 or less can be redeemed in part.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2" w:name="page303"/>
    <w:bookmarkEnd w:id="302"/>
    <w:p>
      <w:pPr>
        <w:ind w:left="660"/>
        <w:spacing w:after="0"/>
        <w:tabs>
          <w:tab w:leader="none" w:pos="176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Notices of redemption will be delivered electronically or mailed by first class mail (or delivered to DTC in the case of Global Notes) at least 10 days but not more than 60 days before the redemption date to each Holder of Notes to be redeemed at its registered address, except that redemption notices may be mailed (or delivered as the case may be) more than 60 days prior to a redemption date if the notice is issued in connection with a defeasance of the Notes or a satisfaction and discharge of this Indenture pursuant to Article 8 or 11 hereof. Notice of any redemption of the Notes in connection with a corporate transaction (including, without limitation, an Equity Offering, an incurrence of Indebtedness, a Change of Control, an Asset Sale or other transaction or event, as the case may be) may, at the Issuer’s discretion, be given prior to the completion thereof and any such redemption or notice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or offer to purchase was sent) as any or all such conditions shall be satisfied (or waived by the Issuer in its sole discretion), or such redemption or purchase may not occur and such notice may be rescinded in the event that any or all such conditions shall not have been satisfied (or waived by the Issuer in its sole discretion)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74"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If the optional redemption date is on or after an interest record date and on or before the related interest payment date, the accrued and unpaid interest will be paid to the Person in whose name the Note is registered at the close of business on such record date, and no additional interest will be payable to Holders whose Notes will be subject to redemption by the Issuer.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will identify the Notes (by CUSIP or ISIN, if applicable) to be redeemed and will state:</w:t>
      </w:r>
    </w:p>
    <w:p>
      <w:pPr>
        <w:spacing w:after="0" w:line="225" w:lineRule="exact"/>
        <w:rPr>
          <w:sz w:val="20"/>
          <w:szCs w:val="20"/>
          <w:color w:val="auto"/>
        </w:rPr>
      </w:pPr>
    </w:p>
    <w:p>
      <w:pPr>
        <w:ind w:left="1180" w:hanging="524"/>
        <w:spacing w:after="0"/>
        <w:tabs>
          <w:tab w:leader="none" w:pos="11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firstLine="656"/>
        <w:spacing w:after="0" w:line="259" w:lineRule="auto"/>
        <w:tabs>
          <w:tab w:leader="none" w:pos="116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and that, if Notes are issued in definitive form, after the redemption date upon surrender of such Note, a new Note in principal amount equal to the unredeemed portion of the original Note will be issued in the name of the Holder of Notes upon cancellation of the original Note;</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that, on and after the redemption date, interest ceases to accrue on Notes or portions of Notes called for redemption;</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03" w:name="page304"/>
    <w:bookmarkEnd w:id="303"/>
    <w:p>
      <w:pPr>
        <w:ind w:left="1160" w:hanging="504"/>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right="220" w:firstLine="656"/>
        <w:spacing w:after="0" w:line="277" w:lineRule="auto"/>
        <w:tabs>
          <w:tab w:leader="none" w:pos="117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that, unless the Issuer defaults in making such redemption payment,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if such notice is conditioned upon the occurrence of one or more conditions precedent, the nature of such conditions precedent;</w:t>
      </w:r>
    </w:p>
    <w:p>
      <w:pPr>
        <w:spacing w:after="0" w:line="236" w:lineRule="exact"/>
        <w:rPr>
          <w:rFonts w:ascii="Arial" w:cs="Arial" w:eastAsia="Arial" w:hAnsi="Arial"/>
          <w:sz w:val="17"/>
          <w:szCs w:val="17"/>
          <w:color w:val="auto"/>
        </w:rPr>
      </w:pPr>
    </w:p>
    <w:p>
      <w:pPr>
        <w:ind w:left="1140" w:hanging="484"/>
        <w:spacing w:after="0"/>
        <w:tabs>
          <w:tab w:leader="none" w:pos="11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 and</w:t>
      </w:r>
    </w:p>
    <w:p>
      <w:pPr>
        <w:spacing w:after="0" w:line="248" w:lineRule="exact"/>
        <w:rPr>
          <w:rFonts w:ascii="Arial" w:cs="Arial" w:eastAsia="Arial" w:hAnsi="Arial"/>
          <w:sz w:val="16"/>
          <w:szCs w:val="16"/>
          <w:color w:val="auto"/>
        </w:rPr>
      </w:pPr>
    </w:p>
    <w:p>
      <w:pPr>
        <w:ind w:left="1140" w:hanging="484"/>
        <w:spacing w:after="0"/>
        <w:tabs>
          <w:tab w:leader="none" w:pos="11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 Notes.</w:t>
      </w:r>
    </w:p>
    <w:p>
      <w:pPr>
        <w:spacing w:after="0" w:line="248"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 xml:space="preserve">At the Issuer’s written request, the Paying Agent will give the notice of redemption in the Issuer’s name and at the Issuer’s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Issuer has delivered to the Trustee and the Paying Agent, at least 10 days prior to the redemption date, an Officer’s Certificate requesting</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Paying Agent give such notice and setting forth the information to be stated in such notice as provided in the preceding paragraph.</w:t>
      </w:r>
    </w:p>
    <w:p>
      <w:pPr>
        <w:spacing w:after="0" w:line="14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Once notice of redemption is delivered in accordance with Section 1.03 hereof, Notes called for redemption become irrevocably due and payable on the redemption date at the redemption price, subject to the satisfaction of any conditions precedent contained in such notice of redemption.</w:t>
      </w:r>
    </w:p>
    <w:p>
      <w:pPr>
        <w:spacing w:after="0" w:line="12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225"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If the Issuer elects to redeem Notes in accordance with Section 1.07 hereof, on or prior to the anticipated redemption or purchase date, the Issuer will deposit with the Paying Agent money sufficient to pay the redemption or purchase price of accrued interest on all Notes to be redeemed or purchased on that date. Upon payment of any amount in connection with redemption, the Paying Agent will promptly return to the Issuer any money deposited with the Paying Agent by the Issuer in excess of the amounts necessary to pay the redemption or purchase price of accrued interest on all Notes to be redeemed or purchased.</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Issuer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4" w:name="page305"/>
    <w:bookmarkEnd w:id="304"/>
    <w:p>
      <w:pPr>
        <w:ind w:left="660"/>
        <w:spacing w:after="0"/>
        <w:tabs>
          <w:tab w:leader="none" w:pos="176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If the Notes are issued in definitive form, upon surrender of a Note that is redeemed or purchased in part, the Issuer will issue and, upon receipt of an Authentication Order, the Trustee will authenticate for the Holder at the expense of the Issuer a new Note equal in principal amount to the unredeemed or unpurchased portion of the Note surrendered.</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ind w:left="1180" w:hanging="524"/>
        <w:spacing w:after="0"/>
        <w:tabs>
          <w:tab w:leader="none" w:pos="11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Except pursuant to this Section 1.07 and Section 3.10 of this Indenture, the Notes will not be redeemable at the Issuer’s option prior to July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15, 2023.</w:t>
      </w:r>
    </w:p>
    <w:p>
      <w:pPr>
        <w:spacing w:after="0" w:line="210" w:lineRule="exact"/>
        <w:rPr>
          <w:rFonts w:ascii="Arial" w:cs="Arial" w:eastAsia="Arial" w:hAnsi="Arial"/>
          <w:sz w:val="16"/>
          <w:szCs w:val="16"/>
          <w:color w:val="auto"/>
        </w:rPr>
      </w:pPr>
    </w:p>
    <w:p>
      <w:pPr>
        <w:ind w:right="20" w:firstLine="656"/>
        <w:spacing w:after="0" w:line="259" w:lineRule="auto"/>
        <w:tabs>
          <w:tab w:leader="none" w:pos="116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At any time prior to July 15, 2023, the Issuer may on any one or more occasions redeem all or a part of the Notes at a redemption price equal to 100% of the principal amount of the Notes redeemed, plus the Applicable Premium as of, and accrued and unpaid interest to, but not including, the date of redemption, subject to the rights of Holders of Notes on the relevant record date to receive interest due on the relevant interest payment date if the Notes have not been redeemed or repurchased prior to such date.</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2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On or after July 15, 2023, the Issuer may on any one or more occasions redeem all or a part of the Notes at the redemption prices (expressed as percentages of principal amount) set forth below, plus accrued and unpaid interest, on the Notes redeemed, to, but not including, the applicable date of redemption, if redeemed during the twelve-month period beginning on July 15 of the years indicated below (subject to the rights of Holders on the relevant record date to receive interest due on the relevant interest payment date if the Notes have not been redeemed or repurchased prior to such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Percentage</w:t>
            </w:r>
          </w:p>
        </w:tc>
      </w:tr>
      <w:tr>
        <w:trPr>
          <w:trHeight w:val="210"/>
        </w:trPr>
        <w:tc>
          <w:tcPr>
            <w:tcW w:w="9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101.438%</w:t>
            </w:r>
          </w:p>
        </w:tc>
      </w:tr>
      <w:tr>
        <w:trPr>
          <w:trHeight w:val="229"/>
        </w:trPr>
        <w:tc>
          <w:tcPr>
            <w:tcW w:w="9640" w:type="dxa"/>
            <w:vAlign w:val="bottom"/>
          </w:tcPr>
          <w:p>
            <w:pPr>
              <w:spacing w:after="0"/>
              <w:rPr>
                <w:sz w:val="20"/>
                <w:szCs w:val="20"/>
                <w:color w:val="auto"/>
              </w:rPr>
            </w:pPr>
            <w:r>
              <w:rPr>
                <w:rFonts w:ascii="Arial" w:cs="Arial" w:eastAsia="Arial" w:hAnsi="Arial"/>
                <w:sz w:val="18"/>
                <w:szCs w:val="18"/>
                <w:color w:val="auto"/>
              </w:rPr>
              <w:t>2024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100.719%</w:t>
            </w:r>
          </w:p>
        </w:tc>
      </w:tr>
      <w:tr>
        <w:trPr>
          <w:trHeight w:val="230"/>
        </w:trPr>
        <w:tc>
          <w:tcPr>
            <w:tcW w:w="9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firstLine="656"/>
        <w:spacing w:after="0" w:line="257" w:lineRule="auto"/>
        <w:tabs>
          <w:tab w:leader="none" w:pos="116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At any time prior to July 15, 2023, the Issuer may on any one or more occasions redeem up to 40% of the aggregate principal amount of the Notes issued under this Indenture at a redemption price equal to 102.875% of the aggregate principal amount of the Notes redeemed, plus accrued and unpaid interest to, but not including, the date of redemption (subject to the rights of Holders of Notes on the relevant record date to receive interest due on the relevant interest payment date if the Notes have not been redeemed or repurchased prior to such date), with the net cash proceeds of an Equity Offering;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87" w:lineRule="exact"/>
        <w:rPr>
          <w:rFonts w:ascii="Arial" w:cs="Arial" w:eastAsia="Arial" w:hAnsi="Arial"/>
          <w:sz w:val="18"/>
          <w:szCs w:val="18"/>
          <w:color w:val="auto"/>
        </w:rPr>
      </w:pPr>
    </w:p>
    <w:p>
      <w:pPr>
        <w:ind w:left="820" w:right="400" w:firstLine="646"/>
        <w:spacing w:after="0" w:line="342" w:lineRule="auto"/>
        <w:tabs>
          <w:tab w:leader="none" w:pos="1993" w:val="left"/>
        </w:tabs>
        <w:numPr>
          <w:ilvl w:val="1"/>
          <w:numId w:val="320"/>
        </w:numPr>
        <w:rPr>
          <w:rFonts w:ascii="Arial" w:cs="Arial" w:eastAsia="Arial" w:hAnsi="Arial"/>
          <w:sz w:val="16"/>
          <w:szCs w:val="16"/>
          <w:color w:val="auto"/>
        </w:rPr>
      </w:pPr>
      <w:r>
        <w:rPr>
          <w:rFonts w:ascii="Arial" w:cs="Arial" w:eastAsia="Arial" w:hAnsi="Arial"/>
          <w:sz w:val="16"/>
          <w:szCs w:val="16"/>
          <w:color w:val="auto"/>
        </w:rPr>
        <w:t>at least 50% of the aggregate principal amount of Notes originally issued under this Indenture on the Issue Date (excluding Notes held by the Parent and its Subsidiaries) remains outstanding immediately after the occurrence of such redemption; and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5" w:name="page306"/>
    <w:bookmarkEnd w:id="305"/>
    <w:p>
      <w:pPr>
        <w:ind w:left="1980" w:hanging="534"/>
        <w:spacing w:after="0"/>
        <w:tabs>
          <w:tab w:leader="none" w:pos="19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jc w:val="both"/>
        <w:ind w:left="-20" w:firstLine="656"/>
        <w:spacing w:after="0" w:line="257" w:lineRule="auto"/>
        <w:tabs>
          <w:tab w:leader="none" w:pos="114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addition, at any time and from time to time prior to July 15, 2023, the Issuer may redeem during each twelve-month period commencing with the Issue Date, at its option, up to 10% of the aggregate principal amount of the Notes (including Additional Notes, if any) that have been issued under this Indenture at a redemption price of 103.000% of the aggregate principal amount thereof, plus accrued and unpaid interest, if any, to, but excluding, the date of redemption (subject to the rights of Holders of Notes on the relevant record date to receive interest due on the relevant interest payment date if the Notes have not been redeemed or repurchased prior to such date).</w:t>
      </w:r>
    </w:p>
    <w:p>
      <w:pPr>
        <w:spacing w:after="0" w:line="187" w:lineRule="exact"/>
        <w:rPr>
          <w:rFonts w:ascii="Arial" w:cs="Arial" w:eastAsia="Arial" w:hAnsi="Arial"/>
          <w:sz w:val="18"/>
          <w:szCs w:val="18"/>
          <w:color w:val="auto"/>
        </w:rPr>
      </w:pPr>
    </w:p>
    <w:p>
      <w:pPr>
        <w:ind w:left="-20" w:right="240" w:firstLine="656"/>
        <w:spacing w:after="0" w:line="277" w:lineRule="auto"/>
        <w:tabs>
          <w:tab w:leader="none" w:pos="112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Unless the Issuer defaults in the payment of the redemption price, interest will cease to accrue on the Notes or portions thereof called for redemption on the applicable redemption date.</w:t>
      </w:r>
    </w:p>
    <w:p>
      <w:pPr>
        <w:spacing w:after="0" w:line="170" w:lineRule="exact"/>
        <w:rPr>
          <w:rFonts w:ascii="Arial" w:cs="Arial" w:eastAsia="Arial" w:hAnsi="Arial"/>
          <w:sz w:val="18"/>
          <w:szCs w:val="18"/>
          <w:color w:val="auto"/>
        </w:rPr>
      </w:pPr>
    </w:p>
    <w:p>
      <w:pPr>
        <w:ind w:left="-20" w:firstLine="656"/>
        <w:spacing w:after="0" w:line="253" w:lineRule="auto"/>
        <w:tabs>
          <w:tab w:leader="none" w:pos="115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Notwithstanding the foregoing, in connection with any tender offer, Change of Control Offer, Alternate Offer, Collateral Advance Offer, Collateral Asset Sale Offer, Advance Offer or Asset Sale Offer, if Holders of not less than 90% in aggregate principal amount of the then outstanding Notes validly tender and do not withdraw such Notes in such offer and the Issuer, or any third party making such offer in lieu of the Issuer, purchases all of the Notes validly tendered and not withdrawn by such Holders, the Issuer or such third party will have the right upon not less than 10 nor more than 60 days’ prior notice, given not more than 60 days following such purchase date, to redeem (with respect to the Issuer) or purchase (with respect to a third party) all Notes that remain outstanding at a price equal to the price offered to each other Holder in such offer (which may be less than par) plus, to the extent not included in the tender offer payment, accrued and unpaid interest, if any, to, but excluding, the date of redemption or purchase date (subject to the rights of Holders on the relevant record date to receive interest due on the relevant interest payment date if the Notes have not been redeemed or repurchased prior to such date).</w:t>
      </w:r>
    </w:p>
    <w:p>
      <w:pPr>
        <w:spacing w:after="0" w:line="196" w:lineRule="exact"/>
        <w:rPr>
          <w:rFonts w:ascii="Arial" w:cs="Arial" w:eastAsia="Arial" w:hAnsi="Arial"/>
          <w:sz w:val="18"/>
          <w:szCs w:val="18"/>
          <w:color w:val="auto"/>
        </w:rPr>
      </w:pPr>
    </w:p>
    <w:p>
      <w:pPr>
        <w:ind w:left="-20" w:right="20" w:firstLine="656"/>
        <w:spacing w:after="0" w:line="259" w:lineRule="auto"/>
        <w:tabs>
          <w:tab w:leader="none" w:pos="114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Issuer may redeem the Notes pursuant to one or more of the relevant provisions in this Indenture, and a single notice of redemption for the Notes may be delivered with respect to redemptions made pursuant to different provisions. Any such notice may provide that redemptions made pursuant to different provisions may have different dates of redemption or may specify the order in which redemptions taking place on the same date of redemption are deemed to occur.</w:t>
      </w:r>
    </w:p>
    <w:p>
      <w:pPr>
        <w:spacing w:after="0" w:line="186" w:lineRule="exact"/>
        <w:rPr>
          <w:rFonts w:ascii="Arial" w:cs="Arial" w:eastAsia="Arial" w:hAnsi="Arial"/>
          <w:sz w:val="18"/>
          <w:szCs w:val="18"/>
          <w:color w:val="auto"/>
        </w:rPr>
      </w:pPr>
    </w:p>
    <w:p>
      <w:pPr>
        <w:ind w:left="-20" w:right="20" w:firstLine="656"/>
        <w:spacing w:after="0" w:line="342" w:lineRule="auto"/>
        <w:tabs>
          <w:tab w:leader="none" w:pos="110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Issuer, its direct and indirect equityholders, any of its Subsidiaries and their respective Affiliates and members of our management may acquire the Notes by means other than a redemption, whether by tender offer, open market purchases, negotiated transactions or otherwise.</w:t>
      </w:r>
    </w:p>
    <w:p>
      <w:pPr>
        <w:spacing w:after="0" w:line="123" w:lineRule="exact"/>
        <w:rPr>
          <w:rFonts w:ascii="Arial" w:cs="Arial" w:eastAsia="Arial" w:hAnsi="Arial"/>
          <w:sz w:val="16"/>
          <w:szCs w:val="16"/>
          <w:color w:val="auto"/>
        </w:rPr>
      </w:pPr>
    </w:p>
    <w:p>
      <w:pPr>
        <w:ind w:left="1120" w:hanging="484"/>
        <w:spacing w:after="0"/>
        <w:tabs>
          <w:tab w:leader="none" w:pos="11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redemption pursuant to this Section 1.07 shall be made pursuant to the provisions of Sections 3.01 through 3.06 hereof.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306" w:name="page307"/>
    <w:bookmarkEnd w:id="306"/>
    <w:p>
      <w:pPr>
        <w:ind w:left="660"/>
        <w:spacing w:after="0"/>
        <w:tabs>
          <w:tab w:leader="none" w:pos="176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is not required to make mandatory redemption or sinking fund payments with respect to the Notes.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i w:val="1"/>
          <w:iCs w:val="1"/>
          <w:color w:val="auto"/>
        </w:rPr>
        <w:t>Offer to Purchase.</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the event that, pursuant to Section 4.10 or 4.14 hereof, the Issuer is required to commence an Offer to Purchase, it will follow the procedures specified below.</w:t>
      </w:r>
    </w:p>
    <w:p>
      <w:pPr>
        <w:spacing w:after="0" w:line="170"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Upon the commencement of an Offer to Purchase, the Issuer will deliver a notice to the Trustee and each of the Holders describing the transaction or transactions that give rise to such Offer to Purchase and offering to repurchase Notes on the date specified in the notice (the “</w:t>
      </w:r>
      <w:r>
        <w:rPr>
          <w:rFonts w:ascii="Arial" w:cs="Arial" w:eastAsia="Arial" w:hAnsi="Arial"/>
          <w:sz w:val="16"/>
          <w:szCs w:val="16"/>
          <w:i w:val="1"/>
          <w:iCs w:val="1"/>
          <w:color w:val="auto"/>
        </w:rPr>
        <w:t>Purchase Date</w:t>
      </w:r>
      <w:r>
        <w:rPr>
          <w:rFonts w:ascii="Arial" w:cs="Arial" w:eastAsia="Arial" w:hAnsi="Arial"/>
          <w:sz w:val="16"/>
          <w:szCs w:val="16"/>
          <w:color w:val="auto"/>
        </w:rPr>
        <w:t xml:space="preserve">”), which date will be no earlier than 10 days and no later than 60 days from the date such notice is mailed. The purchase price for the Offer to Purchase shall be as set forth in Section 4.10 or 4.14,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Purchase Date is on or after an interest record date and on or before the related interest payment date, any accrued and unpaid interest will be paid to the Person in whose name a Note is registered at the close of business on such record date.</w:t>
      </w:r>
    </w:p>
    <w:p>
      <w:pPr>
        <w:spacing w:after="0" w:line="16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notice will contain all instructions and materials necessary to enable such Holders to tender Notes pursuant to the Offer to Purchase. The notice, which will govern the terms of the Offer to Purchase, will state:</w:t>
      </w:r>
    </w:p>
    <w:p>
      <w:pPr>
        <w:spacing w:after="0" w:line="170" w:lineRule="exact"/>
        <w:rPr>
          <w:sz w:val="20"/>
          <w:szCs w:val="20"/>
          <w:color w:val="auto"/>
        </w:rPr>
      </w:pPr>
    </w:p>
    <w:p>
      <w:pPr>
        <w:ind w:right="80" w:firstLine="656"/>
        <w:spacing w:after="0" w:line="277" w:lineRule="auto"/>
        <w:tabs>
          <w:tab w:leader="none" w:pos="116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that the Offer to Purchase is being made pursuant to this Section 1.09 and Section 4.10 or 4.14, as applicable, hereof and the length of time the Offer to Purchase will remain open;</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purchase price and the Purchase Date;</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accrete or accrue interest;</w:t>
      </w:r>
    </w:p>
    <w:p>
      <w:pPr>
        <w:spacing w:after="0" w:line="225" w:lineRule="exact"/>
        <w:rPr>
          <w:rFonts w:ascii="Arial" w:cs="Arial" w:eastAsia="Arial" w:hAnsi="Arial"/>
          <w:sz w:val="18"/>
          <w:szCs w:val="18"/>
          <w:color w:val="auto"/>
        </w:rPr>
      </w:pPr>
    </w:p>
    <w:p>
      <w:pPr>
        <w:ind w:right="380" w:firstLine="656"/>
        <w:spacing w:after="0" w:line="277" w:lineRule="auto"/>
        <w:tabs>
          <w:tab w:leader="none" w:pos="117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that, unless the Issuer defaults in making such payment, any Note accepted for payment pursuant to the Offer to Purchase will cease to accrete or accrue interest after the Purchase Date;</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that Holders electing to have a Note purchased pursuant to an Offer to Purchase may elect to have Notes purchased in denominations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$200,000 or an integral multiple of $1,000 in excess thereof;</w:t>
      </w:r>
    </w:p>
    <w:p>
      <w:pPr>
        <w:spacing w:after="0" w:line="211" w:lineRule="exact"/>
        <w:rPr>
          <w:sz w:val="20"/>
          <w:szCs w:val="20"/>
          <w:color w:val="auto"/>
        </w:rPr>
      </w:pPr>
    </w:p>
    <w:p>
      <w:pPr>
        <w:ind w:right="220" w:firstLine="656"/>
        <w:spacing w:after="0" w:line="286" w:lineRule="auto"/>
        <w:tabs>
          <w:tab w:leader="none" w:pos="1143"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that Holders electing to have Notes purchased pursuant to any Offer to Purchase will be required to surrender the Note, with the form entitled “Option of Holder to Elect Purchase” attached to the Notes completed, or transfer by book-entry transfer, to the Issuer, a Depositary, if appointed by the Issuer, or a Paying Agent at the address specified in the notice at least three days before the Purchase Date;</w:t>
      </w:r>
    </w:p>
    <w:p>
      <w:pPr>
        <w:spacing w:after="0" w:line="165" w:lineRule="exact"/>
        <w:rPr>
          <w:rFonts w:ascii="Arial" w:cs="Arial" w:eastAsia="Arial" w:hAnsi="Arial"/>
          <w:sz w:val="17"/>
          <w:szCs w:val="17"/>
          <w:color w:val="auto"/>
        </w:rPr>
      </w:pPr>
    </w:p>
    <w:p>
      <w:pPr>
        <w:ind w:firstLine="656"/>
        <w:spacing w:after="0" w:line="277" w:lineRule="auto"/>
        <w:tabs>
          <w:tab w:leader="none" w:pos="117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that Holders whose Notes were purchased only in part will be issued new Notes equal in principal amount to the unpurchased portion of the Notes surrendered (or transferred by book-entry transfer).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7" w:name="page308"/>
    <w:bookmarkEnd w:id="307"/>
    <w:p>
      <w:pPr>
        <w:ind w:left="660"/>
        <w:spacing w:after="0"/>
        <w:rPr>
          <w:sz w:val="20"/>
          <w:szCs w:val="20"/>
          <w:color w:val="auto"/>
        </w:rPr>
      </w:pPr>
      <w:r>
        <w:rPr>
          <w:rFonts w:ascii="Arial" w:cs="Arial" w:eastAsia="Arial" w:hAnsi="Arial"/>
          <w:sz w:val="18"/>
          <w:szCs w:val="18"/>
          <w:color w:val="auto"/>
        </w:rPr>
        <w:t>On the Purchase Date, the Issuer will, to the extent lawful:</w:t>
      </w:r>
    </w:p>
    <w:p>
      <w:pPr>
        <w:spacing w:after="0" w:line="225" w:lineRule="exact"/>
        <w:rPr>
          <w:sz w:val="20"/>
          <w:szCs w:val="20"/>
          <w:color w:val="auto"/>
        </w:rPr>
      </w:pPr>
    </w:p>
    <w:p>
      <w:pPr>
        <w:jc w:val="both"/>
        <w:ind w:left="820" w:right="40" w:firstLine="646"/>
        <w:spacing w:after="0" w:line="263" w:lineRule="auto"/>
        <w:tabs>
          <w:tab w:leader="none" w:pos="199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Offer to Purchase (which may be limited to the pro rated amount of Collateral Excess Proceeds or Excess Proceeds in the case of an a Collateral Asset Sale Offer or Asset Sale Offer, as the case may be as set forth in Section 4.10);</w:t>
      </w:r>
    </w:p>
    <w:p>
      <w:pPr>
        <w:spacing w:after="0" w:line="183" w:lineRule="exact"/>
        <w:rPr>
          <w:rFonts w:ascii="Arial" w:cs="Arial" w:eastAsia="Arial" w:hAnsi="Arial"/>
          <w:sz w:val="18"/>
          <w:szCs w:val="18"/>
          <w:color w:val="auto"/>
        </w:rPr>
      </w:pPr>
    </w:p>
    <w:p>
      <w:pPr>
        <w:ind w:left="2000" w:hanging="534"/>
        <w:spacing w:after="0"/>
        <w:tabs>
          <w:tab w:leader="none" w:pos="200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deposit with the Paying Agent an amount equal to the purchase price in respect of all Notes or portions of Notes properly</w:t>
      </w:r>
    </w:p>
    <w:p>
      <w:pPr>
        <w:spacing w:after="0" w:line="34"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8"/>
          <w:szCs w:val="18"/>
          <w:color w:val="auto"/>
        </w:rPr>
        <w:t>tendered; and</w:t>
      </w:r>
    </w:p>
    <w:p>
      <w:pPr>
        <w:spacing w:after="0" w:line="210" w:lineRule="exact"/>
        <w:rPr>
          <w:rFonts w:ascii="Arial" w:cs="Arial" w:eastAsia="Arial" w:hAnsi="Arial"/>
          <w:sz w:val="17"/>
          <w:szCs w:val="17"/>
          <w:color w:val="auto"/>
        </w:rPr>
      </w:pPr>
    </w:p>
    <w:p>
      <w:pPr>
        <w:jc w:val="both"/>
        <w:ind w:left="820" w:right="400" w:firstLine="646"/>
        <w:spacing w:after="0" w:line="263" w:lineRule="auto"/>
        <w:tabs>
          <w:tab w:leader="none" w:pos="199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 pursuant to this Section 1.09 and a written order to cancel those Notes (in accordance with the Trustee’s procedures).</w:t>
      </w:r>
    </w:p>
    <w:p>
      <w:pPr>
        <w:spacing w:after="0" w:line="18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Issuer, the Depositary or the Paying Agent, as the case may be, will promptly mail or deliver to each tendering Holder an amount equal to the purchase price of the Notes tendered by such Holder and accepted by the Issuer for purchase, and the Issuer will promptly issue a new Note, and the Trustee, upon written request from the Issuer, will authenticate and mail or deliver (or cause to be transferred by book entry) such new Note to such Holder, in a principal amount equal to any unpurchased portion of the Note surrendered. Any Note not so accepted shall be promptly mailed or delivered by the Issuer to the Holder thereof. The Issuer will publicly announce the results of the Offer to Purchase as soon as practicable on or after the Purchase Date.</w:t>
      </w:r>
    </w:p>
    <w:p>
      <w:pPr>
        <w:spacing w:after="0" w:line="16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Issuer will comply with the requirements of Rule 14e-1 under the Exchange Act and any other securities laws and regulations thereunder to the extent those laws and regulations are applicable in connection with each repurchase of Notes pursuant to an Offer to Purchase. To the extent that the provisions of any securities laws or regulations conflict with the provisions of this Indenture governing such Offer to Purchase, the Issuer will comply with the applicable securities laws and regulations and will not be deemed to have breached its obligations under such provisions of this Indenture by virtue of such compliance.</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provisions under this Indenture relative to the Issuer’s obligation to make any Offer to Purchase may be waived or modified with the consent of the Holders of a majority in principal amount of the Notes.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8" w:name="page309"/>
    <w:bookmarkEnd w:id="308"/>
    <w:p>
      <w:pPr>
        <w:ind w:left="660"/>
        <w:spacing w:after="0"/>
        <w:tabs>
          <w:tab w:leader="none" w:pos="17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5"/>
          <w:szCs w:val="15"/>
          <w:i w:val="1"/>
          <w:iCs w:val="1"/>
          <w:color w:val="auto"/>
        </w:rPr>
        <w:t>Redemption for Changes in Taxes</w:t>
      </w:r>
      <w:r>
        <w:rPr>
          <w:rFonts w:ascii="Arial" w:cs="Arial" w:eastAsia="Arial" w:hAnsi="Arial"/>
          <w:sz w:val="15"/>
          <w:szCs w:val="15"/>
          <w:color w:val="auto"/>
        </w:rPr>
        <w:t>.</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Issuer may redeem the Notes, in whole but not in part, at its discretion at any time upon giving not less than 10 nor more than 60 days’ notice to the Holders thereof (which notice shall be irrevocable and given in accordance with the procedures described under Section 1.02), at a redemption price equal to 100% of the principal amount of the Notes redeemed, plus accrued and unpaid interest to, but not including, the date of redemption (a “</w:t>
      </w:r>
      <w:r>
        <w:rPr>
          <w:rFonts w:ascii="Arial" w:cs="Arial" w:eastAsia="Arial" w:hAnsi="Arial"/>
          <w:sz w:val="16"/>
          <w:szCs w:val="16"/>
          <w:i w:val="1"/>
          <w:iCs w:val="1"/>
          <w:color w:val="auto"/>
        </w:rPr>
        <w:t>Tax</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 Date</w:t>
      </w:r>
      <w:r>
        <w:rPr>
          <w:rFonts w:ascii="Arial" w:cs="Arial" w:eastAsia="Arial" w:hAnsi="Arial"/>
          <w:sz w:val="16"/>
          <w:szCs w:val="16"/>
          <w:color w:val="auto"/>
        </w:rPr>
        <w:t>”) and all Additional Amounts (if any) then due and that may become due on the Tax Redemption Date as a result of the redemption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(subject to the right of Holders of the Notes on the relevant record date to receive interest due on the relevant interest payment date and Additional Amounts (if any) in respect thereof if the Notes have not been redeemed or repurchased prior to such date), if on the next date on which any amount would be payable in respect of the Notes, the Issuer or any Guarantor is or would be required to pay Additional Amounts, and the Issuer or such Guarantor (but, in the case of a Guarantor, only if the payment giving rise to such requirement cannot be made by the Issuer or another Guarantor without the obligation to pay Additional Amounts) cannot avoid any such payment obligation by taking commercially reasonable measures available to them (including, for the avoidance of doubt, the appointment of a new Paying Agent), and the requirement to pay such Additional Amounts arises as a result of:</w:t>
      </w:r>
    </w:p>
    <w:p>
      <w:pPr>
        <w:spacing w:after="0" w:line="168" w:lineRule="exact"/>
        <w:rPr>
          <w:sz w:val="20"/>
          <w:szCs w:val="20"/>
          <w:color w:val="auto"/>
        </w:rPr>
      </w:pPr>
    </w:p>
    <w:p>
      <w:pPr>
        <w:ind w:right="140" w:firstLine="656"/>
        <w:spacing w:after="0" w:line="263" w:lineRule="auto"/>
        <w:tabs>
          <w:tab w:leader="none" w:pos="116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change in, or amendment to, the laws, regulations, rulings or treaties of the relevant Tax Jurisdiction affecting taxation, which change or amendment has not been publicly announced before and becomes effective after the Issue Date (or, if the relevant Tax Jurisdiction became a Tax Jurisdiction on a date after the Issue Date, such later date); or</w:t>
      </w:r>
    </w:p>
    <w:p>
      <w:pPr>
        <w:spacing w:after="0" w:line="183" w:lineRule="exact"/>
        <w:rPr>
          <w:rFonts w:ascii="Arial" w:cs="Arial" w:eastAsia="Arial" w:hAnsi="Arial"/>
          <w:sz w:val="18"/>
          <w:szCs w:val="18"/>
          <w:color w:val="auto"/>
        </w:rPr>
      </w:pPr>
    </w:p>
    <w:p>
      <w:pPr>
        <w:jc w:val="both"/>
        <w:ind w:right="20" w:firstLine="656"/>
        <w:spacing w:after="0" w:line="259" w:lineRule="auto"/>
        <w:tabs>
          <w:tab w:leader="none" w:pos="117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change in, or amendment to, the official position regarding the application, administration or interpretation of such laws, regulations, rulings or treaties (including by virtue of a holding, judgment or order by a court of competent jurisdiction or a change in official administrative practice), which change or amendment has not been publicly announced before and becomes effective after the Issue Date (or, if the relevant Tax Jurisdiction became a Tax Jurisdiction on a date after the Issue Date, such later date).</w:t>
      </w:r>
    </w:p>
    <w:p>
      <w:pPr>
        <w:spacing w:after="0" w:line="18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Issuer will not give any such notice of redemption earlier than 60 days prior to the earliest date on which the Issuer or the applicable Guarantor would be obligated to make such payment or withholding if a payment in respect of the Notes were then due and at the time such notice is given, the obligation to pay Additional Amounts must remain in effect. Prior to the publication or, where relevant, delivery of any notice of redemption of the Notes pursuant to the foregoing, the Issuer will deliver to the Trustee an opinion of independent tax counsel of recognized standing attesting to the effect that there has been such a change or amendment which would obligate the Issuer or any Guarantor to pay additional amounts (which opinion, for the avoidance of doubt, shall not be required to include an opinion as to whether “commercially reasonable efforts” could be undertaken to avoid the otherwise applicable obligations). In addition, before the Issuer publishes or mails notice of redemption of the Notes pursuant to the forgoing, it will deliver to the Trustee an Officer’s Certificate to the effect that it cannot avoid the obligation to pay Additional Amounts by taking commercially reasonable measures available to it.</w:t>
      </w:r>
    </w:p>
    <w:p>
      <w:pPr>
        <w:spacing w:after="0" w:line="19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Trustee will accept and shall be entitled to conclusively rely on such Officer’s Certificate and Opinion of Counsel as sufficient evidence of the existence and satisfaction of the conditions as described above, in which event it will be conclusive and binding on all of the Holders.</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9" w:name="page310"/>
    <w:bookmarkEnd w:id="309"/>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Payment of Notes.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Issuer will pay or cause to be paid the principal of, premium on, if any, and interest on, the Notes on the dates and in the manner provided in the Notes. Principal, premium, if any, and interest will be considered paid on the date due if the Paying Agent, if other than the Issuer or a Subsidiary thereof, holds as of 10:00 a.m. (London Time) on the due date money deposited by the Issuer in immediately available funds and designated for and sufficient to pay all principal, premium, if any, and interest, if any, then due.</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Issuer will pay interest (including post-petition interest in any proceeding under any Bankruptcy Law) on overdue principal at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w:t>
      </w:r>
    </w:p>
    <w:p>
      <w:pPr>
        <w:spacing w:after="0" w:line="1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Issuer will maintain in each Place of Payment for Notes an office or agency where Notes may be presented or surrendered for payment, where Notes may be surrendered for registration of transfer or for exchange and where notices and demands to or upon the Issuer in respect of the Notes and this Indenture may be served. The Issuer will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designation or rescission will in any manner relieve the Issuer of its obligation to maintain an office or agency in each Place of Payment for Notes for such purposes. The Issuer will give prompt written notice to the Trustee of any such designation or rescission and of any change in the location of any such other office or agency.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hereby designates the Corporate Trust Office of the Trustee as one such office or agency of the Issuer in accordance with Section 2.03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0" w:name="page311"/>
    <w:bookmarkEnd w:id="310"/>
    <w:p>
      <w:pPr>
        <w:ind w:left="640"/>
        <w:spacing w:after="0"/>
        <w:tabs>
          <w:tab w:leader="none" w:pos="17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left="-20" w:firstLine="656"/>
        <w:spacing w:after="0" w:line="285" w:lineRule="auto"/>
        <w:tabs>
          <w:tab w:leader="none" w:pos="1143" w:val="left"/>
        </w:tabs>
        <w:numPr>
          <w:ilvl w:val="0"/>
          <w:numId w:val="327"/>
        </w:numPr>
        <w:rPr>
          <w:rFonts w:ascii="Arial" w:cs="Arial" w:eastAsia="Arial" w:hAnsi="Arial"/>
          <w:sz w:val="16"/>
          <w:szCs w:val="16"/>
          <w:color w:val="auto"/>
        </w:rPr>
      </w:pPr>
      <w:r>
        <w:rPr>
          <w:rFonts w:ascii="Arial" w:cs="Arial" w:eastAsia="Arial" w:hAnsi="Arial"/>
          <w:sz w:val="16"/>
          <w:szCs w:val="16"/>
          <w:color w:val="auto"/>
        </w:rPr>
        <w:t>So long as any Notes are outstanding, the Parent shall furnish to the Trustee (i) within 120 days from the end of any fiscal year of the Parent, annual reports for such fiscal year containing the information that would have been required to be contained in an annual report on Form 20-F (or any successor or comparable form) if the Parent had been a reporting company under the Exchange Act, except to the extent permitted to be excluded by the SEC and (ii) within 60 days after the first three fiscal quarters of each fiscal year of the Parent, quarterly reports for such fiscal quarter containing financial information (including management’s discussion and analysis of financial condition and results of operations) of the type included in the Parent’s report on Form 6-K for the month ended April, 2021. The indenture will permit the Parent to satisfy its obligations in this covenant by furnishing annual and quarterly reports prepared by a parent entity, so long as (i) to the extent there are, in the Parent’s reasonable judgment, material differences between the information relating to that parent entity, on the one hand, and the information relating to the Parent and the Restricted Subsidiaries, on the other hand, such differences and financial discrepancies are reasonably detailed in such report or (ii) the Parent causes such parent entity to become a Guarantor in accordance with this Indenture (and in such instance any reference to Guarantor shall be deemed to include such entity). Notwithstanding the foregoing, the Parent will not be required to provide the Trustee with any such information, documents or reports that are filed with the SEC and once filed all such information documents or reports shall be deemed furnished to the Trustee for all purposes under this Indenture, and the Trustee shall have no responsibility whatsoever to determine if such reports and information have been filed with the SEC. Delivery of such reports, information and documents to the Trustee is for informational purposes only and the Trustee’s receipt of such shall not constitute constructive or actual notice of any information contained therein or determinable from information contained therein, including the Issuer’s compliance with any of its covenants hereunder (as to which the Trustee is entitled to rely conclusively on Officer’s Certificates). The Trustee is under no duty to examine such reports, information or documents to ensure compliance with the provision of this Indenture or to ascertain the correctness or otherwise of the information or the statements contained therein.</w:t>
      </w:r>
    </w:p>
    <w:p>
      <w:pPr>
        <w:spacing w:after="0" w:line="173" w:lineRule="exact"/>
        <w:rPr>
          <w:rFonts w:ascii="Arial" w:cs="Arial" w:eastAsia="Arial" w:hAnsi="Arial"/>
          <w:sz w:val="16"/>
          <w:szCs w:val="16"/>
          <w:color w:val="auto"/>
        </w:rPr>
      </w:pPr>
    </w:p>
    <w:p>
      <w:pPr>
        <w:ind w:left="-20" w:right="660" w:firstLine="656"/>
        <w:spacing w:after="0" w:line="277" w:lineRule="auto"/>
        <w:tabs>
          <w:tab w:leader="none" w:pos="115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Issuer will not be deemed to have failed to comply with any of its obligations hereunder for purposes of Section 6.01(3) until 90 days after the date any report hereunder is due.</w:t>
      </w:r>
    </w:p>
    <w:p>
      <w:pPr>
        <w:spacing w:after="0" w:line="170" w:lineRule="exact"/>
        <w:rPr>
          <w:rFonts w:ascii="Arial" w:cs="Arial" w:eastAsia="Arial" w:hAnsi="Arial"/>
          <w:sz w:val="18"/>
          <w:szCs w:val="18"/>
          <w:color w:val="auto"/>
        </w:rPr>
      </w:pPr>
    </w:p>
    <w:p>
      <w:pPr>
        <w:ind w:left="-20" w:right="240" w:firstLine="656"/>
        <w:spacing w:after="0" w:line="263" w:lineRule="auto"/>
        <w:tabs>
          <w:tab w:leader="none" w:pos="113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To the extent any information is not provided within the time periods specified in this Section 4.03 and such information is subsequently provided, the Issuer will be deemed to have satisfied its obligations with respect thereto at such time and any Default or Event of Default with respect thereto shall be deemed to have been cured.</w:t>
      </w:r>
    </w:p>
    <w:p>
      <w:pPr>
        <w:spacing w:after="0" w:line="183" w:lineRule="exact"/>
        <w:rPr>
          <w:rFonts w:ascii="Arial" w:cs="Arial" w:eastAsia="Arial" w:hAnsi="Arial"/>
          <w:sz w:val="18"/>
          <w:szCs w:val="18"/>
          <w:color w:val="auto"/>
        </w:rPr>
      </w:pPr>
    </w:p>
    <w:p>
      <w:pPr>
        <w:ind w:left="-20" w:right="260" w:firstLine="656"/>
        <w:spacing w:after="0" w:line="259" w:lineRule="auto"/>
        <w:tabs>
          <w:tab w:leader="none" w:pos="115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addition, for so long as any Notes remain outstanding during any period when the Parent is not subject to Section 13 or 15(d) of the Exchange Act, or otherwise permitted to furnish the SEC with certain information pursuant to Rule 12g3-2(b) of the Exchange Act, it will furnish to the Holders of the Notes and to prospective investors, upon their request, the information required to be delivered pursuant to Rule 144A(d)(4) under the Securities Act.</w:t>
      </w:r>
    </w:p>
    <w:p>
      <w:pPr>
        <w:spacing w:after="0" w:line="186" w:lineRule="exact"/>
        <w:rPr>
          <w:rFonts w:ascii="Arial" w:cs="Arial" w:eastAsia="Arial" w:hAnsi="Arial"/>
          <w:sz w:val="18"/>
          <w:szCs w:val="18"/>
          <w:color w:val="auto"/>
        </w:rPr>
      </w:pPr>
    </w:p>
    <w:p>
      <w:pPr>
        <w:ind w:left="-20" w:right="140" w:firstLine="656"/>
        <w:spacing w:after="0" w:line="255" w:lineRule="auto"/>
        <w:tabs>
          <w:tab w:leader="none" w:pos="114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If the Parent at any time determines in good faith that it is no longer a “foreign private issuer” under the Securities Act, or such determination is otherwise made by the SEC, the obligations of clauses (i) and (ii) of Section 6.01 may, respectively, at the Parent’s option, be satisfied by delivering within the timeframes set forth in Section 6.01 (i) annual reports for each fiscal year of the Parent containing the information that would have been required to be contained in an annual report on Form 10-K (or any successor or comparable form) and (ii) quarterly reports for the first three fiscal quarters of each fiscal year of the Parent containing the information that would have been required to be contained in a quarterly report on Form 10-Q (or any successor or comparable form).</w:t>
      </w:r>
    </w:p>
    <w:p>
      <w:pPr>
        <w:spacing w:after="0" w:line="192" w:lineRule="exact"/>
        <w:rPr>
          <w:rFonts w:ascii="Arial" w:cs="Arial" w:eastAsia="Arial" w:hAnsi="Arial"/>
          <w:sz w:val="18"/>
          <w:szCs w:val="18"/>
          <w:color w:val="auto"/>
        </w:rPr>
      </w:pPr>
    </w:p>
    <w:p>
      <w:pPr>
        <w:ind w:left="-20" w:right="20" w:firstLine="656"/>
        <w:spacing w:after="0" w:line="263" w:lineRule="auto"/>
        <w:tabs>
          <w:tab w:leader="none" w:pos="112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Notwithstanding the foregoing, the Parent is deemed to have furnished such reports referred to above to the Trustee, the Holders and prospective investors if the Issuer or any parent entity referred to above has filed such reports with the SEC via the EDGAR filing system (or any successor system) and such reports are publicly available.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311" w:name="page312"/>
    <w:bookmarkEnd w:id="311"/>
    <w:p>
      <w:pPr>
        <w:ind w:left="660"/>
        <w:spacing w:after="0"/>
        <w:tabs>
          <w:tab w:leader="none" w:pos="176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ind w:right="180" w:firstLine="656"/>
        <w:spacing w:after="0" w:line="259" w:lineRule="auto"/>
        <w:tabs>
          <w:tab w:leader="none" w:pos="115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Parent shall deliver to the Trustee, within one hundred twenty (120) days after the end of each fiscal year of the Parent (commencing with the fiscal year ending December 31, 2021), an Officer’s Certificate, indicating whether the signer thereof knows of any Default or Event of Default that occurred during the previous fiscal year and specifying all such Defaults or Events of Default, the nature and the status thereof and the actions which the Issuer proposes to take with respect thereto.</w:t>
      </w:r>
    </w:p>
    <w:p>
      <w:pPr>
        <w:spacing w:after="0" w:line="186" w:lineRule="exact"/>
        <w:rPr>
          <w:rFonts w:ascii="Arial" w:cs="Arial" w:eastAsia="Arial" w:hAnsi="Arial"/>
          <w:sz w:val="18"/>
          <w:szCs w:val="18"/>
          <w:color w:val="auto"/>
        </w:rPr>
      </w:pPr>
    </w:p>
    <w:p>
      <w:pPr>
        <w:ind w:firstLine="656"/>
        <w:spacing w:after="0" w:line="263" w:lineRule="auto"/>
        <w:tabs>
          <w:tab w:leader="none" w:pos="116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The Parent shall deliver to the Trustee, within 30 days after the Parent becomes aware of the occurrence of any Default or Event of Default, a written notice of such Default or Event of Default, its status and the action which the Parent is taking or proposing to take with respect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shall not be required to deliver such notice if such Default or Event of Default has been cured.</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5"/>
          <w:szCs w:val="15"/>
          <w:i w:val="1"/>
          <w:iCs w:val="1"/>
          <w:color w:val="auto"/>
        </w:rPr>
        <w:t>Reserved.</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6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5"/>
          <w:szCs w:val="15"/>
          <w:i w:val="1"/>
          <w:iCs w:val="1"/>
          <w:color w:val="auto"/>
        </w:rPr>
        <w:t>Restricted Payments.</w:t>
      </w:r>
    </w:p>
    <w:p>
      <w:pPr>
        <w:spacing w:after="0" w:line="225" w:lineRule="exact"/>
        <w:rPr>
          <w:sz w:val="20"/>
          <w:szCs w:val="20"/>
          <w:color w:val="auto"/>
        </w:rPr>
      </w:pPr>
    </w:p>
    <w:p>
      <w:pPr>
        <w:ind w:left="1160" w:hanging="504"/>
        <w:spacing w:after="0"/>
        <w:tabs>
          <w:tab w:leader="none" w:pos="1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Parent will not, and will not permit any of the Restricted Subsidiaries to, directly or indirectly:</w:t>
      </w:r>
    </w:p>
    <w:p>
      <w:pPr>
        <w:spacing w:after="0" w:line="225" w:lineRule="exact"/>
        <w:rPr>
          <w:rFonts w:ascii="Arial" w:cs="Arial" w:eastAsia="Arial" w:hAnsi="Arial"/>
          <w:sz w:val="18"/>
          <w:szCs w:val="18"/>
          <w:color w:val="auto"/>
        </w:rPr>
      </w:pPr>
    </w:p>
    <w:p>
      <w:pPr>
        <w:ind w:left="820" w:right="100" w:firstLine="646"/>
        <w:spacing w:after="0" w:line="291" w:lineRule="auto"/>
        <w:tabs>
          <w:tab w:leader="none" w:pos="1993" w:val="left"/>
        </w:tabs>
        <w:numPr>
          <w:ilvl w:val="1"/>
          <w:numId w:val="329"/>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the Parent’s or any of the Restricted Subsidiaries’ Equity Interests (including, without limitation, any payment in connection with any merger or consolidation involving the Parent or any of the Restricted Subsidiaries, other than any such merger or consolidation constituting a Permitted Investment) or to the direct or indirect Holders of the Parent’s or any of the Restricted Subsidiaries’ Equity Interests in their capacity as such (other than (i) dividends or distributions payable in Equity Interests (other than Disqualified Stock) of the Parent, (ii) dividends or distributions payable to the Parent or a Restricted Subsidiary, (iii) dividends or distributions payable to other Holders of Equity Interests of a Restricted Subsidiary of the Parent on no more than a pro rata basis and (iv) payments on account of the transfer or issuance of Equity Interests to Parent or any Restricted Subsidiary;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2" w:name="page313"/>
    <w:bookmarkEnd w:id="312"/>
    <w:p>
      <w:pPr>
        <w:ind w:left="160" w:firstLine="646"/>
        <w:spacing w:after="0" w:line="277" w:lineRule="auto"/>
        <w:tabs>
          <w:tab w:leader="none" w:pos="133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directly or indirectly (including, without limitation, in connection with any merger or consolidation involving the Parent), any Equity Interests of the Parent;</w:t>
      </w:r>
    </w:p>
    <w:p>
      <w:pPr>
        <w:spacing w:after="0" w:line="170" w:lineRule="exact"/>
        <w:rPr>
          <w:rFonts w:ascii="Arial" w:cs="Arial" w:eastAsia="Arial" w:hAnsi="Arial"/>
          <w:sz w:val="18"/>
          <w:szCs w:val="18"/>
          <w:color w:val="auto"/>
        </w:rPr>
      </w:pPr>
    </w:p>
    <w:p>
      <w:pPr>
        <w:ind w:left="160" w:right="20" w:firstLine="646"/>
        <w:spacing w:after="0" w:line="259" w:lineRule="auto"/>
        <w:tabs>
          <w:tab w:leader="none" w:pos="133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make any principal payment on or with respect to, or purchase, redeem, defease or otherwise acquire or retire for value any Indebtedness of the Parent or any Guarantor that is contractually subordinated to the Notes or to any Note Guarantee (excluding any intercompany Indebtedness between or among the Parent and any of the Restricted Subsidiaries), except a payment of principal at, or within 365 days of, the Stated Maturity thereof; or</w:t>
      </w:r>
    </w:p>
    <w:p>
      <w:pPr>
        <w:spacing w:after="0" w:line="186" w:lineRule="exact"/>
        <w:rPr>
          <w:rFonts w:ascii="Arial" w:cs="Arial" w:eastAsia="Arial" w:hAnsi="Arial"/>
          <w:sz w:val="18"/>
          <w:szCs w:val="18"/>
          <w:color w:val="auto"/>
        </w:rPr>
      </w:pPr>
    </w:p>
    <w:p>
      <w:pPr>
        <w:ind w:left="1340" w:hanging="534"/>
        <w:spacing w:after="0"/>
        <w:tabs>
          <w:tab w:leader="none" w:pos="13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a “Restricted Payment” shall not include any of the payments or other transactions contemplated by the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unless:</w:t>
      </w:r>
    </w:p>
    <w:p>
      <w:pPr>
        <w:spacing w:after="0" w:line="184" w:lineRule="exact"/>
        <w:rPr>
          <w:sz w:val="20"/>
          <w:szCs w:val="20"/>
          <w:color w:val="auto"/>
        </w:rPr>
      </w:pPr>
    </w:p>
    <w:p>
      <w:pPr>
        <w:ind w:left="1300" w:right="320" w:firstLine="640"/>
        <w:spacing w:after="0" w:line="277" w:lineRule="auto"/>
        <w:tabs>
          <w:tab w:leader="none" w:pos="2433"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at the time of any Restricted Payment utilizing clause (iii)(A) below, no Event of Default has occurred and is continuing or would occur as a consequence of such Restricted Payment;</w:t>
      </w:r>
    </w:p>
    <w:p>
      <w:pPr>
        <w:spacing w:after="0" w:line="170" w:lineRule="exact"/>
        <w:rPr>
          <w:rFonts w:ascii="Arial" w:cs="Arial" w:eastAsia="Arial" w:hAnsi="Arial"/>
          <w:sz w:val="18"/>
          <w:szCs w:val="18"/>
          <w:color w:val="auto"/>
        </w:rPr>
      </w:pPr>
    </w:p>
    <w:p>
      <w:pPr>
        <w:jc w:val="both"/>
        <w:ind w:left="1300" w:firstLine="640"/>
        <w:spacing w:after="0" w:line="259" w:lineRule="auto"/>
        <w:tabs>
          <w:tab w:leader="none" w:pos="2577"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immediately after giving effect to any Restricted Payment (other than an Investment) utilizing clause (iii)(A) below, on a pro forma basis as if such Restricted Payment had been made at the beginning of the applicable four-quarter period, the Parent would be permitted to incur at least $1.00 of additional Indebtedness pursuant to the Fixed Charge Coverage Ratio test or Total Net Leverage Ratio test set forth in Section 4.09(a); and</w:t>
      </w:r>
    </w:p>
    <w:p>
      <w:pPr>
        <w:spacing w:after="0" w:line="186" w:lineRule="exact"/>
        <w:rPr>
          <w:rFonts w:ascii="Arial" w:cs="Arial" w:eastAsia="Arial" w:hAnsi="Arial"/>
          <w:sz w:val="18"/>
          <w:szCs w:val="18"/>
          <w:color w:val="auto"/>
        </w:rPr>
      </w:pPr>
    </w:p>
    <w:p>
      <w:pPr>
        <w:ind w:left="1300" w:right="140" w:firstLine="640"/>
        <w:spacing w:after="0" w:line="311" w:lineRule="auto"/>
        <w:tabs>
          <w:tab w:leader="none" w:pos="2533" w:val="left"/>
        </w:tabs>
        <w:numPr>
          <w:ilvl w:val="1"/>
          <w:numId w:val="331"/>
        </w:numPr>
        <w:rPr>
          <w:rFonts w:ascii="Arial" w:cs="Arial" w:eastAsia="Arial" w:hAnsi="Arial"/>
          <w:sz w:val="16"/>
          <w:szCs w:val="16"/>
          <w:color w:val="auto"/>
        </w:rPr>
      </w:pPr>
      <w:r>
        <w:rPr>
          <w:rFonts w:ascii="Arial" w:cs="Arial" w:eastAsia="Arial" w:hAnsi="Arial"/>
          <w:sz w:val="16"/>
          <w:szCs w:val="16"/>
          <w:color w:val="auto"/>
        </w:rPr>
        <w:t>such Restricted Payment, together with the aggregate amount of all other Restricted Payments made by the Parent and the Restricted Subsidiaries since the Issue Date (including Restricted Payments permitted by Section 4.07(b)(1), but excluding all other Restricted Payments permitted by Section 4.07(b)), is less than the sum, without duplication, of:</w:t>
      </w:r>
    </w:p>
    <w:p>
      <w:pPr>
        <w:spacing w:after="0" w:line="148" w:lineRule="exact"/>
        <w:rPr>
          <w:rFonts w:ascii="Arial" w:cs="Arial" w:eastAsia="Arial" w:hAnsi="Arial"/>
          <w:sz w:val="16"/>
          <w:szCs w:val="16"/>
          <w:color w:val="auto"/>
        </w:rPr>
      </w:pPr>
    </w:p>
    <w:p>
      <w:pPr>
        <w:jc w:val="both"/>
        <w:ind w:left="640" w:right="140" w:firstLine="652"/>
        <w:spacing w:after="0" w:line="259" w:lineRule="auto"/>
        <w:tabs>
          <w:tab w:leader="none" w:pos="185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the Parent for the period (taken as one accounting period) from the first day of the fiscal quarter in which the Issue Date occurs to the end of the Parent’s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29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313" w:name="page314"/>
    <w:bookmarkEnd w:id="313"/>
    <w:p>
      <w:pPr>
        <w:jc w:val="both"/>
        <w:ind w:left="180" w:firstLine="652"/>
        <w:spacing w:after="0" w:line="275" w:lineRule="auto"/>
        <w:tabs>
          <w:tab w:leader="none" w:pos="1449" w:val="left"/>
        </w:tabs>
        <w:numPr>
          <w:ilvl w:val="0"/>
          <w:numId w:val="333"/>
        </w:numPr>
        <w:rPr>
          <w:rFonts w:ascii="Arial" w:cs="Arial" w:eastAsia="Arial" w:hAnsi="Arial"/>
          <w:sz w:val="17"/>
          <w:szCs w:val="17"/>
          <w:color w:val="auto"/>
        </w:rPr>
      </w:pPr>
      <w:r>
        <w:rPr>
          <w:rFonts w:ascii="Arial" w:cs="Arial" w:eastAsia="Arial" w:hAnsi="Arial"/>
          <w:sz w:val="17"/>
          <w:szCs w:val="17"/>
          <w:color w:val="auto"/>
        </w:rPr>
        <w:t xml:space="preserve">100% of the aggregate Net Cash Proceeds received by the Parent since the Issue Date as a contribution to its common equity capital or from the issue or sale of Qualifying Equity Interests of the Parent or from the issue or sale of convertible or exchangeable Disqualified Stock of the Parent or convertible or exchangeable debt securities of the Parent, in each case that have been converted into or exchanged for Qualifying Equity Interests of the Parent (other than Qualifying Equity Interests and convertible or exchangeable Disqualified Stock or debt securities sold to a Subsidiary of the Parent); </w:t>
      </w:r>
      <w:r>
        <w:rPr>
          <w:rFonts w:ascii="Arial" w:cs="Arial" w:eastAsia="Arial" w:hAnsi="Arial"/>
          <w:sz w:val="17"/>
          <w:szCs w:val="17"/>
          <w:i w:val="1"/>
          <w:iCs w:val="1"/>
          <w:color w:val="auto"/>
        </w:rPr>
        <w:t>plus</w:t>
      </w:r>
    </w:p>
    <w:p>
      <w:pPr>
        <w:spacing w:after="0" w:line="176" w:lineRule="exact"/>
        <w:rPr>
          <w:rFonts w:ascii="Arial" w:cs="Arial" w:eastAsia="Arial" w:hAnsi="Arial"/>
          <w:sz w:val="17"/>
          <w:szCs w:val="17"/>
          <w:color w:val="auto"/>
        </w:rPr>
      </w:pPr>
    </w:p>
    <w:p>
      <w:pPr>
        <w:jc w:val="both"/>
        <w:ind w:left="180" w:firstLine="652"/>
        <w:spacing w:after="0" w:line="270" w:lineRule="auto"/>
        <w:tabs>
          <w:tab w:leader="none" w:pos="1422" w:val="left"/>
        </w:tabs>
        <w:numPr>
          <w:ilvl w:val="0"/>
          <w:numId w:val="333"/>
        </w:numPr>
        <w:rPr>
          <w:rFonts w:ascii="Arial" w:cs="Arial" w:eastAsia="Arial" w:hAnsi="Arial"/>
          <w:sz w:val="17"/>
          <w:szCs w:val="17"/>
          <w:color w:val="auto"/>
        </w:rPr>
      </w:pPr>
      <w:r>
        <w:rPr>
          <w:rFonts w:ascii="Arial" w:cs="Arial" w:eastAsia="Arial" w:hAnsi="Arial"/>
          <w:sz w:val="17"/>
          <w:szCs w:val="17"/>
          <w:color w:val="auto"/>
        </w:rPr>
        <w:t xml:space="preserve">100% of the aggregate amount received in cash and the Fair Market Value of property (other than cash) and marketable securities received by the Parent or a Restricted Subsidiary after the Issue Date by means of (i) the sale or other disposition (other than to the Parent or a Restricted Subsidiary) of Restricted Investments made by the Parent or any Restricted Subsidiary and repurchases and redemptions of such Restricted Investments from the Parent or any Restricted Subsidiary and repayments of loans or advances which constitute Restricted Investments of the Parent or any Restricted Subsidiary, (ii) the sale (other than to the Parent or a Restricted Subsidiary) of the Equity Interests of an Unrestricted Subsidiary, (iii) payments of interests, distributions or dividends received in respect of Restricted Investments and (iv) a distribution or dividend from an Unrestricted Subsidiary (other than in each case to the extent such Investment constituted a Permitted Investment), in each case to the extent that such amounts were not otherwise included in the Consolidated Net Income of the Parent for such period; </w:t>
      </w:r>
      <w:r>
        <w:rPr>
          <w:rFonts w:ascii="Arial" w:cs="Arial" w:eastAsia="Arial" w:hAnsi="Arial"/>
          <w:sz w:val="17"/>
          <w:szCs w:val="17"/>
          <w:i w:val="1"/>
          <w:iCs w:val="1"/>
          <w:color w:val="auto"/>
        </w:rPr>
        <w:t>plus</w:t>
      </w:r>
    </w:p>
    <w:p>
      <w:pPr>
        <w:spacing w:after="0" w:line="180" w:lineRule="exact"/>
        <w:rPr>
          <w:rFonts w:ascii="Arial" w:cs="Arial" w:eastAsia="Arial" w:hAnsi="Arial"/>
          <w:sz w:val="17"/>
          <w:szCs w:val="17"/>
          <w:color w:val="auto"/>
        </w:rPr>
      </w:pPr>
    </w:p>
    <w:p>
      <w:pPr>
        <w:jc w:val="both"/>
        <w:ind w:left="180" w:firstLine="652"/>
        <w:spacing w:after="0" w:line="263" w:lineRule="auto"/>
        <w:tabs>
          <w:tab w:leader="none" w:pos="147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that was made after the Issue Date is made in an entity that subsequently becomes a Restricted Subsidiary, the initial amount of such Restricted Investment (or, if less, the amount of cash received upon repayment or sale);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jc w:val="both"/>
        <w:ind w:left="180" w:firstLine="652"/>
        <w:spacing w:after="0" w:line="301" w:lineRule="auto"/>
        <w:tabs>
          <w:tab w:leader="none" w:pos="1494"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to the extent that any Unrestricted Subsidiary designated as such after the Issue Date is redesignated as a Restricted Subsidiary after the Issue Date, the lesser of (i) the Fair Market Value of the Restricted Investment in such Subsidiary as of the date of such redesignation or (ii) the aggregate amount of the Restricted Investments in such Subsidiary to the extent such Restricted Investments reduced the amount available under this clause (a) and were not previously repaid or otherwise reduced; </w:t>
      </w:r>
      <w:r>
        <w:rPr>
          <w:rFonts w:ascii="Arial" w:cs="Arial" w:eastAsia="Arial" w:hAnsi="Arial"/>
          <w:sz w:val="16"/>
          <w:szCs w:val="16"/>
          <w:i w:val="1"/>
          <w:iCs w:val="1"/>
          <w:color w:val="auto"/>
        </w:rPr>
        <w:t>plus</w:t>
      </w:r>
    </w:p>
    <w:p>
      <w:pPr>
        <w:spacing w:after="0" w:line="157" w:lineRule="exact"/>
        <w:rPr>
          <w:rFonts w:ascii="Arial" w:cs="Arial" w:eastAsia="Arial" w:hAnsi="Arial"/>
          <w:sz w:val="16"/>
          <w:szCs w:val="16"/>
          <w:color w:val="auto"/>
        </w:rPr>
      </w:pPr>
    </w:p>
    <w:p>
      <w:pPr>
        <w:ind w:left="1360" w:hanging="528"/>
        <w:spacing w:after="0"/>
        <w:tabs>
          <w:tab w:leader="none" w:pos="13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aggregate amount of Subordinated Indebtedness repaid, defeased or satisfied and/or discharged; plus</w:t>
      </w:r>
    </w:p>
    <w:p>
      <w:pPr>
        <w:spacing w:after="0" w:line="225" w:lineRule="exact"/>
        <w:rPr>
          <w:rFonts w:ascii="Arial" w:cs="Arial" w:eastAsia="Arial" w:hAnsi="Arial"/>
          <w:sz w:val="18"/>
          <w:szCs w:val="18"/>
          <w:color w:val="auto"/>
        </w:rPr>
      </w:pPr>
    </w:p>
    <w:p>
      <w:pPr>
        <w:ind w:left="1400" w:hanging="568"/>
        <w:spacing w:after="0"/>
        <w:tabs>
          <w:tab w:leader="none" w:pos="14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Declined Collateral Proceeds and Declined Proceeds; plus</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greater of $405.0 million and 35% of Consolidated EBITDA for the Four Quarter Period prior to the date of such</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transactions.</w:t>
      </w: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14" w:name="page315"/>
    <w:bookmarkEnd w:id="314"/>
    <w:p>
      <w:pPr>
        <w:ind w:left="524" w:hanging="524"/>
        <w:spacing w:after="0"/>
        <w:tabs>
          <w:tab w:leader="none" w:pos="52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Section 4.07(a) will not prohibit:</w:t>
      </w:r>
    </w:p>
    <w:p>
      <w:pPr>
        <w:spacing w:after="0" w:line="225" w:lineRule="exact"/>
        <w:rPr>
          <w:rFonts w:ascii="Arial" w:cs="Arial" w:eastAsia="Arial" w:hAnsi="Arial"/>
          <w:sz w:val="18"/>
          <w:szCs w:val="18"/>
          <w:color w:val="auto"/>
        </w:rPr>
      </w:pPr>
    </w:p>
    <w:p>
      <w:pPr>
        <w:ind w:left="164" w:firstLine="646"/>
        <w:spacing w:after="0" w:line="255" w:lineRule="auto"/>
        <w:tabs>
          <w:tab w:leader="none" w:pos="1337" w:val="left"/>
        </w:tabs>
        <w:numPr>
          <w:ilvl w:val="3"/>
          <w:numId w:val="334"/>
        </w:numPr>
        <w:rPr>
          <w:rFonts w:ascii="Arial" w:cs="Arial" w:eastAsia="Arial" w:hAnsi="Arial"/>
          <w:sz w:val="18"/>
          <w:szCs w:val="18"/>
          <w:color w:val="auto"/>
        </w:rPr>
      </w:pPr>
      <w:r>
        <w:rPr>
          <w:rFonts w:ascii="Arial" w:cs="Arial" w:eastAsia="Arial" w:hAnsi="Arial"/>
          <w:sz w:val="18"/>
          <w:szCs w:val="18"/>
          <w:color w:val="auto"/>
        </w:rPr>
        <w:t>(x) the payment of any dividend or distribution or the consummation of any irrevocable purchase, redemption, acquisition or retirement for value of any Equity Interests of the Parent within 60 days after the date of declaration thereof or giving of the irrevocable advance notice thereof, as the case may be, if at the date of declaration or notice, the applicable dividend, distribution or payment would have complied with the provisions of this Indenture and (y) the repurchase of Equity Interests of the Parent pursuant to a plan under Rule 10b5-1 under the Securities Exchange Act of 1934 if at the date the Parent establishes such plan, such repurchase would have complied with the provisions of this Indenture;</w:t>
      </w:r>
    </w:p>
    <w:p>
      <w:pPr>
        <w:spacing w:after="0" w:line="192" w:lineRule="exact"/>
        <w:rPr>
          <w:rFonts w:ascii="Arial" w:cs="Arial" w:eastAsia="Arial" w:hAnsi="Arial"/>
          <w:sz w:val="18"/>
          <w:szCs w:val="18"/>
          <w:color w:val="auto"/>
        </w:rPr>
      </w:pPr>
    </w:p>
    <w:p>
      <w:pPr>
        <w:ind w:left="164" w:right="120" w:firstLine="646"/>
        <w:spacing w:after="0" w:line="286" w:lineRule="auto"/>
        <w:tabs>
          <w:tab w:leader="none" w:pos="1337" w:val="left"/>
        </w:tabs>
        <w:numPr>
          <w:ilvl w:val="3"/>
          <w:numId w:val="334"/>
        </w:numPr>
        <w:rPr>
          <w:rFonts w:ascii="Arial" w:cs="Arial" w:eastAsia="Arial" w:hAnsi="Arial"/>
          <w:sz w:val="16"/>
          <w:szCs w:val="16"/>
          <w:color w:val="auto"/>
        </w:rPr>
      </w:pPr>
      <w:r>
        <w:rPr>
          <w:rFonts w:ascii="Arial" w:cs="Arial" w:eastAsia="Arial" w:hAnsi="Arial"/>
          <w:sz w:val="16"/>
          <w:szCs w:val="16"/>
          <w:color w:val="auto"/>
        </w:rPr>
        <w:t xml:space="preserve">the making of any Restricted Payment in exchange for, or out of or with the Net Cash Proceeds of the substantially concurrent sale (other than to a Subsidiary of the Parent) of, Equity Interests of the Parent (other than Disqualified Stock) or from the substantially concurrent contribution of common equity capital to the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such Net Cash Proceeds that are utilized for any such Restricted Payment will not be considered to be Net Cash Proceeds of Qualifying Equity Interests for purposes of Section 4.07(a)(iii)</w:t>
      </w:r>
    </w:p>
    <w:p>
      <w:pPr>
        <w:spacing w:after="0" w:line="1" w:lineRule="exact"/>
        <w:rPr>
          <w:rFonts w:ascii="Arial" w:cs="Arial" w:eastAsia="Arial" w:hAnsi="Arial"/>
          <w:sz w:val="16"/>
          <w:szCs w:val="16"/>
          <w:color w:val="auto"/>
        </w:rPr>
      </w:pPr>
    </w:p>
    <w:p>
      <w:pPr>
        <w:ind w:left="444" w:hanging="282"/>
        <w:spacing w:after="0"/>
        <w:tabs>
          <w:tab w:leader="none" w:pos="44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and will not be considered to be net cash proceeds from an Equity Offering for purposes of Section 1.07;</w:t>
      </w:r>
    </w:p>
    <w:p>
      <w:pPr>
        <w:spacing w:after="0" w:line="210" w:lineRule="exact"/>
        <w:rPr>
          <w:rFonts w:ascii="Arial" w:cs="Arial" w:eastAsia="Arial" w:hAnsi="Arial"/>
          <w:sz w:val="18"/>
          <w:szCs w:val="18"/>
          <w:color w:val="auto"/>
        </w:rPr>
      </w:pPr>
    </w:p>
    <w:p>
      <w:pPr>
        <w:jc w:val="both"/>
        <w:ind w:left="164" w:right="620" w:firstLine="646"/>
        <w:spacing w:after="0" w:line="263" w:lineRule="auto"/>
        <w:tabs>
          <w:tab w:leader="none" w:pos="1337" w:val="left"/>
        </w:tabs>
        <w:numPr>
          <w:ilvl w:val="3"/>
          <w:numId w:val="335"/>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that is contractually subordinated to the Notes or to any Note Guarantee with the Net Cash Proceeds from a substantially concurrent incurrence of Permitted Refinancing Indebtedness;</w:t>
      </w:r>
    </w:p>
    <w:p>
      <w:pPr>
        <w:spacing w:after="0" w:line="183" w:lineRule="exact"/>
        <w:rPr>
          <w:rFonts w:ascii="Arial" w:cs="Arial" w:eastAsia="Arial" w:hAnsi="Arial"/>
          <w:sz w:val="18"/>
          <w:szCs w:val="18"/>
          <w:color w:val="auto"/>
        </w:rPr>
      </w:pPr>
    </w:p>
    <w:p>
      <w:pPr>
        <w:ind w:left="164" w:firstLine="646"/>
        <w:spacing w:after="0" w:line="291" w:lineRule="auto"/>
        <w:tabs>
          <w:tab w:leader="none" w:pos="1337" w:val="left"/>
        </w:tabs>
        <w:numPr>
          <w:ilvl w:val="3"/>
          <w:numId w:val="335"/>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Equity Interests of the Parent, any Restricted Subsidiary or the Parent’s direct or indirect parent companies held by any current or former officer, director, manager, employee or consultant of the Parent or any of its Subsidiaries pursuant to any equity subscription agreement, stock option agreement, shareholders’ agreement or other similar agreement; provided that the aggregate price paid for all such repurchased, redeemed, acquired or retired Equity Interests may not exceed in any calendar year the greater of $90.0 million and 8.0% of Consolidated EBITDA for the Four Quarter Period prior to the date of such transactions (with any unused amount in any calendar year being carried forward and available in the any succeeding calendar years);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such amount in any twelve-month period may be increased by an amount not to exceed;</w:t>
      </w:r>
    </w:p>
    <w:p>
      <w:pPr>
        <w:spacing w:after="0" w:line="166" w:lineRule="exact"/>
        <w:rPr>
          <w:rFonts w:ascii="Arial" w:cs="Arial" w:eastAsia="Arial" w:hAnsi="Arial"/>
          <w:sz w:val="16"/>
          <w:szCs w:val="16"/>
          <w:color w:val="auto"/>
        </w:rPr>
      </w:pPr>
    </w:p>
    <w:p>
      <w:pPr>
        <w:ind w:left="4" w:right="100" w:firstLine="644"/>
        <w:spacing w:after="0" w:line="255" w:lineRule="auto"/>
        <w:tabs>
          <w:tab w:leader="none" w:pos="1167" w:val="left"/>
        </w:tabs>
        <w:numPr>
          <w:ilvl w:val="2"/>
          <w:numId w:val="336"/>
        </w:numPr>
        <w:rPr>
          <w:rFonts w:ascii="Arial" w:cs="Arial" w:eastAsia="Arial" w:hAnsi="Arial"/>
          <w:sz w:val="18"/>
          <w:szCs w:val="18"/>
          <w:color w:val="auto"/>
        </w:rPr>
      </w:pPr>
      <w:r>
        <w:rPr>
          <w:rFonts w:ascii="Arial" w:cs="Arial" w:eastAsia="Arial" w:hAnsi="Arial"/>
          <w:sz w:val="18"/>
          <w:szCs w:val="18"/>
          <w:color w:val="auto"/>
        </w:rPr>
        <w:t xml:space="preserve">the Net Cash Proceeds from the sale of Qualifying Equity Interests of the Parent and, to the extent contributed to the Parent as common equity capital, the Net Cash Proceeds from the sale of Qualifying Equity Interests of any of the Parent’s direct or indirect parent companies, in each case to any current of former officer, director, manager, employee or consultant of the Parent, any of its Subsidiaries or any of its direct or indirect parent companies that occurs after the Issue Date to the extent the Net Cash Proceeds from the sale of Qualifying Equity Interests have not otherwise been applied to the making of Restricted Payments pursuant to Section 4.07(a)(iii) or Section 4.07(b)(2) or to an optional redemption of Notes pursuant to Section 1.07; </w:t>
      </w:r>
      <w:r>
        <w:rPr>
          <w:rFonts w:ascii="Arial" w:cs="Arial" w:eastAsia="Arial" w:hAnsi="Arial"/>
          <w:sz w:val="18"/>
          <w:szCs w:val="18"/>
          <w:i w:val="1"/>
          <w:iCs w:val="1"/>
          <w:color w:val="auto"/>
        </w:rPr>
        <w:t>plus</w:t>
      </w:r>
    </w:p>
    <w:p>
      <w:pPr>
        <w:spacing w:after="0" w:line="192" w:lineRule="exact"/>
        <w:rPr>
          <w:rFonts w:ascii="Arial" w:cs="Arial" w:eastAsia="Arial" w:hAnsi="Arial"/>
          <w:sz w:val="18"/>
          <w:szCs w:val="18"/>
          <w:color w:val="auto"/>
        </w:rPr>
      </w:pPr>
    </w:p>
    <w:p>
      <w:pPr>
        <w:ind w:left="4" w:right="40" w:firstLine="644"/>
        <w:spacing w:after="0" w:line="275" w:lineRule="auto"/>
        <w:tabs>
          <w:tab w:leader="none" w:pos="1177" w:val="left"/>
        </w:tabs>
        <w:numPr>
          <w:ilvl w:val="2"/>
          <w:numId w:val="336"/>
        </w:numPr>
        <w:rPr>
          <w:rFonts w:ascii="Arial" w:cs="Arial" w:eastAsia="Arial" w:hAnsi="Arial"/>
          <w:sz w:val="17"/>
          <w:szCs w:val="17"/>
          <w:color w:val="auto"/>
        </w:rPr>
      </w:pPr>
      <w:r>
        <w:rPr>
          <w:rFonts w:ascii="Arial" w:cs="Arial" w:eastAsia="Arial" w:hAnsi="Arial"/>
          <w:sz w:val="17"/>
          <w:szCs w:val="17"/>
          <w:color w:val="auto"/>
        </w:rPr>
        <w:t>the cash proceeds of key man life insurance policies received by the Parent or the Restricted Subsidiaries after the Issue Date; and in addition, cancellation of Indebtedness owing to the Parent from any current or former officer, director, manager, employee or consultant (or any permitted transferees thereof) of the Parent or any of its Subsidiaries (or any direct or indirect parent company thereof), in connection with a repurchase of Equity Interests of the Parent or the Parent’s direct or indirect parent companies from such Persons will not be deemed to constitute a Restricted Payment for purposes of this Section 4.07 or any other provisions of this Indenture;</w:t>
      </w:r>
    </w:p>
    <w:p>
      <w:pPr>
        <w:spacing w:after="0" w:line="2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64"/>
          </w:cols>
          <w:pgMar w:left="976" w:top="341" w:right="359" w:bottom="1440" w:gutter="0" w:footer="0" w:header="0"/>
        </w:sectPr>
      </w:pPr>
    </w:p>
    <w:bookmarkStart w:id="315" w:name="page316"/>
    <w:bookmarkEnd w:id="315"/>
    <w:p>
      <w:pPr>
        <w:ind w:right="40" w:firstLine="646"/>
        <w:spacing w:after="0" w:line="291" w:lineRule="auto"/>
        <w:tabs>
          <w:tab w:leader="none" w:pos="1173"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repurchase of Equity Interests of the Parent or the Parent’s direct or indirect parent companies (a) deemed to occur upon the exercise of stock options, warrants or convertible securities to the extent such Equity Interests represent a portion of the exercise price of those stock options, warrants or convertible securities, (b) upon the exercise of stock options, warrants or convertible securities in an equal or lesser amount to the amount exercised in order to reduce the dilutive effects of such exercise, and (c) deemed to occur upon the withholding of a portion of Equity Interests granted or awarded to any current or former officer, director, manager, employee or consultant to pay for taxes payable by such Person in connection with such grant or award (or the vesting thereof) (or a Restricted Payment to any of the Parent’s direct or indirect parent companies in an amount sufficient to enable such company to repurchase any such Equity Interests);</w:t>
      </w:r>
    </w:p>
    <w:p>
      <w:pPr>
        <w:spacing w:after="0" w:line="166" w:lineRule="exact"/>
        <w:rPr>
          <w:rFonts w:ascii="Arial" w:cs="Arial" w:eastAsia="Arial" w:hAnsi="Arial"/>
          <w:sz w:val="16"/>
          <w:szCs w:val="16"/>
          <w:color w:val="auto"/>
        </w:rPr>
      </w:pPr>
    </w:p>
    <w:p>
      <w:pPr>
        <w:ind w:right="80" w:firstLine="646"/>
        <w:spacing w:after="0" w:line="263" w:lineRule="auto"/>
        <w:tabs>
          <w:tab w:leader="none" w:pos="117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declaration and payment of dividends to holders of any class or series of Disqualified Stock of the Parent or any Preferred Stock of any Restricted Subsidiary permitted to be issued under Section 4.09, so long as such dividends are included in the definition of “</w:t>
      </w:r>
      <w:r>
        <w:rPr>
          <w:rFonts w:ascii="Arial" w:cs="Arial" w:eastAsia="Arial" w:hAnsi="Arial"/>
          <w:sz w:val="18"/>
          <w:szCs w:val="18"/>
          <w:i w:val="1"/>
          <w:iCs w:val="1"/>
          <w:color w:val="auto"/>
        </w:rPr>
        <w:t>Fixed</w:t>
      </w:r>
      <w:r>
        <w:rPr>
          <w:rFonts w:ascii="Arial" w:cs="Arial" w:eastAsia="Arial" w:hAnsi="Arial"/>
          <w:sz w:val="18"/>
          <w:szCs w:val="18"/>
          <w:color w:val="auto"/>
        </w:rPr>
        <w:t xml:space="preserve"> </w:t>
      </w:r>
      <w:r>
        <w:rPr>
          <w:rFonts w:ascii="Arial" w:cs="Arial" w:eastAsia="Arial" w:hAnsi="Arial"/>
          <w:sz w:val="18"/>
          <w:szCs w:val="18"/>
          <w:i w:val="1"/>
          <w:iCs w:val="1"/>
          <w:color w:val="auto"/>
        </w:rPr>
        <w:t>Charges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646"/>
        <w:spacing w:after="0" w:line="263" w:lineRule="auto"/>
        <w:tabs>
          <w:tab w:leader="none" w:pos="117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payments to holders of Equity Interests (or to the holders of Indebtedness that is convertible into or exchangeable for Equity Interests upon such conversion or exchange) in lieu of the issuance of fractional shares (or a Restricted Payment to the Parent’s direct or indirect parent company in an amount sufficient to enable such company to make any such payments);</w:t>
      </w:r>
    </w:p>
    <w:p>
      <w:pPr>
        <w:spacing w:after="0" w:line="183" w:lineRule="exact"/>
        <w:rPr>
          <w:rFonts w:ascii="Arial" w:cs="Arial" w:eastAsia="Arial" w:hAnsi="Arial"/>
          <w:sz w:val="18"/>
          <w:szCs w:val="18"/>
          <w:color w:val="auto"/>
        </w:rPr>
      </w:pPr>
    </w:p>
    <w:p>
      <w:pPr>
        <w:ind w:left="1180" w:hanging="534"/>
        <w:spacing w:after="0"/>
        <w:tabs>
          <w:tab w:leader="none" w:pos="118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for the avoidance of doubt, payments of intercompany subordinated Indebtedness, the Incurrence of which was permitted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4.09(b);</w:t>
      </w:r>
    </w:p>
    <w:p>
      <w:pPr>
        <w:spacing w:after="0" w:line="210" w:lineRule="exact"/>
        <w:rPr>
          <w:rFonts w:ascii="Arial" w:cs="Arial" w:eastAsia="Arial" w:hAnsi="Arial"/>
          <w:sz w:val="16"/>
          <w:szCs w:val="16"/>
          <w:color w:val="auto"/>
        </w:rPr>
      </w:pPr>
    </w:p>
    <w:p>
      <w:pPr>
        <w:ind w:firstLine="646"/>
        <w:spacing w:after="0" w:line="279" w:lineRule="auto"/>
        <w:tabs>
          <w:tab w:leader="none" w:pos="1173"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the repurchase, redemption or other acquisition or retirement for value of any Indebtedness of the Parent, the Issuer or any other Guarantor that is contractually subordinated to the Notes or to any Note Guarantee pursuant to provisions similar to Sections 4.10 and 4.14;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prior to consummating, or concurrently with, any such repurchase, the Issuer has made any Offer to Purchase required by this</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and has repurchased all Notes validly tendered for payment in connection with such offers;</w:t>
      </w:r>
    </w:p>
    <w:p>
      <w:pPr>
        <w:spacing w:after="0" w:line="171" w:lineRule="exact"/>
        <w:rPr>
          <w:rFonts w:ascii="Arial" w:cs="Arial" w:eastAsia="Arial" w:hAnsi="Arial"/>
          <w:sz w:val="17"/>
          <w:szCs w:val="17"/>
          <w:color w:val="auto"/>
        </w:rPr>
      </w:pPr>
    </w:p>
    <w:p>
      <w:pPr>
        <w:ind w:left="1260" w:hanging="614"/>
        <w:spacing w:after="0"/>
        <w:tabs>
          <w:tab w:leader="none" w:pos="1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distribution, as a dividend or otherwise, of Equity Interests of Unrestricted Subsidiaries;</w:t>
      </w:r>
    </w:p>
    <w:p>
      <w:pPr>
        <w:spacing w:after="0" w:line="225" w:lineRule="exact"/>
        <w:rPr>
          <w:rFonts w:ascii="Arial" w:cs="Arial" w:eastAsia="Arial" w:hAnsi="Arial"/>
          <w:sz w:val="18"/>
          <w:szCs w:val="18"/>
          <w:color w:val="auto"/>
        </w:rPr>
      </w:pPr>
    </w:p>
    <w:p>
      <w:pPr>
        <w:ind w:left="1260" w:hanging="614"/>
        <w:spacing w:after="0"/>
        <w:tabs>
          <w:tab w:leader="none" w:pos="1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46"/>
        <w:spacing w:after="0" w:line="277" w:lineRule="auto"/>
        <w:tabs>
          <w:tab w:leader="none" w:pos="126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repurchase, redemption, defeasance or other retirement for value of any Permitted Convertible Indebtedness, including any payments required in connection with a conversion of any Permitted Convertible Indebtedness;</w:t>
      </w:r>
    </w:p>
    <w:p>
      <w:pPr>
        <w:spacing w:after="0" w:line="27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7132320"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380"/>
          </w:cols>
          <w:pgMar w:left="1140" w:top="341" w:right="379" w:bottom="1440" w:gutter="0" w:footer="0" w:header="0"/>
        </w:sectPr>
      </w:pPr>
    </w:p>
    <w:bookmarkStart w:id="316" w:name="page317"/>
    <w:bookmarkEnd w:id="316"/>
    <w:p>
      <w:pPr>
        <w:ind w:left="-300" w:right="140" w:firstLine="646"/>
        <w:spacing w:after="0" w:line="277" w:lineRule="auto"/>
        <w:tabs>
          <w:tab w:leader="none" w:pos="96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payments or distributions made in Equity Interests (other than Disqualified Stock) of the Parent or any of its direct or indirect parent companies;</w:t>
      </w:r>
    </w:p>
    <w:p>
      <w:pPr>
        <w:spacing w:after="0" w:line="170" w:lineRule="exact"/>
        <w:rPr>
          <w:rFonts w:ascii="Arial" w:cs="Arial" w:eastAsia="Arial" w:hAnsi="Arial"/>
          <w:sz w:val="18"/>
          <w:szCs w:val="18"/>
          <w:color w:val="auto"/>
        </w:rPr>
      </w:pPr>
    </w:p>
    <w:p>
      <w:pPr>
        <w:ind w:left="960" w:hanging="614"/>
        <w:spacing w:after="0"/>
        <w:tabs>
          <w:tab w:leader="none" w:pos="96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payments made in connection with (including, without limitation, purchases of) any Permitted Bond Hedge Transaction;</w:t>
      </w:r>
    </w:p>
    <w:p>
      <w:pPr>
        <w:spacing w:after="0" w:line="236" w:lineRule="exact"/>
        <w:rPr>
          <w:rFonts w:ascii="Arial" w:cs="Arial" w:eastAsia="Arial" w:hAnsi="Arial"/>
          <w:sz w:val="17"/>
          <w:szCs w:val="17"/>
          <w:color w:val="auto"/>
        </w:rPr>
      </w:pPr>
    </w:p>
    <w:p>
      <w:pPr>
        <w:ind w:left="-300" w:right="60" w:firstLine="646"/>
        <w:spacing w:after="0" w:line="257" w:lineRule="auto"/>
        <w:tabs>
          <w:tab w:leader="none" w:pos="96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payments made (a) to exercise or settle any Permitted Warrant Transaction (i) by delivery of common or ordinary Capital Stock of the Parent or any of its direct or indirect parent companies, (ii) by set-off against the related Permitted Bond Hedge Transaction or (iii) with cash payments in an aggregate amount not to exceed the aggregate amount of any payments received by the Parent or any of the Restricted Subsidiaries pursuant to the exercise or settlement of any related Permitted Bond Hedge Transaction, or (b) to terminate any Permitted Warrant Transaction;</w:t>
      </w:r>
    </w:p>
    <w:p>
      <w:pPr>
        <w:spacing w:after="0" w:line="187" w:lineRule="exact"/>
        <w:rPr>
          <w:rFonts w:ascii="Arial" w:cs="Arial" w:eastAsia="Arial" w:hAnsi="Arial"/>
          <w:sz w:val="18"/>
          <w:szCs w:val="18"/>
          <w:color w:val="auto"/>
        </w:rPr>
      </w:pPr>
    </w:p>
    <w:p>
      <w:pPr>
        <w:ind w:left="960" w:hanging="614"/>
        <w:spacing w:after="0"/>
        <w:tabs>
          <w:tab w:leader="none" w:pos="9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300" w:right="20" w:firstLine="646"/>
        <w:spacing w:after="0" w:line="277" w:lineRule="auto"/>
        <w:tabs>
          <w:tab w:leader="none" w:pos="96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payments or distributions to dissenting stockholders pursuant to applicable law in connection with any merger or consolidation with, or other acquisition of, another Person;</w:t>
      </w:r>
    </w:p>
    <w:p>
      <w:pPr>
        <w:spacing w:after="0" w:line="170" w:lineRule="exact"/>
        <w:rPr>
          <w:rFonts w:ascii="Arial" w:cs="Arial" w:eastAsia="Arial" w:hAnsi="Arial"/>
          <w:sz w:val="18"/>
          <w:szCs w:val="18"/>
          <w:color w:val="auto"/>
        </w:rPr>
      </w:pPr>
    </w:p>
    <w:p>
      <w:pPr>
        <w:ind w:left="-300" w:right="180" w:firstLine="646"/>
        <w:spacing w:after="0" w:line="263" w:lineRule="auto"/>
        <w:tabs>
          <w:tab w:leader="none" w:pos="96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purchase by the Parent or any Restricted Subsidiary of any remaining outstanding Equity Interests of any Subsidiary acquired in connection with a Permitted Investment structured as a tender offer pursuant to which not less than a majority of such Subsidiary’s Equity Interests has been acquired by the Parent or any Restricted Subsidiary;</w:t>
      </w:r>
    </w:p>
    <w:p>
      <w:pPr>
        <w:spacing w:after="0" w:line="183" w:lineRule="exact"/>
        <w:rPr>
          <w:rFonts w:ascii="Arial" w:cs="Arial" w:eastAsia="Arial" w:hAnsi="Arial"/>
          <w:sz w:val="18"/>
          <w:szCs w:val="18"/>
          <w:color w:val="auto"/>
        </w:rPr>
      </w:pPr>
    </w:p>
    <w:p>
      <w:pPr>
        <w:ind w:left="-300" w:right="760" w:firstLine="646"/>
        <w:spacing w:after="0" w:line="277" w:lineRule="auto"/>
        <w:tabs>
          <w:tab w:leader="none" w:pos="96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the settlement or termination of any Permitted Equity Derivatives;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entry into such Permitted Equity Derivative was permitted under this covenant;</w:t>
      </w:r>
    </w:p>
    <w:p>
      <w:pPr>
        <w:spacing w:after="0" w:line="170" w:lineRule="exact"/>
        <w:rPr>
          <w:rFonts w:ascii="Arial" w:cs="Arial" w:eastAsia="Arial" w:hAnsi="Arial"/>
          <w:sz w:val="18"/>
          <w:szCs w:val="18"/>
          <w:color w:val="auto"/>
        </w:rPr>
      </w:pPr>
    </w:p>
    <w:p>
      <w:pPr>
        <w:jc w:val="both"/>
        <w:ind w:left="-300" w:firstLine="646"/>
        <w:spacing w:after="0" w:line="286" w:lineRule="auto"/>
        <w:tabs>
          <w:tab w:leader="none" w:pos="994" w:val="left"/>
        </w:tabs>
        <w:numPr>
          <w:ilvl w:val="0"/>
          <w:numId w:val="338"/>
        </w:numPr>
        <w:rPr>
          <w:rFonts w:ascii="Arial" w:cs="Arial" w:eastAsia="Arial" w:hAnsi="Arial"/>
          <w:sz w:val="17"/>
          <w:szCs w:val="17"/>
          <w:color w:val="auto"/>
        </w:rPr>
      </w:pPr>
      <w:r>
        <w:rPr>
          <w:rFonts w:ascii="Arial" w:cs="Arial" w:eastAsia="Arial" w:hAnsi="Arial"/>
          <w:sz w:val="17"/>
          <w:szCs w:val="17"/>
          <w:color w:val="auto"/>
        </w:rPr>
        <w:t>other Restricted Payments of the type described in clause (1), (2) or (4) of the definition thereof in an aggregate amount since the Issue Date not to exceed the greater of $405.0 million and 35% of Consolidated EBITDA for the Four Quarter Period, so long as at the time of and after giving effect to such Restricted Payment, no Event of Default has occurred and is continuing;</w:t>
      </w:r>
    </w:p>
    <w:p>
      <w:pPr>
        <w:spacing w:after="0" w:line="165" w:lineRule="exact"/>
        <w:rPr>
          <w:rFonts w:ascii="Arial" w:cs="Arial" w:eastAsia="Arial" w:hAnsi="Arial"/>
          <w:sz w:val="17"/>
          <w:szCs w:val="17"/>
          <w:color w:val="auto"/>
        </w:rPr>
      </w:pPr>
    </w:p>
    <w:p>
      <w:pPr>
        <w:jc w:val="both"/>
        <w:ind w:left="-300" w:firstLine="646"/>
        <w:spacing w:after="0" w:line="263" w:lineRule="auto"/>
        <w:tabs>
          <w:tab w:leader="none" w:pos="101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other Restricted Payments of the type described in clause (3) of the definition thereof in an aggregate amount since the Issue Date not to exceed the greater of $405.0 million and 35% of Consolidated EBITDA for the Four Quarter Period, so long as at the time of and after giving effect to such Restricted Payment, no Event of Default has occurred and is continuing</w:t>
      </w:r>
    </w:p>
    <w:p>
      <w:pPr>
        <w:spacing w:after="0" w:line="183" w:lineRule="exact"/>
        <w:rPr>
          <w:rFonts w:ascii="Arial" w:cs="Arial" w:eastAsia="Arial" w:hAnsi="Arial"/>
          <w:sz w:val="18"/>
          <w:szCs w:val="18"/>
          <w:color w:val="auto"/>
        </w:rPr>
      </w:pPr>
    </w:p>
    <w:p>
      <w:pPr>
        <w:jc w:val="both"/>
        <w:ind w:left="-300" w:firstLine="646"/>
        <w:spacing w:after="0" w:line="263" w:lineRule="auto"/>
        <w:tabs>
          <w:tab w:leader="none" w:pos="96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Restricted Payments in connection with the Transactions and any compensation payable to, and indemnification of, any current or former officer, director, manager, employee or stockholders of the Parent, any of its Subsidiaries and any of the Parent’s direct or indirect parent companies in respect of taxes owed by such Persons as a result of the Transactions;</w:t>
      </w:r>
    </w:p>
    <w:p>
      <w:pPr>
        <w:spacing w:after="0" w:line="2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17" w:name="page318"/>
    <w:bookmarkEnd w:id="317"/>
    <w:p>
      <w:pPr>
        <w:jc w:val="both"/>
        <w:ind w:left="820" w:firstLine="646"/>
        <w:spacing w:after="0" w:line="263" w:lineRule="auto"/>
        <w:tabs>
          <w:tab w:leader="none" w:pos="2172"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any other Restricted Payments so long as (x) at the time of and after giving effect to such Restricted Payment, no Event of Default has occurred and is continuing and (y) on a pro forma basis, as of the last day of the most recently ended Four Quarter Period, the Total Net Leverage Ratio does not exceed 4.00:1.00;</w:t>
      </w:r>
    </w:p>
    <w:p>
      <w:pPr>
        <w:spacing w:after="0" w:line="183" w:lineRule="exact"/>
        <w:rPr>
          <w:rFonts w:ascii="Arial" w:cs="Arial" w:eastAsia="Arial" w:hAnsi="Arial"/>
          <w:sz w:val="18"/>
          <w:szCs w:val="18"/>
          <w:color w:val="auto"/>
        </w:rPr>
      </w:pPr>
    </w:p>
    <w:p>
      <w:pPr>
        <w:jc w:val="both"/>
        <w:ind w:left="820" w:firstLine="646"/>
        <w:spacing w:after="0" w:line="289" w:lineRule="auto"/>
        <w:tabs>
          <w:tab w:leader="none" w:pos="2100" w:val="left"/>
        </w:tabs>
        <w:numPr>
          <w:ilvl w:val="1"/>
          <w:numId w:val="339"/>
        </w:numPr>
        <w:rPr>
          <w:rFonts w:ascii="Arial" w:cs="Arial" w:eastAsia="Arial" w:hAnsi="Arial"/>
          <w:sz w:val="16"/>
          <w:szCs w:val="16"/>
          <w:color w:val="auto"/>
        </w:rPr>
      </w:pPr>
      <w:r>
        <w:rPr>
          <w:rFonts w:ascii="Arial" w:cs="Arial" w:eastAsia="Arial" w:hAnsi="Arial"/>
          <w:sz w:val="16"/>
          <w:szCs w:val="16"/>
          <w:color w:val="auto"/>
        </w:rPr>
        <w:t>for any taxable period for which the Parent and/or any of its Subsidiaries are members of a consolidated, combined, unitary or similar income Tax group for applicable income Tax purposes of which a direct or indirect parent company of the Parent is the common parent (a “</w:t>
      </w:r>
      <w:r>
        <w:rPr>
          <w:rFonts w:ascii="Arial" w:cs="Arial" w:eastAsia="Arial" w:hAnsi="Arial"/>
          <w:sz w:val="16"/>
          <w:szCs w:val="16"/>
          <w:i w:val="1"/>
          <w:iCs w:val="1"/>
          <w:color w:val="auto"/>
        </w:rPr>
        <w:t>Tax Group</w:t>
      </w:r>
      <w:r>
        <w:rPr>
          <w:rFonts w:ascii="Arial" w:cs="Arial" w:eastAsia="Arial" w:hAnsi="Arial"/>
          <w:sz w:val="16"/>
          <w:szCs w:val="16"/>
          <w:color w:val="auto"/>
        </w:rPr>
        <w:t>”), dividends or distributions by the Parent to such direct or indirect parent company of the Parent in an amount not to exceed the portion of any income Taxes of such Tax Group for such taxable period that is attributable to the taxable income of the Parent and/or the applicable Subsidiaries; provided that for each taxable period, the total amount of such payments made in respect of such taxable period will not exceed the amount that the Parent and/or such Subsidiaries, as applicable, would have been required to pay in respect of such taxable income as stand-alone taxpayers or a stand-alone Tax Group, reduced by any such income Taxes directly paid by the Parent or such Subsidiaries; provided that distributions pursuant to this clause (24) in respect of an Unrestricted Subsidiary shall be permitted only to the extent that cash distributions were made by such Unrestricted Subsidiary to the Parent or any of its Restricted Subsidiaries for such purpose;</w:t>
      </w:r>
    </w:p>
    <w:p>
      <w:pPr>
        <w:spacing w:after="0" w:line="166" w:lineRule="exact"/>
        <w:rPr>
          <w:rFonts w:ascii="Arial" w:cs="Arial" w:eastAsia="Arial" w:hAnsi="Arial"/>
          <w:sz w:val="16"/>
          <w:szCs w:val="16"/>
          <w:color w:val="auto"/>
        </w:rPr>
      </w:pPr>
    </w:p>
    <w:p>
      <w:pPr>
        <w:jc w:val="both"/>
        <w:ind w:left="820" w:firstLine="646"/>
        <w:spacing w:after="0" w:line="263" w:lineRule="auto"/>
        <w:tabs>
          <w:tab w:leader="none" w:pos="2123"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declaration and payment of additional dividends and repurchases of Equity Interests of the Parent in an aggregate amount per annum not to exceed 6.0% of Market Capitalization, so long as at the time of and after giving effect to such Restricted Payment, no Event of Default has occurred and is continuing; and</w:t>
      </w:r>
    </w:p>
    <w:p>
      <w:pPr>
        <w:spacing w:after="0" w:line="183" w:lineRule="exact"/>
        <w:rPr>
          <w:rFonts w:ascii="Arial" w:cs="Arial" w:eastAsia="Arial" w:hAnsi="Arial"/>
          <w:sz w:val="18"/>
          <w:szCs w:val="18"/>
          <w:color w:val="auto"/>
        </w:rPr>
      </w:pPr>
    </w:p>
    <w:p>
      <w:pPr>
        <w:ind w:left="820" w:firstLine="646"/>
        <w:spacing w:after="0" w:line="342" w:lineRule="auto"/>
        <w:tabs>
          <w:tab w:leader="none" w:pos="2112" w:val="left"/>
        </w:tabs>
        <w:numPr>
          <w:ilvl w:val="1"/>
          <w:numId w:val="339"/>
        </w:numPr>
        <w:rPr>
          <w:rFonts w:ascii="Arial" w:cs="Arial" w:eastAsia="Arial" w:hAnsi="Arial"/>
          <w:sz w:val="16"/>
          <w:szCs w:val="16"/>
          <w:color w:val="auto"/>
        </w:rPr>
      </w:pPr>
      <w:r>
        <w:rPr>
          <w:rFonts w:ascii="Arial" w:cs="Arial" w:eastAsia="Arial" w:hAnsi="Arial"/>
          <w:sz w:val="16"/>
          <w:szCs w:val="16"/>
          <w:color w:val="auto"/>
        </w:rPr>
        <w:t>distributions or payments of Securitization Fees, purchases of receivables pursuant to a Receivables Repurchase Obligation in connection with a Qualified Receivables Factoring or Qualified Securitization Financing and the payment or distribution of Securitization Fees.</w:t>
      </w:r>
    </w:p>
    <w:p>
      <w:pPr>
        <w:spacing w:after="0" w:line="123" w:lineRule="exact"/>
        <w:rPr>
          <w:rFonts w:ascii="Arial" w:cs="Arial" w:eastAsia="Arial" w:hAnsi="Arial"/>
          <w:sz w:val="16"/>
          <w:szCs w:val="16"/>
          <w:color w:val="auto"/>
        </w:rPr>
      </w:pPr>
    </w:p>
    <w:p>
      <w:pPr>
        <w:ind w:right="20" w:firstLine="656"/>
        <w:spacing w:after="0" w:line="269" w:lineRule="auto"/>
        <w:tabs>
          <w:tab w:leader="none" w:pos="1159"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amount of all Restricted Payments (or transfer or issuance that would constitute Restricted Payments but for the exclusions from the definition thereof) and Permitted Investments (other than cash) will be the Fair Market Value, on the date of making the Restricted Payment (or such transfer or issuance) or Permitted Investment of the asset(s) or securities proposed to be transferred or issued by the Parent or such Restricted Subsidiary, as the case may be, pursuant to the Restricted Payment (or transfer or issuance that would constitute a Restricted Payment but for the exclusions from the definition thereof) or Permitted Investment, less, in the case of an Investment, any amount paid, repaid, returned, distributed or otherwise received in cash in respect of such Investment. For purposes of determining compliance with this Section 4.07, in the event that a Restricted Payment meets the criteria of more than one categories described in clauses (1) through (26) of Section 4.01(b) above, including Section 4.07(a) or the definition of “Permitted Investment,” the Parent will be permitted to classify such Restricted Payment and later reclassify all or a portion of such Restricted Payment in any manner that complies with this Section 4.07. In addition, a Restricted Payment need not be permitted solely by reference to one provision permitting such Restricted Payment but may be permitted in part by one such provision and in part by one or more other provisions of this Section 4.07 permitting such Restricted Payment.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8" w:name="page319"/>
    <w:bookmarkEnd w:id="318"/>
    <w:p>
      <w:pPr>
        <w:ind w:left="660"/>
        <w:spacing w:after="0"/>
        <w:tabs>
          <w:tab w:leader="none" w:pos="176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Dividend and Other Payment Restrictions Affecting Restricted Subsidiaries.</w:t>
      </w:r>
    </w:p>
    <w:p>
      <w:pPr>
        <w:spacing w:after="0" w:line="225" w:lineRule="exact"/>
        <w:rPr>
          <w:sz w:val="20"/>
          <w:szCs w:val="20"/>
          <w:color w:val="auto"/>
        </w:rPr>
      </w:pPr>
    </w:p>
    <w:p>
      <w:pPr>
        <w:ind w:right="160" w:firstLine="656"/>
        <w:spacing w:after="0" w:line="277" w:lineRule="auto"/>
        <w:tabs>
          <w:tab w:leader="none" w:pos="115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Parent will not, and will not permit any of the Restricted Subsidiaries, to create or permit to exist or become effective any consensual encumbrance or restriction on the ability of any such Restricted Subsidiary to:</w:t>
      </w:r>
    </w:p>
    <w:p>
      <w:pPr>
        <w:spacing w:after="0" w:line="170" w:lineRule="exact"/>
        <w:rPr>
          <w:rFonts w:ascii="Arial" w:cs="Arial" w:eastAsia="Arial" w:hAnsi="Arial"/>
          <w:sz w:val="18"/>
          <w:szCs w:val="18"/>
          <w:color w:val="auto"/>
        </w:rPr>
      </w:pPr>
    </w:p>
    <w:p>
      <w:pPr>
        <w:ind w:left="820" w:right="160" w:firstLine="646"/>
        <w:spacing w:after="0" w:line="277" w:lineRule="auto"/>
        <w:tabs>
          <w:tab w:leader="none" w:pos="1993" w:val="left"/>
        </w:tabs>
        <w:numPr>
          <w:ilvl w:val="1"/>
          <w:numId w:val="341"/>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Parent, Issuer or any of the Restricted Subsidiaries or pay any indebtedness owed to the Parent or any of the Restricted Subsidiaries;</w:t>
      </w:r>
    </w:p>
    <w:p>
      <w:pPr>
        <w:spacing w:after="0" w:line="170" w:lineRule="exact"/>
        <w:rPr>
          <w:rFonts w:ascii="Arial" w:cs="Arial" w:eastAsia="Arial" w:hAnsi="Arial"/>
          <w:sz w:val="18"/>
          <w:szCs w:val="18"/>
          <w:color w:val="auto"/>
        </w:rPr>
      </w:pPr>
    </w:p>
    <w:p>
      <w:pPr>
        <w:ind w:left="2000" w:hanging="534"/>
        <w:spacing w:after="0"/>
        <w:tabs>
          <w:tab w:leader="none" w:pos="20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make loans or advances to the Parent or any of the Restricted Subsidiaries; or</w:t>
      </w:r>
    </w:p>
    <w:p>
      <w:pPr>
        <w:spacing w:after="0" w:line="225" w:lineRule="exact"/>
        <w:rPr>
          <w:rFonts w:ascii="Arial" w:cs="Arial" w:eastAsia="Arial" w:hAnsi="Arial"/>
          <w:sz w:val="18"/>
          <w:szCs w:val="18"/>
          <w:color w:val="auto"/>
        </w:rPr>
      </w:pPr>
    </w:p>
    <w:p>
      <w:pPr>
        <w:ind w:left="2000" w:hanging="534"/>
        <w:spacing w:after="0"/>
        <w:tabs>
          <w:tab w:leader="none" w:pos="20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Parent or any of the Restricted Subsidiaries.</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restrictions in Section 4.08(a) will not apply to encumbrances or restrictions existing under or by reason of:</w:t>
      </w:r>
    </w:p>
    <w:p>
      <w:pPr>
        <w:spacing w:after="0" w:line="225" w:lineRule="exact"/>
        <w:rPr>
          <w:rFonts w:ascii="Arial" w:cs="Arial" w:eastAsia="Arial" w:hAnsi="Arial"/>
          <w:sz w:val="18"/>
          <w:szCs w:val="18"/>
          <w:color w:val="auto"/>
        </w:rPr>
      </w:pPr>
    </w:p>
    <w:p>
      <w:pPr>
        <w:ind w:left="2000" w:hanging="534"/>
        <w:spacing w:after="0"/>
        <w:tabs>
          <w:tab w:leader="none" w:pos="20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agreements in effect at or entered into on the Issue Date;</w:t>
      </w:r>
    </w:p>
    <w:p>
      <w:pPr>
        <w:spacing w:after="0" w:line="225" w:lineRule="exact"/>
        <w:rPr>
          <w:rFonts w:ascii="Arial" w:cs="Arial" w:eastAsia="Arial" w:hAnsi="Arial"/>
          <w:sz w:val="18"/>
          <w:szCs w:val="18"/>
          <w:color w:val="auto"/>
        </w:rPr>
      </w:pPr>
    </w:p>
    <w:p>
      <w:pPr>
        <w:ind w:left="2000" w:hanging="534"/>
        <w:spacing w:after="0"/>
        <w:tabs>
          <w:tab w:leader="none" w:pos="20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this Indenture, the Notes, the Note Guarantees, the Collateral Documents and the Senior Secured Credit Facilities;</w:t>
      </w:r>
    </w:p>
    <w:p>
      <w:pPr>
        <w:spacing w:after="0" w:line="225" w:lineRule="exact"/>
        <w:rPr>
          <w:rFonts w:ascii="Arial" w:cs="Arial" w:eastAsia="Arial" w:hAnsi="Arial"/>
          <w:sz w:val="18"/>
          <w:szCs w:val="18"/>
          <w:color w:val="auto"/>
        </w:rPr>
      </w:pPr>
    </w:p>
    <w:p>
      <w:pPr>
        <w:ind w:left="2000" w:hanging="534"/>
        <w:spacing w:after="0"/>
        <w:tabs>
          <w:tab w:leader="none" w:pos="20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agreements governing other Indebtedness permitted to be incurred under Section 4.09;</w:t>
      </w:r>
    </w:p>
    <w:p>
      <w:pPr>
        <w:spacing w:after="0" w:line="225" w:lineRule="exact"/>
        <w:rPr>
          <w:rFonts w:ascii="Arial" w:cs="Arial" w:eastAsia="Arial" w:hAnsi="Arial"/>
          <w:sz w:val="18"/>
          <w:szCs w:val="18"/>
          <w:color w:val="auto"/>
        </w:rPr>
      </w:pPr>
    </w:p>
    <w:p>
      <w:pPr>
        <w:ind w:left="2000" w:hanging="534"/>
        <w:spacing w:after="0"/>
        <w:tabs>
          <w:tab w:leader="none" w:pos="20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applicable law, rule, regulation, order, approval, license, permit or similar restriction;</w:t>
      </w:r>
    </w:p>
    <w:p>
      <w:pPr>
        <w:spacing w:after="0" w:line="225" w:lineRule="exact"/>
        <w:rPr>
          <w:rFonts w:ascii="Arial" w:cs="Arial" w:eastAsia="Arial" w:hAnsi="Arial"/>
          <w:sz w:val="18"/>
          <w:szCs w:val="18"/>
          <w:color w:val="auto"/>
        </w:rPr>
      </w:pPr>
    </w:p>
    <w:p>
      <w:pPr>
        <w:ind w:left="820" w:firstLine="646"/>
        <w:spacing w:after="0" w:line="255" w:lineRule="auto"/>
        <w:tabs>
          <w:tab w:leader="none" w:pos="1993" w:val="left"/>
        </w:tabs>
        <w:numPr>
          <w:ilvl w:val="1"/>
          <w:numId w:val="341"/>
        </w:numPr>
        <w:rPr>
          <w:rFonts w:ascii="Arial" w:cs="Arial" w:eastAsia="Arial" w:hAnsi="Arial"/>
          <w:sz w:val="18"/>
          <w:szCs w:val="18"/>
          <w:color w:val="auto"/>
        </w:rPr>
      </w:pPr>
      <w:r>
        <w:rPr>
          <w:rFonts w:ascii="Arial" w:cs="Arial" w:eastAsia="Arial" w:hAnsi="Arial"/>
          <w:sz w:val="18"/>
          <w:szCs w:val="18"/>
          <w:color w:val="auto"/>
        </w:rPr>
        <w:t xml:space="preserve">any agreement or instrument governing Indebtedness, the assets or the Equity Interests of a Person acquired by the Parent or any of the Restricted Subsidiaries as in effect at the time of such acquisition (except to the extent such agreement or instrument was entered into, or such Indebtedness was incurred, in connection with or in contemplation of such acquisition), which encumbrance or restriction is not applicable to any Person, or the properties or assets of, or Equity Interests of, any Person, other than the Person, or the property or assets of, or Equity Interests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this Indenture to be Incurred;</w:t>
      </w:r>
    </w:p>
    <w:p>
      <w:pPr>
        <w:spacing w:after="0" w:line="192" w:lineRule="exact"/>
        <w:rPr>
          <w:rFonts w:ascii="Arial" w:cs="Arial" w:eastAsia="Arial" w:hAnsi="Arial"/>
          <w:sz w:val="18"/>
          <w:szCs w:val="18"/>
          <w:color w:val="auto"/>
        </w:rPr>
      </w:pPr>
    </w:p>
    <w:p>
      <w:pPr>
        <w:ind w:left="820" w:right="40" w:firstLine="646"/>
        <w:spacing w:after="0" w:line="277" w:lineRule="auto"/>
        <w:tabs>
          <w:tab w:leader="none" w:pos="1993" w:val="left"/>
        </w:tabs>
        <w:numPr>
          <w:ilvl w:val="1"/>
          <w:numId w:val="341"/>
        </w:numPr>
        <w:rPr>
          <w:rFonts w:ascii="Arial" w:cs="Arial" w:eastAsia="Arial" w:hAnsi="Arial"/>
          <w:sz w:val="18"/>
          <w:szCs w:val="18"/>
          <w:color w:val="auto"/>
        </w:rPr>
      </w:pPr>
      <w:r>
        <w:rPr>
          <w:rFonts w:ascii="Arial" w:cs="Arial" w:eastAsia="Arial" w:hAnsi="Arial"/>
          <w:sz w:val="18"/>
          <w:szCs w:val="18"/>
          <w:color w:val="auto"/>
        </w:rPr>
        <w:t>customary non-assignment provisions in contracts, leases, licenses and other commercial or trade agreements entered into in the ordinary course of business;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9" w:name="page320"/>
    <w:bookmarkEnd w:id="319"/>
    <w:p>
      <w:pPr>
        <w:jc w:val="both"/>
        <w:ind w:firstLine="646"/>
        <w:spacing w:after="0" w:line="263" w:lineRule="auto"/>
        <w:tabs>
          <w:tab w:leader="none" w:pos="117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Capital Lease Obligations, any agreement governing Purchase Money Indebtedness, security agreements or mortgages securing Indebtedness of a Restricted Subsidiary to the extent such encumbrance or restriction restricts the transfer of the property subject to such Capital Lease Obligations, Purchase Money Indebtedness, security agreements or mortgages;</w:t>
      </w:r>
    </w:p>
    <w:p>
      <w:pPr>
        <w:spacing w:after="0" w:line="183" w:lineRule="exact"/>
        <w:rPr>
          <w:rFonts w:ascii="Arial" w:cs="Arial" w:eastAsia="Arial" w:hAnsi="Arial"/>
          <w:sz w:val="18"/>
          <w:szCs w:val="18"/>
          <w:color w:val="auto"/>
        </w:rPr>
      </w:pPr>
    </w:p>
    <w:p>
      <w:pPr>
        <w:ind w:right="280" w:firstLine="646"/>
        <w:spacing w:after="0" w:line="277" w:lineRule="auto"/>
        <w:tabs>
          <w:tab w:leader="none" w:pos="117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agreement in connection with the sale or disposition of Equity Interests or assets of a Restricted Subsidiary that imposes such encumbrance or restriction pending the closing of such sale or disposition;</w:t>
      </w:r>
    </w:p>
    <w:p>
      <w:pPr>
        <w:spacing w:after="0" w:line="170" w:lineRule="exact"/>
        <w:rPr>
          <w:rFonts w:ascii="Arial" w:cs="Arial" w:eastAsia="Arial" w:hAnsi="Arial"/>
          <w:sz w:val="18"/>
          <w:szCs w:val="18"/>
          <w:color w:val="auto"/>
        </w:rPr>
      </w:pPr>
    </w:p>
    <w:p>
      <w:pPr>
        <w:ind w:left="1180" w:hanging="534"/>
        <w:spacing w:after="0"/>
        <w:tabs>
          <w:tab w:leader="none" w:pos="11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Permitted Refinancing Indebtedness;</w:t>
      </w:r>
    </w:p>
    <w:p>
      <w:pPr>
        <w:spacing w:after="0" w:line="225" w:lineRule="exact"/>
        <w:rPr>
          <w:rFonts w:ascii="Arial" w:cs="Arial" w:eastAsia="Arial" w:hAnsi="Arial"/>
          <w:sz w:val="18"/>
          <w:szCs w:val="18"/>
          <w:color w:val="auto"/>
        </w:rPr>
      </w:pPr>
    </w:p>
    <w:p>
      <w:pPr>
        <w:ind w:left="1260" w:hanging="614"/>
        <w:spacing w:after="0"/>
        <w:tabs>
          <w:tab w:leader="none" w:pos="126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Liens permitted to be incurred under Section 4.12 that limit the right of a Restricted Subsidiary to dispose of the assets subject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such Liens;</w:t>
      </w:r>
    </w:p>
    <w:p>
      <w:pPr>
        <w:spacing w:after="0" w:line="210" w:lineRule="exact"/>
        <w:rPr>
          <w:rFonts w:ascii="Arial" w:cs="Arial" w:eastAsia="Arial" w:hAnsi="Arial"/>
          <w:sz w:val="16"/>
          <w:szCs w:val="16"/>
          <w:color w:val="auto"/>
        </w:rPr>
      </w:pPr>
    </w:p>
    <w:p>
      <w:pPr>
        <w:ind w:right="280" w:firstLine="646"/>
        <w:spacing w:after="0" w:line="311" w:lineRule="auto"/>
        <w:tabs>
          <w:tab w:leader="none" w:pos="1256" w:val="left"/>
        </w:tabs>
        <w:numPr>
          <w:ilvl w:val="0"/>
          <w:numId w:val="342"/>
        </w:numPr>
        <w:rPr>
          <w:rFonts w:ascii="Arial" w:cs="Arial" w:eastAsia="Arial" w:hAnsi="Arial"/>
          <w:sz w:val="16"/>
          <w:szCs w:val="16"/>
          <w:color w:val="auto"/>
        </w:rPr>
      </w:pPr>
      <w:r>
        <w:rPr>
          <w:rFonts w:ascii="Arial" w:cs="Arial" w:eastAsia="Arial" w:hAnsi="Arial"/>
          <w:sz w:val="16"/>
          <w:szCs w:val="16"/>
          <w:color w:val="auto"/>
        </w:rPr>
        <w:t>provisions limiting the disposition or distribution of assets or property in joint venture agreements, partnership agreements, asset sale agreements, sale-leaseback agreements, stock sale agreements and other similar agreements (including agreements entered into in connection with a Restricted Investment), which limitation is applicable only to the assets that are the subject of such agreements;</w:t>
      </w:r>
    </w:p>
    <w:p>
      <w:pPr>
        <w:spacing w:after="0" w:line="148" w:lineRule="exact"/>
        <w:rPr>
          <w:rFonts w:ascii="Arial" w:cs="Arial" w:eastAsia="Arial" w:hAnsi="Arial"/>
          <w:sz w:val="16"/>
          <w:szCs w:val="16"/>
          <w:color w:val="auto"/>
        </w:rPr>
      </w:pPr>
    </w:p>
    <w:p>
      <w:pPr>
        <w:ind w:left="1260" w:hanging="614"/>
        <w:spacing w:after="0"/>
        <w:tabs>
          <w:tab w:leader="none" w:pos="12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obligations under the Senior Secured Credit Facilities and any other Pari Passu Indebtedness;</w:t>
      </w:r>
    </w:p>
    <w:p>
      <w:pPr>
        <w:spacing w:after="0" w:line="225" w:lineRule="exact"/>
        <w:rPr>
          <w:rFonts w:ascii="Arial" w:cs="Arial" w:eastAsia="Arial" w:hAnsi="Arial"/>
          <w:sz w:val="18"/>
          <w:szCs w:val="18"/>
          <w:color w:val="auto"/>
        </w:rPr>
      </w:pPr>
    </w:p>
    <w:p>
      <w:pPr>
        <w:ind w:right="260" w:firstLine="646"/>
        <w:spacing w:after="0" w:line="277" w:lineRule="auto"/>
        <w:tabs>
          <w:tab w:leader="none" w:pos="126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or similar agreements, including with respect to intellectual property, and other agreements, in each case, entered into in the ordinary course of business;</w:t>
      </w:r>
    </w:p>
    <w:p>
      <w:pPr>
        <w:spacing w:after="0" w:line="170" w:lineRule="exact"/>
        <w:rPr>
          <w:rFonts w:ascii="Arial" w:cs="Arial" w:eastAsia="Arial" w:hAnsi="Arial"/>
          <w:sz w:val="18"/>
          <w:szCs w:val="18"/>
          <w:color w:val="auto"/>
        </w:rPr>
      </w:pPr>
    </w:p>
    <w:p>
      <w:pPr>
        <w:ind w:right="740" w:firstLine="646"/>
        <w:spacing w:after="0" w:line="277" w:lineRule="auto"/>
        <w:tabs>
          <w:tab w:leader="none" w:pos="126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customary non-assignment provisions in leases or licenses governing leasehold or license interests to the extent such provisions restrict the transfer of the lease or license or the property leased or licensed thereunder;</w:t>
      </w:r>
    </w:p>
    <w:p>
      <w:pPr>
        <w:spacing w:after="0" w:line="170" w:lineRule="exact"/>
        <w:rPr>
          <w:rFonts w:ascii="Arial" w:cs="Arial" w:eastAsia="Arial" w:hAnsi="Arial"/>
          <w:sz w:val="18"/>
          <w:szCs w:val="18"/>
          <w:color w:val="auto"/>
        </w:rPr>
      </w:pPr>
    </w:p>
    <w:p>
      <w:pPr>
        <w:ind w:right="200" w:firstLine="646"/>
        <w:spacing w:after="0" w:line="263" w:lineRule="auto"/>
        <w:tabs>
          <w:tab w:leader="none" w:pos="126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customary restrictions created in connection with any Qualified Securitization Financing or Qualified Receivables Factoring that, in the good faith determination of the board of directors of the Parent, are necessary or advisable to effect such Qualified Securitization Financing or such Qualified Receivables Factoring;</w:t>
      </w:r>
    </w:p>
    <w:p>
      <w:pPr>
        <w:spacing w:after="0" w:line="183" w:lineRule="exact"/>
        <w:rPr>
          <w:rFonts w:ascii="Arial" w:cs="Arial" w:eastAsia="Arial" w:hAnsi="Arial"/>
          <w:sz w:val="18"/>
          <w:szCs w:val="18"/>
          <w:color w:val="auto"/>
        </w:rPr>
      </w:pPr>
    </w:p>
    <w:p>
      <w:pPr>
        <w:ind w:left="1260" w:hanging="614"/>
        <w:spacing w:after="0"/>
        <w:tabs>
          <w:tab w:leader="none" w:pos="12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customary change of control provisions in client contracts;</w:t>
      </w:r>
    </w:p>
    <w:p>
      <w:pPr>
        <w:spacing w:after="0" w:line="225" w:lineRule="exact"/>
        <w:rPr>
          <w:rFonts w:ascii="Arial" w:cs="Arial" w:eastAsia="Arial" w:hAnsi="Arial"/>
          <w:sz w:val="18"/>
          <w:szCs w:val="18"/>
          <w:color w:val="auto"/>
        </w:rPr>
      </w:pPr>
    </w:p>
    <w:p>
      <w:pPr>
        <w:ind w:left="1260" w:hanging="614"/>
        <w:spacing w:after="0"/>
        <w:tabs>
          <w:tab w:leader="none" w:pos="12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customary provisions restricting assignment of any agreement entered into in the ordinary course of business;</w:t>
      </w:r>
    </w:p>
    <w:p>
      <w:pPr>
        <w:spacing w:after="0" w:line="225" w:lineRule="exact"/>
        <w:rPr>
          <w:rFonts w:ascii="Arial" w:cs="Arial" w:eastAsia="Arial" w:hAnsi="Arial"/>
          <w:sz w:val="18"/>
          <w:szCs w:val="18"/>
          <w:color w:val="auto"/>
        </w:rPr>
      </w:pPr>
    </w:p>
    <w:p>
      <w:pPr>
        <w:ind w:left="1260" w:hanging="614"/>
        <w:spacing w:after="0"/>
        <w:tabs>
          <w:tab w:leader="none" w:pos="126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 and</w:t>
      </w:r>
    </w:p>
    <w:p>
      <w:pPr>
        <w:spacing w:after="0" w:line="210" w:lineRule="exact"/>
        <w:rPr>
          <w:rFonts w:ascii="Arial" w:cs="Arial" w:eastAsia="Arial" w:hAnsi="Arial"/>
          <w:sz w:val="16"/>
          <w:szCs w:val="16"/>
          <w:color w:val="auto"/>
        </w:rPr>
      </w:pPr>
    </w:p>
    <w:p>
      <w:pPr>
        <w:ind w:firstLine="646"/>
        <w:spacing w:after="0" w:line="275" w:lineRule="auto"/>
        <w:tabs>
          <w:tab w:leader="none" w:pos="1263"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any amendment, modification, restatement, renewal, increase, supplement, refunding, replacement or refinancing of an agreement or arrangement referred to in clauses (1) through (18) above of this Section 4.08(b);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amendment, modification, restatement, renewal, increase, supplement, refunding, replacement or refinancing is not materially more restrictive, as determined in good faith by the Parent, with respect to such encumbrances and other restrictions taken as a whole than those prior to such amendment, modification, restatement, renewal, increase, supplement, refunding, replacement or refinancing.</w:t>
      </w:r>
    </w:p>
    <w:p>
      <w:pPr>
        <w:spacing w:after="0" w:line="284"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7132320"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00"/>
          </w:cols>
          <w:pgMar w:left="1140" w:top="341" w:right="359" w:bottom="1440" w:gutter="0" w:footer="0" w:header="0"/>
        </w:sectPr>
      </w:pPr>
    </w:p>
    <w:bookmarkStart w:id="320" w:name="page321"/>
    <w:bookmarkEnd w:id="320"/>
    <w:p>
      <w:pPr>
        <w:ind w:left="640"/>
        <w:spacing w:after="0"/>
        <w:tabs>
          <w:tab w:leader="none" w:pos="174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Incurrence of Indebtedness and Issuance of Preferred Stock.</w:t>
      </w:r>
    </w:p>
    <w:p>
      <w:pPr>
        <w:spacing w:after="0" w:line="225" w:lineRule="exact"/>
        <w:rPr>
          <w:sz w:val="20"/>
          <w:szCs w:val="20"/>
          <w:color w:val="auto"/>
        </w:rPr>
      </w:pPr>
    </w:p>
    <w:p>
      <w:pPr>
        <w:ind w:left="-20" w:right="60" w:firstLine="656"/>
        <w:spacing w:after="0" w:line="270" w:lineRule="auto"/>
        <w:tabs>
          <w:tab w:leader="none" w:pos="1139"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The Parent will not, and will not permit any Restricted Subsidiary to, Incur, directly or indirectly, any Indebtedness (including Acquired Indebtedness), and the Parent will not issue any Disqualified Stock and will not permit any of the Restricted Subsidiaries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Parent will be entitled to Incur Indebtedness (including Acquired Indebtedness) or issue Disqualified Stock and any Restricted Subsidiary will be entitled to Incur Indebtedness or issue Preferred Stock if, on the date of such Incurrence or issuance and after giving effect thereto on a pro forma basis, (x) the Fixed Charge Coverage Ratio for the Four Quarter Period would be at least 2.0 to 1.0 or (y) the Total Net Leverage Ratio on the date such Indebtedness is incurred or such Disqualified Stock or Preferred Stock is issued would have been no higher than 5.25 to 1.0;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Indebtedness of Non-Guarantor Subsidiaries, when combined with all outstanding Indebtedness incurred by Non-Guarantor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pursuant to clause (12) of the definition of Permitted Debt, shall not exceed at any time outstanding, in the aggregate, the greater of (x) $175.0 million and (y) 15% of Consolidated EBITDA for the Four Quarter Period.</w:t>
      </w:r>
    </w:p>
    <w:p>
      <w:pPr>
        <w:spacing w:after="0" w:line="180" w:lineRule="exact"/>
        <w:rPr>
          <w:rFonts w:ascii="Arial" w:cs="Arial" w:eastAsia="Arial" w:hAnsi="Arial"/>
          <w:sz w:val="17"/>
          <w:szCs w:val="17"/>
          <w:color w:val="auto"/>
        </w:rPr>
      </w:pPr>
    </w:p>
    <w:p>
      <w:pPr>
        <w:ind w:left="-20" w:right="960" w:firstLine="656"/>
        <w:spacing w:after="0" w:line="277" w:lineRule="auto"/>
        <w:tabs>
          <w:tab w:leader="none" w:pos="115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Notwithstanding Section 4.09(a), the Parent and the Restricted Subsidiaries will be entitled to Incur any or all of the following Indebtedness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800" w:firstLine="646"/>
        <w:spacing w:after="0" w:line="259" w:lineRule="auto"/>
        <w:tabs>
          <w:tab w:leader="none" w:pos="2104" w:val="left"/>
        </w:tabs>
        <w:numPr>
          <w:ilvl w:val="2"/>
          <w:numId w:val="343"/>
        </w:numPr>
        <w:rPr>
          <w:rFonts w:ascii="Arial" w:cs="Arial" w:eastAsia="Arial" w:hAnsi="Arial"/>
          <w:sz w:val="18"/>
          <w:szCs w:val="18"/>
          <w:color w:val="auto"/>
        </w:rPr>
      </w:pPr>
      <w:r>
        <w:rPr>
          <w:rFonts w:ascii="Arial" w:cs="Arial" w:eastAsia="Arial" w:hAnsi="Arial"/>
          <w:sz w:val="18"/>
          <w:szCs w:val="18"/>
          <w:color w:val="auto"/>
        </w:rPr>
        <w:t xml:space="preserve">Indebtedness Incurred pursuant to any Credit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immediately after giving effect to any such Incurrence, the aggregate principal amount of all Indebtedness Incurred under this clause (1) and then outstanding does not exceed the sum of (a)(x) $5,815.0 million plus (y) the greater of $1,160.0 million and 100% of Consolidated EBITDA for the Four Quarter Period and (b) the Permitted Incremental Amount;</w:t>
      </w:r>
    </w:p>
    <w:p>
      <w:pPr>
        <w:spacing w:after="0" w:line="186" w:lineRule="exact"/>
        <w:rPr>
          <w:rFonts w:ascii="Arial" w:cs="Arial" w:eastAsia="Arial" w:hAnsi="Arial"/>
          <w:sz w:val="18"/>
          <w:szCs w:val="18"/>
          <w:color w:val="auto"/>
        </w:rPr>
      </w:pPr>
    </w:p>
    <w:p>
      <w:pPr>
        <w:ind w:left="800" w:right="100" w:firstLine="646"/>
        <w:spacing w:after="0" w:line="291" w:lineRule="auto"/>
        <w:tabs>
          <w:tab w:leader="none" w:pos="1973" w:val="left"/>
        </w:tabs>
        <w:numPr>
          <w:ilvl w:val="2"/>
          <w:numId w:val="343"/>
        </w:numPr>
        <w:rPr>
          <w:rFonts w:ascii="Arial" w:cs="Arial" w:eastAsia="Arial" w:hAnsi="Arial"/>
          <w:sz w:val="16"/>
          <w:szCs w:val="16"/>
          <w:color w:val="auto"/>
        </w:rPr>
      </w:pPr>
      <w:r>
        <w:rPr>
          <w:rFonts w:ascii="Arial" w:cs="Arial" w:eastAsia="Arial" w:hAnsi="Arial"/>
          <w:sz w:val="16"/>
          <w:szCs w:val="16"/>
          <w:color w:val="auto"/>
        </w:rPr>
        <w:t xml:space="preserve">Indebtedness owed to and held by the Parent or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any subsequent issuance or transfer of any Capital Stock that results in any such Indebtedness being held by a Person other than the Parent or a Restricted Subsidiary and</w:t>
      </w:r>
    </w:p>
    <w:p>
      <w:pPr>
        <w:ind w:left="800" w:right="20" w:hanging="2"/>
        <w:spacing w:after="0" w:line="260" w:lineRule="auto"/>
        <w:tabs>
          <w:tab w:leader="none" w:pos="1055"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subsequent transfer of such Indebtedness (other than to the Parent or a Restricted Subsidiary) shall be deemed, in each case, to constitute the Incurrence of such Indebtedness by the obligor thereon that was not permitted by this clause (2).</w:t>
      </w:r>
    </w:p>
    <w:p>
      <w:pPr>
        <w:spacing w:after="0" w:line="185" w:lineRule="exact"/>
        <w:rPr>
          <w:rFonts w:ascii="Arial" w:cs="Arial" w:eastAsia="Arial" w:hAnsi="Arial"/>
          <w:sz w:val="18"/>
          <w:szCs w:val="18"/>
          <w:color w:val="auto"/>
        </w:rPr>
      </w:pPr>
    </w:p>
    <w:p>
      <w:pPr>
        <w:ind w:left="1980" w:hanging="534"/>
        <w:spacing w:after="0"/>
        <w:tabs>
          <w:tab w:leader="none" w:pos="1980" w:val="left"/>
        </w:tabs>
        <w:numPr>
          <w:ilvl w:val="2"/>
          <w:numId w:val="344"/>
        </w:numPr>
        <w:rPr>
          <w:rFonts w:ascii="Arial" w:cs="Arial" w:eastAsia="Arial" w:hAnsi="Arial"/>
          <w:sz w:val="18"/>
          <w:szCs w:val="18"/>
          <w:color w:val="auto"/>
        </w:rPr>
      </w:pPr>
      <w:r>
        <w:rPr>
          <w:rFonts w:ascii="Arial" w:cs="Arial" w:eastAsia="Arial" w:hAnsi="Arial"/>
          <w:sz w:val="18"/>
          <w:szCs w:val="18"/>
          <w:color w:val="auto"/>
        </w:rPr>
        <w:t>the Notes (including any Note Guarantees but excluding any Additional Notes);</w:t>
      </w:r>
    </w:p>
    <w:p>
      <w:pPr>
        <w:spacing w:after="0" w:line="225" w:lineRule="exact"/>
        <w:rPr>
          <w:rFonts w:ascii="Arial" w:cs="Arial" w:eastAsia="Arial" w:hAnsi="Arial"/>
          <w:sz w:val="18"/>
          <w:szCs w:val="18"/>
          <w:color w:val="auto"/>
        </w:rPr>
      </w:pPr>
    </w:p>
    <w:p>
      <w:pPr>
        <w:ind w:left="1980" w:hanging="534"/>
        <w:spacing w:after="0"/>
        <w:tabs>
          <w:tab w:leader="none" w:pos="1980" w:val="left"/>
        </w:tabs>
        <w:numPr>
          <w:ilvl w:val="2"/>
          <w:numId w:val="344"/>
        </w:numPr>
        <w:rPr>
          <w:rFonts w:ascii="Arial" w:cs="Arial" w:eastAsia="Arial" w:hAnsi="Arial"/>
          <w:sz w:val="16"/>
          <w:szCs w:val="16"/>
          <w:color w:val="auto"/>
        </w:rPr>
      </w:pPr>
      <w:r>
        <w:rPr>
          <w:rFonts w:ascii="Arial" w:cs="Arial" w:eastAsia="Arial" w:hAnsi="Arial"/>
          <w:sz w:val="16"/>
          <w:szCs w:val="16"/>
          <w:color w:val="auto"/>
        </w:rPr>
        <w:t>Indebtedness that is outstanding on the Issue Date (other than Indebtedness described in clause (1), (2) or (3) of this Section</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4.09(b));</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321" w:name="page322"/>
    <w:bookmarkEnd w:id="321"/>
    <w:p>
      <w:pPr>
        <w:jc w:val="both"/>
        <w:ind w:left="2" w:firstLine="646"/>
        <w:spacing w:after="0" w:line="285" w:lineRule="auto"/>
        <w:tabs>
          <w:tab w:leader="none" w:pos="1333" w:val="left"/>
        </w:tabs>
        <w:numPr>
          <w:ilvl w:val="1"/>
          <w:numId w:val="345"/>
        </w:numPr>
        <w:rPr>
          <w:rFonts w:ascii="Arial" w:cs="Arial" w:eastAsia="Arial" w:hAnsi="Arial"/>
          <w:sz w:val="16"/>
          <w:szCs w:val="16"/>
          <w:color w:val="auto"/>
        </w:rPr>
      </w:pPr>
      <w:r>
        <w:rPr>
          <w:rFonts w:ascii="Arial" w:cs="Arial" w:eastAsia="Arial" w:hAnsi="Arial"/>
          <w:sz w:val="16"/>
          <w:szCs w:val="16"/>
          <w:color w:val="auto"/>
        </w:rPr>
        <w:t xml:space="preserve">Acquired Indebtedness (other than Indebtedness Incurred in connection with, or to provide all or any portion of the funds or credit support utilized to consummate, the transaction or series of related transactions pursuant to which such Subsidiary became a Subsidiary or was acquired by the Parent or such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on the date of such acquisition and after giving effect thereto on a pro forma basis, (I) if secured, such Indebtedness shall be secured solely by Liens existing at the time such Restricted Subsidiary is acquired by the Parent or a Restricted Subsidiary of the Parent and shall not extend to any other property owned by the Parent or any of its other Restricted Subsidiaries and (II) (x) if such Indebtedness is secured by a Lien on the Collateral that is pari passu with the Lien on the Collateral securing the Notes and the Note Guarantees, the First Lien Net Leverage Ratio, determined on a pro forma basis for the Four Quarter Period, would not exceed (A) 5.00:1.00 or (B) the First Lien Net Leverage Ratio in effect immediately prior to the consummation of such acquisition calculated on a pro forma basis as of the Four Quarter Period, (y) if such Indebtedness is secured by a Lien on the Collateral that is junior to the Lien on the Collateral securing the Notes and the Note Guarantees, the Secured Net Leverage Ratio, determined on a pro forma basis for the Four Quarter Period, would not exceed (A) 5.25:1.00 or (B) the Secured Net Leverage Ratio in effect immediately prior to the consummation of such acquisition calculated on a pro forma basis as of the Four Quarter Period or (z) if such Indebtedness is unsecured or is secured by assets that do not constitute Collateral, either (a) the Total Net Leverage Ratio, determined on a pro forma basis for the Four Quarter Period, would not exceed the Total Net Leverage Ratio in effect immediately prior to the consummation of such acquisition calculated on a pro forma basis as of the most recently ended Four Quarter Period or (b) the Fixed Charge Coverage Ratio, determined on a pro forma basis for the Four Quarter Period, would not be less than the Fixed Charge Coverage Ratio in effect immediately prior to the consummation of such acquisition calculated on a pro forma basis as of the Four Quarter Period;</w:t>
      </w:r>
    </w:p>
    <w:p>
      <w:pPr>
        <w:spacing w:after="0" w:line="173" w:lineRule="exact"/>
        <w:rPr>
          <w:rFonts w:ascii="Arial" w:cs="Arial" w:eastAsia="Arial" w:hAnsi="Arial"/>
          <w:sz w:val="16"/>
          <w:szCs w:val="16"/>
          <w:color w:val="auto"/>
        </w:rPr>
      </w:pPr>
    </w:p>
    <w:p>
      <w:pPr>
        <w:ind w:left="1262" w:hanging="614"/>
        <w:spacing w:after="0"/>
        <w:tabs>
          <w:tab w:leader="none" w:pos="1262" w:val="left"/>
        </w:tabs>
        <w:numPr>
          <w:ilvl w:val="1"/>
          <w:numId w:val="345"/>
        </w:numPr>
        <w:rPr>
          <w:rFonts w:ascii="Arial" w:cs="Arial" w:eastAsia="Arial" w:hAnsi="Arial"/>
          <w:sz w:val="16"/>
          <w:szCs w:val="16"/>
          <w:color w:val="auto"/>
        </w:rPr>
      </w:pPr>
      <w:r>
        <w:rPr>
          <w:rFonts w:ascii="Arial" w:cs="Arial" w:eastAsia="Arial" w:hAnsi="Arial"/>
          <w:sz w:val="16"/>
          <w:szCs w:val="16"/>
          <w:color w:val="auto"/>
        </w:rPr>
        <w:t>Permitted Refinancing Indebtedness in respect of Indebtedness Incurred pursuant to Section 4.09(a) or Sections 4.09(b)(3), (4),</w:t>
      </w:r>
    </w:p>
    <w:p>
      <w:pPr>
        <w:spacing w:after="0" w:line="46" w:lineRule="exact"/>
        <w:rPr>
          <w:rFonts w:ascii="Arial" w:cs="Arial" w:eastAsia="Arial" w:hAnsi="Arial"/>
          <w:sz w:val="16"/>
          <w:szCs w:val="16"/>
          <w:color w:val="auto"/>
        </w:rPr>
      </w:pPr>
    </w:p>
    <w:p>
      <w:pPr>
        <w:ind w:left="262" w:hanging="262"/>
        <w:spacing w:after="0"/>
        <w:tabs>
          <w:tab w:leader="none" w:pos="26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or this clause (6);</w:t>
      </w:r>
    </w:p>
    <w:p>
      <w:pPr>
        <w:spacing w:after="0" w:line="210" w:lineRule="exact"/>
        <w:rPr>
          <w:rFonts w:ascii="Arial" w:cs="Arial" w:eastAsia="Arial" w:hAnsi="Arial"/>
          <w:sz w:val="18"/>
          <w:szCs w:val="18"/>
          <w:color w:val="auto"/>
        </w:rPr>
      </w:pPr>
    </w:p>
    <w:p>
      <w:pPr>
        <w:ind w:left="1262" w:hanging="614"/>
        <w:spacing w:after="0"/>
        <w:tabs>
          <w:tab w:leader="none" w:pos="1262" w:val="left"/>
        </w:tabs>
        <w:numPr>
          <w:ilvl w:val="1"/>
          <w:numId w:val="346"/>
        </w:numPr>
        <w:rPr>
          <w:rFonts w:ascii="Arial" w:cs="Arial" w:eastAsia="Arial" w:hAnsi="Arial"/>
          <w:sz w:val="18"/>
          <w:szCs w:val="18"/>
          <w:color w:val="auto"/>
        </w:rPr>
      </w:pPr>
      <w:r>
        <w:rPr>
          <w:rFonts w:ascii="Arial" w:cs="Arial" w:eastAsia="Arial" w:hAnsi="Arial"/>
          <w:sz w:val="18"/>
          <w:szCs w:val="18"/>
          <w:color w:val="auto"/>
        </w:rPr>
        <w:t>Hedging Obligations not for speculative purposes;</w:t>
      </w:r>
    </w:p>
    <w:p>
      <w:pPr>
        <w:spacing w:after="0" w:line="225" w:lineRule="exact"/>
        <w:rPr>
          <w:rFonts w:ascii="Arial" w:cs="Arial" w:eastAsia="Arial" w:hAnsi="Arial"/>
          <w:sz w:val="18"/>
          <w:szCs w:val="18"/>
          <w:color w:val="auto"/>
        </w:rPr>
      </w:pPr>
    </w:p>
    <w:p>
      <w:pPr>
        <w:ind w:left="2" w:firstLine="646"/>
        <w:spacing w:after="0" w:line="257" w:lineRule="auto"/>
        <w:tabs>
          <w:tab w:leader="none" w:pos="1265"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 obligations in respect of worker’s compensation and self-insurance and performance, indemnity, bid, stay, customs, appeal, replevin and surety bonds, performance and completion guarantees and other similar bonds or guarantees, in each case provided by the Parent or any Restricted Subsidiary in the ordinary course of business and (b) reimbursement and indemnification obligations in respect of letters of credit, banker’s acceptances and other similar instruments issued in respect of obligations specified in clause (a) or to landlords or vendors in the ordinary course of business;</w:t>
      </w:r>
    </w:p>
    <w:p>
      <w:pPr>
        <w:spacing w:after="0" w:line="187" w:lineRule="exact"/>
        <w:rPr>
          <w:rFonts w:ascii="Arial" w:cs="Arial" w:eastAsia="Arial" w:hAnsi="Arial"/>
          <w:sz w:val="18"/>
          <w:szCs w:val="18"/>
          <w:color w:val="auto"/>
        </w:rPr>
      </w:pPr>
    </w:p>
    <w:p>
      <w:pPr>
        <w:ind w:left="2" w:right="180" w:firstLine="646"/>
        <w:spacing w:after="0" w:line="255" w:lineRule="auto"/>
        <w:tabs>
          <w:tab w:leader="none" w:pos="1265" w:val="left"/>
        </w:tabs>
        <w:numPr>
          <w:ilvl w:val="1"/>
          <w:numId w:val="346"/>
        </w:numPr>
        <w:rPr>
          <w:rFonts w:ascii="Arial" w:cs="Arial" w:eastAsia="Arial" w:hAnsi="Arial"/>
          <w:sz w:val="18"/>
          <w:szCs w:val="18"/>
          <w:color w:val="auto"/>
        </w:rPr>
      </w:pPr>
      <w:r>
        <w:rPr>
          <w:rFonts w:ascii="Arial" w:cs="Arial" w:eastAsia="Arial" w:hAnsi="Arial"/>
          <w:sz w:val="18"/>
          <w:szCs w:val="18"/>
          <w:color w:val="auto"/>
        </w:rPr>
        <w:t xml:space="preserve">Indebtedness arising from (a) the honoring by a bank or other financial institution of a check, draft, or similar instrument drawn against insufficient funds in the ordinary course of business or other cash management services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that such Indebtedness is extinguished within ten Business Days of notification to the Parent of its incurrence; (b) customer deposits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advance payments received in the ordinary course of business or consistent with past practice from customers for goods or services purchased in the ordinary course of business or consistent with past practice; (c) Treasury Management Arrangements and (d) ACH Indebtedness;</w:t>
      </w:r>
    </w:p>
    <w:p>
      <w:pPr>
        <w:spacing w:after="0" w:line="192" w:lineRule="exact"/>
        <w:rPr>
          <w:sz w:val="20"/>
          <w:szCs w:val="20"/>
          <w:color w:val="auto"/>
        </w:rPr>
      </w:pPr>
    </w:p>
    <w:p>
      <w:pPr>
        <w:ind w:left="4722"/>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14605</wp:posOffset>
            </wp:positionV>
            <wp:extent cx="7132320"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22"/>
          </w:cols>
          <w:pgMar w:left="1138" w:top="341" w:right="339" w:bottom="1440" w:gutter="0" w:footer="0" w:header="0"/>
        </w:sectPr>
      </w:pPr>
    </w:p>
    <w:bookmarkStart w:id="322" w:name="page323"/>
    <w:bookmarkEnd w:id="322"/>
    <w:p>
      <w:pPr>
        <w:ind w:left="2" w:right="60" w:firstLine="646"/>
        <w:spacing w:after="0" w:line="301" w:lineRule="auto"/>
        <w:tabs>
          <w:tab w:leader="none" w:pos="1265" w:val="left"/>
        </w:tabs>
        <w:numPr>
          <w:ilvl w:val="1"/>
          <w:numId w:val="347"/>
        </w:numPr>
        <w:rPr>
          <w:rFonts w:ascii="Arial" w:cs="Arial" w:eastAsia="Arial" w:hAnsi="Arial"/>
          <w:sz w:val="16"/>
          <w:szCs w:val="16"/>
          <w:color w:val="auto"/>
        </w:rPr>
      </w:pPr>
      <w:r>
        <w:rPr>
          <w:rFonts w:ascii="Arial" w:cs="Arial" w:eastAsia="Arial" w:hAnsi="Arial"/>
          <w:sz w:val="16"/>
          <w:szCs w:val="16"/>
          <w:color w:val="auto"/>
        </w:rPr>
        <w:t xml:space="preserve">Indebtedness consisting of any Guarantee by the Parent or any Restricted Subsidiary of Indebtedness or other Obligations of another Foreign Subsidiary or a Non-Guarantor Subsidiary or (c) a Non-Guarantor Subsidiary of Indebtedness or other obligations of the Parent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Indebtedness being guaranteed is subordinated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then the Guarantee must be subordinated or </w:t>
      </w:r>
      <w:r>
        <w:rPr>
          <w:rFonts w:ascii="Arial" w:cs="Arial" w:eastAsia="Arial" w:hAnsi="Arial"/>
          <w:sz w:val="16"/>
          <w:szCs w:val="16"/>
          <w:i w:val="1"/>
          <w:iCs w:val="1"/>
          <w:color w:val="auto"/>
        </w:rPr>
        <w:t>pari passu</w:t>
      </w:r>
      <w:r>
        <w:rPr>
          <w:rFonts w:ascii="Arial" w:cs="Arial" w:eastAsia="Arial" w:hAnsi="Arial"/>
          <w:sz w:val="16"/>
          <w:szCs w:val="16"/>
          <w:color w:val="auto"/>
        </w:rPr>
        <w:t>, as applicable, to the same extent as the Indebtedness guaranteed;</w:t>
      </w:r>
    </w:p>
    <w:p>
      <w:pPr>
        <w:spacing w:after="0" w:line="157" w:lineRule="exact"/>
        <w:rPr>
          <w:rFonts w:ascii="Arial" w:cs="Arial" w:eastAsia="Arial" w:hAnsi="Arial"/>
          <w:sz w:val="16"/>
          <w:szCs w:val="16"/>
          <w:color w:val="auto"/>
        </w:rPr>
      </w:pPr>
    </w:p>
    <w:p>
      <w:pPr>
        <w:jc w:val="both"/>
        <w:ind w:left="2" w:firstLine="646"/>
        <w:spacing w:after="0" w:line="255" w:lineRule="auto"/>
        <w:tabs>
          <w:tab w:leader="none" w:pos="1389" w:val="left"/>
        </w:tabs>
        <w:numPr>
          <w:ilvl w:val="1"/>
          <w:numId w:val="347"/>
        </w:numPr>
        <w:rPr>
          <w:rFonts w:ascii="Arial" w:cs="Arial" w:eastAsia="Arial" w:hAnsi="Arial"/>
          <w:sz w:val="18"/>
          <w:szCs w:val="18"/>
          <w:color w:val="auto"/>
        </w:rPr>
      </w:pPr>
      <w:r>
        <w:rPr>
          <w:rFonts w:ascii="Arial" w:cs="Arial" w:eastAsia="Arial" w:hAnsi="Arial"/>
          <w:sz w:val="18"/>
          <w:szCs w:val="18"/>
          <w:color w:val="auto"/>
        </w:rPr>
        <w:t>Capital Lease Obligations, Purchase Money Indebtedness or Sale and Leaseback Transactions, and Permitted Refinancing Indebtedness in respect thereof, in an aggregate principal amount on the date of Incurrence that, when taken together with the principal amount of all other Indebtedness then outstanding and Incurred pursuant to this clause (11), does not exceed the greater of $235.0 million or 20.0% of Consolidated EBITDA for the Four Quarter Period; provided that this clause (11) shall not apply to any Capital Lease Obligations or Indebtedness in respect of Sale and Leaseback Transactions, the proceeds of which are used to prepay Indebtedness outstanding under the Senior Secured Credit Facilities;</w:t>
      </w:r>
    </w:p>
    <w:p>
      <w:pPr>
        <w:spacing w:after="0" w:line="192" w:lineRule="exact"/>
        <w:rPr>
          <w:rFonts w:ascii="Arial" w:cs="Arial" w:eastAsia="Arial" w:hAnsi="Arial"/>
          <w:sz w:val="18"/>
          <w:szCs w:val="18"/>
          <w:color w:val="auto"/>
        </w:rPr>
      </w:pPr>
    </w:p>
    <w:p>
      <w:pPr>
        <w:jc w:val="both"/>
        <w:ind w:left="2" w:firstLine="646"/>
        <w:spacing w:after="0" w:line="291" w:lineRule="auto"/>
        <w:tabs>
          <w:tab w:leader="none" w:pos="1475" w:val="left"/>
        </w:tabs>
        <w:numPr>
          <w:ilvl w:val="1"/>
          <w:numId w:val="347"/>
        </w:numPr>
        <w:rPr>
          <w:rFonts w:ascii="Arial" w:cs="Arial" w:eastAsia="Arial" w:hAnsi="Arial"/>
          <w:sz w:val="16"/>
          <w:szCs w:val="16"/>
          <w:color w:val="auto"/>
        </w:rPr>
      </w:pPr>
      <w:r>
        <w:rPr>
          <w:rFonts w:ascii="Arial" w:cs="Arial" w:eastAsia="Arial" w:hAnsi="Arial"/>
          <w:sz w:val="16"/>
          <w:szCs w:val="16"/>
          <w:color w:val="auto"/>
        </w:rPr>
        <w:t>Indebtedness of Non-Guarantor Subsidiaries and Foreign Subsidiaries in an aggregate principal amount on the date of Incurrence that, when taken together with the principal amount of all other Indebtedness then outstanding and Incurred pursuant to this clause</w:t>
      </w:r>
    </w:p>
    <w:p>
      <w:pPr>
        <w:jc w:val="both"/>
        <w:ind w:left="2" w:hanging="2"/>
        <w:spacing w:after="0" w:line="255" w:lineRule="auto"/>
        <w:tabs>
          <w:tab w:leader="none" w:pos="3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and the principal amount of all Indebtedness of Non-Guarantor Subsidiaries then outstanding and Incurred pursuant to the first paragraph of this covenant, does not exceed at any time outstanding the greater of $175.0 million or 15.0% of Consolidated EBITDA for the Four Quarter Period;</w:t>
      </w:r>
    </w:p>
    <w:p>
      <w:pPr>
        <w:spacing w:after="0" w:line="189" w:lineRule="exact"/>
        <w:rPr>
          <w:rFonts w:ascii="Arial" w:cs="Arial" w:eastAsia="Arial" w:hAnsi="Arial"/>
          <w:sz w:val="18"/>
          <w:szCs w:val="18"/>
          <w:color w:val="auto"/>
        </w:rPr>
      </w:pPr>
    </w:p>
    <w:p>
      <w:pPr>
        <w:jc w:val="both"/>
        <w:ind w:left="2" w:right="80" w:firstLine="646"/>
        <w:spacing w:after="0" w:line="263" w:lineRule="auto"/>
        <w:tabs>
          <w:tab w:leader="none" w:pos="1265"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Indebtedness of the Parent or any of the Restricted Subsidiaries consisting of (a) the financing of insurance premiums with the providers of such insurance or their affiliates or (b) take-or-pay obligations contained in supply agreements, in each case, in the ordinary course of business;</w:t>
      </w:r>
    </w:p>
    <w:p>
      <w:pPr>
        <w:spacing w:after="0" w:line="183" w:lineRule="exact"/>
        <w:rPr>
          <w:rFonts w:ascii="Arial" w:cs="Arial" w:eastAsia="Arial" w:hAnsi="Arial"/>
          <w:sz w:val="18"/>
          <w:szCs w:val="18"/>
          <w:color w:val="auto"/>
        </w:rPr>
      </w:pPr>
    </w:p>
    <w:p>
      <w:pPr>
        <w:ind w:left="2" w:right="300" w:firstLine="646"/>
        <w:spacing w:after="0" w:line="277" w:lineRule="auto"/>
        <w:tabs>
          <w:tab w:leader="none" w:pos="1265"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Indebtedness of the Parent or any of the Restricted Subsidiaries supported by a letter of credit issued pursuant to the Senior Secured Credit Facilities in a principal amount not in excess of the stated amount of such letter of credit;</w:t>
      </w:r>
    </w:p>
    <w:p>
      <w:pPr>
        <w:spacing w:after="0" w:line="170" w:lineRule="exact"/>
        <w:rPr>
          <w:rFonts w:ascii="Arial" w:cs="Arial" w:eastAsia="Arial" w:hAnsi="Arial"/>
          <w:sz w:val="18"/>
          <w:szCs w:val="18"/>
          <w:color w:val="auto"/>
        </w:rPr>
      </w:pPr>
    </w:p>
    <w:p>
      <w:pPr>
        <w:ind w:left="2" w:right="100" w:firstLine="646"/>
        <w:spacing w:after="0" w:line="277" w:lineRule="auto"/>
        <w:tabs>
          <w:tab w:leader="none" w:pos="1265"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Indebtedness consisting of guarantees of indebtedness or other obligations of joint ventures permitted under clause (18) of the definition of “</w:t>
      </w:r>
      <w:r>
        <w:rPr>
          <w:rFonts w:ascii="Arial" w:cs="Arial" w:eastAsia="Arial" w:hAnsi="Arial"/>
          <w:sz w:val="18"/>
          <w:szCs w:val="18"/>
          <w:i w:val="1"/>
          <w:iCs w:val="1"/>
          <w:color w:val="auto"/>
        </w:rPr>
        <w:t>Permitted Investments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 w:right="40" w:firstLine="646"/>
        <w:spacing w:after="0" w:line="277" w:lineRule="auto"/>
        <w:tabs>
          <w:tab w:leader="none" w:pos="1265"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Indebtedness Incurred in connection with judgments, decrees, attachments or awards that do not constitute an Event of Default under Section 6.01(5);</w:t>
      </w:r>
    </w:p>
    <w:p>
      <w:pPr>
        <w:spacing w:after="0" w:line="170" w:lineRule="exact"/>
        <w:rPr>
          <w:sz w:val="20"/>
          <w:szCs w:val="20"/>
          <w:color w:val="auto"/>
        </w:rPr>
      </w:pPr>
    </w:p>
    <w:p>
      <w:pPr>
        <w:ind w:left="4722"/>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14605</wp:posOffset>
            </wp:positionV>
            <wp:extent cx="713232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22"/>
          </w:cols>
          <w:pgMar w:left="1138" w:top="692" w:right="339" w:bottom="1440" w:gutter="0" w:footer="0" w:header="0"/>
        </w:sectPr>
      </w:pPr>
    </w:p>
    <w:bookmarkStart w:id="323" w:name="page324"/>
    <w:bookmarkEnd w:id="323"/>
    <w:p>
      <w:pPr>
        <w:ind w:left="2" w:right="580" w:firstLine="646"/>
        <w:spacing w:after="0" w:line="311" w:lineRule="auto"/>
        <w:tabs>
          <w:tab w:leader="none" w:pos="1265" w:val="left"/>
        </w:tabs>
        <w:numPr>
          <w:ilvl w:val="1"/>
          <w:numId w:val="349"/>
        </w:numPr>
        <w:rPr>
          <w:rFonts w:ascii="Arial" w:cs="Arial" w:eastAsia="Arial" w:hAnsi="Arial"/>
          <w:sz w:val="16"/>
          <w:szCs w:val="16"/>
          <w:color w:val="auto"/>
        </w:rPr>
      </w:pPr>
      <w:r>
        <w:rPr>
          <w:rFonts w:ascii="Arial" w:cs="Arial" w:eastAsia="Arial" w:hAnsi="Arial"/>
          <w:sz w:val="16"/>
          <w:szCs w:val="16"/>
          <w:color w:val="auto"/>
        </w:rPr>
        <w:t>Indebtedness in the form of (a) guarantees of loans and advances to officers, directors, consultants and employees that constitute Permitted Investments pursuant to and in accordance with clause (8) of the definition thereof, and (b) reimbursements owed to officers, directors, consultants and employees of the Parent, any of its Subsidiaries or the Parent’s direct or indirect parent companies;</w:t>
      </w:r>
    </w:p>
    <w:p>
      <w:pPr>
        <w:spacing w:after="0" w:line="148" w:lineRule="exact"/>
        <w:rPr>
          <w:rFonts w:ascii="Arial" w:cs="Arial" w:eastAsia="Arial" w:hAnsi="Arial"/>
          <w:sz w:val="16"/>
          <w:szCs w:val="16"/>
          <w:color w:val="auto"/>
        </w:rPr>
      </w:pPr>
    </w:p>
    <w:p>
      <w:pPr>
        <w:jc w:val="both"/>
        <w:ind w:left="2" w:right="120" w:firstLine="646"/>
        <w:spacing w:after="0" w:line="259" w:lineRule="auto"/>
        <w:tabs>
          <w:tab w:leader="none" w:pos="1265"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Indebtedness consisting of obligations to make payments to current or former officers, directors and employees of the Parent, any of its Subsidiaries or the Parent’s direct or indirect parent companies, their respective estates, spouses or former spouses with respect to the cancellation, purchase or redemption of Equity Interests of the Parent, any of its Subsidiaries, or any of the Parent’s direct or indirect parent companies to the extent permitted under Section 4.07(b)(4);</w:t>
      </w:r>
    </w:p>
    <w:p>
      <w:pPr>
        <w:spacing w:after="0" w:line="186" w:lineRule="exact"/>
        <w:rPr>
          <w:rFonts w:ascii="Arial" w:cs="Arial" w:eastAsia="Arial" w:hAnsi="Arial"/>
          <w:sz w:val="18"/>
          <w:szCs w:val="18"/>
          <w:color w:val="auto"/>
        </w:rPr>
      </w:pPr>
    </w:p>
    <w:p>
      <w:pPr>
        <w:jc w:val="both"/>
        <w:ind w:left="2" w:firstLine="646"/>
        <w:spacing w:after="0" w:line="257" w:lineRule="auto"/>
        <w:tabs>
          <w:tab w:leader="none" w:pos="129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Indebtedness of the Parent to any Restricted Subsidiary and of any Restricted Subsidiary to the Parent or any other Restricted Subsidiary (including, without limitation, to consummate the Transactions (including, without limitation, the Merger));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Indebtedness owing by the Parent, the Issuer or any Guarantor to a Restricted Subsidiary that is not the Issuer or a Guarantor shall be subordinated in right of payment to the Notes and the Note Guarantees to the extent permitted by applicable law and not resulting in adverse tax consequences;</w:t>
      </w:r>
    </w:p>
    <w:p>
      <w:pPr>
        <w:spacing w:after="0" w:line="187" w:lineRule="exact"/>
        <w:rPr>
          <w:rFonts w:ascii="Arial" w:cs="Arial" w:eastAsia="Arial" w:hAnsi="Arial"/>
          <w:sz w:val="18"/>
          <w:szCs w:val="18"/>
          <w:color w:val="auto"/>
        </w:rPr>
      </w:pPr>
    </w:p>
    <w:p>
      <w:pPr>
        <w:ind w:left="1262" w:hanging="614"/>
        <w:spacing w:after="0"/>
        <w:tabs>
          <w:tab w:leader="none" w:pos="1262"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Indebtedness consisting of obligations under any Permitted Equity Derivatives;</w:t>
      </w:r>
    </w:p>
    <w:p>
      <w:pPr>
        <w:spacing w:after="0" w:line="225" w:lineRule="exact"/>
        <w:rPr>
          <w:rFonts w:ascii="Arial" w:cs="Arial" w:eastAsia="Arial" w:hAnsi="Arial"/>
          <w:sz w:val="18"/>
          <w:szCs w:val="18"/>
          <w:color w:val="auto"/>
        </w:rPr>
      </w:pPr>
    </w:p>
    <w:p>
      <w:pPr>
        <w:ind w:left="2" w:right="40" w:firstLine="646"/>
        <w:spacing w:after="0" w:line="257" w:lineRule="auto"/>
        <w:tabs>
          <w:tab w:leader="none" w:pos="1265"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Indebtedness in the form of an intercompany note issued in connection with a Permitted Acquisition involving a tender offer followed by a short form merger (i.e. a statutory short form merger that requires no further approvals to consummate);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short form merger is consummated within five (5) Business Days of the incurrence of such Indebtedness and (ii) not later than three (3) Business Days after consummation of the related short form merger, such Indebtedness (x) is extinguished or retired or (y) otherwise constitutes a Permitted Investment;</w:t>
      </w:r>
    </w:p>
    <w:p>
      <w:pPr>
        <w:spacing w:after="0" w:line="187" w:lineRule="exact"/>
        <w:rPr>
          <w:rFonts w:ascii="Arial" w:cs="Arial" w:eastAsia="Arial" w:hAnsi="Arial"/>
          <w:sz w:val="18"/>
          <w:szCs w:val="18"/>
          <w:color w:val="auto"/>
        </w:rPr>
      </w:pPr>
    </w:p>
    <w:p>
      <w:pPr>
        <w:ind w:left="2" w:right="100" w:firstLine="646"/>
        <w:spacing w:after="0" w:line="259" w:lineRule="auto"/>
        <w:tabs>
          <w:tab w:leader="none" w:pos="1265"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the Parent or of any of the Restricted Subsidiaries in an aggregate principal amount on the date of Incurrence that, when taken together with all other Indebtedness of the Parent and the Restricted Subsidiaries then outstanding and Incurred pursuant to this clause (22), does not exceed the greater of $405.0 million and 35% of Consolidated EBITDA for the Four Quarter Period;</w:t>
      </w:r>
    </w:p>
    <w:p>
      <w:pPr>
        <w:spacing w:after="0" w:line="186" w:lineRule="exact"/>
        <w:rPr>
          <w:rFonts w:ascii="Arial" w:cs="Arial" w:eastAsia="Arial" w:hAnsi="Arial"/>
          <w:sz w:val="18"/>
          <w:szCs w:val="18"/>
          <w:color w:val="auto"/>
        </w:rPr>
      </w:pPr>
    </w:p>
    <w:p>
      <w:pPr>
        <w:ind w:left="2" w:right="220" w:firstLine="646"/>
        <w:spacing w:after="0" w:line="291" w:lineRule="auto"/>
        <w:tabs>
          <w:tab w:leader="none" w:pos="1265" w:val="left"/>
        </w:tabs>
        <w:numPr>
          <w:ilvl w:val="1"/>
          <w:numId w:val="349"/>
        </w:numPr>
        <w:rPr>
          <w:rFonts w:ascii="Arial" w:cs="Arial" w:eastAsia="Arial" w:hAnsi="Arial"/>
          <w:sz w:val="16"/>
          <w:szCs w:val="16"/>
          <w:color w:val="auto"/>
        </w:rPr>
      </w:pPr>
      <w:r>
        <w:rPr>
          <w:rFonts w:ascii="Arial" w:cs="Arial" w:eastAsia="Arial" w:hAnsi="Arial"/>
          <w:sz w:val="16"/>
          <w:szCs w:val="16"/>
          <w:color w:val="auto"/>
        </w:rPr>
        <w:t>Indebtedness (A) incurred in connection with a Qualified Securitization Financing that is not recourse (except for Standard Securitization Undertakings ) to the Parent or any Restricted Subsidiary, (B) incurred in connection with a Qualified Receivables Factoring or</w:t>
      </w:r>
    </w:p>
    <w:p>
      <w:pPr>
        <w:ind w:left="2" w:right="180" w:hanging="2"/>
        <w:spacing w:after="0" w:line="255" w:lineRule="auto"/>
        <w:tabs>
          <w:tab w:leader="none" w:pos="28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incurred for working capital purposes, in an aggregate principal amount on the date of incurrence that, when taken together with the principal amount of all other Indebtedness then outstanding and incurred pursuant to this clause (23)(C), does not exceed the greater of $120.0 million or 10% of Consolidated EBITDA for the Four Quarter Period;</w:t>
      </w:r>
    </w:p>
    <w:p>
      <w:pPr>
        <w:spacing w:after="0" w:line="190" w:lineRule="exact"/>
        <w:rPr>
          <w:sz w:val="20"/>
          <w:szCs w:val="20"/>
          <w:color w:val="auto"/>
        </w:rPr>
      </w:pPr>
    </w:p>
    <w:p>
      <w:pPr>
        <w:ind w:left="4722"/>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14605</wp:posOffset>
            </wp:positionV>
            <wp:extent cx="7132320"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22"/>
          </w:cols>
          <w:pgMar w:left="1138" w:top="692" w:right="339" w:bottom="1440" w:gutter="0" w:footer="0" w:header="0"/>
        </w:sectPr>
      </w:pPr>
    </w:p>
    <w:bookmarkStart w:id="324" w:name="page325"/>
    <w:bookmarkEnd w:id="324"/>
    <w:p>
      <w:pPr>
        <w:ind w:left="-300" w:right="140" w:firstLine="646"/>
        <w:spacing w:after="0" w:line="277" w:lineRule="auto"/>
        <w:tabs>
          <w:tab w:leader="none" w:pos="96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Indebtedness under guarantees of the obligations of other members of the Group once such guarantees are entered into the in the normal course of trading;</w:t>
      </w:r>
    </w:p>
    <w:p>
      <w:pPr>
        <w:spacing w:after="0" w:line="170" w:lineRule="exact"/>
        <w:rPr>
          <w:rFonts w:ascii="Arial" w:cs="Arial" w:eastAsia="Arial" w:hAnsi="Arial"/>
          <w:sz w:val="18"/>
          <w:szCs w:val="18"/>
          <w:color w:val="auto"/>
        </w:rPr>
      </w:pPr>
    </w:p>
    <w:p>
      <w:pPr>
        <w:ind w:left="960" w:hanging="614"/>
        <w:spacing w:after="0"/>
        <w:tabs>
          <w:tab w:leader="none" w:pos="9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Indebtedness incurred in respect of trade credit in the normal course of trading activities (including within the Group);</w:t>
      </w:r>
    </w:p>
    <w:p>
      <w:pPr>
        <w:spacing w:after="0" w:line="236" w:lineRule="exact"/>
        <w:rPr>
          <w:rFonts w:ascii="Arial" w:cs="Arial" w:eastAsia="Arial" w:hAnsi="Arial"/>
          <w:sz w:val="17"/>
          <w:szCs w:val="17"/>
          <w:color w:val="auto"/>
        </w:rPr>
      </w:pPr>
    </w:p>
    <w:p>
      <w:pPr>
        <w:ind w:left="960" w:hanging="614"/>
        <w:spacing w:after="0"/>
        <w:tabs>
          <w:tab w:leader="none" w:pos="9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intra-day facility arrangements in the ordinary course of business and consistent with past practice;</w:t>
      </w:r>
    </w:p>
    <w:p>
      <w:pPr>
        <w:spacing w:after="0" w:line="225" w:lineRule="exact"/>
        <w:rPr>
          <w:rFonts w:ascii="Arial" w:cs="Arial" w:eastAsia="Arial" w:hAnsi="Arial"/>
          <w:sz w:val="18"/>
          <w:szCs w:val="18"/>
          <w:color w:val="auto"/>
        </w:rPr>
      </w:pPr>
    </w:p>
    <w:p>
      <w:pPr>
        <w:ind w:left="960" w:hanging="614"/>
        <w:spacing w:after="0"/>
        <w:tabs>
          <w:tab w:leader="none" w:pos="9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60" w:hanging="614"/>
        <w:spacing w:after="0"/>
        <w:tabs>
          <w:tab w:leader="none" w:pos="9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300" w:right="80" w:firstLine="646"/>
        <w:spacing w:after="0" w:line="273" w:lineRule="auto"/>
        <w:tabs>
          <w:tab w:leader="none" w:pos="963"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Indebtedness or Disqualified Stock of the Parent and Indebtedness, Disqualified Stock or Preferred Stock of the Parent or any Restricted Subsidiary in an aggregate principal amount or liquidation preference up to 100.0% of the net cash proceeds received by the Parent after the Issue Date from the issue or sale of Equity Interests of the Parent or cash contributed to the capital of the Parent (in each case, other than proceeds of Disqualified Stock, sales of Equity Interests to the Parent or any of its Subsidiaries) to the extent such net cash proceeds or cash have not been applied pursuant to such clauses to make Restricted Payments or to make Permitted Investments (other than Permitted Investments specified in clauses (2), (3) or (4) of the definition thereof);</w:t>
      </w:r>
    </w:p>
    <w:p>
      <w:pPr>
        <w:spacing w:after="0" w:line="177" w:lineRule="exact"/>
        <w:rPr>
          <w:rFonts w:ascii="Arial" w:cs="Arial" w:eastAsia="Arial" w:hAnsi="Arial"/>
          <w:sz w:val="17"/>
          <w:szCs w:val="17"/>
          <w:color w:val="auto"/>
        </w:rPr>
      </w:pPr>
    </w:p>
    <w:p>
      <w:pPr>
        <w:ind w:left="-300" w:right="220" w:firstLine="646"/>
        <w:spacing w:after="0" w:line="286" w:lineRule="auto"/>
        <w:tabs>
          <w:tab w:leader="none" w:pos="963"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Indebtedness arising from agreements providing for indemnification, adjustment of purchase price or similar obligations, or from guaranties, surety bonds or performance bonds securing the performance of the Parent or any of its Restricted Subsidiaries pursuant to such agreements, in connection with Permitted Acquisitions, the Merger or permitted Dispositions;</w:t>
      </w:r>
    </w:p>
    <w:p>
      <w:pPr>
        <w:spacing w:after="0" w:line="165" w:lineRule="exact"/>
        <w:rPr>
          <w:rFonts w:ascii="Arial" w:cs="Arial" w:eastAsia="Arial" w:hAnsi="Arial"/>
          <w:sz w:val="17"/>
          <w:szCs w:val="17"/>
          <w:color w:val="auto"/>
        </w:rPr>
      </w:pPr>
    </w:p>
    <w:p>
      <w:pPr>
        <w:ind w:left="-300" w:right="60" w:firstLine="646"/>
        <w:spacing w:after="0" w:line="277" w:lineRule="auto"/>
        <w:tabs>
          <w:tab w:leader="none" w:pos="96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Indebtedness in respect of derivative transactions entered into by Group members to hedge currency or interest rate exposures and for other non-speculative purposes;</w:t>
      </w:r>
    </w:p>
    <w:p>
      <w:pPr>
        <w:spacing w:after="0" w:line="170" w:lineRule="exact"/>
        <w:rPr>
          <w:rFonts w:ascii="Arial" w:cs="Arial" w:eastAsia="Arial" w:hAnsi="Arial"/>
          <w:sz w:val="18"/>
          <w:szCs w:val="18"/>
          <w:color w:val="auto"/>
        </w:rPr>
      </w:pPr>
    </w:p>
    <w:p>
      <w:pPr>
        <w:ind w:left="960" w:hanging="614"/>
        <w:spacing w:after="0"/>
        <w:tabs>
          <w:tab w:leader="none" w:pos="9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Indebtedness incurred in connection with any Sale and Leaseback Transaction related to the Headquarters;</w:t>
      </w:r>
    </w:p>
    <w:p>
      <w:pPr>
        <w:spacing w:after="0" w:line="225" w:lineRule="exact"/>
        <w:rPr>
          <w:rFonts w:ascii="Arial" w:cs="Arial" w:eastAsia="Arial" w:hAnsi="Arial"/>
          <w:sz w:val="18"/>
          <w:szCs w:val="18"/>
          <w:color w:val="auto"/>
        </w:rPr>
      </w:pPr>
    </w:p>
    <w:p>
      <w:pPr>
        <w:jc w:val="both"/>
        <w:ind w:left="-300" w:firstLine="646"/>
        <w:spacing w:after="0" w:line="279" w:lineRule="auto"/>
        <w:tabs>
          <w:tab w:leader="none" w:pos="963" w:val="left"/>
        </w:tabs>
        <w:numPr>
          <w:ilvl w:val="0"/>
          <w:numId w:val="351"/>
        </w:numPr>
        <w:rPr>
          <w:rFonts w:ascii="Arial" w:cs="Arial" w:eastAsia="Arial" w:hAnsi="Arial"/>
          <w:sz w:val="17"/>
          <w:szCs w:val="17"/>
          <w:color w:val="auto"/>
        </w:rPr>
      </w:pPr>
      <w:r>
        <w:rPr>
          <w:rFonts w:ascii="Arial" w:cs="Arial" w:eastAsia="Arial" w:hAnsi="Arial"/>
          <w:sz w:val="17"/>
          <w:szCs w:val="17"/>
          <w:color w:val="auto"/>
        </w:rPr>
        <w:t>Preferred Stock of a Restricted Subsidiary issued to the Parent or another Restricted Subsidiary; provided that any subsequent issuance or transfer of any capital stock or any other event which results in any such Restricted Subsidiary ceasing to be a Restricted Subsidiary or any other subsequent transfer of any such shares of Preferred Stock (except to the Parent or another Restricted Subsidiary) shall be deemed in each case to be an issuance of such shares of preferred stock not permitted by this clause (33);</w:t>
      </w:r>
    </w:p>
    <w:p>
      <w:pPr>
        <w:spacing w:after="0" w:line="171" w:lineRule="exact"/>
        <w:rPr>
          <w:rFonts w:ascii="Arial" w:cs="Arial" w:eastAsia="Arial" w:hAnsi="Arial"/>
          <w:sz w:val="17"/>
          <w:szCs w:val="17"/>
          <w:color w:val="auto"/>
        </w:rPr>
      </w:pPr>
    </w:p>
    <w:p>
      <w:pPr>
        <w:ind w:left="-300" w:right="160" w:firstLine="646"/>
        <w:spacing w:after="0" w:line="286" w:lineRule="auto"/>
        <w:tabs>
          <w:tab w:leader="none" w:pos="963"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 obligations in respect of self-insurance, performance, bid, appeal and surety bonds and completion guarantees and similar obligations provided by the Parent or any Restricted Subsidiary or (ii) obligations in respect of letters of credit, bank guarantees or similar instruments related thereto, in each case, in the ordinary course of business or consistent with past practice; and</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080"/>
          </w:cols>
          <w:pgMar w:left="1440" w:top="692" w:right="379" w:bottom="1440" w:gutter="0" w:footer="0" w:header="0"/>
        </w:sectPr>
      </w:pPr>
    </w:p>
    <w:bookmarkStart w:id="325" w:name="page326"/>
    <w:bookmarkEnd w:id="325"/>
    <w:p>
      <w:pPr>
        <w:ind w:left="164" w:firstLine="646"/>
        <w:spacing w:after="0" w:line="273" w:lineRule="auto"/>
        <w:tabs>
          <w:tab w:leader="none" w:pos="1427" w:val="left"/>
        </w:tabs>
        <w:numPr>
          <w:ilvl w:val="2"/>
          <w:numId w:val="352"/>
        </w:numPr>
        <w:rPr>
          <w:rFonts w:ascii="Arial" w:cs="Arial" w:eastAsia="Arial" w:hAnsi="Arial"/>
          <w:sz w:val="17"/>
          <w:szCs w:val="17"/>
          <w:color w:val="auto"/>
        </w:rPr>
      </w:pPr>
      <w:r>
        <w:rPr>
          <w:rFonts w:ascii="Arial" w:cs="Arial" w:eastAsia="Arial" w:hAnsi="Arial"/>
          <w:sz w:val="17"/>
          <w:szCs w:val="17"/>
          <w:color w:val="auto"/>
        </w:rPr>
        <w:t>Indebtedness arising in the ordinary course of business from the honoring by a bank or other financial institution of a check, draft or similar instrument drawn against insufficient funds in the ordinary course of business, provided that such Indebtedness (x) is extinguished within two Business Days of its incurrence or (y) arises in respect of one or more accounts of any Subsidiary that is a Foreign Subsidiary with any bank or other financial institution subject to a pooling or similar arrangement with one or more accounts of any other Subsidiaries that are Foreign Subsidiaries with such bank or other financial institution to the extent the net aggregate amount of funds in all such accounts subject to such pooling or similar arrangement with such bank or other financial institution is positive.</w:t>
      </w:r>
    </w:p>
    <w:p>
      <w:pPr>
        <w:spacing w:after="0" w:line="177" w:lineRule="exact"/>
        <w:rPr>
          <w:rFonts w:ascii="Arial" w:cs="Arial" w:eastAsia="Arial" w:hAnsi="Arial"/>
          <w:sz w:val="17"/>
          <w:szCs w:val="17"/>
          <w:color w:val="auto"/>
        </w:rPr>
      </w:pPr>
    </w:p>
    <w:p>
      <w:pPr>
        <w:ind w:left="524" w:hanging="524"/>
        <w:spacing w:after="0"/>
        <w:tabs>
          <w:tab w:leader="none" w:pos="52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For purposes of determining compliance with this Section 4.09:</w:t>
      </w:r>
    </w:p>
    <w:p>
      <w:pPr>
        <w:spacing w:after="0" w:line="225" w:lineRule="exact"/>
        <w:rPr>
          <w:rFonts w:ascii="Arial" w:cs="Arial" w:eastAsia="Arial" w:hAnsi="Arial"/>
          <w:sz w:val="18"/>
          <w:szCs w:val="18"/>
          <w:color w:val="auto"/>
        </w:rPr>
      </w:pPr>
    </w:p>
    <w:p>
      <w:pPr>
        <w:ind w:left="164" w:right="360" w:firstLine="646"/>
        <w:spacing w:after="0" w:line="277" w:lineRule="auto"/>
        <w:tabs>
          <w:tab w:leader="none" w:pos="1427" w:val="left"/>
        </w:tabs>
        <w:numPr>
          <w:ilvl w:val="2"/>
          <w:numId w:val="353"/>
        </w:numPr>
        <w:rPr>
          <w:rFonts w:ascii="Arial" w:cs="Arial" w:eastAsia="Arial" w:hAnsi="Arial"/>
          <w:sz w:val="18"/>
          <w:szCs w:val="18"/>
          <w:color w:val="auto"/>
        </w:rPr>
      </w:pPr>
      <w:r>
        <w:rPr>
          <w:rFonts w:ascii="Arial" w:cs="Arial" w:eastAsia="Arial" w:hAnsi="Arial"/>
          <w:sz w:val="18"/>
          <w:szCs w:val="18"/>
          <w:color w:val="auto"/>
        </w:rPr>
        <w:t>all Indebtedness outstanding under the Senior Secured Credit Facilities on the Issue Date will be treated as Incurred under Section 4.09(b)(1)(a)(x) and may not later be re-classified;</w:t>
      </w:r>
    </w:p>
    <w:p>
      <w:pPr>
        <w:spacing w:after="0" w:line="170" w:lineRule="exact"/>
        <w:rPr>
          <w:rFonts w:ascii="Arial" w:cs="Arial" w:eastAsia="Arial" w:hAnsi="Arial"/>
          <w:sz w:val="18"/>
          <w:szCs w:val="18"/>
          <w:color w:val="auto"/>
        </w:rPr>
      </w:pPr>
    </w:p>
    <w:p>
      <w:pPr>
        <w:ind w:left="164" w:firstLine="646"/>
        <w:spacing w:after="0" w:line="287" w:lineRule="auto"/>
        <w:tabs>
          <w:tab w:leader="none" w:pos="1427" w:val="left"/>
        </w:tabs>
        <w:numPr>
          <w:ilvl w:val="2"/>
          <w:numId w:val="353"/>
        </w:numPr>
        <w:rPr>
          <w:rFonts w:ascii="Arial" w:cs="Arial" w:eastAsia="Arial" w:hAnsi="Arial"/>
          <w:sz w:val="16"/>
          <w:szCs w:val="16"/>
          <w:color w:val="auto"/>
        </w:rPr>
      </w:pPr>
      <w:r>
        <w:rPr>
          <w:rFonts w:ascii="Arial" w:cs="Arial" w:eastAsia="Arial" w:hAnsi="Arial"/>
          <w:sz w:val="16"/>
          <w:szCs w:val="16"/>
          <w:color w:val="auto"/>
        </w:rPr>
        <w:t>in the event that an item of Indebtedness, Disqualified Stock or Preferred Stock (or any portion thereof) at any time, whether at the time of incurrence or issuance or upon the application of all or a portion of the proceeds thereof or subsequently, meets the criteria of more than one of the categories of permitted Indebtedness, Disqualified Stock or Preferred Stock described in Section 4.09(a) or, subject to paragraph</w:t>
      </w:r>
    </w:p>
    <w:p>
      <w:pPr>
        <w:spacing w:after="0" w:line="2" w:lineRule="exact"/>
        <w:rPr>
          <w:rFonts w:ascii="Arial" w:cs="Arial" w:eastAsia="Arial" w:hAnsi="Arial"/>
          <w:sz w:val="16"/>
          <w:szCs w:val="16"/>
          <w:color w:val="auto"/>
        </w:rPr>
      </w:pPr>
    </w:p>
    <w:p>
      <w:pPr>
        <w:ind w:left="164" w:right="60" w:hanging="2"/>
        <w:spacing w:after="0" w:line="252" w:lineRule="auto"/>
        <w:tabs>
          <w:tab w:leader="none" w:pos="419"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above, in clauses (1) through (35) of the definition of Permitted Debt, the Parent, in its sole discretion, will classify and may subsequently reclassify such item of Indebtedness, Disqualified Stock or Preferred Stock (or any portion thereof) in any one or more of the types of Indebtedness, Disqualified Stock or Preferred Stock described in Section 4.09(a) or, subject to paragraph (1) above, in clauses (1) through (35) of the definition of Permitted Debt and will only be required to include the amount and type of such Indebtedness, Disqualified Stock or Preferred Stock in such of the above clauses as determined by the Parent at such time. The Parent will be entitled to divide, classify and reclassify an item of Indebtedness in more than one of the types of Indebtedness described in Section 4.09(a) or, subject to paragraph (1) above, in clauses (1) through (35) of the definition of Permitted Debt; and</w:t>
      </w:r>
    </w:p>
    <w:p>
      <w:pPr>
        <w:spacing w:after="0" w:line="192" w:lineRule="exact"/>
        <w:rPr>
          <w:rFonts w:ascii="Arial" w:cs="Arial" w:eastAsia="Arial" w:hAnsi="Arial"/>
          <w:sz w:val="18"/>
          <w:szCs w:val="18"/>
          <w:color w:val="auto"/>
        </w:rPr>
      </w:pPr>
    </w:p>
    <w:p>
      <w:pPr>
        <w:jc w:val="both"/>
        <w:ind w:left="164" w:firstLine="646"/>
        <w:spacing w:after="0" w:line="259" w:lineRule="auto"/>
        <w:tabs>
          <w:tab w:leader="none" w:pos="1423" w:val="left"/>
        </w:tabs>
        <w:numPr>
          <w:ilvl w:val="2"/>
          <w:numId w:val="354"/>
        </w:numPr>
        <w:rPr>
          <w:rFonts w:ascii="Arial" w:cs="Arial" w:eastAsia="Arial" w:hAnsi="Arial"/>
          <w:sz w:val="18"/>
          <w:szCs w:val="18"/>
          <w:color w:val="auto"/>
        </w:rPr>
      </w:pPr>
      <w:r>
        <w:rPr>
          <w:rFonts w:ascii="Arial" w:cs="Arial" w:eastAsia="Arial" w:hAnsi="Arial"/>
          <w:sz w:val="18"/>
          <w:szCs w:val="18"/>
          <w:color w:val="auto"/>
        </w:rPr>
        <w:t>The accrual of interest, the accretion of accreted value and the payment of interest in the form of additional Indebtedness shall not be deemed to be an incurrence of Indebtedness for purposes of this covenant. The principal amount of any non-interest bearing Indebtedness or other discount security constituting Indebtedness at any date shall be the principal amount thereof that would be shown on a balance sheet of the Parent dated such date prepared in accordance with GAAP.</w:t>
      </w:r>
    </w:p>
    <w:p>
      <w:pPr>
        <w:spacing w:after="0" w:line="18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64"/>
          </w:cols>
          <w:pgMar w:left="976" w:top="692" w:right="359" w:bottom="1440" w:gutter="0" w:footer="0" w:header="0"/>
        </w:sectPr>
      </w:pPr>
    </w:p>
    <w:bookmarkStart w:id="326" w:name="page327"/>
    <w:bookmarkEnd w:id="326"/>
    <w:p>
      <w:pPr>
        <w:ind w:left="-20" w:right="100" w:firstLine="656"/>
        <w:spacing w:after="0" w:line="270" w:lineRule="auto"/>
        <w:tabs>
          <w:tab w:leader="none" w:pos="1153" w:val="left"/>
        </w:tabs>
        <w:numPr>
          <w:ilvl w:val="0"/>
          <w:numId w:val="355"/>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7"/>
          <w:szCs w:val="17"/>
          <w:i w:val="1"/>
          <w:iCs w:val="1"/>
          <w:color w:val="auto"/>
        </w:rPr>
        <w:t>provided</w:t>
      </w:r>
      <w:r>
        <w:rPr>
          <w:rFonts w:ascii="Arial" w:cs="Arial" w:eastAsia="Arial" w:hAnsi="Arial"/>
          <w:sz w:val="17"/>
          <w:szCs w:val="17"/>
          <w:color w:val="auto"/>
        </w:rPr>
        <w:t>,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Permitted Refinancing Indebtedness does not exceed the principal amount of such Indebtedness being Refinanced (plus accrued interest and premium (including tender premium) thereon, any committed or undrawn amounts associated with, original issue discount on, and underwriting discounts, fees, commissions and expenses incurred in connection with, such Refinancing).</w:t>
      </w:r>
    </w:p>
    <w:p>
      <w:pPr>
        <w:spacing w:after="0" w:line="180" w:lineRule="exact"/>
        <w:rPr>
          <w:rFonts w:ascii="Arial" w:cs="Arial" w:eastAsia="Arial" w:hAnsi="Arial"/>
          <w:sz w:val="17"/>
          <w:szCs w:val="17"/>
          <w:color w:val="auto"/>
        </w:rPr>
      </w:pPr>
    </w:p>
    <w:p>
      <w:pPr>
        <w:ind w:left="-20" w:right="80" w:firstLine="656"/>
        <w:spacing w:after="0" w:line="263" w:lineRule="auto"/>
        <w:tabs>
          <w:tab w:leader="none" w:pos="1139"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4"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i w:val="1"/>
          <w:iCs w:val="1"/>
          <w:color w:val="auto"/>
        </w:rPr>
        <w:t>Asset Sales.</w:t>
      </w:r>
    </w:p>
    <w:p>
      <w:pPr>
        <w:spacing w:after="0" w:line="225" w:lineRule="exact"/>
        <w:rPr>
          <w:sz w:val="20"/>
          <w:szCs w:val="20"/>
          <w:color w:val="auto"/>
        </w:rPr>
      </w:pPr>
    </w:p>
    <w:p>
      <w:pPr>
        <w:ind w:left="1140" w:hanging="504"/>
        <w:spacing w:after="0"/>
        <w:tabs>
          <w:tab w:leader="none" w:pos="11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Parent will not, and will not permit any of the Restricted Subsidiaries to, consummate an Asset Sale unless:</w:t>
      </w:r>
    </w:p>
    <w:p>
      <w:pPr>
        <w:spacing w:after="0" w:line="225" w:lineRule="exact"/>
        <w:rPr>
          <w:rFonts w:ascii="Arial" w:cs="Arial" w:eastAsia="Arial" w:hAnsi="Arial"/>
          <w:sz w:val="18"/>
          <w:szCs w:val="18"/>
          <w:color w:val="auto"/>
        </w:rPr>
      </w:pPr>
    </w:p>
    <w:p>
      <w:pPr>
        <w:ind w:left="800" w:right="280" w:firstLine="646"/>
        <w:spacing w:after="0" w:line="263" w:lineRule="auto"/>
        <w:tabs>
          <w:tab w:leader="none" w:pos="2063"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Parent (or the Restricted Subsidiary, as the case may be) receives consideration at least equal to the Fair Market Value (measured as of the date of the definitive agreement with respect to such Asset Sale) of the assets or shares of Capital Stock issued or sold or otherwise disposed of; and</w:t>
      </w:r>
    </w:p>
    <w:p>
      <w:pPr>
        <w:spacing w:after="0" w:line="183" w:lineRule="exact"/>
        <w:rPr>
          <w:rFonts w:ascii="Arial" w:cs="Arial" w:eastAsia="Arial" w:hAnsi="Arial"/>
          <w:sz w:val="18"/>
          <w:szCs w:val="18"/>
          <w:color w:val="auto"/>
        </w:rPr>
      </w:pPr>
    </w:p>
    <w:p>
      <w:pPr>
        <w:jc w:val="both"/>
        <w:ind w:left="800" w:firstLine="646"/>
        <w:spacing w:after="0" w:line="259" w:lineRule="auto"/>
        <w:tabs>
          <w:tab w:leader="none" w:pos="2076"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if the property or assets sold or otherwise disposed in a single transaction or series of related transactions of have a fair market value in excess of $75,000,000 at the time of such disposition, at least 75% of the consideration received by the Parent or such Restricted Subsidiary is in the form of cash or Cash Equivalents. For purposes of this provision, each of the following will be deemed to be cash consideration:</w:t>
      </w:r>
    </w:p>
    <w:p>
      <w:pPr>
        <w:spacing w:after="0" w:line="186" w:lineRule="exact"/>
        <w:rPr>
          <w:rFonts w:ascii="Arial" w:cs="Arial" w:eastAsia="Arial" w:hAnsi="Arial"/>
          <w:sz w:val="18"/>
          <w:szCs w:val="18"/>
          <w:color w:val="auto"/>
        </w:rPr>
      </w:pPr>
    </w:p>
    <w:p>
      <w:pPr>
        <w:ind w:left="1280" w:right="340" w:firstLine="717"/>
        <w:spacing w:after="0" w:line="254" w:lineRule="auto"/>
        <w:tabs>
          <w:tab w:leader="none" w:pos="2557" w:val="left"/>
        </w:tabs>
        <w:numPr>
          <w:ilvl w:val="2"/>
          <w:numId w:val="356"/>
        </w:numPr>
        <w:rPr>
          <w:rFonts w:ascii="Arial" w:cs="Arial" w:eastAsia="Arial" w:hAnsi="Arial"/>
          <w:sz w:val="18"/>
          <w:szCs w:val="18"/>
          <w:color w:val="auto"/>
        </w:rPr>
      </w:pPr>
      <w:r>
        <w:rPr>
          <w:rFonts w:ascii="Arial" w:cs="Arial" w:eastAsia="Arial" w:hAnsi="Arial"/>
          <w:sz w:val="18"/>
          <w:szCs w:val="18"/>
          <w:color w:val="auto"/>
        </w:rPr>
        <w:t>any liabilities (as reflected on the Parent’s most recent consolidated balance sheet or in the footnotes thereto, or if incurred or accrued subsequent to the date of such balance sheet, such liabilities that would have been reflected on the Parent’s consolidated balance sheet or in the footnotes thereto if such incurrence or accrual had taken place on or prior to the date of such consolidated balance sheet, as determined in good faith by the Parent) of the Parent, other than liabilities that are by their terms subordinated to the Notes, that are assumed by the transferee of any such assets (or are otherwise extinguished in connection with the transactions relating to such Asset Sale) and for which the Parent and all Restricted Subsidiaries have been validly released by all applicable creditors in writing;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327" w:name="page328"/>
    <w:bookmarkEnd w:id="327"/>
    <w:p>
      <w:pPr>
        <w:ind w:left="1280" w:right="60" w:firstLine="717"/>
        <w:spacing w:after="0" w:line="270" w:lineRule="auto"/>
        <w:tabs>
          <w:tab w:leader="none" w:pos="2547" w:val="left"/>
        </w:tabs>
        <w:numPr>
          <w:ilvl w:val="2"/>
          <w:numId w:val="357"/>
        </w:numPr>
        <w:rPr>
          <w:rFonts w:ascii="Arial" w:cs="Arial" w:eastAsia="Arial" w:hAnsi="Arial"/>
          <w:sz w:val="17"/>
          <w:szCs w:val="17"/>
          <w:color w:val="auto"/>
        </w:rPr>
      </w:pPr>
      <w:r>
        <w:rPr>
          <w:rFonts w:ascii="Arial" w:cs="Arial" w:eastAsia="Arial" w:hAnsi="Arial"/>
          <w:sz w:val="17"/>
          <w:szCs w:val="17"/>
          <w:color w:val="auto"/>
        </w:rPr>
        <w:t>(i) any securities, notes or other obligations received by the Parent or any Restricted Subsidiary that are converted within 180 days into cash or Cash Equivalents shall be deemed to be cash or Cash Equivalents, (ii) any consideration arising from the assumption of liabilities and (iii) any liabilities (as reflected on the Parent’s most recent consolidated balance sheet or in the footnotes thereto, or if incurred or accrued subsequent to the date of such balance sheet, such liabilities that would have been reflected on the Parent’s consolidated balance sheet or in the footnotes thereto if such incurrence or accrual had taken place on or prior to the date of such consolidated balance sheet, as determined in good faith by the Parent) of the Parent, other than liabilities that are by their terms subordinated to the Notes and the Note Guarantees, that are assumed by the transferee of any such assets (or are otherwise extinguished in connection with the transactions relating to such Asset Sale) and for which the Parent and all Restricted Subsidiaries have been validly released by all applicable creditors in writing;</w:t>
      </w:r>
    </w:p>
    <w:p>
      <w:pPr>
        <w:spacing w:after="0" w:line="180" w:lineRule="exact"/>
        <w:rPr>
          <w:rFonts w:ascii="Arial" w:cs="Arial" w:eastAsia="Arial" w:hAnsi="Arial"/>
          <w:sz w:val="17"/>
          <w:szCs w:val="17"/>
          <w:color w:val="auto"/>
        </w:rPr>
      </w:pPr>
    </w:p>
    <w:p>
      <w:pPr>
        <w:ind w:left="1280" w:right="20" w:firstLine="717"/>
        <w:spacing w:after="0" w:line="296" w:lineRule="auto"/>
        <w:tabs>
          <w:tab w:leader="none" w:pos="2547" w:val="left"/>
        </w:tabs>
        <w:numPr>
          <w:ilvl w:val="2"/>
          <w:numId w:val="357"/>
        </w:numPr>
        <w:rPr>
          <w:rFonts w:ascii="Arial" w:cs="Arial" w:eastAsia="Arial" w:hAnsi="Arial"/>
          <w:sz w:val="16"/>
          <w:szCs w:val="16"/>
          <w:color w:val="auto"/>
        </w:rPr>
      </w:pPr>
      <w:r>
        <w:rPr>
          <w:rFonts w:ascii="Arial" w:cs="Arial" w:eastAsia="Arial" w:hAnsi="Arial"/>
          <w:sz w:val="16"/>
          <w:szCs w:val="16"/>
          <w:color w:val="auto"/>
        </w:rPr>
        <w:t>any Designated Noncash Consideration received in respect of such Asset Sale having an aggregate Fair Market Value, taken together with all other Designated Noncash Consideration received pursuant to this clause (C) that is at that time outstanding, not in excess of the greater of $205.0 million and 17.5% of Consolidated EBITDA for the Four Quarter Period most recently ended on or prior to the time of the receipt of such Designated Noncash Consideration, with the fair market value of each item of Designated Noncash Consideration being measured at the time received and without giving effect to subsequent changes in value;</w:t>
      </w:r>
    </w:p>
    <w:p>
      <w:pPr>
        <w:spacing w:after="0" w:line="161" w:lineRule="exact"/>
        <w:rPr>
          <w:rFonts w:ascii="Arial" w:cs="Arial" w:eastAsia="Arial" w:hAnsi="Arial"/>
          <w:sz w:val="16"/>
          <w:szCs w:val="16"/>
          <w:color w:val="auto"/>
        </w:rPr>
      </w:pPr>
    </w:p>
    <w:p>
      <w:pPr>
        <w:ind w:left="2560" w:hanging="563"/>
        <w:spacing w:after="0"/>
        <w:tabs>
          <w:tab w:leader="none" w:pos="2560" w:val="left"/>
        </w:tabs>
        <w:numPr>
          <w:ilvl w:val="2"/>
          <w:numId w:val="357"/>
        </w:numPr>
        <w:rPr>
          <w:rFonts w:ascii="Arial" w:cs="Arial" w:eastAsia="Arial" w:hAnsi="Arial"/>
          <w:sz w:val="18"/>
          <w:szCs w:val="18"/>
          <w:color w:val="auto"/>
        </w:rPr>
      </w:pPr>
      <w:r>
        <w:rPr>
          <w:rFonts w:ascii="Arial" w:cs="Arial" w:eastAsia="Arial" w:hAnsi="Arial"/>
          <w:sz w:val="18"/>
          <w:szCs w:val="18"/>
          <w:color w:val="auto"/>
        </w:rPr>
        <w:t>any Investment, stock, asset, property or capital expenditure of the kind referred to in Section 4.10(b)(3); and</w:t>
      </w:r>
    </w:p>
    <w:p>
      <w:pPr>
        <w:spacing w:after="0" w:line="225" w:lineRule="exact"/>
        <w:rPr>
          <w:rFonts w:ascii="Arial" w:cs="Arial" w:eastAsia="Arial" w:hAnsi="Arial"/>
          <w:sz w:val="18"/>
          <w:szCs w:val="18"/>
          <w:color w:val="auto"/>
        </w:rPr>
      </w:pPr>
    </w:p>
    <w:p>
      <w:pPr>
        <w:ind w:left="2540" w:hanging="543"/>
        <w:spacing w:after="0"/>
        <w:tabs>
          <w:tab w:leader="none" w:pos="2540" w:val="left"/>
        </w:tabs>
        <w:numPr>
          <w:ilvl w:val="2"/>
          <w:numId w:val="357"/>
        </w:numPr>
        <w:rPr>
          <w:rFonts w:ascii="Arial" w:cs="Arial" w:eastAsia="Arial" w:hAnsi="Arial"/>
          <w:sz w:val="18"/>
          <w:szCs w:val="18"/>
          <w:color w:val="auto"/>
        </w:rPr>
      </w:pPr>
      <w:r>
        <w:rPr>
          <w:rFonts w:ascii="Arial" w:cs="Arial" w:eastAsia="Arial" w:hAnsi="Arial"/>
          <w:sz w:val="18"/>
          <w:szCs w:val="18"/>
          <w:color w:val="auto"/>
        </w:rPr>
        <w:t>any contingent or deferred consideration payable in cash or Cash Equivalents.</w:t>
      </w:r>
    </w:p>
    <w:p>
      <w:pPr>
        <w:spacing w:after="0" w:line="225" w:lineRule="exact"/>
        <w:rPr>
          <w:rFonts w:ascii="Arial" w:cs="Arial" w:eastAsia="Arial" w:hAnsi="Arial"/>
          <w:sz w:val="18"/>
          <w:szCs w:val="18"/>
          <w:color w:val="auto"/>
        </w:rPr>
      </w:pPr>
    </w:p>
    <w:p>
      <w:pPr>
        <w:ind w:left="-20" w:right="200" w:firstLine="721"/>
        <w:spacing w:after="0" w:line="263" w:lineRule="auto"/>
        <w:tabs>
          <w:tab w:leader="none" w:pos="121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Within eighteen (18) months from the later of (A) the date of an Asset Sale and (B) the receipt of any Net Proceeds from an Asset Sale (the “</w:t>
      </w:r>
      <w:r>
        <w:rPr>
          <w:rFonts w:ascii="Arial" w:cs="Arial" w:eastAsia="Arial" w:hAnsi="Arial"/>
          <w:sz w:val="18"/>
          <w:szCs w:val="18"/>
          <w:i w:val="1"/>
          <w:iCs w:val="1"/>
          <w:color w:val="auto"/>
        </w:rPr>
        <w:t>Asset Sale Proceeds Application Period</w:t>
      </w:r>
      <w:r>
        <w:rPr>
          <w:rFonts w:ascii="Arial" w:cs="Arial" w:eastAsia="Arial" w:hAnsi="Arial"/>
          <w:sz w:val="18"/>
          <w:szCs w:val="18"/>
          <w:color w:val="auto"/>
        </w:rPr>
        <w:t>”), the Parent or any Restricted Subsidiary may apply an amount equal to the Applicable Percentage of such Net Proceeds (the “</w:t>
      </w:r>
      <w:r>
        <w:rPr>
          <w:rFonts w:ascii="Arial" w:cs="Arial" w:eastAsia="Arial" w:hAnsi="Arial"/>
          <w:sz w:val="18"/>
          <w:szCs w:val="18"/>
          <w:i w:val="1"/>
          <w:iCs w:val="1"/>
          <w:color w:val="auto"/>
        </w:rPr>
        <w:t>Applicable Proceeds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00" w:firstLine="646"/>
        <w:spacing w:after="0" w:line="269" w:lineRule="auto"/>
        <w:tabs>
          <w:tab w:leader="none" w:pos="2063" w:val="left"/>
        </w:tabs>
        <w:numPr>
          <w:ilvl w:val="1"/>
          <w:numId w:val="358"/>
        </w:numPr>
        <w:rPr>
          <w:rFonts w:ascii="Arial" w:cs="Arial" w:eastAsia="Arial" w:hAnsi="Arial"/>
          <w:sz w:val="17"/>
          <w:szCs w:val="17"/>
          <w:color w:val="auto"/>
        </w:rPr>
      </w:pPr>
      <w:r>
        <w:rPr>
          <w:rFonts w:ascii="Arial" w:cs="Arial" w:eastAsia="Arial" w:hAnsi="Arial"/>
          <w:sz w:val="17"/>
          <w:szCs w:val="17"/>
          <w:color w:val="auto"/>
        </w:rPr>
        <w:t xml:space="preserve">to the extent such Applicable Proceeds are from an Asset Sale of Collateral, to repay: (i) Obligations under the Notes, (ii) Obligations under the Senior Secured Credit Facilities and, in the case of revolving obligations (other than obligations in respect of any asset-based credit facility), to correspondingly reduce commitments with respect thereto and/or (iii) Pari Passu Indebtedness (other than the Notes or Obligations under the Senior Secured Credit Facilities) and, in the case of revolving obligations (other than obligations in respect of any asset-based credit facility), to correspondingly reduce commitments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repayment pursuant to this clause (iii), the Parent or such Restricted Subsidiary will either (A) reduce Obligations under the Notes on a pro rata basis with such other Pari Passu Indebtedness by, at its option, (x) redeeming Notes as described in Section 3.07 or (y) purchasing notes through open-market purchases or in privately negotiated transactions at market prices (which may be below par), or (B) make an offer (in accordance with the procedures set forth below for a Collateral Asset Sale Offer) to all Holders to purchase their Notes on a ratable basis with such other Pari Passu Indebtedness for no less than 100% of the principal amount thereof, plus the amount of accrued but unpaid interest, if any, thereon up to the principal amount of Notes to be repurchased;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328" w:name="page329"/>
    <w:bookmarkEnd w:id="328"/>
    <w:p>
      <w:pPr>
        <w:ind w:left="160" w:right="20" w:firstLine="646"/>
        <w:spacing w:after="0" w:line="267" w:lineRule="auto"/>
        <w:tabs>
          <w:tab w:leader="none" w:pos="1423"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to the extent such Applicable Proceeds are from an Asset Sale that does not constitute Collateral, to repay: (i) Obligations under Secured Indebtedness (other than Indebtedness owed to the Parent or a Restricted Subsidiary), and, in the case of revolving obligations (other than obligations in respect of any asset-based credit facility), to correspondingly reduce commitments with respect thereto and/or (ii) Obligations under any unsecured Indebtedness of the Parent or any Restricted Subsidiary that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to the Notes (“</w:t>
      </w:r>
      <w:r>
        <w:rPr>
          <w:rFonts w:ascii="Arial" w:cs="Arial" w:eastAsia="Arial" w:hAnsi="Arial"/>
          <w:sz w:val="17"/>
          <w:szCs w:val="17"/>
          <w:i w:val="1"/>
          <w:iCs w:val="1"/>
          <w:color w:val="auto"/>
        </w:rPr>
        <w:t>Equal Payment Priority Indebtedness</w:t>
      </w:r>
      <w:r>
        <w:rPr>
          <w:rFonts w:ascii="Arial" w:cs="Arial" w:eastAsia="Arial" w:hAnsi="Arial"/>
          <w:sz w:val="17"/>
          <w:szCs w:val="17"/>
          <w:color w:val="auto"/>
        </w:rPr>
        <w:t xml:space="preserve">”) and, in the case of revolving obligations (other than obligations in respect of any asset-based credit facility), to correspondingly reduce commitments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repayment pursuant to this clause (ii), the Parent or such Restricted Subsidiary will either (A) reduce Obligations under the Notes on a pro rata basis with such other Pari Passu Indebtedness by, at its option, (x) redeeming Notes as described in Section 3.07 or (y) purchasing notes through open-market purchases or in privately negotiated transactions at market prices (which may be below par), or (B) make an offer (in accordance with the procedures set forth below for an Asset Sale Offer) to all Holders to purchase their Notes (which may be on a ratable basis with such other Equal Payment Priority Indebtedness) for no less than 100% of the principal amount thereof, plus the amount of accrued but unpaid interest, if any, thereon up to the principal amount of Notes to be repurchased;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the Parent or any Restricted Subsidiary makes an offer to redeem, prepay, repay or purchase any Obligations pursuant to any of the foregoing clauses (a) and (b) at a price of no less than 100% of the principal amount thereof, to the extent the relevant creditors do not accept such offering, the Parent and the Restricted Subsidiaries will be deemed to have applied an amount of the Applicable Proceeds equal to such amount not so accepted in such offer, and such amount shall not increase the amount of Collateral Excess Proceeds or Excess Proceeds (and such amount shall instead constitute Declined Collateral Proceeds or Declined Proceeds, as the case may be);</w:t>
      </w:r>
    </w:p>
    <w:p>
      <w:pPr>
        <w:spacing w:after="0" w:line="191" w:lineRule="exact"/>
        <w:rPr>
          <w:rFonts w:ascii="Arial" w:cs="Arial" w:eastAsia="Arial" w:hAnsi="Arial"/>
          <w:sz w:val="17"/>
          <w:szCs w:val="17"/>
          <w:color w:val="auto"/>
        </w:rPr>
      </w:pPr>
    </w:p>
    <w:p>
      <w:pPr>
        <w:ind w:left="160" w:right="480" w:firstLine="646"/>
        <w:spacing w:after="0" w:line="263" w:lineRule="auto"/>
        <w:tabs>
          <w:tab w:leader="none" w:pos="142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to invest in the business of the Parent and its subsidiaries, including without limitation, to acquire, maintain, develop, construct, improve, upgrade or repair assets, stock or property useful in the business of the Parent or its Restricted Subsidiaries or to make capital expenditures, Permitted Investments or other Investments not prohibited by Section 4.07;</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Issuer may elect to deem Investments or capital expenditures within the scope of the foregoing clause (3), as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that occur prior to the receipt of the Applicable Proceeds to have been made in accordance with such clause (3) so long as such deemed Investments or capital expenditures shall have been made no earlier than the earlier of (x) the execution of a definitive agreement relating to such Asset Sale and (y) the consummation of such Asset Sale; and/or</w:t>
      </w:r>
    </w:p>
    <w:p>
      <w:pPr>
        <w:spacing w:after="0" w:line="1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329" w:name="page330"/>
    <w:bookmarkEnd w:id="329"/>
    <w:p>
      <w:pPr>
        <w:ind w:left="2060" w:hanging="614"/>
        <w:spacing w:after="0"/>
        <w:tabs>
          <w:tab w:leader="none" w:pos="20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640" w:right="20" w:firstLine="648"/>
        <w:spacing w:after="0" w:line="28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binding commitment or letter of intent shall be treated as a permitted application of the Applicable Proceeds from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commitment or letter of intent so long as the Parent or a Restricted Subsidiary enters into such commitment with the good faith expectation that such Applicable Proceeds will be applied to satisfy such commitment within 180 days of the expiration of the Asset Sale Proceeds Application Period (an “</w:t>
      </w:r>
      <w:r>
        <w:rPr>
          <w:rFonts w:ascii="Arial" w:cs="Arial" w:eastAsia="Arial" w:hAnsi="Arial"/>
          <w:sz w:val="16"/>
          <w:szCs w:val="16"/>
          <w:i w:val="1"/>
          <w:iCs w:val="1"/>
          <w:color w:val="auto"/>
        </w:rPr>
        <w:t>Acceptable Commitment</w:t>
      </w:r>
      <w:r>
        <w:rPr>
          <w:rFonts w:ascii="Arial" w:cs="Arial" w:eastAsia="Arial" w:hAnsi="Arial"/>
          <w:sz w:val="16"/>
          <w:szCs w:val="16"/>
          <w:color w:val="auto"/>
        </w:rPr>
        <w:t>”) and such Applicable Proceeds are actually applied substantially in such manner within 180 days of the expiration of the Asset Sale Proceeds Application Period (the period from the consummation of the Asset Sale to such date, the “</w:t>
      </w:r>
      <w:r>
        <w:rPr>
          <w:rFonts w:ascii="Arial" w:cs="Arial" w:eastAsia="Arial" w:hAnsi="Arial"/>
          <w:sz w:val="16"/>
          <w:szCs w:val="16"/>
          <w:i w:val="1"/>
          <w:iCs w:val="1"/>
          <w:color w:val="auto"/>
        </w:rPr>
        <w:t>First</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 Application Period</w:t>
      </w:r>
      <w:r>
        <w:rPr>
          <w:rFonts w:ascii="Arial" w:cs="Arial" w:eastAsia="Arial" w:hAnsi="Arial"/>
          <w:sz w:val="16"/>
          <w:szCs w:val="16"/>
          <w:color w:val="auto"/>
        </w:rPr>
        <w:t>”) or, in the event any Acceptable Commitment is later terminated or canceled prior to the application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Proceeds or such Applicable Proceeds are not so applied within such First Commitment Application Period, then such Applicable Proceeds shall constitute Collateral Excess Proceeds or Excess Proceeds, as the case may be, unless the Parent or such Restricted Subsidiary reasonably intends to enter into another Acceptable Commitment prior to the expiration of the First Commitment Application Period (a “</w:t>
      </w:r>
      <w:r>
        <w:rPr>
          <w:rFonts w:ascii="Arial" w:cs="Arial" w:eastAsia="Arial" w:hAnsi="Arial"/>
          <w:sz w:val="16"/>
          <w:szCs w:val="16"/>
          <w:i w:val="1"/>
          <w:iCs w:val="1"/>
          <w:color w:val="auto"/>
        </w:rPr>
        <w:t>Second</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w:t>
      </w:r>
      <w:r>
        <w:rPr>
          <w:rFonts w:ascii="Arial" w:cs="Arial" w:eastAsia="Arial" w:hAnsi="Arial"/>
          <w:sz w:val="16"/>
          <w:szCs w:val="16"/>
          <w:color w:val="auto"/>
        </w:rPr>
        <w:t>”) and such Applicable Proceeds are actually applied substantially in such manner within 180 days of the date of entering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Second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any Second Commitment is cancelled or terminated for any reason before such Applicable Proceeds are applied or if the date of such Second Commitment is not prior to the date of the expiration of the First Commitment Application Period then such Applicable Proceeds shall constitute Collateral Excess Proceeds or Excess Proceeds, as the case may be.</w:t>
      </w:r>
    </w:p>
    <w:p>
      <w:pPr>
        <w:spacing w:after="0" w:line="174" w:lineRule="exact"/>
        <w:rPr>
          <w:sz w:val="20"/>
          <w:szCs w:val="20"/>
          <w:color w:val="auto"/>
        </w:rPr>
      </w:pPr>
    </w:p>
    <w:p>
      <w:pPr>
        <w:ind w:left="-20" w:firstLine="656"/>
        <w:spacing w:after="0" w:line="285" w:lineRule="auto"/>
        <w:tabs>
          <w:tab w:leader="none" w:pos="1133" w:val="left"/>
        </w:tabs>
        <w:numPr>
          <w:ilvl w:val="0"/>
          <w:numId w:val="361"/>
        </w:numPr>
        <w:rPr>
          <w:rFonts w:ascii="Arial" w:cs="Arial" w:eastAsia="Arial" w:hAnsi="Arial"/>
          <w:sz w:val="16"/>
          <w:szCs w:val="16"/>
          <w:color w:val="auto"/>
        </w:rPr>
      </w:pPr>
      <w:r>
        <w:rPr>
          <w:rFonts w:ascii="Arial" w:cs="Arial" w:eastAsia="Arial" w:hAnsi="Arial"/>
          <w:sz w:val="16"/>
          <w:szCs w:val="16"/>
          <w:color w:val="auto"/>
        </w:rPr>
        <w:t>Any Applicable Proceeds from an Asset Sale of Collateral not applied or invested as provided and within the time period set forth in Section 4.10(b) will constitute “</w:t>
      </w:r>
      <w:r>
        <w:rPr>
          <w:rFonts w:ascii="Arial" w:cs="Arial" w:eastAsia="Arial" w:hAnsi="Arial"/>
          <w:sz w:val="16"/>
          <w:szCs w:val="16"/>
          <w:i w:val="1"/>
          <w:iCs w:val="1"/>
          <w:color w:val="auto"/>
        </w:rPr>
        <w:t>Collateral Excess Proceeds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amount of Applicable Proceeds offered to Holders of the Notes pursuant to clause (a)(iii)(B) of the preceding paragraph shall not be deemed to be Excess Proceeds without regard to whether such offer is accepted by any holders. In no event later than 20 Business Days after any date that the aggregate amount of Collateral Excess Proceeds exceeds $200,000,000, the Issuer shall commence an offer (a “</w:t>
      </w:r>
      <w:r>
        <w:rPr>
          <w:rFonts w:ascii="Arial" w:cs="Arial" w:eastAsia="Arial" w:hAnsi="Arial"/>
          <w:sz w:val="16"/>
          <w:szCs w:val="16"/>
          <w:i w:val="1"/>
          <w:iCs w:val="1"/>
          <w:color w:val="auto"/>
        </w:rPr>
        <w:t>Collateral Asset Sale Offer</w:t>
      </w:r>
      <w:r>
        <w:rPr>
          <w:rFonts w:ascii="Arial" w:cs="Arial" w:eastAsia="Arial" w:hAnsi="Arial"/>
          <w:sz w:val="16"/>
          <w:szCs w:val="16"/>
          <w:color w:val="auto"/>
        </w:rPr>
        <w:t>”) to all Holders of Notes and, if required or permitted by the terms of any other Pari Passu Indebtedness or Obligations secured by a Lien permitted under the Indenture on the assets disposed of (which Lien is not subordinate to the Lien of the Notes with respect to the Collateral), to the holders of such other Pari Passu Indebtedness and/or other Obligations as selected by the Issuer, to purchase the maximum aggregate principal amount (or accreted value, as applicable) of the Notes and such other Pari Passu Indebtedness and other Obligations that is, with respect to the Notes only, in an amount equal to $200,000, or an integral multiple of $1,000 in excess thereof, that may be purchased out of the Collateral Excess Proceeds at an offer price, in the case of the Notes only, in cash in an amount equal to 100% of the principal amount thereof (or accreted value thereof, if less), plus accrued and unpaid interest, if any, to, but excluding, the date fixed for the closing of such offer, in accordance with the procedures set forth in this Indenture, and, in the case of such other Pari Passu Indebtedness and other Obligations, at the offer price required by the terms thereof, in accordance with the procedures set forth in the agreement(s) governing such other Pari Passu Indebtedness or other Obligations. The Issuer may satisfy the foregoing obligations with respect to any Applicable Proceeds from an Asset Sale of Collateral by making a Collateral Asset Sale Offer with respect to such Applicable Proceeds prior to the time period that may be required by this Indenture with respect to all or a part of the available Applicable Proceeds (the “</w:t>
      </w:r>
      <w:r>
        <w:rPr>
          <w:rFonts w:ascii="Arial" w:cs="Arial" w:eastAsia="Arial" w:hAnsi="Arial"/>
          <w:sz w:val="16"/>
          <w:szCs w:val="16"/>
          <w:i w:val="1"/>
          <w:iCs w:val="1"/>
          <w:color w:val="auto"/>
        </w:rPr>
        <w:t>Collateral Advance Portion</w:t>
      </w:r>
      <w:r>
        <w:rPr>
          <w:rFonts w:ascii="Arial" w:cs="Arial" w:eastAsia="Arial" w:hAnsi="Arial"/>
          <w:sz w:val="16"/>
          <w:szCs w:val="16"/>
          <w:color w:val="auto"/>
        </w:rPr>
        <w:t>”) in advance of being required to do so herein (an “</w:t>
      </w:r>
      <w:r>
        <w:rPr>
          <w:rFonts w:ascii="Arial" w:cs="Arial" w:eastAsia="Arial" w:hAnsi="Arial"/>
          <w:sz w:val="16"/>
          <w:szCs w:val="16"/>
          <w:i w:val="1"/>
          <w:iCs w:val="1"/>
          <w:color w:val="auto"/>
        </w:rPr>
        <w:t>Collateral Advance Offer</w:t>
      </w:r>
      <w:r>
        <w:rPr>
          <w:rFonts w:ascii="Arial" w:cs="Arial" w:eastAsia="Arial" w:hAnsi="Arial"/>
          <w:sz w:val="16"/>
          <w:szCs w:val="16"/>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330" w:name="page331"/>
    <w:bookmarkEnd w:id="330"/>
    <w:p>
      <w:pPr>
        <w:jc w:val="both"/>
        <w:ind w:firstLine="656"/>
        <w:spacing w:after="0" w:line="286" w:lineRule="auto"/>
        <w:tabs>
          <w:tab w:leader="none" w:pos="1225"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To the extent that the aggregate amount (or accreted value, if applicable) of Notes and such other Pari Passu Indebtedness or Obligations secured by a Lien permitted under this Indenture on the Collateral disposed of, as the case may be, tendered pursuant to a Collateral Asset Sale Offer is less than the amount offered in the Collateral Asset Sale Offer (or in the case of a Collateral Advance Offer, the Collateral Advance Portion), the Issuer may use any remaining Collateral Excess Proceeds (or in the case of a Collateral Advance Offer, the Collateral Advance Portion) (“</w:t>
      </w:r>
      <w:r>
        <w:rPr>
          <w:rFonts w:ascii="Arial" w:cs="Arial" w:eastAsia="Arial" w:hAnsi="Arial"/>
          <w:sz w:val="16"/>
          <w:szCs w:val="16"/>
          <w:i w:val="1"/>
          <w:iCs w:val="1"/>
          <w:color w:val="auto"/>
        </w:rPr>
        <w:t>Declined Collateral Proceeds</w:t>
      </w:r>
      <w:r>
        <w:rPr>
          <w:rFonts w:ascii="Arial" w:cs="Arial" w:eastAsia="Arial" w:hAnsi="Arial"/>
          <w:sz w:val="16"/>
          <w:szCs w:val="16"/>
          <w:color w:val="auto"/>
        </w:rPr>
        <w:t>”) for any purposes not otherwise prohibited under this Indenture. If the aggregate principal amount (or accreted value, if applicable) of Notes or such other Pari Passu Indebtedness or other Obligations, as the case may be, surrendered by such holders thereof exceeds the amount offered in the Collateral Asset Sale Offer (or in the case of a Collateral Advance Offer, the Collateral Advance Portion), the Issuer shall purchase the Notes (subject to applicable DTC procedures as to Global Notes) and such other Pari Passu Indebtedness or other Obligations, as the case may be, on a pro rata basis based on the aggregate principal amount (or accreted value, if applicable) of the Notes or such other Pari Passu Indebtedness or other Obligations, as the case may be, tendered with adjustments as necessary so that no Notes or such other Pari Passu Indebtedness or other Obligations, as the case may be, will be repurchased in part in an unauthorized denomination. Upon completion of any such Collateral Asset Sale Offer (or Collateral Advance Offer), the amount of Collateral Excess Proceeds (or in the case of a Collateral Advance Offer, the Collateral Advance Portion) that resulted in the requirement to make a Collateral Asset Sale Offer shall be reset to zero (regardless of whether there are any remaining Collateral Excess Proceeds (or Collateral Advance Portion) upon such completion). Upon consummation or expiration of any Collateral Asset Sale Offer (or Collateral Advance Offer), any remaining Applicable Proceeds shall not be deemed Collateral Excess Proceeds and the Issuer may use such Applicable Proceeds for any purpose not otherwise prohibited under this Indenture.</w:t>
      </w:r>
    </w:p>
    <w:p>
      <w:pPr>
        <w:spacing w:after="0" w:line="167" w:lineRule="exact"/>
        <w:rPr>
          <w:rFonts w:ascii="Arial" w:cs="Arial" w:eastAsia="Arial" w:hAnsi="Arial"/>
          <w:sz w:val="16"/>
          <w:szCs w:val="16"/>
          <w:color w:val="auto"/>
        </w:rPr>
      </w:pPr>
    </w:p>
    <w:p>
      <w:pPr>
        <w:jc w:val="both"/>
        <w:ind w:firstLine="656"/>
        <w:spacing w:after="0" w:line="268" w:lineRule="auto"/>
        <w:tabs>
          <w:tab w:leader="none" w:pos="1242" w:val="left"/>
        </w:tabs>
        <w:numPr>
          <w:ilvl w:val="0"/>
          <w:numId w:val="362"/>
        </w:numPr>
        <w:rPr>
          <w:rFonts w:ascii="Arial" w:cs="Arial" w:eastAsia="Arial" w:hAnsi="Arial"/>
          <w:sz w:val="17"/>
          <w:szCs w:val="17"/>
          <w:color w:val="auto"/>
        </w:rPr>
      </w:pPr>
      <w:r>
        <w:rPr>
          <w:rFonts w:ascii="Arial" w:cs="Arial" w:eastAsia="Arial" w:hAnsi="Arial"/>
          <w:sz w:val="17"/>
          <w:szCs w:val="17"/>
          <w:color w:val="auto"/>
        </w:rPr>
        <w:t>Any Applicable Proceeds from an Asset Sale that does not constitute Collateral not applied or invested as provided and within the time period set forth in the third preceding paragraph will be deemed to constitute “</w:t>
      </w:r>
      <w:r>
        <w:rPr>
          <w:rFonts w:ascii="Arial" w:cs="Arial" w:eastAsia="Arial" w:hAnsi="Arial"/>
          <w:sz w:val="17"/>
          <w:szCs w:val="17"/>
          <w:i w:val="1"/>
          <w:iCs w:val="1"/>
          <w:color w:val="auto"/>
        </w:rPr>
        <w:t>Excess Proceeds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amount of Applicable Proceeds offered to Holders of the Notes pursuant to clause (b)(ii)(B) of the third preceding paragraph shall not be deemed to be Excess Proceeds without regard to whether such offer is accepted by any holders. In no event later than 20 Business Days after any date that the aggregate amount of Excess Proceeds exceeds $200,000,000, the Issuer shall commence an offer (an “</w:t>
      </w:r>
      <w:r>
        <w:rPr>
          <w:rFonts w:ascii="Arial" w:cs="Arial" w:eastAsia="Arial" w:hAnsi="Arial"/>
          <w:sz w:val="17"/>
          <w:szCs w:val="17"/>
          <w:i w:val="1"/>
          <w:iCs w:val="1"/>
          <w:color w:val="auto"/>
        </w:rPr>
        <w:t>Asset Sale Offer</w:t>
      </w:r>
      <w:r>
        <w:rPr>
          <w:rFonts w:ascii="Arial" w:cs="Arial" w:eastAsia="Arial" w:hAnsi="Arial"/>
          <w:sz w:val="17"/>
          <w:szCs w:val="17"/>
          <w:color w:val="auto"/>
        </w:rPr>
        <w:t>”) to all Holders of Notes and, if required or permitted by the terms of any Equal Payment Priority Indebtedness, to the holders of such Equal Payment Priority Indebtedness as selected by the Issuer, to purchase the maximum aggregate principal amount (or accreted value, as applicable) of the Notes and such Equal Payment Priority Indebtedness that is, with respect to the Notes only, in an amount equal to $200,000, or an integral multiple of $1,000 in excess thereof, that may be purchased out of the Excess Proceeds at an offer price, in the case of the Notes only, in cash in an amount equal to 100% of the principal amount thereof (or accreted value thereof, if less), plus accrued and unpaid interest, if any, to, but excluding, the date fixed for the closing of such offer, in accordance with the procedures set forth in this Indenture, and in the case of such Equal Payment Priority Indebtedness, at the offer price required by the terms thereof, in accordance with the procedures set forth in the agreement(s) governing such Equal Payment Priority Indebtedness. The Issuer may satisfy the foregoing obligations with respect to any Applicable Proceeds from an Asset Sale that does not constitute Collateral by making an Asset Sale Offer with respect to such Applicable Proceeds prior to the time period that may be required by this Indenture with respect to all or a part of the available Applicable Proceeds (the “</w:t>
      </w:r>
      <w:r>
        <w:rPr>
          <w:rFonts w:ascii="Arial" w:cs="Arial" w:eastAsia="Arial" w:hAnsi="Arial"/>
          <w:sz w:val="17"/>
          <w:szCs w:val="17"/>
          <w:i w:val="1"/>
          <w:iCs w:val="1"/>
          <w:color w:val="auto"/>
        </w:rPr>
        <w:t>Advance Portion</w:t>
      </w:r>
      <w:r>
        <w:rPr>
          <w:rFonts w:ascii="Arial" w:cs="Arial" w:eastAsia="Arial" w:hAnsi="Arial"/>
          <w:sz w:val="17"/>
          <w:szCs w:val="17"/>
          <w:color w:val="auto"/>
        </w:rPr>
        <w:t>”) in advance of being required to do so by this Indenture (an “</w:t>
      </w:r>
      <w:r>
        <w:rPr>
          <w:rFonts w:ascii="Arial" w:cs="Arial" w:eastAsia="Arial" w:hAnsi="Arial"/>
          <w:sz w:val="17"/>
          <w:szCs w:val="17"/>
          <w:i w:val="1"/>
          <w:iCs w:val="1"/>
          <w:color w:val="auto"/>
        </w:rPr>
        <w:t>Advance Offer</w:t>
      </w:r>
      <w:r>
        <w:rPr>
          <w:rFonts w:ascii="Arial" w:cs="Arial" w:eastAsia="Arial" w:hAnsi="Arial"/>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1" w:name="page332"/>
    <w:bookmarkEnd w:id="331"/>
    <w:p>
      <w:pPr>
        <w:jc w:val="both"/>
        <w:ind w:firstLine="656"/>
        <w:spacing w:after="0" w:line="286" w:lineRule="auto"/>
        <w:tabs>
          <w:tab w:leader="none" w:pos="1262"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To the extent that the aggregate amount (or accreted value, if applicable) of Notes and Equal Payment Priority Indebtedness, as the case may be, tendered pursuant to an Asset Sale Offer is less than the amount offered in the Asset Sale Offer (or in the case of an Advance Offer, the Advance Portion), the Issuer may use any remaining Excess Proceeds (or in the case of an Advance Offer, the Advance Portion) (“</w:t>
      </w:r>
      <w:r>
        <w:rPr>
          <w:rFonts w:ascii="Arial" w:cs="Arial" w:eastAsia="Arial" w:hAnsi="Arial"/>
          <w:sz w:val="16"/>
          <w:szCs w:val="16"/>
          <w:i w:val="1"/>
          <w:iCs w:val="1"/>
          <w:color w:val="auto"/>
        </w:rPr>
        <w:t>Declined Proceeds</w:t>
      </w:r>
      <w:r>
        <w:rPr>
          <w:rFonts w:ascii="Arial" w:cs="Arial" w:eastAsia="Arial" w:hAnsi="Arial"/>
          <w:sz w:val="16"/>
          <w:szCs w:val="16"/>
          <w:color w:val="auto"/>
        </w:rPr>
        <w:t>”) for any purposes not otherwise prohibited under this Indenture. If the aggregate principal amount (or accreted value, if applicable) of Notes or the Equal Payment Priority Indebtedness, as the case may be, surrendered by such holders thereof exceeds the amount offered in the Asset Sale Offer (or in the case of an Advance Offer, the Advance Portion), the Issuer shall purchase the Notes (subject to applicable DTC procedures as to Global Notes) and such Equal Payment Priority Indebtedness, as the case may be, on a pro rata basis based on the aggregate principal amount (or accreted value, if applicable) of the Notes or such Equal Payment Priority Indebtedness, as the case may be, tendered with adjustments as necessary so that no Notes or Equal Payment Priority Indebtedness, as the case may be, will be repurchased in part in an unauthorized denomination. Upon completion of any such Asset Sale Offer (or Advance Offer), the amount of Excess Proceeds (or in the case of an Advance Offer, the Advance Portion) that resulted in the requirement to make an Asset Sale Offer shall be reset to zero (regardless of whether there are any remaining Excess Proceeds (or Advance Portion) upon such completion). Upon consummation or expiration of any Asset Sale Offer (or Advance Offer), any remaining Applicable Proceeds shall not be deemed Excess Proceeds and the Issuer may use such Applicable Proceeds for any purpose not otherwise prohibited under the Indenture.</w:t>
      </w:r>
    </w:p>
    <w:p>
      <w:pPr>
        <w:spacing w:after="0" w:line="173" w:lineRule="exact"/>
        <w:rPr>
          <w:rFonts w:ascii="Arial" w:cs="Arial" w:eastAsia="Arial" w:hAnsi="Arial"/>
          <w:sz w:val="16"/>
          <w:szCs w:val="16"/>
          <w:color w:val="auto"/>
        </w:rPr>
      </w:pPr>
    </w:p>
    <w:p>
      <w:pPr>
        <w:jc w:val="both"/>
        <w:ind w:right="20" w:firstLine="656"/>
        <w:spacing w:after="0" w:line="311" w:lineRule="auto"/>
        <w:tabs>
          <w:tab w:leader="none" w:pos="1186"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 Collateral Asset Sale Offer, Asset Sale Offer, Collateral Advance Offer or Advance Offer may be made at the same time as consents are solicited with respect to an amendment, supplement or waiver of this Indenture, the Notes, the Note Guarantees and/or the Collateral Documents (but the Collateral Asset Sale Offer, Asset Sale Offer, Collateral Advance Offer or Advance Offer may not condition tenders on the delivery of such consents).</w:t>
      </w:r>
    </w:p>
    <w:p>
      <w:pPr>
        <w:spacing w:after="0" w:line="148" w:lineRule="exact"/>
        <w:rPr>
          <w:rFonts w:ascii="Arial" w:cs="Arial" w:eastAsia="Arial" w:hAnsi="Arial"/>
          <w:sz w:val="16"/>
          <w:szCs w:val="16"/>
          <w:color w:val="auto"/>
        </w:rPr>
      </w:pPr>
    </w:p>
    <w:p>
      <w:pPr>
        <w:jc w:val="both"/>
        <w:ind w:firstLine="656"/>
        <w:spacing w:after="0" w:line="286" w:lineRule="auto"/>
        <w:tabs>
          <w:tab w:leader="none" w:pos="1234" w:val="left"/>
        </w:tabs>
        <w:numPr>
          <w:ilvl w:val="0"/>
          <w:numId w:val="363"/>
        </w:numPr>
        <w:rPr>
          <w:rFonts w:ascii="Arial" w:cs="Arial" w:eastAsia="Arial" w:hAnsi="Arial"/>
          <w:sz w:val="17"/>
          <w:szCs w:val="17"/>
          <w:color w:val="auto"/>
        </w:rPr>
      </w:pPr>
      <w:r>
        <w:rPr>
          <w:rFonts w:ascii="Arial" w:cs="Arial" w:eastAsia="Arial" w:hAnsi="Arial"/>
          <w:sz w:val="17"/>
          <w:szCs w:val="17"/>
          <w:color w:val="auto"/>
        </w:rPr>
        <w:t>Pending the final application of an amount equal to the Applicable Proceeds pursuant to this Section 4.10, the holder of such Applicable Proceeds may apply any Applicable Proceeds temporarily to reduce Indebtedness outstanding under a revolving credit facility (including under the Senior Secured Credit Facilities) or otherwise invest such Applicable Proceeds in any manner not prohibited by this Indenture.</w:t>
      </w:r>
    </w:p>
    <w:p>
      <w:pPr>
        <w:spacing w:after="0" w:line="165" w:lineRule="exact"/>
        <w:rPr>
          <w:rFonts w:ascii="Arial" w:cs="Arial" w:eastAsia="Arial" w:hAnsi="Arial"/>
          <w:sz w:val="17"/>
          <w:szCs w:val="17"/>
          <w:color w:val="auto"/>
        </w:rPr>
      </w:pPr>
    </w:p>
    <w:p>
      <w:pPr>
        <w:jc w:val="both"/>
        <w:ind w:firstLine="656"/>
        <w:spacing w:after="0" w:line="270" w:lineRule="auto"/>
        <w:tabs>
          <w:tab w:leader="none" w:pos="1232" w:val="left"/>
        </w:tabs>
        <w:numPr>
          <w:ilvl w:val="0"/>
          <w:numId w:val="363"/>
        </w:numPr>
        <w:rPr>
          <w:rFonts w:ascii="Arial" w:cs="Arial" w:eastAsia="Arial" w:hAnsi="Arial"/>
          <w:sz w:val="17"/>
          <w:szCs w:val="17"/>
          <w:color w:val="auto"/>
        </w:rPr>
      </w:pPr>
      <w:r>
        <w:rPr>
          <w:rFonts w:ascii="Arial" w:cs="Arial" w:eastAsia="Arial" w:hAnsi="Arial"/>
          <w:sz w:val="17"/>
          <w:szCs w:val="17"/>
          <w:color w:val="auto"/>
        </w:rPr>
        <w:t>In connection with a Collateral Asset Sale Offer, Collateral Advance Offer, Asset Sale Offer or Advance Offer, the Issuer shall deliver to each Holder of Notes a notice stating: (i) that the Issuer is offering to purchase the aggregate principal amount of Notes required to be offered for purchase pursuant to this Section 4.10 (and identifying other Indebtedness, if any, that is participating pro rata in such offer) on the date of purchase (the “</w:t>
      </w:r>
      <w:r>
        <w:rPr>
          <w:rFonts w:ascii="Arial" w:cs="Arial" w:eastAsia="Arial" w:hAnsi="Arial"/>
          <w:sz w:val="17"/>
          <w:szCs w:val="17"/>
          <w:i w:val="1"/>
          <w:iCs w:val="1"/>
          <w:color w:val="auto"/>
        </w:rPr>
        <w:t>Asset Sale</w:t>
      </w:r>
      <w:r>
        <w:rPr>
          <w:rFonts w:ascii="Arial" w:cs="Arial" w:eastAsia="Arial" w:hAnsi="Arial"/>
          <w:sz w:val="17"/>
          <w:szCs w:val="17"/>
          <w:color w:val="auto"/>
        </w:rPr>
        <w:t xml:space="preserve"> </w:t>
      </w:r>
      <w:r>
        <w:rPr>
          <w:rFonts w:ascii="Arial" w:cs="Arial" w:eastAsia="Arial" w:hAnsi="Arial"/>
          <w:sz w:val="17"/>
          <w:szCs w:val="17"/>
          <w:i w:val="1"/>
          <w:iCs w:val="1"/>
          <w:color w:val="auto"/>
        </w:rPr>
        <w:t>Offer Purchase Date</w:t>
      </w:r>
      <w:r>
        <w:rPr>
          <w:rFonts w:ascii="Arial" w:cs="Arial" w:eastAsia="Arial" w:hAnsi="Arial"/>
          <w:sz w:val="17"/>
          <w:szCs w:val="17"/>
          <w:color w:val="auto"/>
        </w:rPr>
        <w:t>”), which shall be a Business Day, specified in such notice, that is not earlier than 10 days or later than 60 days from the date such</w:t>
      </w:r>
      <w:r>
        <w:rPr>
          <w:rFonts w:ascii="Arial" w:cs="Arial" w:eastAsia="Arial" w:hAnsi="Arial"/>
          <w:sz w:val="17"/>
          <w:szCs w:val="17"/>
          <w:i w:val="1"/>
          <w:iCs w:val="1"/>
          <w:color w:val="auto"/>
        </w:rPr>
        <w:t xml:space="preserve"> </w:t>
      </w:r>
      <w:r>
        <w:rPr>
          <w:rFonts w:ascii="Arial" w:cs="Arial" w:eastAsia="Arial" w:hAnsi="Arial"/>
          <w:sz w:val="17"/>
          <w:szCs w:val="17"/>
          <w:color w:val="auto"/>
        </w:rPr>
        <w:t>notice is mailed, (ii) the amount of accrued and unpaid interest as of the Asset Sale Offer Purchase Date, (iii) that any Note not tendered will continue to accrue interest, (iv) that, unless the Issuer defaults in the payment of the purchase price for the Notes payable pursuant to such offer, any Notes accepted for payment pursuant to such offer shall cease to accrue interest after the Asset Sale Offer Purchase Date, (v) the procedures, consistent with this Indenture, to be followed by a Holder of Notes in order to accept such offer or to withdraw such acceptance, and (vi) such other information as may be required by this Indenture and applicable laws and regulations.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2" w:name="page333"/>
    <w:bookmarkEnd w:id="332"/>
    <w:p>
      <w:pPr>
        <w:jc w:val="both"/>
        <w:ind w:firstLine="656"/>
        <w:spacing w:after="0" w:line="284" w:lineRule="auto"/>
        <w:tabs>
          <w:tab w:leader="none" w:pos="1263" w:val="left"/>
        </w:tabs>
        <w:numPr>
          <w:ilvl w:val="0"/>
          <w:numId w:val="364"/>
        </w:numPr>
        <w:rPr>
          <w:rFonts w:ascii="Arial" w:cs="Arial" w:eastAsia="Arial" w:hAnsi="Arial"/>
          <w:sz w:val="16"/>
          <w:szCs w:val="16"/>
          <w:color w:val="auto"/>
        </w:rPr>
      </w:pPr>
      <w:r>
        <w:rPr>
          <w:rFonts w:ascii="Arial" w:cs="Arial" w:eastAsia="Arial" w:hAnsi="Arial"/>
          <w:sz w:val="16"/>
          <w:szCs w:val="16"/>
          <w:color w:val="auto"/>
        </w:rPr>
        <w:t>On the Asset Sale Offer Purchase Date, the Issuer will (i) apply all Collateral Excess Proceeds or Excess Proceeds, as applicable, to the purchase of the aggregate principal amount of Notes and, if applicable, other Pari Passu Indebtedness or other Obligations secured by a Lien permitted under this Indenture on the Collateral or Equal Payment Priority Indebtedness (on a pro rata basis, if applicable) offered for purchase pursuant to this covenant (the “</w:t>
      </w:r>
      <w:r>
        <w:rPr>
          <w:rFonts w:ascii="Arial" w:cs="Arial" w:eastAsia="Arial" w:hAnsi="Arial"/>
          <w:sz w:val="16"/>
          <w:szCs w:val="16"/>
          <w:i w:val="1"/>
          <w:iCs w:val="1"/>
          <w:color w:val="auto"/>
        </w:rPr>
        <w:t>Asset Sale Offer Amount</w:t>
      </w:r>
      <w:r>
        <w:rPr>
          <w:rFonts w:ascii="Arial" w:cs="Arial" w:eastAsia="Arial" w:hAnsi="Arial"/>
          <w:sz w:val="16"/>
          <w:szCs w:val="16"/>
          <w:color w:val="auto"/>
        </w:rPr>
        <w:t xml:space="preserve">”) or, if less than the Asset Sale Offer Amount of Notes (and, if applicable, other Pari Passu Indebtedness or other or Obligations secured by a Lien permitted under this Indenture on the Collateral or Equal Payment Priority Indebtedness) has been so validly tendered, all Notes, Pari Passu Indebtedness or other or Obligations secured by a Lien permitted under this Indenture on the Collateral or Equal Payment Priority Indebtedness validly tendered in response to such offer, (ii) deposit with the Paying Agent the aggregate purchase price of all Notes or portions thereof accepted for payment and any accrued and unpaid interest on such Notes as of the Asset Sale Offer Purchase Date, and (iii) deliver or cause to be delivered to the Trustee all Notes tendered pursuant to the Collateral Asset Sale Offer, Collateral Advance Offer, Asset Sale Offer or Advance Offer. If less than all Notes tendered pursuant to the Asset Sale Offer, Collateral Advance Offer, Asset Sale Offer or Advance Offer are accepted for payment by the Issuer for any reason consistent with this Indenture, selection of the Notes to be purchased by the Issuer shall be in compliance with the requirements of the principal national securities exchange, if any, on which the Notes are listed or, if the Notes are not so listed,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lot or by such method as the Trustee shall deem fair and appropriate or otherwise in accordance with the Applicable Procedures of DTC;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Notes accepted for payment in part shall only be purchased in minimum amounts equal to $200,000 and in integral multiples of $1,000 in excess thereof. The Paying Agent shall promptly deliver to each Holder of Notes or portions thereof accepted for payment an amount equal to the purchase price for such Notes plus any accrued and unpaid interest thereon, and the Trustee shall promptly authenticate and mail to such Holder of Notes accepted for payment in part a new Note equal in principal amount to any unpurchased portion of the Notes, and any Note not accepted for payment in whole or in part shall be promptly returned to the Holder of such Note. On and after an Asset Sale Offer Purchase Date, interest will cease to accrue on the Notes or portions thereof accepted for payment, unless the Issuer defaults in the payment of the purchase price therefor. The Issuer will announce the results of the Asset Sale Offer to Holders of the Notes on or as soon as practicable after the Asset Sale Offer Purchase Date.</w:t>
      </w:r>
    </w:p>
    <w:p>
      <w:pPr>
        <w:spacing w:after="0" w:line="181" w:lineRule="exact"/>
        <w:rPr>
          <w:rFonts w:ascii="Arial" w:cs="Arial" w:eastAsia="Arial" w:hAnsi="Arial"/>
          <w:sz w:val="16"/>
          <w:szCs w:val="16"/>
          <w:color w:val="auto"/>
        </w:rPr>
      </w:pPr>
    </w:p>
    <w:p>
      <w:pPr>
        <w:jc w:val="both"/>
        <w:ind w:firstLine="656"/>
        <w:spacing w:after="0" w:line="289" w:lineRule="auto"/>
        <w:tabs>
          <w:tab w:leader="none" w:pos="1198" w:val="left"/>
        </w:tabs>
        <w:numPr>
          <w:ilvl w:val="0"/>
          <w:numId w:val="364"/>
        </w:numPr>
        <w:rPr>
          <w:rFonts w:ascii="Arial" w:cs="Arial" w:eastAsia="Arial" w:hAnsi="Arial"/>
          <w:sz w:val="16"/>
          <w:szCs w:val="16"/>
          <w:color w:val="auto"/>
        </w:rPr>
      </w:pPr>
      <w:r>
        <w:rPr>
          <w:rFonts w:ascii="Arial" w:cs="Arial" w:eastAsia="Arial" w:hAnsi="Arial"/>
          <w:sz w:val="16"/>
          <w:szCs w:val="16"/>
          <w:color w:val="auto"/>
        </w:rPr>
        <w:t>Notwithstanding any other provisions of this covenant, to the extent (i)any Collateral Excess Proceeds or Excess Proceeds exist as a result of an Asset Sale from the Parent and/or a Foreign Subsidiary that give rise to a requirement to make a Collateral Asset Sale Offer or Asset Sale Offer, and, in either case, the repatriation of cash to which such obligation is attributable would result in a material adverse tax consequence and/or is prohibited, restricted or delayed by applicable local law from being repatriated or contributed to the Issuer, an amount equal to the portion of such Collateral Excess Proceeds or Excess Proceeds so affected will not be required to be applied to make a Collateral Asset Sale Offer or Asset Sale Offer, as the case may be, at the times provided in this covenant so long, but only so long, as the material adverse tax consequence would result from, and/or applicable local law will not permit repatriation or contribution to the Issuer; provided however that the Parent shall use commercially reasonable efforts to promptly take all actions, and cause the applicable Foreign Subsidiary to promptly take all actions, in each case reasonably required by the applicable local law to eliminate such material adverse tax consequence and/or permit such repatriation or contribution under applicable local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3" w:name="page334"/>
    <w:bookmarkEnd w:id="333"/>
    <w:p>
      <w:pPr>
        <w:ind w:left="660"/>
        <w:spacing w:after="0"/>
        <w:tabs>
          <w:tab w:leader="none" w:pos="180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Transactions with Affiliates.</w:t>
      </w:r>
    </w:p>
    <w:p>
      <w:pPr>
        <w:spacing w:after="0" w:line="225" w:lineRule="exact"/>
        <w:rPr>
          <w:sz w:val="20"/>
          <w:szCs w:val="20"/>
          <w:color w:val="auto"/>
        </w:rPr>
      </w:pPr>
    </w:p>
    <w:p>
      <w:pPr>
        <w:ind w:right="220" w:firstLine="656"/>
        <w:spacing w:after="0" w:line="301" w:lineRule="auto"/>
        <w:tabs>
          <w:tab w:leader="none" w:pos="1159"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Parent will not, and will not permit any of the Restricted Subsidiaries to, make any payment to or sell, lease, transfer or otherwise dispose of any of its properties or assets to, or purchase any property or assets from, or enter into or make or amend any transaction, contract, agreement, understanding, loan, or advance with or guarantee for the benefit of, any Affiliate of the Parent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involving aggregate payments or consideration in excess of the greater of $95.0 million and 8% of Consolidated EBITDA for the Four Quarter Period, unless:</w:t>
      </w:r>
    </w:p>
    <w:p>
      <w:pPr>
        <w:spacing w:after="0" w:line="157" w:lineRule="exact"/>
        <w:rPr>
          <w:rFonts w:ascii="Arial" w:cs="Arial" w:eastAsia="Arial" w:hAnsi="Arial"/>
          <w:sz w:val="16"/>
          <w:szCs w:val="16"/>
          <w:color w:val="auto"/>
        </w:rPr>
      </w:pPr>
    </w:p>
    <w:p>
      <w:pPr>
        <w:jc w:val="both"/>
        <w:ind w:left="820" w:firstLine="646"/>
        <w:spacing w:after="0" w:line="263" w:lineRule="auto"/>
        <w:tabs>
          <w:tab w:leader="none" w:pos="2164"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Affiliate Transaction is on terms that are not materially less favorable to the Parent or the relevant Restricted Subsidiary than those that would have been obtained in a comparable transaction by the Parent or such Restricted Subsidiary with an unrelated Person (as determined in good faith by the Parent); and</w:t>
      </w:r>
    </w:p>
    <w:p>
      <w:pPr>
        <w:spacing w:after="0" w:line="183" w:lineRule="exact"/>
        <w:rPr>
          <w:rFonts w:ascii="Arial" w:cs="Arial" w:eastAsia="Arial" w:hAnsi="Arial"/>
          <w:sz w:val="18"/>
          <w:szCs w:val="18"/>
          <w:color w:val="auto"/>
        </w:rPr>
      </w:pPr>
    </w:p>
    <w:p>
      <w:pPr>
        <w:ind w:left="820" w:firstLine="646"/>
        <w:spacing w:after="0" w:line="279" w:lineRule="auto"/>
        <w:tabs>
          <w:tab w:leader="none" w:pos="2083" w:val="left"/>
        </w:tabs>
        <w:numPr>
          <w:ilvl w:val="1"/>
          <w:numId w:val="365"/>
        </w:numPr>
        <w:rPr>
          <w:rFonts w:ascii="Arial" w:cs="Arial" w:eastAsia="Arial" w:hAnsi="Arial"/>
          <w:sz w:val="17"/>
          <w:szCs w:val="17"/>
          <w:color w:val="auto"/>
        </w:rPr>
      </w:pPr>
      <w:r>
        <w:rPr>
          <w:rFonts w:ascii="Arial" w:cs="Arial" w:eastAsia="Arial" w:hAnsi="Arial"/>
          <w:sz w:val="17"/>
          <w:szCs w:val="17"/>
          <w:color w:val="auto"/>
        </w:rPr>
        <w:t>the Parent delivers to the Trustee with respect to any Affiliate Transaction or series of related Affiliate Transactions involving aggregate payments or consideration in excess of the greater of $175.0 million and 15.0% of Consolidated EBITDA for the Four Quarter Period, a resolution adopted in good faith by a majority of the Board of Directors of the Parent approving such Affiliate Transaction and set forth in an Officer’s Certificate certifying that such Affiliate Transaction complies with Section 4.11(a)(1).</w:t>
      </w:r>
    </w:p>
    <w:p>
      <w:pPr>
        <w:spacing w:after="0" w:line="171" w:lineRule="exact"/>
        <w:rPr>
          <w:rFonts w:ascii="Arial" w:cs="Arial" w:eastAsia="Arial" w:hAnsi="Arial"/>
          <w:sz w:val="17"/>
          <w:szCs w:val="17"/>
          <w:color w:val="auto"/>
        </w:rPr>
      </w:pPr>
    </w:p>
    <w:p>
      <w:pPr>
        <w:ind w:left="1180" w:hanging="524"/>
        <w:spacing w:after="0"/>
        <w:tabs>
          <w:tab w:leader="none" w:pos="11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following items will not be deemed to be Affiliate Transactions and, therefore, will not be subject to Section 4.11(a):</w:t>
      </w:r>
    </w:p>
    <w:p>
      <w:pPr>
        <w:spacing w:after="0" w:line="225" w:lineRule="exact"/>
        <w:rPr>
          <w:rFonts w:ascii="Arial" w:cs="Arial" w:eastAsia="Arial" w:hAnsi="Arial"/>
          <w:sz w:val="18"/>
          <w:szCs w:val="18"/>
          <w:color w:val="auto"/>
        </w:rPr>
      </w:pPr>
    </w:p>
    <w:p>
      <w:pPr>
        <w:ind w:left="820" w:right="240" w:firstLine="646"/>
        <w:spacing w:after="0" w:line="286" w:lineRule="auto"/>
        <w:tabs>
          <w:tab w:leader="none" w:pos="2083" w:val="left"/>
        </w:tabs>
        <w:numPr>
          <w:ilvl w:val="1"/>
          <w:numId w:val="365"/>
        </w:numPr>
        <w:rPr>
          <w:rFonts w:ascii="Arial" w:cs="Arial" w:eastAsia="Arial" w:hAnsi="Arial"/>
          <w:sz w:val="17"/>
          <w:szCs w:val="17"/>
          <w:color w:val="auto"/>
        </w:rPr>
      </w:pPr>
      <w:r>
        <w:rPr>
          <w:rFonts w:ascii="Arial" w:cs="Arial" w:eastAsia="Arial" w:hAnsi="Arial"/>
          <w:sz w:val="17"/>
          <w:szCs w:val="17"/>
          <w:color w:val="auto"/>
        </w:rPr>
        <w:t>any employment or consulting agreement, incentive agreement, employee benefit plan, severance agreement, officer or director indemnification agreement or any similar arrangement entered into by the Parent or any of the Restricted Subsidiaries in the ordinary course of business or approved by the Board of Directors of the Parent and payments pursuant thereto;</w:t>
      </w:r>
    </w:p>
    <w:p>
      <w:pPr>
        <w:spacing w:after="0" w:line="165" w:lineRule="exact"/>
        <w:rPr>
          <w:rFonts w:ascii="Arial" w:cs="Arial" w:eastAsia="Arial" w:hAnsi="Arial"/>
          <w:sz w:val="17"/>
          <w:szCs w:val="17"/>
          <w:color w:val="auto"/>
        </w:rPr>
      </w:pPr>
    </w:p>
    <w:p>
      <w:pPr>
        <w:ind w:left="2080" w:hanging="614"/>
        <w:spacing w:after="0"/>
        <w:tabs>
          <w:tab w:leader="none" w:pos="208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transactions between or among the Parent and/or the Restricted Subsidiaries;</w:t>
      </w:r>
    </w:p>
    <w:p>
      <w:pPr>
        <w:spacing w:after="0" w:line="225" w:lineRule="exact"/>
        <w:rPr>
          <w:rFonts w:ascii="Arial" w:cs="Arial" w:eastAsia="Arial" w:hAnsi="Arial"/>
          <w:sz w:val="18"/>
          <w:szCs w:val="18"/>
          <w:color w:val="auto"/>
        </w:rPr>
      </w:pPr>
    </w:p>
    <w:p>
      <w:pPr>
        <w:ind w:left="820" w:right="160" w:firstLine="646"/>
        <w:spacing w:after="0" w:line="277" w:lineRule="auto"/>
        <w:tabs>
          <w:tab w:leader="none" w:pos="2083"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transactions with any Person that is an Affiliate of the Parent solely because the Parent owns, directly or through a Restricted Subsidiary, an Equity Interest in, or controls, such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4" w:name="page335"/>
    <w:bookmarkEnd w:id="334"/>
    <w:p>
      <w:pPr>
        <w:jc w:val="both"/>
        <w:ind w:left="2" w:firstLine="646"/>
        <w:spacing w:after="0" w:line="311" w:lineRule="auto"/>
        <w:tabs>
          <w:tab w:leader="none" w:pos="1447" w:val="left"/>
        </w:tabs>
        <w:numPr>
          <w:ilvl w:val="1"/>
          <w:numId w:val="366"/>
        </w:numPr>
        <w:rPr>
          <w:rFonts w:ascii="Arial" w:cs="Arial" w:eastAsia="Arial" w:hAnsi="Arial"/>
          <w:sz w:val="16"/>
          <w:szCs w:val="16"/>
          <w:color w:val="auto"/>
        </w:rPr>
      </w:pPr>
      <w:r>
        <w:rPr>
          <w:rFonts w:ascii="Arial" w:cs="Arial" w:eastAsia="Arial" w:hAnsi="Arial"/>
          <w:sz w:val="16"/>
          <w:szCs w:val="16"/>
          <w:color w:val="auto"/>
        </w:rPr>
        <w:t>payment of reasonable fees or other reasonable compensation (including bonuses) to, provision of customary benefits or indemnification agreements to, and the reimbursements of expenses (pursuant to indemnity arrangements or otherwise) of, officers, directors, employees or consultants of the Parent, any of the Restricted Subsidiaries or any of the Parent’s direct or indirect parent companies;</w:t>
      </w:r>
    </w:p>
    <w:p>
      <w:pPr>
        <w:spacing w:after="0" w:line="148" w:lineRule="exact"/>
        <w:rPr>
          <w:rFonts w:ascii="Arial" w:cs="Arial" w:eastAsia="Arial" w:hAnsi="Arial"/>
          <w:sz w:val="16"/>
          <w:szCs w:val="16"/>
          <w:color w:val="auto"/>
        </w:rPr>
      </w:pPr>
    </w:p>
    <w:p>
      <w:pPr>
        <w:ind w:left="1262" w:hanging="614"/>
        <w:spacing w:after="0"/>
        <w:tabs>
          <w:tab w:leader="none" w:pos="126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any capital contributions in, or issuance of Equity Interests (other than Disqualified Stock) of, the Parent;</w:t>
      </w:r>
    </w:p>
    <w:p>
      <w:pPr>
        <w:spacing w:after="0" w:line="225" w:lineRule="exact"/>
        <w:rPr>
          <w:rFonts w:ascii="Arial" w:cs="Arial" w:eastAsia="Arial" w:hAnsi="Arial"/>
          <w:sz w:val="18"/>
          <w:szCs w:val="18"/>
          <w:color w:val="auto"/>
        </w:rPr>
      </w:pPr>
    </w:p>
    <w:p>
      <w:pPr>
        <w:ind w:left="2" w:right="520" w:firstLine="646"/>
        <w:spacing w:after="0" w:line="277" w:lineRule="auto"/>
        <w:tabs>
          <w:tab w:leader="none" w:pos="1265" w:val="left"/>
        </w:tabs>
        <w:numPr>
          <w:ilvl w:val="1"/>
          <w:numId w:val="366"/>
        </w:numPr>
        <w:rPr>
          <w:rFonts w:ascii="Arial" w:cs="Arial" w:eastAsia="Arial" w:hAnsi="Arial"/>
          <w:sz w:val="18"/>
          <w:szCs w:val="18"/>
          <w:color w:val="auto"/>
        </w:rPr>
      </w:pPr>
      <w:r>
        <w:rPr>
          <w:rFonts w:ascii="Arial" w:cs="Arial" w:eastAsia="Arial" w:hAnsi="Arial"/>
          <w:sz w:val="18"/>
          <w:szCs w:val="18"/>
          <w:color w:val="auto"/>
        </w:rPr>
        <w:t>Restricted Payments (or transfers or issuances that would constitute Restricted Payments but for the exclusions from the definition thereof) that do not violate Section 4.07 hereof and Permitted Investments;</w:t>
      </w:r>
    </w:p>
    <w:p>
      <w:pPr>
        <w:spacing w:after="0" w:line="170" w:lineRule="exact"/>
        <w:rPr>
          <w:rFonts w:ascii="Arial" w:cs="Arial" w:eastAsia="Arial" w:hAnsi="Arial"/>
          <w:sz w:val="18"/>
          <w:szCs w:val="18"/>
          <w:color w:val="auto"/>
        </w:rPr>
      </w:pPr>
    </w:p>
    <w:p>
      <w:pPr>
        <w:ind w:left="2" w:right="100" w:firstLine="646"/>
        <w:spacing w:after="0" w:line="277" w:lineRule="auto"/>
        <w:tabs>
          <w:tab w:leader="none" w:pos="1265" w:val="left"/>
        </w:tabs>
        <w:numPr>
          <w:ilvl w:val="1"/>
          <w:numId w:val="366"/>
        </w:numPr>
        <w:rPr>
          <w:rFonts w:ascii="Arial" w:cs="Arial" w:eastAsia="Arial" w:hAnsi="Arial"/>
          <w:sz w:val="18"/>
          <w:szCs w:val="18"/>
          <w:color w:val="auto"/>
        </w:rPr>
      </w:pPr>
      <w:r>
        <w:rPr>
          <w:rFonts w:ascii="Arial" w:cs="Arial" w:eastAsia="Arial" w:hAnsi="Arial"/>
          <w:sz w:val="18"/>
          <w:szCs w:val="18"/>
          <w:color w:val="auto"/>
        </w:rPr>
        <w:t>loans or advances to employees of the Parent, any of its Subsidiaries or any of the Parent’s direct or indirect parent companies in the ordinary course of business of the Parent or the Restricted Subsidiaries;</w:t>
      </w:r>
    </w:p>
    <w:p>
      <w:pPr>
        <w:spacing w:after="0" w:line="170" w:lineRule="exact"/>
        <w:rPr>
          <w:rFonts w:ascii="Arial" w:cs="Arial" w:eastAsia="Arial" w:hAnsi="Arial"/>
          <w:sz w:val="18"/>
          <w:szCs w:val="18"/>
          <w:color w:val="auto"/>
        </w:rPr>
      </w:pPr>
    </w:p>
    <w:p>
      <w:pPr>
        <w:ind w:left="2" w:right="60" w:firstLine="646"/>
        <w:spacing w:after="0" w:line="342" w:lineRule="auto"/>
        <w:tabs>
          <w:tab w:leader="none" w:pos="1265" w:val="left"/>
        </w:tabs>
        <w:numPr>
          <w:ilvl w:val="1"/>
          <w:numId w:val="366"/>
        </w:numPr>
        <w:rPr>
          <w:rFonts w:ascii="Arial" w:cs="Arial" w:eastAsia="Arial" w:hAnsi="Arial"/>
          <w:sz w:val="16"/>
          <w:szCs w:val="16"/>
          <w:color w:val="auto"/>
        </w:rPr>
      </w:pPr>
      <w:r>
        <w:rPr>
          <w:rFonts w:ascii="Arial" w:cs="Arial" w:eastAsia="Arial" w:hAnsi="Arial"/>
          <w:sz w:val="16"/>
          <w:szCs w:val="16"/>
          <w:color w:val="auto"/>
        </w:rPr>
        <w:t>any agreement as in effect on the Issue Date or any renewals or extensions of any such agreement (so long as such renewals or extensions are not less favorable in any material respect to the Parent or the Restricted Subsidiaries) and the transactions evidenced thereby;</w:t>
      </w:r>
    </w:p>
    <w:p>
      <w:pPr>
        <w:spacing w:after="0" w:line="123" w:lineRule="exact"/>
        <w:rPr>
          <w:rFonts w:ascii="Arial" w:cs="Arial" w:eastAsia="Arial" w:hAnsi="Arial"/>
          <w:sz w:val="16"/>
          <w:szCs w:val="16"/>
          <w:color w:val="auto"/>
        </w:rPr>
      </w:pPr>
    </w:p>
    <w:p>
      <w:pPr>
        <w:ind w:left="2" w:right="60" w:firstLine="646"/>
        <w:spacing w:after="0" w:line="342" w:lineRule="auto"/>
        <w:tabs>
          <w:tab w:leader="none" w:pos="1265" w:val="left"/>
        </w:tabs>
        <w:numPr>
          <w:ilvl w:val="1"/>
          <w:numId w:val="366"/>
        </w:numPr>
        <w:rPr>
          <w:rFonts w:ascii="Arial" w:cs="Arial" w:eastAsia="Arial" w:hAnsi="Arial"/>
          <w:sz w:val="16"/>
          <w:szCs w:val="16"/>
          <w:color w:val="auto"/>
        </w:rPr>
      </w:pPr>
      <w:r>
        <w:rPr>
          <w:rFonts w:ascii="Arial" w:cs="Arial" w:eastAsia="Arial" w:hAnsi="Arial"/>
          <w:sz w:val="16"/>
          <w:szCs w:val="16"/>
          <w:color w:val="auto"/>
        </w:rPr>
        <w:t>transactions in which the Parent or any Restricted Subsidiary, as the case may be, delivers to the Trustee a letter from an accounting, appraisal or investment banking firm of national standing stating that such transaction meets the requirements of Section 4.11(a)(1);</w:t>
      </w:r>
    </w:p>
    <w:p>
      <w:pPr>
        <w:spacing w:after="0" w:line="123" w:lineRule="exact"/>
        <w:rPr>
          <w:rFonts w:ascii="Arial" w:cs="Arial" w:eastAsia="Arial" w:hAnsi="Arial"/>
          <w:sz w:val="16"/>
          <w:szCs w:val="16"/>
          <w:color w:val="auto"/>
        </w:rPr>
      </w:pPr>
    </w:p>
    <w:p>
      <w:pPr>
        <w:ind w:left="2" w:right="20" w:firstLine="646"/>
        <w:spacing w:after="0" w:line="257" w:lineRule="auto"/>
        <w:tabs>
          <w:tab w:leader="none" w:pos="1265"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transactions with customers, clients, suppliers, or purchasers or sellers of goods or services, in each case in the ordinary course of business and otherwise in compliance with the terms of this Indenture which are fair to the Parent and the Restricted Subsidiaries, in the reasonable determination of the Board of Directors of the Parent or the senior management thereof, or are on terms at least as favorable as might reasonably have been obtained at such time from an unaffiliated party (as determined by the Board of Directors of the Parent or the senior management thereof in good faith);</w:t>
      </w:r>
    </w:p>
    <w:p>
      <w:pPr>
        <w:spacing w:after="0" w:line="187" w:lineRule="exact"/>
        <w:rPr>
          <w:rFonts w:ascii="Arial" w:cs="Arial" w:eastAsia="Arial" w:hAnsi="Arial"/>
          <w:sz w:val="18"/>
          <w:szCs w:val="18"/>
          <w:color w:val="auto"/>
        </w:rPr>
      </w:pPr>
    </w:p>
    <w:p>
      <w:pPr>
        <w:ind w:left="2" w:right="160" w:firstLine="646"/>
        <w:spacing w:after="0" w:line="259" w:lineRule="auto"/>
        <w:tabs>
          <w:tab w:leader="none" w:pos="1258"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transactions in the ordinary course with (a) Unrestricted Subsidiaries or (b) joint ventures in which the Parent or a Subsidiary of the Parent makes a loan in, or other Investment to, such joint venture (to the extent any such joint venture is only an Affiliate as a result of Investments by the Parent and its Restricted Subsidiaries in such joint venture) to the extent otherwise permitted under the definition of “Permitted Investments”;</w:t>
      </w:r>
    </w:p>
    <w:p>
      <w:pPr>
        <w:spacing w:after="0" w:line="186" w:lineRule="exact"/>
        <w:rPr>
          <w:rFonts w:ascii="Arial" w:cs="Arial" w:eastAsia="Arial" w:hAnsi="Arial"/>
          <w:sz w:val="18"/>
          <w:szCs w:val="18"/>
          <w:color w:val="auto"/>
        </w:rPr>
      </w:pPr>
    </w:p>
    <w:p>
      <w:pPr>
        <w:ind w:left="2" w:right="260" w:firstLine="646"/>
        <w:spacing w:after="0" w:line="285" w:lineRule="auto"/>
        <w:tabs>
          <w:tab w:leader="none" w:pos="1265" w:val="left"/>
        </w:tabs>
        <w:numPr>
          <w:ilvl w:val="1"/>
          <w:numId w:val="366"/>
        </w:numPr>
        <w:rPr>
          <w:rFonts w:ascii="Arial" w:cs="Arial" w:eastAsia="Arial" w:hAnsi="Arial"/>
          <w:sz w:val="16"/>
          <w:szCs w:val="16"/>
          <w:color w:val="auto"/>
        </w:rPr>
      </w:pPr>
      <w:r>
        <w:rPr>
          <w:rFonts w:ascii="Arial" w:cs="Arial" w:eastAsia="Arial" w:hAnsi="Arial"/>
          <w:sz w:val="16"/>
          <w:szCs w:val="16"/>
          <w:color w:val="auto"/>
        </w:rPr>
        <w:t xml:space="preserve">the existence of, or the performance by the Parent or any of the Restricted Subsidiaries of its obligations under the terms of, any limited liability company agreement, limited partnership or other organizational documents or stockholders agreement (including any purchase agreement related thereto) to which it is a party as of the Issue Date and any similar agreements which it may enter into thereafter;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existence of, or the performance by the Parent or any Restricted Subsidiary of obligations under any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any such existing agreement or under any similar agreement entered into after such date shall only be permitted by this clause</w:t>
      </w:r>
    </w:p>
    <w:p>
      <w:pPr>
        <w:spacing w:after="0" w:line="1" w:lineRule="exact"/>
        <w:rPr>
          <w:rFonts w:ascii="Arial" w:cs="Arial" w:eastAsia="Arial" w:hAnsi="Arial"/>
          <w:sz w:val="16"/>
          <w:szCs w:val="16"/>
          <w:color w:val="auto"/>
        </w:rPr>
      </w:pPr>
    </w:p>
    <w:p>
      <w:pPr>
        <w:ind w:left="2" w:right="20" w:hanging="2"/>
        <w:spacing w:after="0" w:line="255" w:lineRule="auto"/>
        <w:tabs>
          <w:tab w:leader="none" w:pos="34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to the extent that the terms of any such amendment or new agreement, taken as a whole, is no less favorable to the Parent and the Restricted Subsidiaries than the agreement in effect on the Issue Date (as determined by the Board of Directors of the Parent or the senior management thereof in good faith);</w:t>
      </w:r>
    </w:p>
    <w:p>
      <w:pPr>
        <w:spacing w:after="0" w:line="190"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14605</wp:posOffset>
            </wp:positionV>
            <wp:extent cx="7132320"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22"/>
          </w:cols>
          <w:pgMar w:left="1138" w:top="692" w:right="339" w:bottom="1440" w:gutter="0" w:footer="0" w:header="0"/>
        </w:sectPr>
      </w:pPr>
    </w:p>
    <w:bookmarkStart w:id="335" w:name="page336"/>
    <w:bookmarkEnd w:id="335"/>
    <w:p>
      <w:pPr>
        <w:ind w:left="820" w:right="40" w:firstLine="646"/>
        <w:spacing w:after="0" w:line="263" w:lineRule="auto"/>
        <w:tabs>
          <w:tab w:leader="none" w:pos="2083"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provision of services to directors or officers of the Parent, any of the Restricted Subsidiaries or any of the Parent’s direct or indirect parent companies of the nature provided by the Parent or any of the Restricted Subsidiaries to customers in the ordinary course of business;</w:t>
      </w:r>
    </w:p>
    <w:p>
      <w:pPr>
        <w:spacing w:after="0" w:line="183" w:lineRule="exact"/>
        <w:rPr>
          <w:rFonts w:ascii="Arial" w:cs="Arial" w:eastAsia="Arial" w:hAnsi="Arial"/>
          <w:sz w:val="18"/>
          <w:szCs w:val="18"/>
          <w:color w:val="auto"/>
        </w:rPr>
      </w:pPr>
    </w:p>
    <w:p>
      <w:pPr>
        <w:ind w:left="2080" w:hanging="614"/>
        <w:spacing w:after="0"/>
        <w:tabs>
          <w:tab w:leader="none" w:pos="20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80" w:hanging="614"/>
        <w:spacing w:after="0"/>
        <w:tabs>
          <w:tab w:leader="none" w:pos="20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Incurrence of Indebtedness permitted by Section 4.09;</w:t>
      </w:r>
    </w:p>
    <w:p>
      <w:pPr>
        <w:spacing w:after="0" w:line="225" w:lineRule="exact"/>
        <w:rPr>
          <w:rFonts w:ascii="Arial" w:cs="Arial" w:eastAsia="Arial" w:hAnsi="Arial"/>
          <w:sz w:val="18"/>
          <w:szCs w:val="18"/>
          <w:color w:val="auto"/>
        </w:rPr>
      </w:pPr>
    </w:p>
    <w:p>
      <w:pPr>
        <w:ind w:left="2080" w:hanging="614"/>
        <w:spacing w:after="0"/>
        <w:tabs>
          <w:tab w:leader="none" w:pos="208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the granting of registration and other customary rights in connection with the issuance of Equity Interests or other securities by</w:t>
      </w:r>
    </w:p>
    <w:p>
      <w:pPr>
        <w:spacing w:after="0" w:line="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the Parent;</w:t>
      </w:r>
    </w:p>
    <w:p>
      <w:pPr>
        <w:spacing w:after="0" w:line="210" w:lineRule="exact"/>
        <w:rPr>
          <w:rFonts w:ascii="Arial" w:cs="Arial" w:eastAsia="Arial" w:hAnsi="Arial"/>
          <w:sz w:val="16"/>
          <w:szCs w:val="16"/>
          <w:color w:val="auto"/>
        </w:rPr>
      </w:pPr>
    </w:p>
    <w:p>
      <w:pPr>
        <w:ind w:left="2080" w:hanging="614"/>
        <w:spacing w:after="0"/>
        <w:tabs>
          <w:tab w:leader="none" w:pos="20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transactions undertaken in connection with the Transactions;</w:t>
      </w:r>
    </w:p>
    <w:p>
      <w:pPr>
        <w:spacing w:after="0" w:line="225" w:lineRule="exact"/>
        <w:rPr>
          <w:rFonts w:ascii="Arial" w:cs="Arial" w:eastAsia="Arial" w:hAnsi="Arial"/>
          <w:sz w:val="18"/>
          <w:szCs w:val="18"/>
          <w:color w:val="auto"/>
        </w:rPr>
      </w:pPr>
    </w:p>
    <w:p>
      <w:pPr>
        <w:ind w:left="2080" w:hanging="614"/>
        <w:spacing w:after="0"/>
        <w:tabs>
          <w:tab w:leader="none" w:pos="20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customary transactions with a Securitization Subsidiary effected as part of a Qualified Securitization Financing;</w:t>
      </w:r>
    </w:p>
    <w:p>
      <w:pPr>
        <w:spacing w:after="0" w:line="225" w:lineRule="exact"/>
        <w:rPr>
          <w:rFonts w:ascii="Arial" w:cs="Arial" w:eastAsia="Arial" w:hAnsi="Arial"/>
          <w:sz w:val="18"/>
          <w:szCs w:val="18"/>
          <w:color w:val="auto"/>
        </w:rPr>
      </w:pPr>
    </w:p>
    <w:p>
      <w:pPr>
        <w:jc w:val="both"/>
        <w:ind w:left="820" w:firstLine="646"/>
        <w:spacing w:after="0" w:line="263" w:lineRule="auto"/>
        <w:tabs>
          <w:tab w:leader="none" w:pos="229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payment of reasonable out-of-pocket costs and expenses relating to registration rights and indemnities provided to shareholders of the Parent or any direct or indirect parent thereof pursuant to a stockholders agreement or registration rights agreement entered into on or after the Issue Date in connection therewith;</w:t>
      </w:r>
    </w:p>
    <w:p>
      <w:pPr>
        <w:spacing w:after="0" w:line="183" w:lineRule="exact"/>
        <w:rPr>
          <w:rFonts w:ascii="Arial" w:cs="Arial" w:eastAsia="Arial" w:hAnsi="Arial"/>
          <w:sz w:val="18"/>
          <w:szCs w:val="18"/>
          <w:color w:val="auto"/>
        </w:rPr>
      </w:pPr>
    </w:p>
    <w:p>
      <w:pPr>
        <w:jc w:val="both"/>
        <w:ind w:left="820" w:firstLine="646"/>
        <w:spacing w:after="0" w:line="263" w:lineRule="auto"/>
        <w:tabs>
          <w:tab w:leader="none" w:pos="213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transactions (including, for the avoidance of doubt, the entering into of a tax sharing agreement) undertaken in good faith (as certified by an Officer of the Parent in an Officer’s Certificate) for the purposes of improving the consolidated tax efficiency of the Parent and its Subsidiaries and not for the purpose of circumventing any provision of this Indenture; and</w:t>
      </w:r>
    </w:p>
    <w:p>
      <w:pPr>
        <w:spacing w:after="0" w:line="183" w:lineRule="exact"/>
        <w:rPr>
          <w:rFonts w:ascii="Arial" w:cs="Arial" w:eastAsia="Arial" w:hAnsi="Arial"/>
          <w:sz w:val="18"/>
          <w:szCs w:val="18"/>
          <w:color w:val="auto"/>
        </w:rPr>
      </w:pPr>
    </w:p>
    <w:p>
      <w:pPr>
        <w:ind w:left="820" w:right="360" w:firstLine="646"/>
        <w:spacing w:after="0" w:line="342" w:lineRule="auto"/>
        <w:tabs>
          <w:tab w:leader="none" w:pos="2083"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Indebtedness permitted under Section 4.09, Liens permitted under Section 4.12, Asset Sales permitted under Section 4.10, Permitted Investments and Restricted Payments permitted under Section 4.07 and the definition of “Permitted Investments”.</w:t>
      </w:r>
    </w:p>
    <w:p>
      <w:pPr>
        <w:spacing w:after="0" w:line="12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i w:val="1"/>
          <w:iCs w:val="1"/>
          <w:color w:val="auto"/>
        </w:rPr>
        <w:t>Liens.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Parent will not, and will not permit any Restricted Subsidiary to, directly or indirectly, Incur or permit to exist any Lien that is not a Permitted Lien (each, a “</w:t>
      </w:r>
      <w:r>
        <w:rPr>
          <w:rFonts w:ascii="Arial" w:cs="Arial" w:eastAsia="Arial" w:hAnsi="Arial"/>
          <w:sz w:val="18"/>
          <w:szCs w:val="18"/>
          <w:i w:val="1"/>
          <w:iCs w:val="1"/>
          <w:color w:val="auto"/>
        </w:rPr>
        <w:t>Subject Lien</w:t>
      </w:r>
      <w:r>
        <w:rPr>
          <w:rFonts w:ascii="Arial" w:cs="Arial" w:eastAsia="Arial" w:hAnsi="Arial"/>
          <w:sz w:val="18"/>
          <w:szCs w:val="18"/>
          <w:color w:val="auto"/>
        </w:rPr>
        <w:t>”) that secures Obligations under any Indebtedness on or with respect to any of its property or assets now owned or hereafter acquired, unless:</w:t>
      </w:r>
    </w:p>
    <w:p>
      <w:pPr>
        <w:spacing w:after="0" w:line="184" w:lineRule="exact"/>
        <w:rPr>
          <w:sz w:val="20"/>
          <w:szCs w:val="20"/>
          <w:color w:val="auto"/>
        </w:rPr>
      </w:pPr>
    </w:p>
    <w:p>
      <w:pPr>
        <w:ind w:left="5480" w:right="3660" w:hanging="4824"/>
        <w:spacing w:after="0" w:line="527" w:lineRule="auto"/>
        <w:tabs>
          <w:tab w:leader="none" w:pos="116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the case of Subject Liens on any Collateral, such Subject Lien is a Permitted Lien; and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6" w:name="page337"/>
    <w:bookmarkEnd w:id="336"/>
    <w:p>
      <w:pPr>
        <w:ind w:right="200" w:firstLine="656"/>
        <w:spacing w:after="0" w:line="259" w:lineRule="auto"/>
        <w:tabs>
          <w:tab w:leader="none" w:pos="117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in the case of any Subject Lien on any asset or property that is not Collateral, (i) the Notes (or a Note Guarantee in the case of Subject Liens on assets or property of a Guarantor) are or will be substantially contemporaneously equally and ratably secured with (or at the Issuer’s option or if such Subject Lien secures Subordinated Indebtedness, on a senior basis to) the Obligations secured by such Subject Lien until such time as such Obligations are no longer secured by such Subject Lien or (ii) such Subject Lien is a Permitted Lien.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Lien created for the benefit of the Holders of the Notes pursuant to clause (b) of this covenant shall be deemed automatically and unconditionally released and discharged upon the release and discharge of the Subject Lien that gave rise to the obligation to secure the Notes. In addition, in the event that a Subject Lien is or becomes a Permitted Lien, the Issuer may, at its option and without consent from any Holder, elect to release and discharge any Lien created for the benefit of the Holders pursuant to the preceding paragraph in respect of such Subject Lien.</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18"/>
          <w:szCs w:val="18"/>
          <w:i w:val="1"/>
          <w:iCs w:val="1"/>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9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i w:val="1"/>
          <w:iCs w:val="1"/>
          <w:color w:val="auto"/>
        </w:rPr>
        <w:t>Corporate Existence.</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Subject to Articles 5 and 10 (as applicable), the Issuer and the Guarantors will do or cause to be done all things necessary to preserve and keep in full force and effect its corporate or other existence and rights (charter and statutory);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Issuer and the Guarantors shall not be required to preserve any such right if the Issuer or the Guarantors, as applicable, shall in good faith determine that the preservation thereof is no longer desirable in the conduct of the business of the Issuer or the Guarantors, taken as a whole.</w:t>
      </w:r>
    </w:p>
    <w:p>
      <w:pPr>
        <w:spacing w:after="0" w:line="17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i w:val="1"/>
          <w:iCs w:val="1"/>
          <w:color w:val="auto"/>
        </w:rPr>
        <w:t>Offer to Repurchase Upon Change of Control.</w:t>
      </w:r>
    </w:p>
    <w:p>
      <w:pPr>
        <w:spacing w:after="0" w:line="225" w:lineRule="exact"/>
        <w:rPr>
          <w:sz w:val="20"/>
          <w:szCs w:val="20"/>
          <w:color w:val="auto"/>
        </w:rPr>
      </w:pPr>
    </w:p>
    <w:p>
      <w:pPr>
        <w:ind w:right="80" w:firstLine="656"/>
        <w:spacing w:after="0" w:line="254" w:lineRule="auto"/>
        <w:tabs>
          <w:tab w:leader="none" w:pos="116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If a Change of Control occurs, unless the Issuer has previously or concurrently delivered a redemption notice with respect to all the outstanding Notes pursuant to Section 3.07, within 30 days following such Change of Control, the Issuer will make an Offer to Purchase all of the Notes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on the terms set forth in this Indenture and in compliance with Section 3.09. In the Change of Control Offer, the Issuer will offer to purchase all of the Notes at a purchase price in cash equal to 101% of the aggregate principal amount of Notes repurchased, plus accrued and unpaid interest on the Notes repurchased to, but not including, the date of purchase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(subject to the rights of Holders of Notes on the relevant record date to receive interest due on the relevant interest payment date if the Notes have not been redeemed or repurchased prior to such date).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7" w:name="page338"/>
    <w:bookmarkEnd w:id="337"/>
    <w:p>
      <w:pPr>
        <w:ind w:right="60" w:firstLine="656"/>
        <w:spacing w:after="0" w:line="291" w:lineRule="auto"/>
        <w:tabs>
          <w:tab w:leader="none" w:pos="1173" w:val="left"/>
        </w:tabs>
        <w:numPr>
          <w:ilvl w:val="0"/>
          <w:numId w:val="37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4.14, the Issuer will not be required to make a Change of Control Offer upon a Change of Control if (1) a third party makes the Change of Control Offer in the manner, at the times and otherwise in compliance with the requirements set forth in this Indenture applicable to a Change of Control Offer made by the Issuer and purchases all Notes properly tendered and not withdrawn under the Change of Control Offer, (2) in connection with or in contemplation of any Change of Control, the Issuer (or any Affiliate of the Issuer) has made an offer to purchase (an “</w:t>
      </w:r>
      <w:r>
        <w:rPr>
          <w:rFonts w:ascii="Arial" w:cs="Arial" w:eastAsia="Arial" w:hAnsi="Arial"/>
          <w:sz w:val="16"/>
          <w:szCs w:val="16"/>
          <w:i w:val="1"/>
          <w:iCs w:val="1"/>
          <w:color w:val="auto"/>
        </w:rPr>
        <w:t>Alternate Offer”)</w:t>
      </w:r>
      <w:r>
        <w:rPr>
          <w:rFonts w:ascii="Arial" w:cs="Arial" w:eastAsia="Arial" w:hAnsi="Arial"/>
          <w:sz w:val="16"/>
          <w:szCs w:val="16"/>
          <w:color w:val="auto"/>
        </w:rPr>
        <w:t xml:space="preserve"> any and all Notes validly tendered at a cash price equal to or higher than the Change of Control Payment and has purchased all Notes properly tendered in accordance with the terms of the Alternate Offer or (3) notice of redemption has been given pursuant to Section 3.07 under this Indenture, unless and until there is a default in payment of the applicable redemption price.</w:t>
      </w:r>
    </w:p>
    <w:p>
      <w:pPr>
        <w:spacing w:after="0" w:line="16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Notwithstanding anything to the contrary contained herein, a Change of Control Offer or Alternate Offer may be made in advance of a Change of Control, which may be conditioned upon the consummation of such Change of Control, if a definitive agreement is in place for the Change of Control at the time the Change of Control Offer or Alternate Offer is made. A Change of Control Offer or Alternate Offer may be made at the same time as consents are solicited with respect to an amendment, supplement or waiver of this Indenture, the Notes, the Note Guarantees and/or the Collateral Documents (but the Change of Control Offer may not condition tenders on the delivery of such consents).</w:t>
      </w:r>
    </w:p>
    <w:p>
      <w:pPr>
        <w:sectPr>
          <w:pgSz w:w="11900" w:h="16838" w:orient="portrait"/>
          <w:cols w:equalWidth="0" w:num="1">
            <w:col w:w="11240"/>
          </w:cols>
          <w:pgMar w:left="320" w:top="692" w:right="339" w:bottom="1440" w:gutter="0" w:footer="0" w:header="0"/>
        </w:sectPr>
      </w:pP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4.15</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Reserved.</w:t>
      </w:r>
    </w:p>
    <w:p>
      <w:pPr>
        <w:spacing w:after="0" w:line="211" w:lineRule="exact"/>
        <w:rPr>
          <w:sz w:val="20"/>
          <w:szCs w:val="20"/>
          <w:color w:val="auto"/>
        </w:rPr>
      </w:pPr>
    </w:p>
    <w:p>
      <w:pPr>
        <w:sectPr>
          <w:pgSz w:w="11900" w:h="16838" w:orient="portrait"/>
          <w:cols w:equalWidth="0" w:num="2">
            <w:col w:w="1560" w:space="260"/>
            <w:col w:w="9420"/>
          </w:cols>
          <w:pgMar w:left="320" w:top="692"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4.16</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Reserved.</w:t>
      </w:r>
    </w:p>
    <w:p>
      <w:pPr>
        <w:spacing w:after="0" w:line="211" w:lineRule="exact"/>
        <w:rPr>
          <w:sz w:val="20"/>
          <w:szCs w:val="20"/>
          <w:color w:val="auto"/>
        </w:rPr>
      </w:pPr>
    </w:p>
    <w:p>
      <w:pPr>
        <w:sectPr>
          <w:pgSz w:w="11900" w:h="16838" w:orient="portrait"/>
          <w:cols w:equalWidth="0" w:num="2">
            <w:col w:w="1560" w:space="260"/>
            <w:col w:w="9420"/>
          </w:cols>
          <w:pgMar w:left="320" w:top="692"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4.17</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Reserved.</w:t>
      </w:r>
    </w:p>
    <w:p>
      <w:pPr>
        <w:spacing w:after="0" w:line="211" w:lineRule="exact"/>
        <w:rPr>
          <w:sz w:val="20"/>
          <w:szCs w:val="20"/>
          <w:color w:val="auto"/>
        </w:rPr>
      </w:pPr>
    </w:p>
    <w:p>
      <w:pPr>
        <w:sectPr>
          <w:pgSz w:w="11900" w:h="16838" w:orient="portrait"/>
          <w:cols w:equalWidth="0" w:num="2">
            <w:col w:w="1560" w:space="260"/>
            <w:col w:w="9420"/>
          </w:cols>
          <w:pgMar w:left="320" w:top="692"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4.18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Note Guarantees.</w:t>
      </w:r>
    </w:p>
    <w:p>
      <w:pPr>
        <w:spacing w:after="0" w:line="200" w:lineRule="exact"/>
        <w:rPr>
          <w:sz w:val="20"/>
          <w:szCs w:val="20"/>
          <w:color w:val="auto"/>
        </w:rPr>
      </w:pPr>
    </w:p>
    <w:p>
      <w:pPr>
        <w:sectPr>
          <w:pgSz w:w="11900" w:h="16838" w:orient="portrait"/>
          <w:cols w:equalWidth="0" w:num="2">
            <w:col w:w="1560" w:space="260"/>
            <w:col w:w="9420"/>
          </w:cols>
          <w:pgMar w:left="320" w:top="692" w:right="339" w:bottom="1440" w:gutter="0" w:footer="0" w:header="0"/>
          <w:type w:val="continuous"/>
        </w:sectPr>
      </w:pPr>
    </w:p>
    <w:p>
      <w:pPr>
        <w:spacing w:after="0" w:line="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any direct or indirect Restricted Subsidiary of the Parent that is not a Guarantor (other than an Excluded Subsidiary or the Issuer) becomes a guarantor or obligor in respect of the Senior Secured Credit Facilities, within 60 days of such event the Parent will, subject to applicable law and the Agreed Guarantee and Security Principles, cause such Restricted Subsidiary to enter into (i) a supplemental indenture pursuant to which such Subsidiary shall agree to Guarantee the Issuer’s Obligations under the Notes, fully and unconditionally and on a senior secured basis and (ii) supplements or joinders to the Collateral Documents or new Collateral Documents together with any other filings, actions and agreements required by the Collateral Documents to create or perfect the security interests for the benefit of the Holders of the Notes in the Collateral of such Restricted Subsidiary subject to the Agreed Guarantee and Security Principles. The Parent also may, at any time, cause a Subsidiary to become a Guarantor by executing and delivering a supplemental indenture providing for the Guarantee of payment of the Notes by such Subsidiary on the basis provided in this Indenture. Any such supplemental indenture may be in the form of such supplemental indenture attached as Exhibit E hereto or such other form as agreed between the Issuer, the applicable Guarantor and the Trustee.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38" w:name="page339"/>
    <w:bookmarkEnd w:id="338"/>
    <w:p>
      <w:pPr>
        <w:ind w:firstLine="648"/>
        <w:spacing w:after="0" w:line="255" w:lineRule="auto"/>
        <w:rPr>
          <w:sz w:val="20"/>
          <w:szCs w:val="20"/>
          <w:color w:val="auto"/>
        </w:rPr>
      </w:pPr>
      <w:r>
        <w:rPr>
          <w:rFonts w:ascii="Arial" w:cs="Arial" w:eastAsia="Arial" w:hAnsi="Arial"/>
          <w:sz w:val="18"/>
          <w:szCs w:val="18"/>
          <w:color w:val="auto"/>
        </w:rPr>
        <w:t xml:space="preserve">If any Guarantor becomes an Excluded Subsidiary, the Parent shall have the right, by execution and delivery of a supplemental indenture to the Trustee, to cause such Excluded Subsidiary to cease to be a Guarantor, subject to the requirement described in the first paragraph above that such Subsidiary shall be required to become a Guarantor if it ceases to be an Excluded Subsidiary (except that if such Subsidiary has been properly designated as an Unrestricted Subsidiary it shall not be so required to become a Guarantor or execute a supplemental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such Excluded Subsidiary that ceased to be a Guarantor pursuant to the foregoing shall not be permitted to Guarantee the Senior Secured Credit Facilities, unless it again becomes a Guarantor.</w:t>
      </w:r>
    </w:p>
    <w:p>
      <w:pPr>
        <w:spacing w:after="0" w:line="19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4.19</w:t>
      </w:r>
      <w:r>
        <w:rPr>
          <w:sz w:val="20"/>
          <w:szCs w:val="20"/>
          <w:color w:val="auto"/>
        </w:rPr>
        <w:tab/>
      </w:r>
      <w:r>
        <w:rPr>
          <w:rFonts w:ascii="Arial" w:cs="Arial" w:eastAsia="Arial" w:hAnsi="Arial"/>
          <w:sz w:val="16"/>
          <w:szCs w:val="16"/>
          <w:i w:val="1"/>
          <w:iCs w:val="1"/>
          <w:color w:val="auto"/>
        </w:rPr>
        <w:t>Designation of Restricted and Unrestricted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Parent may designate after the Issue Date any Subsidiary (other than the Issuer) (including any newly acquired or newly formed Subsidiary)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under this Indenture (a “</w:t>
      </w:r>
      <w:r>
        <w:rPr>
          <w:rFonts w:ascii="Arial" w:cs="Arial" w:eastAsia="Arial" w:hAnsi="Arial"/>
          <w:sz w:val="18"/>
          <w:szCs w:val="18"/>
          <w:i w:val="1"/>
          <w:iCs w:val="1"/>
          <w:color w:val="auto"/>
        </w:rPr>
        <w:t>Designation</w:t>
      </w:r>
      <w:r>
        <w:rPr>
          <w:rFonts w:ascii="Arial" w:cs="Arial" w:eastAsia="Arial" w:hAnsi="Arial"/>
          <w:sz w:val="18"/>
          <w:szCs w:val="18"/>
          <w:color w:val="auto"/>
        </w:rPr>
        <w:t>”) only if:</w:t>
      </w:r>
    </w:p>
    <w:p>
      <w:pPr>
        <w:spacing w:after="0" w:line="211" w:lineRule="exact"/>
        <w:rPr>
          <w:sz w:val="20"/>
          <w:szCs w:val="20"/>
          <w:color w:val="auto"/>
        </w:rPr>
      </w:pPr>
    </w:p>
    <w:p>
      <w:pPr>
        <w:ind w:left="1180" w:hanging="524"/>
        <w:spacing w:after="0"/>
        <w:tabs>
          <w:tab w:leader="none" w:pos="11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after giving effect to such Designation;</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Subsidiary to be so designated and its Subsidiaries do not at the time of such Designation own any Material Intellectual Property; and</w:t>
      </w:r>
    </w:p>
    <w:p>
      <w:pPr>
        <w:spacing w:after="0" w:line="248" w:lineRule="exact"/>
        <w:rPr>
          <w:rFonts w:ascii="Arial" w:cs="Arial" w:eastAsia="Arial" w:hAnsi="Arial"/>
          <w:sz w:val="16"/>
          <w:szCs w:val="16"/>
          <w:color w:val="auto"/>
        </w:rPr>
      </w:pPr>
    </w:p>
    <w:p>
      <w:pPr>
        <w:ind w:right="100" w:firstLine="656"/>
        <w:spacing w:after="0" w:line="301" w:lineRule="auto"/>
        <w:tabs>
          <w:tab w:leader="none" w:pos="1163" w:val="left"/>
        </w:tabs>
        <w:numPr>
          <w:ilvl w:val="0"/>
          <w:numId w:val="373"/>
        </w:numPr>
        <w:rPr>
          <w:rFonts w:ascii="Arial" w:cs="Arial" w:eastAsia="Arial" w:hAnsi="Arial"/>
          <w:sz w:val="16"/>
          <w:szCs w:val="16"/>
          <w:color w:val="auto"/>
        </w:rPr>
      </w:pPr>
      <w:r>
        <w:rPr>
          <w:rFonts w:ascii="Arial" w:cs="Arial" w:eastAsia="Arial" w:hAnsi="Arial"/>
          <w:sz w:val="16"/>
          <w:szCs w:val="16"/>
          <w:color w:val="auto"/>
        </w:rPr>
        <w:t>either (x) the Subsidiary to be so designated has total consolidated assets of $1,000 or less or (y) if such Subsidiary has consolidated assets greater than $1,000, then the Parent could make a Restricted Payment or Permitted Investment at the time of such Designation in an amount equal to the Fair Market Value of all outstanding Investments owned by the Parent and the Restricted Subsidiaries in such Subsidiary under Section 4.07 and such amount is thereafter treated as an “</w:t>
      </w:r>
      <w:r>
        <w:rPr>
          <w:rFonts w:ascii="Arial" w:cs="Arial" w:eastAsia="Arial" w:hAnsi="Arial"/>
          <w:sz w:val="16"/>
          <w:szCs w:val="16"/>
          <w:i w:val="1"/>
          <w:iCs w:val="1"/>
          <w:color w:val="auto"/>
        </w:rPr>
        <w:t>Investment</w:t>
      </w:r>
      <w:r>
        <w:rPr>
          <w:rFonts w:ascii="Arial" w:cs="Arial" w:eastAsia="Arial" w:hAnsi="Arial"/>
          <w:sz w:val="16"/>
          <w:szCs w:val="16"/>
          <w:color w:val="auto"/>
        </w:rPr>
        <w:t>” for purposes of calculating the amount of Restricted Payments thereunder.</w:t>
      </w:r>
    </w:p>
    <w:p>
      <w:pPr>
        <w:spacing w:after="0" w:line="15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Parent may revoke any Designation of a Subsidiary as an Unrestricted Subsidiary (a “</w:t>
      </w:r>
      <w:r>
        <w:rPr>
          <w:rFonts w:ascii="Arial" w:cs="Arial" w:eastAsia="Arial" w:hAnsi="Arial"/>
          <w:sz w:val="18"/>
          <w:szCs w:val="18"/>
          <w:i w:val="1"/>
          <w:iCs w:val="1"/>
          <w:color w:val="auto"/>
        </w:rPr>
        <w:t>Revocation</w:t>
      </w:r>
      <w:r>
        <w:rPr>
          <w:rFonts w:ascii="Arial" w:cs="Arial" w:eastAsia="Arial" w:hAnsi="Arial"/>
          <w:sz w:val="18"/>
          <w:szCs w:val="18"/>
          <w:color w:val="auto"/>
        </w:rPr>
        <w:t>”) only if, immediately after giving effect such Revocation:</w:t>
      </w:r>
    </w:p>
    <w:p>
      <w:pPr>
        <w:spacing w:after="0" w:line="170" w:lineRule="exact"/>
        <w:rPr>
          <w:sz w:val="20"/>
          <w:szCs w:val="20"/>
          <w:color w:val="auto"/>
        </w:rPr>
      </w:pPr>
    </w:p>
    <w:p>
      <w:pPr>
        <w:ind w:right="280" w:firstLine="656"/>
        <w:spacing w:after="0" w:line="308" w:lineRule="auto"/>
        <w:tabs>
          <w:tab w:leader="none" w:pos="1173" w:val="left"/>
        </w:tabs>
        <w:numPr>
          <w:ilvl w:val="0"/>
          <w:numId w:val="374"/>
        </w:numPr>
        <w:rPr>
          <w:rFonts w:ascii="Arial" w:cs="Arial" w:eastAsia="Arial" w:hAnsi="Arial"/>
          <w:sz w:val="17"/>
          <w:szCs w:val="17"/>
          <w:color w:val="auto"/>
        </w:rPr>
      </w:pPr>
      <w:r>
        <w:rPr>
          <w:rFonts w:ascii="Arial" w:cs="Arial" w:eastAsia="Arial" w:hAnsi="Arial"/>
          <w:sz w:val="17"/>
          <w:szCs w:val="17"/>
          <w:color w:val="auto"/>
        </w:rPr>
        <w:t xml:space="preserve">(x) the Parent could Incur at least $1.00 of additional Indebtedness under Section 4.09(a) or (y) the Fixed Charge Coverage Ratio would not be less than immediately prior to such Revocation, in each case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taking into account such Revocation;</w:t>
      </w:r>
    </w:p>
    <w:p>
      <w:pPr>
        <w:spacing w:after="0" w:line="146" w:lineRule="exact"/>
        <w:rPr>
          <w:rFonts w:ascii="Arial" w:cs="Arial" w:eastAsia="Arial" w:hAnsi="Arial"/>
          <w:sz w:val="17"/>
          <w:szCs w:val="17"/>
          <w:color w:val="auto"/>
        </w:rPr>
      </w:pPr>
    </w:p>
    <w:p>
      <w:pPr>
        <w:ind w:right="120" w:firstLine="656"/>
        <w:spacing w:after="0" w:line="277" w:lineRule="auto"/>
        <w:tabs>
          <w:tab w:leader="none" w:pos="116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all Indebtedness and Liens of such Unrestricted Subsidiary outstanding immediately following such Revocation would, if Incurred at such time, have been permitted to be Incurred for all purposes of this Indenture; and</w:t>
      </w:r>
    </w:p>
    <w:p>
      <w:pPr>
        <w:spacing w:after="0" w:line="170" w:lineRule="exact"/>
        <w:rPr>
          <w:rFonts w:ascii="Arial" w:cs="Arial" w:eastAsia="Arial" w:hAnsi="Arial"/>
          <w:sz w:val="18"/>
          <w:szCs w:val="18"/>
          <w:color w:val="auto"/>
        </w:rPr>
      </w:pPr>
    </w:p>
    <w:p>
      <w:pPr>
        <w:ind w:left="1200" w:hanging="544"/>
        <w:spacing w:after="0"/>
        <w:tabs>
          <w:tab w:leader="none" w:pos="12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after giving effect to such Revocation.</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Each Designation and Revocation must be evidenced by promptly delivering to the Trustee a board resolution of the Board of Directors of the Parent giving effect to such Designation or Revocation, as the case may be, and an Officer’s Certificate certifying compliance with the preceding provisions. A Revocation will be deemed to be an Incurrence of Indebtedness by a Restricted Subsidiary of any outstanding Indebtedness of such Unrestricted Subsidiary.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9" w:name="page340"/>
    <w:bookmarkEnd w:id="339"/>
    <w:p>
      <w:pPr>
        <w:ind w:left="660"/>
        <w:spacing w:after="0"/>
        <w:tabs>
          <w:tab w:leader="none" w:pos="180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5"/>
          <w:szCs w:val="15"/>
          <w:i w:val="1"/>
          <w:iCs w:val="1"/>
          <w:color w:val="auto"/>
        </w:rPr>
        <w:t>Suspension of Covenants When Notes Rated Investment Grade</w:t>
      </w:r>
      <w:r>
        <w:rPr>
          <w:rFonts w:ascii="Arial" w:cs="Arial" w:eastAsia="Arial" w:hAnsi="Arial"/>
          <w:sz w:val="15"/>
          <w:szCs w:val="15"/>
          <w:color w:val="auto"/>
        </w:rPr>
        <w:t>.</w:t>
      </w:r>
    </w:p>
    <w:p>
      <w:pPr>
        <w:spacing w:after="0" w:line="225" w:lineRule="exact"/>
        <w:rPr>
          <w:sz w:val="20"/>
          <w:szCs w:val="20"/>
          <w:color w:val="auto"/>
        </w:rPr>
      </w:pPr>
    </w:p>
    <w:p>
      <w:pPr>
        <w:ind w:right="100" w:firstLine="656"/>
        <w:spacing w:after="0" w:line="255" w:lineRule="auto"/>
        <w:tabs>
          <w:tab w:leader="none" w:pos="116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If on any date following the Issue Date, the Notes are rated Baa3 or better by Moody’s and BBB- or better by S&amp;P (“</w:t>
      </w:r>
      <w:r>
        <w:rPr>
          <w:rFonts w:ascii="Arial" w:cs="Arial" w:eastAsia="Arial" w:hAnsi="Arial"/>
          <w:sz w:val="18"/>
          <w:szCs w:val="18"/>
          <w:i w:val="1"/>
          <w:iCs w:val="1"/>
          <w:color w:val="auto"/>
        </w:rPr>
        <w:t>Investment Grade</w:t>
      </w:r>
      <w:r>
        <w:rPr>
          <w:rFonts w:ascii="Arial" w:cs="Arial" w:eastAsia="Arial" w:hAnsi="Arial"/>
          <w:sz w:val="18"/>
          <w:szCs w:val="18"/>
          <w:color w:val="auto"/>
        </w:rPr>
        <w:t xml:space="preserve"> </w:t>
      </w:r>
      <w:r>
        <w:rPr>
          <w:rFonts w:ascii="Arial" w:cs="Arial" w:eastAsia="Arial" w:hAnsi="Arial"/>
          <w:sz w:val="18"/>
          <w:szCs w:val="18"/>
          <w:i w:val="1"/>
          <w:iCs w:val="1"/>
          <w:color w:val="auto"/>
        </w:rPr>
        <w:t>Status</w:t>
      </w:r>
      <w:r>
        <w:rPr>
          <w:rFonts w:ascii="Arial" w:cs="Arial" w:eastAsia="Arial" w:hAnsi="Arial"/>
          <w:sz w:val="18"/>
          <w:szCs w:val="18"/>
          <w:color w:val="auto"/>
        </w:rPr>
        <w:t>”) (or, if either such entity ceases to rate such Notes for reasons outside of the control of the Parent, the equivalent investment grade credit rating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other “nationally recognized statistical rating organization” within the meaning of Section 3(a)(62) of the Exchange Act selected by the Parent as a replacement agency) then, beginning on that day and continuing until the Reversion Date (as defined below), the Parent and the Restricted Subsidiaries will not be subject to Sections 4.07, 4.08, 4.09, 4.10, 4.11, 4.18 and 4.19, 4.22 and clause (a)(4) of Section 5.01 of this Indenture (collectively, the “</w:t>
      </w:r>
      <w:r>
        <w:rPr>
          <w:rFonts w:ascii="Arial" w:cs="Arial" w:eastAsia="Arial" w:hAnsi="Arial"/>
          <w:sz w:val="18"/>
          <w:szCs w:val="18"/>
          <w:i w:val="1"/>
          <w:iCs w:val="1"/>
          <w:color w:val="auto"/>
        </w:rPr>
        <w:t>Suspended Covenants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180" w:firstLine="656"/>
        <w:spacing w:after="0" w:line="269" w:lineRule="auto"/>
        <w:tabs>
          <w:tab w:leader="none" w:pos="1173"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If any time the Notes cease to have such Investment Grade Status, then the Suspended Covenants will thereafter be reinstated as if such covenants had never been suspended (the “</w:t>
      </w:r>
      <w:r>
        <w:rPr>
          <w:rFonts w:ascii="Arial" w:cs="Arial" w:eastAsia="Arial" w:hAnsi="Arial"/>
          <w:sz w:val="17"/>
          <w:szCs w:val="17"/>
          <w:i w:val="1"/>
          <w:iCs w:val="1"/>
          <w:color w:val="auto"/>
        </w:rPr>
        <w:t>Reversion Date</w:t>
      </w:r>
      <w:r>
        <w:rPr>
          <w:rFonts w:ascii="Arial" w:cs="Arial" w:eastAsia="Arial" w:hAnsi="Arial"/>
          <w:sz w:val="17"/>
          <w:szCs w:val="17"/>
          <w:color w:val="auto"/>
        </w:rPr>
        <w:t xml:space="preserve">”) and be applicable pursuant to the terms of this Indenture (including in connection with performing any calculation or assessment to determine compliance with the terms of this Indenture), unless and until the Notes subsequently attain Investment Grade Status (in which event the Suspended Covenants shall no longer be in effect for such time that the Notes maintain an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Default, Event of Default or breach of any kind shall be deemed to exist under this Indenture, the Notes or the Note Guarantees with respect to the Suspended Covenants based on, and none of the Parent or any of its Subsidiaries shall bear any liability for, any actions taken or events occurring during the Suspension Period (as defined below), or any actions taken at any time pursuant to any contractual obligation arising prior to the Reversion Date, regardless of whether such actions or events would have been permitted if the applicable Suspended Covenants remained in effect during such period. The period of time between the date of suspension of the covenants and the Reversion Date is referred to as the “</w:t>
      </w:r>
      <w:r>
        <w:rPr>
          <w:rFonts w:ascii="Arial" w:cs="Arial" w:eastAsia="Arial" w:hAnsi="Arial"/>
          <w:sz w:val="17"/>
          <w:szCs w:val="17"/>
          <w:i w:val="1"/>
          <w:iCs w:val="1"/>
          <w:color w:val="auto"/>
        </w:rPr>
        <w:t>Suspension</w:t>
      </w:r>
      <w:r>
        <w:rPr>
          <w:rFonts w:ascii="Arial" w:cs="Arial" w:eastAsia="Arial" w:hAnsi="Arial"/>
          <w:sz w:val="17"/>
          <w:szCs w:val="17"/>
          <w:color w:val="auto"/>
        </w:rPr>
        <w:t xml:space="preserve"> </w:t>
      </w:r>
      <w:r>
        <w:rPr>
          <w:rFonts w:ascii="Arial" w:cs="Arial" w:eastAsia="Arial" w:hAnsi="Arial"/>
          <w:sz w:val="17"/>
          <w:szCs w:val="17"/>
          <w:i w:val="1"/>
          <w:iCs w:val="1"/>
          <w:color w:val="auto"/>
        </w:rPr>
        <w:t>Period</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firstLine="656"/>
        <w:spacing w:after="0" w:line="285" w:lineRule="auto"/>
        <w:tabs>
          <w:tab w:leader="none" w:pos="1363" w:val="left"/>
        </w:tabs>
        <w:numPr>
          <w:ilvl w:val="0"/>
          <w:numId w:val="375"/>
        </w:numPr>
        <w:rPr>
          <w:rFonts w:ascii="Arial" w:cs="Arial" w:eastAsia="Arial" w:hAnsi="Arial"/>
          <w:sz w:val="16"/>
          <w:szCs w:val="16"/>
          <w:color w:val="auto"/>
        </w:rPr>
      </w:pPr>
      <w:r>
        <w:rPr>
          <w:rFonts w:ascii="Arial" w:cs="Arial" w:eastAsia="Arial" w:hAnsi="Arial"/>
          <w:sz w:val="16"/>
          <w:szCs w:val="16"/>
          <w:color w:val="auto"/>
        </w:rPr>
        <w:t>On the Reversion Date, all Indebtedness Incurred during the Suspension Period (or deemed Incurred in connection with a Limited Condition Transaction entered into during the Suspension Period) will be classified to have been Incurred pursuant to Section 4.09(a) (to the extent such Indebtedness would be permitted to be Incurred thereunder as of the Reversion Date and after giving effect to the Indebtedness Incurred prior to the Suspension Period and outstanding on the Reversion Date). To the extent such Indebtedness would not be so permitted to be Incurred pursuant to Section 4.09(a), such Indebtedness will be deemed to have been outstanding on the Issue Date, so that it is classified as permitted under clause (4) of Section</w:t>
      </w:r>
    </w:p>
    <w:p>
      <w:pPr>
        <w:spacing w:after="0" w:line="1"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4.09(b). Calculations made after the Reversion Date of the amount available to be made as Restricted Payments under Section 4.07 will be made as though Section 4.07 had been in effect since the Issue Date and prior to, but not during, the Suspension Period. Accordingly, Restricted Payments made during the Suspension Period will not reduce the amount available to be made as Restricted Payments under Section 4.07(a) of or any other provision under Section 4.07;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Subsidiaries may be designated as Unrestricted Subsidiaries during the Suspension Period, unless such designation would have complied with Section 4.07 as if such covenant would have been in effect during such period. Additionally, (a) any Affiliate Transaction entered into after such reinstatement pursuant to an agreement entered into during any Suspension Period shall be deemed to be permitted pursuant to Section 4.11(b)(8), (b) any encumbrance or restriction on the ability of any Restricted Subsidiary to take any action described in Section 4.08(a) that becomes effective during any Suspension Period shall be deemed to be encumbrances or restrictions existing on the Issue Date and (c) all Investments made during the Suspension Period (or deemed made in connection with a Limited Condition Transaction entered into during the Suspension Period) will be classified to have been made under clause (i) of the definition of “Permitted Investments”.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0" w:name="page341"/>
    <w:bookmarkEnd w:id="340"/>
    <w:p>
      <w:pPr>
        <w:ind w:right="720" w:firstLine="656"/>
        <w:spacing w:after="0" w:line="342" w:lineRule="auto"/>
        <w:tabs>
          <w:tab w:leader="none" w:pos="1173" w:val="left"/>
        </w:tabs>
        <w:numPr>
          <w:ilvl w:val="0"/>
          <w:numId w:val="376"/>
        </w:numPr>
        <w:rPr>
          <w:rFonts w:ascii="Arial" w:cs="Arial" w:eastAsia="Arial" w:hAnsi="Arial"/>
          <w:sz w:val="16"/>
          <w:szCs w:val="16"/>
          <w:color w:val="auto"/>
        </w:rPr>
      </w:pPr>
      <w:r>
        <w:rPr>
          <w:rFonts w:ascii="Arial" w:cs="Arial" w:eastAsia="Arial" w:hAnsi="Arial"/>
          <w:sz w:val="16"/>
          <w:szCs w:val="16"/>
          <w:color w:val="auto"/>
        </w:rPr>
        <w:t>During the Suspension Period, any future obligation to grant further Note Guarantees and provide collateral for the Notes shall be suspended. All such further obligation to grant Note Guarantees and provide collateral for the Notes shall be reinstated upon the Reversion Date.</w:t>
      </w:r>
    </w:p>
    <w:p>
      <w:pPr>
        <w:spacing w:after="0" w:line="123" w:lineRule="exact"/>
        <w:rPr>
          <w:rFonts w:ascii="Arial" w:cs="Arial" w:eastAsia="Arial" w:hAnsi="Arial"/>
          <w:sz w:val="16"/>
          <w:szCs w:val="16"/>
          <w:color w:val="auto"/>
        </w:rPr>
      </w:pPr>
    </w:p>
    <w:p>
      <w:pPr>
        <w:ind w:right="180" w:firstLine="656"/>
        <w:spacing w:after="0" w:line="286" w:lineRule="auto"/>
        <w:tabs>
          <w:tab w:leader="none" w:pos="1159"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The Trustee shall have no duty to monitor the ratings of the Notes, shall not be deemed to have any knowledge of the ratings of the Notes and shall have no duty to notify Holders if the Notes achieve Investment Grade Status or of the occurrence of a Reversion Date. The Issuer shall provide written notice to the Trustee of the commencement or end, as applicable, of a Suspension Period.</w:t>
      </w:r>
    </w:p>
    <w:p>
      <w:pPr>
        <w:spacing w:after="0" w:line="16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4.21</w:t>
      </w:r>
      <w:r>
        <w:rPr>
          <w:sz w:val="20"/>
          <w:szCs w:val="20"/>
          <w:color w:val="auto"/>
        </w:rPr>
        <w:tab/>
      </w:r>
      <w:r>
        <w:rPr>
          <w:rFonts w:ascii="Arial" w:cs="Arial" w:eastAsia="Arial" w:hAnsi="Arial"/>
          <w:sz w:val="16"/>
          <w:szCs w:val="16"/>
          <w:i w:val="1"/>
          <w:iCs w:val="1"/>
          <w:color w:val="auto"/>
        </w:rPr>
        <w:t>Additional Amounts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All payments made by or on behalf of the Issuer or any Guarantor under or with respect to the Notes or any Note Guarantee will be made without withholding or deduction for, or on account of, any present or future Taxes unless the withholding or deduction of such Taxes is then required by law. If any deduction or withholding for, or on account of, any Taxes imposed or levied by or on behalf of (1) any jurisdiction in which the Issuer or any Guarantor (including any successor entity) is then incorporated, organized, engaged in business or resident for tax purposes or any political subdivision or Governmental Authority thereof or therein or (2) any jurisdiction from or through which payment is made by or on behalf of the Issuer or any Guarantor (including, without limitation, the jurisdiction of any Paying Agent) or any political subdivision or Governmental Authority thereof or therein (each of (1) and (2), a “</w:t>
      </w:r>
      <w:r>
        <w:rPr>
          <w:rFonts w:ascii="Arial" w:cs="Arial" w:eastAsia="Arial" w:hAnsi="Arial"/>
          <w:sz w:val="17"/>
          <w:szCs w:val="17"/>
          <w:i w:val="1"/>
          <w:iCs w:val="1"/>
          <w:color w:val="auto"/>
        </w:rPr>
        <w:t>Tax Jurisdiction</w:t>
      </w:r>
      <w:r>
        <w:rPr>
          <w:rFonts w:ascii="Arial" w:cs="Arial" w:eastAsia="Arial" w:hAnsi="Arial"/>
          <w:sz w:val="17"/>
          <w:szCs w:val="17"/>
          <w:color w:val="auto"/>
        </w:rPr>
        <w:t>”) will at any time be required to be made from any payments under or with respect to the Notes or any Note Guarantee, including, without limitation, payments of principal, redemption price, interest or premium, the Issuer or the relevant Guarantor, as applicable, will pay such additional amounts (the “</w:t>
      </w:r>
      <w:r>
        <w:rPr>
          <w:rFonts w:ascii="Arial" w:cs="Arial" w:eastAsia="Arial" w:hAnsi="Arial"/>
          <w:sz w:val="17"/>
          <w:szCs w:val="17"/>
          <w:i w:val="1"/>
          <w:iCs w:val="1"/>
          <w:color w:val="auto"/>
        </w:rPr>
        <w:t>Additional Amounts</w:t>
      </w:r>
      <w:r>
        <w:rPr>
          <w:rFonts w:ascii="Arial" w:cs="Arial" w:eastAsia="Arial" w:hAnsi="Arial"/>
          <w:sz w:val="17"/>
          <w:szCs w:val="17"/>
          <w:color w:val="auto"/>
        </w:rPr>
        <w:t xml:space="preserve">”) to the applicable holder as may be necessary in order that the net amounts received in respect of such payments by the applicable beneficial owner of Notes after such withholding or deduction by any applicable withholding agent will equal the amounts that would have been received in respect of such payments in the absence of such withholding or deduction;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 Additional Amounts will be payable with respect to:</w:t>
      </w:r>
    </w:p>
    <w:p>
      <w:pPr>
        <w:spacing w:after="0" w:line="179" w:lineRule="exact"/>
        <w:rPr>
          <w:sz w:val="20"/>
          <w:szCs w:val="20"/>
          <w:color w:val="auto"/>
        </w:rPr>
      </w:pPr>
    </w:p>
    <w:p>
      <w:pPr>
        <w:jc w:val="both"/>
        <w:ind w:firstLine="656"/>
        <w:spacing w:after="0" w:line="257" w:lineRule="auto"/>
        <w:tabs>
          <w:tab w:leader="none" w:pos="121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holder or the beneficial owner of the Notes being or having been a citizen or resident or national of, being or having been incorporated or being or having been engaged in a trade or business in or having any other present or former connection with the relevant Tax Jurisdiction other than a connection arising solely as a result of the acquisition or holding of any note, the exercise or enforcement of rights under any note or this Indenture or any Note Guarantee or the receipt of any payment in respect of any note or Note Guarantee;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1" w:name="page342"/>
    <w:bookmarkEnd w:id="341"/>
    <w:p>
      <w:pPr>
        <w:ind w:left="-60" w:right="300" w:firstLine="656"/>
        <w:spacing w:after="0" w:line="286" w:lineRule="auto"/>
        <w:tabs>
          <w:tab w:leader="none" w:pos="1113" w:val="left"/>
        </w:tabs>
        <w:numPr>
          <w:ilvl w:val="0"/>
          <w:numId w:val="378"/>
        </w:numPr>
        <w:rPr>
          <w:rFonts w:ascii="Arial" w:cs="Arial" w:eastAsia="Arial" w:hAnsi="Arial"/>
          <w:sz w:val="17"/>
          <w:szCs w:val="17"/>
          <w:color w:val="auto"/>
        </w:rPr>
      </w:pPr>
      <w:r>
        <w:rPr>
          <w:rFonts w:ascii="Arial" w:cs="Arial" w:eastAsia="Arial" w:hAnsi="Arial"/>
          <w:sz w:val="17"/>
          <w:szCs w:val="17"/>
          <w:color w:val="auto"/>
        </w:rPr>
        <w:t>any Taxes, to the extent such Taxes were imposed as a result of the presentation of a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 day period);</w:t>
      </w:r>
    </w:p>
    <w:p>
      <w:pPr>
        <w:spacing w:after="0" w:line="165" w:lineRule="exact"/>
        <w:rPr>
          <w:rFonts w:ascii="Arial" w:cs="Arial" w:eastAsia="Arial" w:hAnsi="Arial"/>
          <w:sz w:val="17"/>
          <w:szCs w:val="17"/>
          <w:color w:val="auto"/>
        </w:rPr>
      </w:pPr>
    </w:p>
    <w:p>
      <w:pPr>
        <w:ind w:left="1120" w:hanging="524"/>
        <w:spacing w:after="0"/>
        <w:tabs>
          <w:tab w:leader="none" w:pos="11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estate, inheritance, gift, wealth, sale, transfer or similar Taxes;</w:t>
      </w:r>
    </w:p>
    <w:p>
      <w:pPr>
        <w:spacing w:after="0" w:line="225" w:lineRule="exact"/>
        <w:rPr>
          <w:rFonts w:ascii="Arial" w:cs="Arial" w:eastAsia="Arial" w:hAnsi="Arial"/>
          <w:sz w:val="18"/>
          <w:szCs w:val="18"/>
          <w:color w:val="auto"/>
        </w:rPr>
      </w:pPr>
    </w:p>
    <w:p>
      <w:pPr>
        <w:ind w:left="-60" w:right="240" w:firstLine="656"/>
        <w:spacing w:after="0" w:line="263" w:lineRule="auto"/>
        <w:tabs>
          <w:tab w:leader="none" w:pos="111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Taxes withheld or deducted as a result of the presentation of any Note for payment by or on behalf of a Holder of Notes who would have been able to avoid such withholding or deduction by presenting the relevant Note to another Paying Agent designated by the Issuer under this Indenture;</w:t>
      </w:r>
    </w:p>
    <w:p>
      <w:pPr>
        <w:spacing w:after="0" w:line="183" w:lineRule="exact"/>
        <w:rPr>
          <w:rFonts w:ascii="Arial" w:cs="Arial" w:eastAsia="Arial" w:hAnsi="Arial"/>
          <w:sz w:val="18"/>
          <w:szCs w:val="18"/>
          <w:color w:val="auto"/>
        </w:rPr>
      </w:pPr>
    </w:p>
    <w:p>
      <w:pPr>
        <w:ind w:left="1120" w:hanging="524"/>
        <w:spacing w:after="0"/>
        <w:tabs>
          <w:tab w:leader="none" w:pos="112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any Taxes imposed other than by deduction or withholding from payments under, or with respect to, the Notes or any Note Guarantee;</w:t>
      </w:r>
    </w:p>
    <w:p>
      <w:pPr>
        <w:spacing w:after="0" w:line="248" w:lineRule="exact"/>
        <w:rPr>
          <w:rFonts w:ascii="Arial" w:cs="Arial" w:eastAsia="Arial" w:hAnsi="Arial"/>
          <w:sz w:val="16"/>
          <w:szCs w:val="16"/>
          <w:color w:val="auto"/>
        </w:rPr>
      </w:pPr>
    </w:p>
    <w:p>
      <w:pPr>
        <w:ind w:left="-60" w:right="140" w:firstLine="656"/>
        <w:spacing w:after="0" w:line="257" w:lineRule="auto"/>
        <w:tabs>
          <w:tab w:leader="none" w:pos="112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Notes to accurately comply with a reasonable request from an applicable withholding agent to meet any certification, identification, information or other reporting requirements, whether required by statute, treaty, regulation or administrative practice of a Tax Jurisdiction, as a precondition to exemption from, or reduction in the rate of deduction or withholding of, Taxes imposed by the Tax Jurisdiction, but in each case, only to the extent the Holder or beneficial owner is legally eligible to comply with such requirements;</w:t>
      </w:r>
    </w:p>
    <w:p>
      <w:pPr>
        <w:spacing w:after="0" w:line="187" w:lineRule="exact"/>
        <w:rPr>
          <w:rFonts w:ascii="Arial" w:cs="Arial" w:eastAsia="Arial" w:hAnsi="Arial"/>
          <w:sz w:val="18"/>
          <w:szCs w:val="18"/>
          <w:color w:val="auto"/>
        </w:rPr>
      </w:pPr>
    </w:p>
    <w:p>
      <w:pPr>
        <w:ind w:left="-60" w:right="80" w:firstLine="656"/>
        <w:spacing w:after="0" w:line="255" w:lineRule="auto"/>
        <w:tabs>
          <w:tab w:leader="none" w:pos="111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Taxes imposed or withheld by reason of the failure of the Holder or beneficial owner of the Notes to comply with the requirements of Sections 1471 through 1474 of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as of the Issue Date (or any amended or successor version that is substantively comparable and not materially more onerous to comply with) and any current or future regulations or official interpretations thereof, any agreements entered into pursuant to current Section 1471(b)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pacing w:after="0" w:line="192" w:lineRule="exact"/>
        <w:rPr>
          <w:rFonts w:ascii="Arial" w:cs="Arial" w:eastAsia="Arial" w:hAnsi="Arial"/>
          <w:sz w:val="18"/>
          <w:szCs w:val="18"/>
          <w:color w:val="auto"/>
        </w:rPr>
      </w:pPr>
    </w:p>
    <w:p>
      <w:pPr>
        <w:ind w:left="1120" w:hanging="524"/>
        <w:spacing w:after="0"/>
        <w:tabs>
          <w:tab w:leader="none" w:pos="11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Tax imposed by the United States (or any political subdivision thereof or therein);</w:t>
      </w:r>
    </w:p>
    <w:p>
      <w:pPr>
        <w:spacing w:after="0" w:line="225" w:lineRule="exact"/>
        <w:rPr>
          <w:rFonts w:ascii="Arial" w:cs="Arial" w:eastAsia="Arial" w:hAnsi="Arial"/>
          <w:sz w:val="18"/>
          <w:szCs w:val="18"/>
          <w:color w:val="auto"/>
        </w:rPr>
      </w:pPr>
    </w:p>
    <w:p>
      <w:pPr>
        <w:ind w:left="-60" w:right="300" w:firstLine="656"/>
        <w:spacing w:after="0" w:line="263" w:lineRule="auto"/>
        <w:tabs>
          <w:tab w:leader="none" w:pos="111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Taxes imposed on or with respect to any payment by or on behalf of the Issuer or any Guarantor to the Holder if such Holder is a fiduciary, partnership, limited liability company or person other than the sole beneficial owner of such payment to the extent that such Taxes would not have been imposed had such beneficial owner been the Holder; or</w:t>
      </w:r>
    </w:p>
    <w:p>
      <w:pPr>
        <w:spacing w:after="0" w:line="183" w:lineRule="exact"/>
        <w:rPr>
          <w:rFonts w:ascii="Arial" w:cs="Arial" w:eastAsia="Arial" w:hAnsi="Arial"/>
          <w:sz w:val="18"/>
          <w:szCs w:val="18"/>
          <w:color w:val="auto"/>
        </w:rPr>
      </w:pPr>
    </w:p>
    <w:p>
      <w:pPr>
        <w:ind w:left="-60" w:firstLine="656"/>
        <w:spacing w:after="0" w:line="259" w:lineRule="auto"/>
        <w:tabs>
          <w:tab w:leader="none" w:pos="111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(i) Luxembourg withholding tax due under the so-called Luxembourg Relibi Law dated 23 December 2005 by the Grand-Duchy of Luxembourg or (ii) Luxembourg registration duties (droits d’enregistrement) payable due to a registration, submission or filing by any Holder or beneficial owner of a Note of any Note or Note Guarantee, except if such registration, submission or filing is required to maintain, establish, enforce or preserve the rights of such Holder or beneficial owner under such Note or Note Guarantee;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20"/>
          </w:cols>
          <w:pgMar w:left="380" w:top="692" w:right="399" w:bottom="1440" w:gutter="0" w:footer="0" w:header="0"/>
        </w:sectPr>
      </w:pPr>
    </w:p>
    <w:bookmarkStart w:id="342" w:name="page343"/>
    <w:bookmarkEnd w:id="342"/>
    <w:p>
      <w:pPr>
        <w:ind w:left="1180" w:hanging="524"/>
        <w:spacing w:after="0"/>
        <w:tabs>
          <w:tab w:leader="none" w:pos="11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combination of clauses (a) through (j) above.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In addition to the foregoing, the Issuer will also pay and indemnify the Holder for any present or future stamp, court, documentary, intangible, recording, registration, excise, property, filing or similar Taxes which are levied by any Tax Jurisdiction (other than the United States or any political subdivision thereof or therein) on the execution, delivery, issuance, or registration of any of the Notes, this Indenture, any Note Guarantee or any other document referred to therein, or the receipt of any payments with respect thereto, or the enforcement of any Note or Note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solely in the case of any such taxes imposed in respect of the receipt of any payment, that such tax is not a tax described in clauses (a) through (k) above other than clause (e).</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the Issuer or any Guarantor becomes aware that it will be obligated to pay Additional Amounts with respect to any payment under or with respect to the Notes or any Note Guarantee, the Issuer or the relevant Guarantor, as the case may be, will deliver to the Trustee (with a copy to the Paying Agent) on a date that is at least 30 days prior to the date of that payment (unless the obligation to pay Additional Amounts arises after the 30th day prior to that payment date, in which case the Issuer or the relevant Guarantor shall notify the Trustee (with a copy to the Paying Agent) promptly thereafter) an Officer’s Certificate stating the fact that Additional Amounts will be payable and the amount estimated to be so payable. The Officer’s Certificate must also set forth any other information reasonably necessary to enable the Paying Agents to pay Additional Amounts on the relevant payment date. The Trustee and the Paying Agent shall be entitled to rely on an Officer’s Certificate as conclusive proof that such payments are necessary. The Issuer or the relevant Guarantor will provide the Trustee (with a copy to the Paying Agent) with documentation reasonably satisfactory to the Trustee evidencing the payment of Additional Amounts.</w:t>
      </w:r>
    </w:p>
    <w:p>
      <w:pPr>
        <w:spacing w:after="0" w:line="19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Issuer or the relevant Guarantor will make all withholdings and deductions (within the time period and in the minimum amount) required by law and will remit the full amount deducted or withheld to the relevant Tax authority in accordance with applicable law. The Issuer or the relevant Guarantor will use its reasonable efforts to obtain Tax receipts from each Tax authority evidencing the payment of any Taxes so deducted or withheld. Upon request, the Issuer or the relevant Guarantor will furnish to the Trustee (or to a Holder upon request), within 60 days after the date the payment of any Taxes so deducted or withheld is made, certified copies of Tax receipts evidencing payment by the Issuer or such Guarantor, as the case may be, or if, notwithstanding such entity’s efforts to obtain receipts, receipts are not obtained, other evidence of payments (reasonably satisfactory to the Trustee) by such entity.</w:t>
      </w:r>
    </w:p>
    <w:p>
      <w:pPr>
        <w:spacing w:after="0" w:line="19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Whenever in this Indenture or the Notes there is mentioned, in any context, the payment of amounts based upon the principal amount of the Notes or of principal, interest or of any other amount payable under, or with respect to, any of the Notes or any Note Guarantee, such mention shall be deemed to include mention of the payment of Additional Amounts to the extent that, in such context, Additional Amounts are, were or would be payable in respect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3" w:name="page344"/>
    <w:bookmarkEnd w:id="343"/>
    <w:p>
      <w:pPr>
        <w:ind w:right="20" w:firstLine="648"/>
        <w:spacing w:after="0" w:line="259" w:lineRule="auto"/>
        <w:rPr>
          <w:sz w:val="20"/>
          <w:szCs w:val="20"/>
          <w:color w:val="auto"/>
        </w:rPr>
      </w:pPr>
      <w:r>
        <w:rPr>
          <w:rFonts w:ascii="Arial" w:cs="Arial" w:eastAsia="Arial" w:hAnsi="Arial"/>
          <w:sz w:val="18"/>
          <w:szCs w:val="18"/>
          <w:color w:val="auto"/>
        </w:rPr>
        <w:t>The above obligations will survive any termination, defeasance or discharge of this Indenture and any transfer by a Holder or beneficial owner of its Notes, and will apply, mutatis mutandis, to any jurisdiction in which any successor Person to the Issuer or any Guarantor is incorporated, organized, engaged in business or resident for tax purposes, any jurisdiction from or through which payment is made by or on behalf of such Person, and, in each case, any political subdivision or governmental authority thereof or therein.</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4.22</w:t>
      </w:r>
      <w:r>
        <w:rPr>
          <w:sz w:val="20"/>
          <w:szCs w:val="20"/>
          <w:color w:val="auto"/>
        </w:rPr>
        <w:tab/>
      </w:r>
      <w:r>
        <w:rPr>
          <w:rFonts w:ascii="Arial" w:cs="Arial" w:eastAsia="Arial" w:hAnsi="Arial"/>
          <w:sz w:val="16"/>
          <w:szCs w:val="16"/>
          <w:i w:val="1"/>
          <w:iCs w:val="1"/>
          <w:color w:val="auto"/>
        </w:rPr>
        <w:t>After-Acquired Property.</w:t>
      </w:r>
    </w:p>
    <w:p>
      <w:pPr>
        <w:spacing w:after="0" w:line="225" w:lineRule="exact"/>
        <w:rPr>
          <w:sz w:val="20"/>
          <w:szCs w:val="20"/>
          <w:color w:val="auto"/>
        </w:rPr>
      </w:pPr>
    </w:p>
    <w:p>
      <w:pPr>
        <w:jc w:val="both"/>
        <w:ind w:firstLine="656"/>
        <w:spacing w:after="0" w:line="287" w:lineRule="auto"/>
        <w:tabs>
          <w:tab w:leader="none" w:pos="911"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Subject to the foregoing, if property that is intended to be Collateral (other than Excluded Assets) is acquired by the Issuer or a Guarantor (including property of a Person that becomes a new Guarantor) after the Issue Date and is not automatically subject to a perfected security interest under the Collateral Documents, then the Issuer or such Guarantor will provide a lien over such property consistent with the Liens granted over similar property in the applicable jurisdiction (or in the case of any jurisdiction where no liens were previously granted, to the extent in a Covered Jurisdiction and consistent with the Agreed Guarantee and Security Principles) (or, in the case of a new Guarantor, such of its property consistent with the Liens granted over similar property in the applicable jurisdiction (or in the case of any jurisdiction where no liens were previously granted, to the extent in a Covered Jurisdiction and consistent with the Agreed Guarantee and Security Principles)) in favor of the Notes Collateral Agents and deliver certain agreements, documents, security instruments and certificates in respect thereof, all as and to the extent required by this Indenture, the First Lien Intercreditor Agreement or the Collateral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Opinions of Counsel will be required to be provided;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while any obligations under the Senior Secured Credit Facilities are outstanding, this paragraph shall only apply to Collateral that is also pledged to secure the obligations under the Senior Secured Credit Facilities (including property of a Person that becomes a new Guarantor) after the Issue Date.</w:t>
      </w:r>
    </w:p>
    <w:p>
      <w:pPr>
        <w:spacing w:after="0" w:line="171" w:lineRule="exact"/>
        <w:rPr>
          <w:rFonts w:ascii="Arial" w:cs="Arial" w:eastAsia="Arial" w:hAnsi="Arial"/>
          <w:sz w:val="16"/>
          <w:szCs w:val="16"/>
          <w:color w:val="auto"/>
        </w:rPr>
      </w:pPr>
    </w:p>
    <w:p>
      <w:pPr>
        <w:jc w:val="both"/>
        <w:ind w:firstLine="656"/>
        <w:spacing w:after="0" w:line="269" w:lineRule="auto"/>
        <w:tabs>
          <w:tab w:leader="none" w:pos="922" w:val="left"/>
        </w:tabs>
        <w:numPr>
          <w:ilvl w:val="0"/>
          <w:numId w:val="380"/>
        </w:numPr>
        <w:rPr>
          <w:rFonts w:ascii="Arial" w:cs="Arial" w:eastAsia="Arial" w:hAnsi="Arial"/>
          <w:sz w:val="17"/>
          <w:szCs w:val="17"/>
          <w:color w:val="auto"/>
        </w:rPr>
      </w:pPr>
      <w:r>
        <w:rPr>
          <w:rFonts w:ascii="Arial" w:cs="Arial" w:eastAsia="Arial" w:hAnsi="Arial"/>
          <w:sz w:val="17"/>
          <w:szCs w:val="17"/>
          <w:color w:val="auto"/>
        </w:rPr>
        <w:t>Notwithstanding anything in this Indenture or the Collateral Documents to the contrary, in addition to the other exceptions and limitations described in the Collateral Documents, and notwithstanding any action that is taken in favor of the lenders under the Senior Secured Credit Facilities, none of the Issuer or any Guarantor shall have any obligation to (A) enter into control agreements with respect to any security interest or lien in any Deposit Account or Securities Account (in each case, as defined in the UCC) included in the Collateral or provide fixed security over bank accounts, (B) perfect any security interest or lien in any intellectual property included in the Collateral in any jurisdiction other than in the United States, and solely with respect to Material Intellectual Property, Ireland or Luxembourg, (C) to obtain any landlord waivers, estoppels or collateral access letters, (D) perfect a security interest in any letter of credit rights, other than the filing of a UCC financing statement, (E) pledge Equity Interests of any partnership, joint venture or non-wholly-owned Subsidiary which are not permitted to be pledged pursuant to the terms of such partnership’s, joint venture’s or non-wholly-owned Subsidiary’s organizational, joint venture or equivalent documents (after giving effect to the applicable anti-assignment provisions of the UCC or other applicable law) or (F) enter into any Collateral Documents or take any perfection steps outside of the jurisdiction of organization of such Issuer or Guarantor (other than the recordation of patent, trademark and copyright security agreements in the United States Patent and Trademark Office and the United States Copyright Office).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4" w:name="page345"/>
    <w:bookmarkEnd w:id="344"/>
    <w:p>
      <w:pPr>
        <w:ind w:left="660"/>
        <w:spacing w:after="0"/>
        <w:tabs>
          <w:tab w:leader="none" w:pos="1800" w:val="left"/>
        </w:tabs>
        <w:rPr>
          <w:sz w:val="20"/>
          <w:szCs w:val="20"/>
          <w:color w:val="auto"/>
        </w:rPr>
      </w:pPr>
      <w:r>
        <w:rPr>
          <w:rFonts w:ascii="Arial" w:cs="Arial" w:eastAsia="Arial" w:hAnsi="Arial"/>
          <w:sz w:val="18"/>
          <w:szCs w:val="18"/>
          <w:color w:val="auto"/>
        </w:rPr>
        <w:t>Section 4.23</w:t>
      </w:r>
      <w:r>
        <w:rPr>
          <w:sz w:val="20"/>
          <w:szCs w:val="20"/>
          <w:color w:val="auto"/>
        </w:rPr>
        <w:tab/>
      </w:r>
      <w:r>
        <w:rPr>
          <w:rFonts w:ascii="Arial" w:cs="Arial" w:eastAsia="Arial" w:hAnsi="Arial"/>
          <w:sz w:val="16"/>
          <w:szCs w:val="16"/>
          <w:i w:val="1"/>
          <w:iCs w:val="1"/>
          <w:color w:val="auto"/>
        </w:rPr>
        <w:t>No Impairment of the Security Interests.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Except as otherwise permitted under this Indenture (including, for the avoidance of doubt, pursuant to a transaction otherwise permitted by this Indenture), the First Lien Intercreditor Agreement and the Collateral Documents, none of the Issuer nor any of the Guarantors shall be permitted to take any action, or knowingly omit to take any action, which action or omission would have the result of materially impairing the security interest with respect to the Collateral for the benefit of the Trustee, the Notes Collateral Agent and the Holders of the Notes.</w:t>
      </w:r>
    </w:p>
    <w:p>
      <w:pPr>
        <w:spacing w:after="0" w:line="17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4.24</w:t>
      </w:r>
      <w:r>
        <w:rPr>
          <w:sz w:val="20"/>
          <w:szCs w:val="20"/>
          <w:color w:val="auto"/>
        </w:rPr>
        <w:tab/>
      </w:r>
      <w:r>
        <w:rPr>
          <w:rFonts w:ascii="Arial" w:cs="Arial" w:eastAsia="Arial" w:hAnsi="Arial"/>
          <w:sz w:val="16"/>
          <w:szCs w:val="16"/>
          <w:i w:val="1"/>
          <w:iCs w:val="1"/>
          <w:color w:val="auto"/>
        </w:rPr>
        <w:t>Post-Closing Collateral Matters.</w:t>
      </w:r>
    </w:p>
    <w:p>
      <w:pPr>
        <w:spacing w:after="0" w:line="225" w:lineRule="exact"/>
        <w:rPr>
          <w:sz w:val="20"/>
          <w:szCs w:val="20"/>
          <w:color w:val="auto"/>
        </w:rPr>
      </w:pPr>
    </w:p>
    <w:p>
      <w:pPr>
        <w:jc w:val="both"/>
        <w:ind w:firstLine="656"/>
        <w:spacing w:after="0" w:line="273" w:lineRule="auto"/>
        <w:tabs>
          <w:tab w:leader="none" w:pos="117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Within one hundred twenty (120) days after the Issue Date (or such later date as the Credit Agreement Administrative Agent shall consent, which extended period shall apply herein for all purposes) or as soon as practicable thereafter using commercially reasonable efforts, the Issuer shall deliver to the Notes Collateral Agent insurance certificates and endorsements in form and substance substantially consistent with the certificates and endorsements delivered to the Credit Agreement Collateral Agent pursuant to the Senior Secured Credit Facilities naming the Notes Collateral Agent for its benefit and the benefit of the Holders of the Notes, as loss payee on property and casualty insurance policies and as an additional insured on all general liability policies maintained by the Parent or any of its direct or indirect subsidiaries.</w:t>
      </w:r>
    </w:p>
    <w:p>
      <w:pPr>
        <w:spacing w:after="0" w:line="177" w:lineRule="exact"/>
        <w:rPr>
          <w:rFonts w:ascii="Arial" w:cs="Arial" w:eastAsia="Arial" w:hAnsi="Arial"/>
          <w:sz w:val="17"/>
          <w:szCs w:val="17"/>
          <w:color w:val="auto"/>
        </w:rPr>
      </w:pPr>
    </w:p>
    <w:p>
      <w:pPr>
        <w:jc w:val="both"/>
        <w:ind w:firstLine="656"/>
        <w:spacing w:after="0" w:line="273" w:lineRule="auto"/>
        <w:tabs>
          <w:tab w:leader="none" w:pos="118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Within one hundred twenty (120) days after the Issue Date (or such later date as the Credit Agreement Administrative Agent shall consent, which extended period shall apply herein for all purposes) or as soon as practicable thereafter using commercially reasonable efforts, the Issuer shall, or shall cause each applicable Guarantor to, deliver to the Credit Agreement Collateral Agent, as bailee for the Notes Collateral Agent pursuant to the terms of the First Lien Intercreditor Agreement, the stock certificates, together with an undated stock power or similar instrument of transfer for each such certificate endorsed in blank by a duly authorized officer of the grantor thereof, in each case in form and substance reasonably acceptable to the Credit Agreement Collateral Agent for the following entities: (x) Beacon Bioscience, Inc. and (y) DOCS Global, Inc.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25" w:lineRule="exact"/>
        <w:rPr>
          <w:sz w:val="20"/>
          <w:szCs w:val="20"/>
          <w:color w:val="auto"/>
        </w:rPr>
      </w:pPr>
    </w:p>
    <w:p>
      <w:pPr>
        <w:ind w:right="280" w:firstLine="656"/>
        <w:spacing w:after="0" w:line="263" w:lineRule="auto"/>
        <w:tabs>
          <w:tab w:leader="none" w:pos="115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Parent will not: (1) consolidate with or merge or amalgamate with or into another Person (whether or not the Parent is the surviving Person), or (2) directly or indirectly, sell, assign, transfer, convey, lease or otherwise dispose of all or substantially all of the assets of the Parent and the Restricted Subsidiaries taken as a whole, in one or more related transactions, to another Person, unless:</w:t>
      </w:r>
    </w:p>
    <w:p>
      <w:pPr>
        <w:spacing w:after="0" w:line="183" w:lineRule="exact"/>
        <w:rPr>
          <w:rFonts w:ascii="Arial" w:cs="Arial" w:eastAsia="Arial" w:hAnsi="Arial"/>
          <w:sz w:val="18"/>
          <w:szCs w:val="18"/>
          <w:color w:val="auto"/>
        </w:rPr>
      </w:pPr>
    </w:p>
    <w:p>
      <w:pPr>
        <w:ind w:left="2080" w:hanging="614"/>
        <w:spacing w:after="0"/>
        <w:tabs>
          <w:tab w:leader="none" w:pos="208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Parent is the surviving Person;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5" w:name="page346"/>
    <w:bookmarkEnd w:id="345"/>
    <w:p>
      <w:pPr>
        <w:jc w:val="both"/>
        <w:ind w:left="4" w:right="340" w:firstLine="644"/>
        <w:spacing w:after="0" w:line="263" w:lineRule="auto"/>
        <w:tabs>
          <w:tab w:leader="none" w:pos="1177"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amalgamation or merger (if other than the Parent) or to which such sale, assignment, transfer, conveyance, lease or other disposition has been made is an entity organized or existing under the laws of the United States, any state of the United States or the District of Columbia, Luxembourg or Ireland;</w:t>
      </w:r>
    </w:p>
    <w:p>
      <w:pPr>
        <w:spacing w:after="0" w:line="183" w:lineRule="exact"/>
        <w:rPr>
          <w:rFonts w:ascii="Arial" w:cs="Arial" w:eastAsia="Arial" w:hAnsi="Arial"/>
          <w:sz w:val="18"/>
          <w:szCs w:val="18"/>
          <w:color w:val="auto"/>
        </w:rPr>
      </w:pPr>
    </w:p>
    <w:p>
      <w:pPr>
        <w:jc w:val="both"/>
        <w:ind w:left="164" w:right="160" w:firstLine="646"/>
        <w:spacing w:after="0" w:line="286" w:lineRule="auto"/>
        <w:tabs>
          <w:tab w:leader="none" w:pos="1427" w:val="left"/>
        </w:tabs>
        <w:numPr>
          <w:ilvl w:val="2"/>
          <w:numId w:val="383"/>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amalgamation or merger (if other than the Parent) or the Person to which such sale, assignment, transfer, conveyance, lease or other disposition has been made assumes all the obligations of the Parent under the Note Guarantee, the Collateral Documents and this Indenture pursuant to a supplemental indenture;</w:t>
      </w:r>
    </w:p>
    <w:p>
      <w:pPr>
        <w:spacing w:after="0" w:line="165" w:lineRule="exact"/>
        <w:rPr>
          <w:rFonts w:ascii="Arial" w:cs="Arial" w:eastAsia="Arial" w:hAnsi="Arial"/>
          <w:sz w:val="17"/>
          <w:szCs w:val="17"/>
          <w:color w:val="auto"/>
        </w:rPr>
      </w:pPr>
    </w:p>
    <w:p>
      <w:pPr>
        <w:ind w:left="1424" w:hanging="614"/>
        <w:spacing w:after="0"/>
        <w:tabs>
          <w:tab w:leader="none" w:pos="1424" w:val="left"/>
        </w:tabs>
        <w:numPr>
          <w:ilvl w:val="2"/>
          <w:numId w:val="383"/>
        </w:numPr>
        <w:rPr>
          <w:rFonts w:ascii="Arial" w:cs="Arial" w:eastAsia="Arial" w:hAnsi="Arial"/>
          <w:sz w:val="18"/>
          <w:szCs w:val="18"/>
          <w:color w:val="auto"/>
        </w:rPr>
      </w:pPr>
      <w:r>
        <w:rPr>
          <w:rFonts w:ascii="Arial" w:cs="Arial" w:eastAsia="Arial" w:hAnsi="Arial"/>
          <w:sz w:val="18"/>
          <w:szCs w:val="18"/>
          <w:color w:val="auto"/>
        </w:rPr>
        <w:t>immediately after such transaction, no Event of Default exists;</w:t>
      </w:r>
    </w:p>
    <w:p>
      <w:pPr>
        <w:spacing w:after="0" w:line="225" w:lineRule="exact"/>
        <w:rPr>
          <w:rFonts w:ascii="Arial" w:cs="Arial" w:eastAsia="Arial" w:hAnsi="Arial"/>
          <w:sz w:val="18"/>
          <w:szCs w:val="18"/>
          <w:color w:val="auto"/>
        </w:rPr>
      </w:pPr>
    </w:p>
    <w:p>
      <w:pPr>
        <w:jc w:val="both"/>
        <w:ind w:left="164" w:firstLine="646"/>
        <w:spacing w:after="0" w:line="254" w:lineRule="auto"/>
        <w:tabs>
          <w:tab w:leader="none" w:pos="1465" w:val="left"/>
        </w:tabs>
        <w:numPr>
          <w:ilvl w:val="2"/>
          <w:numId w:val="383"/>
        </w:numPr>
        <w:rPr>
          <w:rFonts w:ascii="Arial" w:cs="Arial" w:eastAsia="Arial" w:hAnsi="Arial"/>
          <w:sz w:val="18"/>
          <w:szCs w:val="18"/>
          <w:color w:val="auto"/>
        </w:rPr>
      </w:pPr>
      <w:r>
        <w:rPr>
          <w:rFonts w:ascii="Arial" w:cs="Arial" w:eastAsia="Arial" w:hAnsi="Arial"/>
          <w:sz w:val="18"/>
          <w:szCs w:val="18"/>
          <w:color w:val="auto"/>
        </w:rPr>
        <w:t>the Parent or the Person formed by or surviving any such consolidation, amalgamation or merger (if other than the Parent), or to which such sale, assignment, transfer, conveyance, lease or other disposition has been made would, on the date of such transaction after giving pro forma effect thereto and any related financing transactions as if the same had occurred at the beginning of the applicable four-quarter period, (a) be permitted to incur at least $1.00 of additional Indebtedness pursuant to the Fixed Charge Coverage Ratio test or the Total Net Leverage Ratio test set forth in Section 4.09(a) or (b) have had a Fixed Charge Coverage Ratio not less than the actual Fixed Charge Coverage Ratio for such four-quarter period or have a Total Net Leverage Ratio that would be equal to or lower than such ratio immediately prior to such action;</w:t>
      </w:r>
    </w:p>
    <w:p>
      <w:pPr>
        <w:spacing w:after="0" w:line="194" w:lineRule="exact"/>
        <w:rPr>
          <w:rFonts w:ascii="Arial" w:cs="Arial" w:eastAsia="Arial" w:hAnsi="Arial"/>
          <w:sz w:val="18"/>
          <w:szCs w:val="18"/>
          <w:color w:val="auto"/>
        </w:rPr>
      </w:pPr>
    </w:p>
    <w:p>
      <w:pPr>
        <w:jc w:val="both"/>
        <w:ind w:left="164" w:firstLine="646"/>
        <w:spacing w:after="0" w:line="275" w:lineRule="auto"/>
        <w:tabs>
          <w:tab w:leader="none" w:pos="1491" w:val="left"/>
        </w:tabs>
        <w:numPr>
          <w:ilvl w:val="2"/>
          <w:numId w:val="383"/>
        </w:numPr>
        <w:rPr>
          <w:rFonts w:ascii="Arial" w:cs="Arial" w:eastAsia="Arial" w:hAnsi="Arial"/>
          <w:sz w:val="17"/>
          <w:szCs w:val="17"/>
          <w:color w:val="auto"/>
        </w:rPr>
      </w:pPr>
      <w:r>
        <w:rPr>
          <w:rFonts w:ascii="Arial" w:cs="Arial" w:eastAsia="Arial" w:hAnsi="Arial"/>
          <w:sz w:val="17"/>
          <w:szCs w:val="17"/>
          <w:color w:val="auto"/>
        </w:rPr>
        <w:t>to the extent any assets of the Person which is merged, consolidated or amalgamated with or into the Parent are assets of the type which would constitute Collateral under the Collateral Documents, the Parent or the surviving Person, as applicable, will take such action, if any, as may be reasonably necessary to cause such property and assets to be made subject to the Lien of the applicable Collateral Documents in the manner and to the extent required by this Indenture or under the applicable Collateral Documents and shall take all reasonably necessary action so that such Lien is perfected to the extent required by the applicable Collateral Documents; and</w:t>
      </w:r>
    </w:p>
    <w:p>
      <w:pPr>
        <w:spacing w:after="0" w:line="176" w:lineRule="exact"/>
        <w:rPr>
          <w:rFonts w:ascii="Arial" w:cs="Arial" w:eastAsia="Arial" w:hAnsi="Arial"/>
          <w:sz w:val="17"/>
          <w:szCs w:val="17"/>
          <w:color w:val="auto"/>
        </w:rPr>
      </w:pPr>
    </w:p>
    <w:p>
      <w:pPr>
        <w:ind w:left="164" w:right="600" w:firstLine="646"/>
        <w:spacing w:after="0" w:line="277" w:lineRule="auto"/>
        <w:tabs>
          <w:tab w:leader="none" w:pos="1427" w:val="left"/>
        </w:tabs>
        <w:numPr>
          <w:ilvl w:val="2"/>
          <w:numId w:val="383"/>
        </w:numPr>
        <w:rPr>
          <w:rFonts w:ascii="Arial" w:cs="Arial" w:eastAsia="Arial" w:hAnsi="Arial"/>
          <w:sz w:val="18"/>
          <w:szCs w:val="18"/>
          <w:color w:val="auto"/>
        </w:rPr>
      </w:pPr>
      <w:r>
        <w:rPr>
          <w:rFonts w:ascii="Arial" w:cs="Arial" w:eastAsia="Arial" w:hAnsi="Arial"/>
          <w:sz w:val="18"/>
          <w:szCs w:val="18"/>
          <w:color w:val="auto"/>
        </w:rPr>
        <w:t>the Parent shall have delivered to the Trustee an Officer’s Certificate and an Opinion of Counsel, each stating that such consolidation, merger or transfer and such supplemental indenture (if any) comply with this Indenture.</w:t>
      </w:r>
    </w:p>
    <w:p>
      <w:pPr>
        <w:spacing w:after="0" w:line="170" w:lineRule="exact"/>
        <w:rPr>
          <w:rFonts w:ascii="Arial" w:cs="Arial" w:eastAsia="Arial" w:hAnsi="Arial"/>
          <w:sz w:val="18"/>
          <w:szCs w:val="18"/>
          <w:color w:val="auto"/>
        </w:rPr>
      </w:pPr>
    </w:p>
    <w:p>
      <w:pPr>
        <w:ind w:left="524" w:hanging="524"/>
        <w:spacing w:after="0"/>
        <w:tabs>
          <w:tab w:leader="none" w:pos="524"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The Issuer shall not consolidate or merge with or into another Person (whether or not the Issuer is the surviving Person) unless:</w:t>
      </w:r>
    </w:p>
    <w:p>
      <w:pPr>
        <w:spacing w:after="0" w:line="236" w:lineRule="exact"/>
        <w:rPr>
          <w:rFonts w:ascii="Arial" w:cs="Arial" w:eastAsia="Arial" w:hAnsi="Arial"/>
          <w:sz w:val="17"/>
          <w:szCs w:val="17"/>
          <w:color w:val="auto"/>
        </w:rPr>
      </w:pPr>
    </w:p>
    <w:p>
      <w:pPr>
        <w:ind w:left="164" w:right="60" w:firstLine="646"/>
        <w:spacing w:after="0" w:line="259" w:lineRule="auto"/>
        <w:tabs>
          <w:tab w:leader="none" w:pos="1427" w:val="left"/>
        </w:tabs>
        <w:numPr>
          <w:ilvl w:val="2"/>
          <w:numId w:val="384"/>
        </w:numPr>
        <w:rPr>
          <w:rFonts w:ascii="Arial" w:cs="Arial" w:eastAsia="Arial" w:hAnsi="Arial"/>
          <w:sz w:val="18"/>
          <w:szCs w:val="18"/>
          <w:color w:val="auto"/>
        </w:rPr>
      </w:pPr>
      <w:r>
        <w:rPr>
          <w:rFonts w:ascii="Arial" w:cs="Arial" w:eastAsia="Arial" w:hAnsi="Arial"/>
          <w:sz w:val="18"/>
          <w:szCs w:val="18"/>
          <w:color w:val="auto"/>
        </w:rPr>
        <w:t>either: (a) the Issuer is the surviving Person; or (b) the Person formed by or surviving any such consolidation or merger (if other than the Issuer) is an entity organized or existing under the laws of the United States, any state of the United States or the District of Columbia, Luxembourg or Ireland; and, if such entity is not a corporation, a co-obligor of the Notes is a corporation organized or existing under any such laws;</w:t>
      </w:r>
    </w:p>
    <w:p>
      <w:pPr>
        <w:spacing w:after="0" w:line="187"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346" w:name="page347"/>
    <w:bookmarkEnd w:id="346"/>
    <w:p>
      <w:pPr>
        <w:jc w:val="both"/>
        <w:ind w:left="820" w:firstLine="646"/>
        <w:spacing w:after="0" w:line="263" w:lineRule="auto"/>
        <w:tabs>
          <w:tab w:leader="none" w:pos="209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Issuer) or the Person to which such sale, assignment, transfer, conveyance, lease or other disposition has been made assumes all the obligations of the Issuer under the Notes, the Collateral Documents and this Indenture pursuant to a supplemental indenture;</w:t>
      </w:r>
    </w:p>
    <w:p>
      <w:pPr>
        <w:spacing w:after="0" w:line="183" w:lineRule="exact"/>
        <w:rPr>
          <w:rFonts w:ascii="Arial" w:cs="Arial" w:eastAsia="Arial" w:hAnsi="Arial"/>
          <w:sz w:val="18"/>
          <w:szCs w:val="18"/>
          <w:color w:val="auto"/>
        </w:rPr>
      </w:pPr>
    </w:p>
    <w:p>
      <w:pPr>
        <w:ind w:left="2080" w:hanging="614"/>
        <w:spacing w:after="0"/>
        <w:tabs>
          <w:tab w:leader="none" w:pos="20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immediately after such transaction, no Event of Default exists; and</w:t>
      </w:r>
    </w:p>
    <w:p>
      <w:pPr>
        <w:spacing w:after="0" w:line="225" w:lineRule="exact"/>
        <w:rPr>
          <w:rFonts w:ascii="Arial" w:cs="Arial" w:eastAsia="Arial" w:hAnsi="Arial"/>
          <w:sz w:val="18"/>
          <w:szCs w:val="18"/>
          <w:color w:val="auto"/>
        </w:rPr>
      </w:pPr>
    </w:p>
    <w:p>
      <w:pPr>
        <w:ind w:left="820" w:right="140" w:firstLine="646"/>
        <w:spacing w:after="0" w:line="275" w:lineRule="auto"/>
        <w:tabs>
          <w:tab w:leader="none" w:pos="2083"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to the extent any assets of the Person which is merged, consolidated or amalgamated with or into the Issuer are assets of the type which would constitute Collateral under the Collateral Documents, the Issuer or the surviving Person, as applicable, will take such action, if any, as may be reasonably necessary to cause such property and assets to be made subject to the Lien of the applicable Collateral Documents in the manner and to the extent required by this Indenture or under the applicable Collateral Documents and shall take all reasonably necessary action so that such Lien is perfected to the extent required by the applicable Collateral Documents</w:t>
      </w:r>
    </w:p>
    <w:p>
      <w:pPr>
        <w:spacing w:after="0" w:line="17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This Section 5.01 will not apply to any sale, assignment, transfer, conveyance, lease or other disposition of assets that is not an Asset Sale or that is between or among the Parent and the Restricted Subsidiaries. Sections 5.01(a)(3) and (4) will not apply to any merger, amalgamation or consolidation of the Parent (1) with or into one of the Restricted Subsidiaries for any purpose or (2) with or into an Affiliate solely for the purpose of reincorporating the Parent in another jurisdiction. Section 5.01(b) will not apply to any merger or consolidation of the Issuer (1) with or into one of the Restricted Subsidiaries for any purpose so long as the surviving Person becomes a primary obligor of the Notes or (2) with or into an Affiliate solely for the purpose of reorganizing the Issuer in another jurisdiction so long as the surviving Person becomes a primary obligor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 such Person is not a corporation, a co-obligor of the Notes is a corporation organized or existing under the laws of the United States, any state of the United States or the District of Columbia, Luxembourg or Ireland.</w:t>
      </w:r>
    </w:p>
    <w:p>
      <w:pPr>
        <w:spacing w:after="0" w:line="19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Person formed by or surviving any such consolidation, amalgamation or merger (if other than the Parent or the Issuer) or the Person to which such sale, assignment, transfer, conveyance, lease or other disposition has been made will be the successor to the Parent or the Issuer and shall succeed to, and be substituted for, and may exercise every right and power of, the Parent or the Issuer, as the case may be, under this Indenture, and the Parent or the Issuer, except in the case of a lease, shall be released from the obligation to pay the principal of and interest on the Notes.</w:t>
      </w:r>
    </w:p>
    <w:p>
      <w:pPr>
        <w:spacing w:after="0" w:line="15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i w:val="1"/>
          <w:iCs w:val="1"/>
          <w:color w:val="auto"/>
        </w:rPr>
        <w:t>Successor Corporation Substituted.</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Upon any consolidation or merger, or any sale, assignment, transfer, lease, conveyance or other disposition of all or substantially all of the properties or assets of the Issuer in a transaction that is subject to, and that complies with the provisions of, Section 5.01 hereof, the successor Person formed by or surviving any such consolidation, amalgamation or merger (if other than the Parent or the Issuer) or the Person to which such sale, assignment, transfer, conveyance, lease or other disposition is made shall succeed to, and be substituted for, and may exercise every right and power of the Parent or the Issuer, as the case may be, under this Indenture and the Parent or the Issuer, except in the case of a lease, shall be released from the obligation to pay the principal of, premium on, if any, and interest on, the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7" w:name="page348"/>
    <w:bookmarkEnd w:id="347"/>
    <w:p>
      <w:pPr>
        <w:jc w:val="center"/>
        <w:ind w:right="640"/>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1420" w:hanging="614"/>
        <w:spacing w:after="0"/>
        <w:tabs>
          <w:tab w:leader="none" w:pos="14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420" w:hanging="614"/>
        <w:spacing w:after="0"/>
        <w:tabs>
          <w:tab w:leader="none" w:pos="14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default in the payment when due (at maturity, upon redemption or otherwise) of the principal of, or premium, if any, on the</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jc w:val="both"/>
        <w:ind w:left="160" w:right="160" w:firstLine="646"/>
        <w:spacing w:after="0" w:line="259" w:lineRule="auto"/>
        <w:tabs>
          <w:tab w:leader="none" w:pos="1423" w:val="left"/>
        </w:tabs>
        <w:numPr>
          <w:ilvl w:val="1"/>
          <w:numId w:val="387"/>
        </w:numPr>
        <w:rPr>
          <w:rFonts w:ascii="Arial" w:cs="Arial" w:eastAsia="Arial" w:hAnsi="Arial"/>
          <w:sz w:val="18"/>
          <w:szCs w:val="18"/>
          <w:color w:val="auto"/>
        </w:rPr>
      </w:pPr>
      <w:r>
        <w:rPr>
          <w:rFonts w:ascii="Arial" w:cs="Arial" w:eastAsia="Arial" w:hAnsi="Arial"/>
          <w:sz w:val="18"/>
          <w:szCs w:val="18"/>
          <w:color w:val="auto"/>
        </w:rPr>
        <w:t>failure by the Parent or any of the Restricted Subsidiaries to comply with any of the other agreements in this Indenture (other than a failure that is the subject of clause (1) or (2)) for 60 days after receipt by the Parent of written notice of such failure from the Trustee (or receipt by the Parent and the Trustee of written notice of such failure from the Holders of at least 30% in aggregate principal amount of the Notes then outstanding voting as a single class);</w:t>
      </w:r>
    </w:p>
    <w:p>
      <w:pPr>
        <w:spacing w:after="0" w:line="186" w:lineRule="exact"/>
        <w:rPr>
          <w:rFonts w:ascii="Arial" w:cs="Arial" w:eastAsia="Arial" w:hAnsi="Arial"/>
          <w:sz w:val="18"/>
          <w:szCs w:val="18"/>
          <w:color w:val="auto"/>
        </w:rPr>
      </w:pPr>
    </w:p>
    <w:p>
      <w:pPr>
        <w:ind w:left="160" w:firstLine="646"/>
        <w:spacing w:after="0" w:line="283" w:lineRule="auto"/>
        <w:tabs>
          <w:tab w:leader="none" w:pos="1423" w:val="left"/>
        </w:tabs>
        <w:numPr>
          <w:ilvl w:val="1"/>
          <w:numId w:val="387"/>
        </w:numPr>
        <w:rPr>
          <w:rFonts w:ascii="Arial" w:cs="Arial" w:eastAsia="Arial" w:hAnsi="Arial"/>
          <w:sz w:val="16"/>
          <w:szCs w:val="16"/>
          <w:color w:val="auto"/>
        </w:rPr>
      </w:pPr>
      <w:r>
        <w:rPr>
          <w:rFonts w:ascii="Arial" w:cs="Arial" w:eastAsia="Arial" w:hAnsi="Arial"/>
          <w:sz w:val="16"/>
          <w:szCs w:val="16"/>
          <w:color w:val="auto"/>
        </w:rPr>
        <w:t xml:space="preserve">one or more defaults shall have occurred under any of the agreements, indentures or instruments under which the Parent, the Issuer or any Significant Subsidiary has outstanding Indebtedness in excess of the greater of $175.0 million and 15.0% of Consolidated EBITDA for the Four Quarter Period, individually or in the aggregate, and either (a) such default results from the failure to pay such Indebtedness at its stated final maturity and such default has not been cured or the Indebtedness repaid in full within 60 days of the default or (b) such default or defaults have resulted in the acceleration of the maturity of such Indebtedness and such acceleration has not been rescinded or such Indebtedness repaid in full within 60 days of the acceleration;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(4) shall not apply to (i) Secured Indebtedness that becomes due as a result of the voluntary sale or transfer of the property or assets securing such Indebtedness, (ii) any redemption, repurchase, conversion, exchange or settlement with respect to any debt securities or other Indebtedness, the terms of which provide for conversion into, or exchange for, Equity Interests (other than Disqualified Stock) of Parent, cash in lieu thereof or a combination of Equity Interests and cash in lieu thereof pursuant to its terms unless such redemption, repurchase, conversion, exchange or settlement results from a default thereunder or an event of the type that constitutes an Event of Default, (iii) any early payment requirement or unwinding or termination with respect to any Hedge Agreement (other than any such payment requirement or termination resulting from a default by Parent or any Restricted Subsidiary) or</w:t>
      </w:r>
    </w:p>
    <w:p>
      <w:pPr>
        <w:spacing w:after="0" w:line="2" w:lineRule="exact"/>
        <w:rPr>
          <w:rFonts w:ascii="Arial" w:cs="Arial" w:eastAsia="Arial" w:hAnsi="Arial"/>
          <w:sz w:val="16"/>
          <w:szCs w:val="16"/>
          <w:color w:val="auto"/>
        </w:rPr>
      </w:pPr>
    </w:p>
    <w:p>
      <w:pPr>
        <w:ind w:left="160" w:right="180" w:hanging="2"/>
        <w:spacing w:after="0" w:line="260" w:lineRule="auto"/>
        <w:tabs>
          <w:tab w:leader="none" w:pos="46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Indebtedness of any Person whose Equity Interests are being acquired in a transaction otherwise permitted under this Indenture and which Indebtedness becomes due because of such transaction;</w:t>
      </w:r>
    </w:p>
    <w:p>
      <w:pPr>
        <w:spacing w:after="0" w:line="18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348" w:name="page349"/>
    <w:bookmarkEnd w:id="348"/>
    <w:p>
      <w:pPr>
        <w:ind w:left="-300" w:right="80" w:firstLine="646"/>
        <w:spacing w:after="0" w:line="254" w:lineRule="auto"/>
        <w:tabs>
          <w:tab w:leader="none" w:pos="96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one or more final and nonappealable judgments or orders that exceed the greater of $175.0 million and 15.0% of Consolidated EBITDA for the Four Quarter Period in the aggregate (net of amounts covered by insurance or bonded) for the payment of money have been entered by a court or courts of competent jurisdiction against the Parent, the Issuer or any Significant Subsidiary and such judgment or judgments are not satisfied, stayed, annulled or rescinded for 60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amount shall be calculated after deducting from the sum so payable any amount of such judgment or order that is covered by a valid and binding policy of insurance in favor of the Parent or such Restricted Subsidiary (but only if the applicable insurer shall have been advised of such judgment and of the intent of the Parent or such Restricted Subsidiary to make a claim in respect of any amount payable by it in connection therewith and such insurer shall not have disputed coverage);</w:t>
      </w:r>
    </w:p>
    <w:p>
      <w:pPr>
        <w:spacing w:after="0" w:line="191" w:lineRule="exact"/>
        <w:rPr>
          <w:rFonts w:ascii="Arial" w:cs="Arial" w:eastAsia="Arial" w:hAnsi="Arial"/>
          <w:sz w:val="18"/>
          <w:szCs w:val="18"/>
          <w:color w:val="auto"/>
        </w:rPr>
      </w:pPr>
    </w:p>
    <w:p>
      <w:pPr>
        <w:ind w:left="-300" w:firstLine="646"/>
        <w:spacing w:after="0" w:line="259" w:lineRule="auto"/>
        <w:tabs>
          <w:tab w:leader="none" w:pos="96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any Note Guarantee by the Parent or a Significant Subsidiary shall for any reason cease to be, or shall for any reason be held in any judicial proceeding not to be, or asserted in writing by the Parent or such Significant Subsidiary not to be, in full force and effect and enforceable in accordance with its terms, except to the extent contemplated by this Indenture and any such Note Guarantee, and any such default continues for 10 days;</w:t>
      </w:r>
    </w:p>
    <w:p>
      <w:pPr>
        <w:spacing w:after="0" w:line="186" w:lineRule="exact"/>
        <w:rPr>
          <w:rFonts w:ascii="Arial" w:cs="Arial" w:eastAsia="Arial" w:hAnsi="Arial"/>
          <w:sz w:val="18"/>
          <w:szCs w:val="18"/>
          <w:color w:val="auto"/>
        </w:rPr>
      </w:pPr>
    </w:p>
    <w:p>
      <w:pPr>
        <w:ind w:left="960" w:hanging="614"/>
        <w:spacing w:after="0"/>
        <w:tabs>
          <w:tab w:leader="none" w:pos="9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Parent, the Issuer or any Significant Subsidiary:</w:t>
      </w:r>
    </w:p>
    <w:p>
      <w:pPr>
        <w:spacing w:after="0" w:line="225" w:lineRule="exact"/>
        <w:rPr>
          <w:rFonts w:ascii="Arial" w:cs="Arial" w:eastAsia="Arial" w:hAnsi="Arial"/>
          <w:sz w:val="18"/>
          <w:szCs w:val="18"/>
          <w:color w:val="auto"/>
        </w:rPr>
      </w:pPr>
    </w:p>
    <w:p>
      <w:pPr>
        <w:ind w:left="1400" w:hanging="568"/>
        <w:spacing w:after="0"/>
        <w:tabs>
          <w:tab w:leader="none" w:pos="14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commences a voluntary insolvency proceeding,</w:t>
      </w:r>
    </w:p>
    <w:p>
      <w:pPr>
        <w:spacing w:after="0" w:line="225" w:lineRule="exact"/>
        <w:rPr>
          <w:rFonts w:ascii="Arial" w:cs="Arial" w:eastAsia="Arial" w:hAnsi="Arial"/>
          <w:sz w:val="18"/>
          <w:szCs w:val="18"/>
          <w:color w:val="auto"/>
        </w:rPr>
      </w:pPr>
    </w:p>
    <w:p>
      <w:pPr>
        <w:ind w:left="1380" w:hanging="548"/>
        <w:spacing w:after="0"/>
        <w:tabs>
          <w:tab w:leader="none" w:pos="138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insolvency proceeding,</w:t>
      </w:r>
    </w:p>
    <w:p>
      <w:pPr>
        <w:spacing w:after="0" w:line="225" w:lineRule="exact"/>
        <w:rPr>
          <w:rFonts w:ascii="Arial" w:cs="Arial" w:eastAsia="Arial" w:hAnsi="Arial"/>
          <w:sz w:val="18"/>
          <w:szCs w:val="18"/>
          <w:color w:val="auto"/>
        </w:rPr>
      </w:pPr>
    </w:p>
    <w:p>
      <w:pPr>
        <w:ind w:left="1380" w:hanging="548"/>
        <w:spacing w:after="0"/>
        <w:tabs>
          <w:tab w:leader="none" w:pos="138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consents to the appointment of a Bankruptcy Custodian of it or for all or substantially all of its property, or</w:t>
      </w:r>
    </w:p>
    <w:p>
      <w:pPr>
        <w:spacing w:after="0" w:line="225" w:lineRule="exact"/>
        <w:rPr>
          <w:rFonts w:ascii="Arial" w:cs="Arial" w:eastAsia="Arial" w:hAnsi="Arial"/>
          <w:sz w:val="18"/>
          <w:szCs w:val="18"/>
          <w:color w:val="auto"/>
        </w:rPr>
      </w:pPr>
    </w:p>
    <w:p>
      <w:pPr>
        <w:ind w:left="1400" w:hanging="568"/>
        <w:spacing w:after="0"/>
        <w:tabs>
          <w:tab w:leader="none" w:pos="14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sz w:val="20"/>
          <w:szCs w:val="20"/>
          <w:color w:val="auto"/>
        </w:rPr>
      </w:pPr>
    </w:p>
    <w:p>
      <w:pPr>
        <w:ind w:left="180" w:right="280" w:firstLine="648"/>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liquidation of any Restricted Subsidiary into another Restricted Subsidiary, other than as part of a</w:t>
      </w:r>
      <w:r>
        <w:rPr>
          <w:rFonts w:ascii="Arial" w:cs="Arial" w:eastAsia="Arial" w:hAnsi="Arial"/>
          <w:sz w:val="18"/>
          <w:szCs w:val="18"/>
          <w:i w:val="1"/>
          <w:iCs w:val="1"/>
          <w:color w:val="auto"/>
        </w:rPr>
        <w:t xml:space="preserve"> </w:t>
      </w:r>
      <w:r>
        <w:rPr>
          <w:rFonts w:ascii="Arial" w:cs="Arial" w:eastAsia="Arial" w:hAnsi="Arial"/>
          <w:sz w:val="18"/>
          <w:szCs w:val="18"/>
          <w:color w:val="auto"/>
        </w:rPr>
        <w:t>credit reorganization, shall not constitute an Event of Default under this Section 6.01(7);</w:t>
      </w:r>
    </w:p>
    <w:p>
      <w:pPr>
        <w:spacing w:after="0" w:line="170" w:lineRule="exact"/>
        <w:rPr>
          <w:sz w:val="20"/>
          <w:szCs w:val="20"/>
          <w:color w:val="auto"/>
        </w:rPr>
      </w:pPr>
    </w:p>
    <w:p>
      <w:pPr>
        <w:ind w:left="960" w:hanging="614"/>
        <w:spacing w:after="0"/>
        <w:tabs>
          <w:tab w:leader="none" w:pos="9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and</w:t>
      </w:r>
    </w:p>
    <w:p>
      <w:pPr>
        <w:spacing w:after="0" w:line="225" w:lineRule="exact"/>
        <w:rPr>
          <w:rFonts w:ascii="Arial" w:cs="Arial" w:eastAsia="Arial" w:hAnsi="Arial"/>
          <w:sz w:val="18"/>
          <w:szCs w:val="18"/>
          <w:color w:val="auto"/>
        </w:rPr>
      </w:pPr>
    </w:p>
    <w:p>
      <w:pPr>
        <w:ind w:left="1400" w:hanging="568"/>
        <w:spacing w:after="0"/>
        <w:tabs>
          <w:tab w:leader="none" w:pos="1400" w:val="left"/>
        </w:tabs>
        <w:numPr>
          <w:ilvl w:val="1"/>
          <w:numId w:val="390"/>
        </w:numPr>
        <w:rPr>
          <w:rFonts w:ascii="Arial" w:cs="Arial" w:eastAsia="Arial" w:hAnsi="Arial"/>
          <w:sz w:val="17"/>
          <w:szCs w:val="17"/>
          <w:color w:val="auto"/>
        </w:rPr>
      </w:pPr>
      <w:r>
        <w:rPr>
          <w:rFonts w:ascii="Arial" w:cs="Arial" w:eastAsia="Arial" w:hAnsi="Arial"/>
          <w:sz w:val="17"/>
          <w:szCs w:val="17"/>
          <w:color w:val="auto"/>
        </w:rPr>
        <w:t>is for relief against the Parent, the Issuer or any Significant Subsidiary in an involuntary insolvency proceeding;</w:t>
      </w:r>
    </w:p>
    <w:p>
      <w:pPr>
        <w:spacing w:after="0" w:line="236" w:lineRule="exact"/>
        <w:rPr>
          <w:rFonts w:ascii="Arial" w:cs="Arial" w:eastAsia="Arial" w:hAnsi="Arial"/>
          <w:sz w:val="17"/>
          <w:szCs w:val="17"/>
          <w:color w:val="auto"/>
        </w:rPr>
      </w:pPr>
    </w:p>
    <w:p>
      <w:pPr>
        <w:ind w:left="180" w:right="120" w:firstLine="652"/>
        <w:spacing w:after="0" w:line="277" w:lineRule="auto"/>
        <w:tabs>
          <w:tab w:leader="none" w:pos="1383"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appoints a Bankruptcy Custodian of the Parent, the Issuer or any Significant Subsidiary for all or substantially all of the property of the Parent, the Issuer or any Significant Subsidiary; or</w:t>
      </w:r>
    </w:p>
    <w:p>
      <w:pPr>
        <w:spacing w:after="0" w:line="170" w:lineRule="exact"/>
        <w:rPr>
          <w:rFonts w:ascii="Arial" w:cs="Arial" w:eastAsia="Arial" w:hAnsi="Arial"/>
          <w:sz w:val="18"/>
          <w:szCs w:val="18"/>
          <w:color w:val="auto"/>
        </w:rPr>
      </w:pPr>
    </w:p>
    <w:p>
      <w:pPr>
        <w:ind w:left="180" w:right="240" w:firstLine="652"/>
        <w:spacing w:after="0" w:line="277" w:lineRule="auto"/>
        <w:tabs>
          <w:tab w:leader="none" w:pos="1383" w:val="left"/>
        </w:tabs>
        <w:numPr>
          <w:ilvl w:val="1"/>
          <w:numId w:val="390"/>
        </w:numPr>
        <w:rPr>
          <w:rFonts w:ascii="Arial" w:cs="Arial" w:eastAsia="Arial" w:hAnsi="Arial"/>
          <w:sz w:val="18"/>
          <w:szCs w:val="18"/>
          <w:color w:val="auto"/>
        </w:rPr>
      </w:pPr>
      <w:r>
        <w:rPr>
          <w:rFonts w:ascii="Arial" w:cs="Arial" w:eastAsia="Arial" w:hAnsi="Arial"/>
          <w:sz w:val="18"/>
          <w:szCs w:val="18"/>
          <w:color w:val="auto"/>
        </w:rPr>
        <w:t>orders the liquidation of the Parent, the Issuer or any Significant Subsidiary; and the order or decree remains unstayed and in effect for 90 consecutive days.</w:t>
      </w:r>
    </w:p>
    <w:p>
      <w:pPr>
        <w:spacing w:after="0" w:line="17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349" w:name="page350"/>
    <w:bookmarkEnd w:id="349"/>
    <w:p>
      <w:pPr>
        <w:ind w:left="820" w:right="20" w:firstLine="646"/>
        <w:spacing w:after="0" w:line="301" w:lineRule="auto"/>
        <w:tabs>
          <w:tab w:leader="none" w:pos="2083" w:val="left"/>
        </w:tabs>
        <w:numPr>
          <w:ilvl w:val="0"/>
          <w:numId w:val="391"/>
        </w:numPr>
        <w:rPr>
          <w:rFonts w:ascii="Arial" w:cs="Arial" w:eastAsia="Arial" w:hAnsi="Arial"/>
          <w:sz w:val="16"/>
          <w:szCs w:val="16"/>
          <w:color w:val="auto"/>
        </w:rPr>
      </w:pPr>
      <w:r>
        <w:rPr>
          <w:rFonts w:ascii="Arial" w:cs="Arial" w:eastAsia="Arial" w:hAnsi="Arial"/>
          <w:sz w:val="16"/>
          <w:szCs w:val="16"/>
          <w:color w:val="auto"/>
        </w:rPr>
        <w:t>unless such Liens have been released in accordance with the provisions of the Collateral Document, liens with respect to all or substantially all of the Collateral cease to be valid or enforceable, or the Issuer shall assert or any Guarantor shall assert, in any pleading in any court of competent jurisdiction, that any such security interest are invalid or unenforceable and, in the case of any such Guarantor, the Issuer fails to cause such Guarantor to rescind such assertions within 30 days after the Issuer has actual knowledge of such assertions.</w:t>
      </w:r>
    </w:p>
    <w:p>
      <w:pPr>
        <w:spacing w:after="0" w:line="15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there is a continuing Event of Default (other than an Event of Default specified in Sections 6.01(7) and 6.01(8) hereof with respect to the Parent or the Issuer) with respect to the Notes, either the Trustee or the Holders of at least 30% of the outstanding principal amount of the Notes may declare the principal amount of all of the Notes to be due and payable immediately. However, at any time after the Trustee or the Holders, as the case may be, declare an acceleration with respect to the Notes, but before the applicable person has obtained a judgment or decree based on such acceleration, the Holders of a majority in principal amount of the outstanding Notes may, under certain conditions, cancel such acceleration if the Parent has cured all Events of Default (other than the nonpayment of accelerated principal) with respect to the Notes or all such Events of Default have been waived as provided in this Indenture. If an Event of Default specified in Sections 6.01(7) and 6.01(8) hereof with respect to the Parent or the Issuer occurs, all outstanding Notes shall become due and payable without any further action or notice.</w:t>
      </w:r>
    </w:p>
    <w:p>
      <w:pPr>
        <w:spacing w:after="0" w:line="17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premium on, if any, or interest on, the Notes or to enforce the performance of any provision of the Notes or this Indenture.</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Subject to the duties of the Trustee to act with the required standard of care, if there is a continuing Event of Default, the Trustee need not exercise any of its rights or powers under this Indenture at the written request or direction of any of the Holders of Notes, unless such Holders have offered to the Trustee security and/or indemnity satisfactory to the Trustee. Subject to such provisions for security and/or indemnification of the Trustee and certain other conditions, the Holders of a majority in principal amount of the outstanding Notes will have the right to direct the time, method and place of conducting any proceeding for any remedy available to the Trustee or exercising any trust or power the Trustee holds with respect to the Notes.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50" w:name="page351"/>
    <w:bookmarkEnd w:id="350"/>
    <w:p>
      <w:pPr>
        <w:ind w:left="660"/>
        <w:spacing w:after="0"/>
        <w:tabs>
          <w:tab w:leader="none" w:pos="180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principal of, premium on, if any, or interest on,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the event of any Event of Default specified in Section 6.01(4), such Event of Default and all consequences thereof (excluding any resulting payment default, other than as a result of acceleration of the Notes) shall be annulled, waived and rescinded, automatically and without any action by the Trustee or the Holders, if after such Event of Default arose:</w:t>
      </w:r>
    </w:p>
    <w:p>
      <w:pPr>
        <w:spacing w:after="0" w:line="184" w:lineRule="exact"/>
        <w:rPr>
          <w:sz w:val="20"/>
          <w:szCs w:val="20"/>
          <w:color w:val="auto"/>
        </w:rPr>
      </w:pPr>
    </w:p>
    <w:p>
      <w:pPr>
        <w:ind w:left="1180" w:hanging="524"/>
        <w:spacing w:after="0"/>
        <w:tabs>
          <w:tab w:leader="none" w:pos="11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Indebtedness or guarantee that is the basis for such Event of Default has been dis-charged;</w:t>
      </w:r>
    </w:p>
    <w:p>
      <w:pPr>
        <w:spacing w:after="0" w:line="225" w:lineRule="exact"/>
        <w:rPr>
          <w:rFonts w:ascii="Arial" w:cs="Arial" w:eastAsia="Arial" w:hAnsi="Arial"/>
          <w:sz w:val="18"/>
          <w:szCs w:val="18"/>
          <w:color w:val="auto"/>
        </w:rPr>
      </w:pPr>
    </w:p>
    <w:p>
      <w:pPr>
        <w:ind w:firstLine="656"/>
        <w:spacing w:after="0" w:line="277" w:lineRule="auto"/>
        <w:tabs>
          <w:tab w:leader="none" w:pos="119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requisite number of Holders thereof have rescinded or waived the acceleration, notice or action (as the case may be) giving rise to such Event of Default; or</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default that is the basis for such Event of Default has been cured.</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Holders of a majority in aggregate principal amount of the then outstanding Notes may direct the time, method and place of conducting any proceeding for exercising any remedy available to the Trustee. However, the Trustee may refuse to follow any direction that conflicts with law or this Indenture or that the Trustee determines may be unduly prejudicial to the rights of other Holders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shall have no obligation to determine whether any action or inaction is prejudicial to the rights of any Holder) or that may involve the Trustee in personal liability.</w:t>
      </w:r>
    </w:p>
    <w:p>
      <w:pPr>
        <w:spacing w:after="0" w:line="15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Holder of any Note will have any right to institute any proceeding with respect to this Indenture or for any remedy unless:</w:t>
      </w:r>
    </w:p>
    <w:p>
      <w:pPr>
        <w:spacing w:after="0" w:line="225" w:lineRule="exact"/>
        <w:rPr>
          <w:sz w:val="20"/>
          <w:szCs w:val="20"/>
          <w:color w:val="auto"/>
        </w:rPr>
      </w:pPr>
    </w:p>
    <w:p>
      <w:pPr>
        <w:ind w:right="540" w:firstLine="656"/>
        <w:spacing w:after="0" w:line="277" w:lineRule="auto"/>
        <w:tabs>
          <w:tab w:leader="none" w:pos="1163"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for 60 days after the Holder has previously given to the Trustee written notice of a continuing Event of Default with respect to the Notes;</w:t>
      </w:r>
    </w:p>
    <w:p>
      <w:pPr>
        <w:spacing w:after="0" w:line="170" w:lineRule="exact"/>
        <w:rPr>
          <w:rFonts w:ascii="Arial" w:cs="Arial" w:eastAsia="Arial" w:hAnsi="Arial"/>
          <w:sz w:val="18"/>
          <w:szCs w:val="18"/>
          <w:color w:val="auto"/>
        </w:rPr>
      </w:pPr>
    </w:p>
    <w:p>
      <w:pPr>
        <w:ind w:right="480" w:firstLine="656"/>
        <w:spacing w:after="0" w:line="277" w:lineRule="auto"/>
        <w:tabs>
          <w:tab w:leader="none" w:pos="1173"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Holders of at least 30% in principal amount of the then outstanding Notes have made a written request to the Trustee, and offered indemnity and/or security satisfactory to the Trustee, to institute such proceeding as Trustee;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1" w:name="page352"/>
    <w:bookmarkEnd w:id="351"/>
    <w:p>
      <w:pPr>
        <w:ind w:left="1180" w:hanging="524"/>
        <w:spacing w:after="0"/>
        <w:tabs>
          <w:tab w:leader="none" w:pos="118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the Trustee has not received from the Holders of a majority in principal amount of the outstanding Notes a direction inconsistent with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Notwithstanding any other provision of this Indenture, the Holder of any Note will have an absolute and unconditional right to institute suit for the enforcement of any payment of the principal of, and any premium on, if any, or interest on such Note, on or after the date or dates they are to be paid as expressed in such Note.</w:t>
      </w:r>
    </w:p>
    <w:p>
      <w:pPr>
        <w:spacing w:after="0" w:line="18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an Event of Default in payment of principal, premium or interest specified in Section 6.01(1) or (2) hereof occurs and is continuing, the Trustee may recover judgment in its own name and as trustee of an express trust against the Issuer (or any other obligor on the Notes) for the whole amount of unpaid principal and accrued interest remaining unpaid.</w:t>
      </w:r>
    </w:p>
    <w:p>
      <w:pPr>
        <w:spacing w:after="0" w:line="18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Trustee is authorized to file such proofs of claim and other papers or documents as may be necessary or advisable in order to have the claims of the Trustee (including any claim for the compensation (as agreed in writing by the Issuer and the Trustee),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compensation (as agreed in writing by the Issuer and the Trustee), expenses, disbursements and advances of the Trustee, its agents and counsel, and any other amounts due the Trustee under this Indenture. To the extent that the payment of any such compensation, expenses, disbursements and advances of the Trustee, its agents and counsel, and any other amounts due the Trustee under this Indenture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the Trustee collects any money pursuant to this Article 6, but subject to the First Lien Intercreditor Agreement, it shall pay out the money in the following order: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2" w:name="page353"/>
    <w:bookmarkEnd w:id="352"/>
    <w:p>
      <w:pPr>
        <w:ind w:left="660" w:right="300" w:firstLine="648"/>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the Notes Collateral Agent, the Agents, and their respective agents and attorneys for amounts due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including payment of all compensation, expenses and liabilities incurred (including attorney’s fees), and all advances made, by such parties and the costs and expenses of collection;</w:t>
      </w:r>
    </w:p>
    <w:p>
      <w:pPr>
        <w:spacing w:after="0" w:line="184" w:lineRule="exact"/>
        <w:rPr>
          <w:sz w:val="20"/>
          <w:szCs w:val="20"/>
          <w:color w:val="auto"/>
        </w:rPr>
      </w:pPr>
    </w:p>
    <w:p>
      <w:pPr>
        <w:ind w:left="660" w:firstLine="648"/>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respectively;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Issuer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16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i w:val="1"/>
          <w:iCs w:val="1"/>
          <w:color w:val="auto"/>
        </w:rPr>
        <w:t>Restoration of Rights and Remedies.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Issuer,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225" w:lineRule="exact"/>
        <w:rPr>
          <w:sz w:val="20"/>
          <w:szCs w:val="20"/>
          <w:color w:val="auto"/>
        </w:rPr>
      </w:pPr>
    </w:p>
    <w:p>
      <w:pPr>
        <w:ind w:right="160" w:firstLine="656"/>
        <w:spacing w:after="0" w:line="263" w:lineRule="auto"/>
        <w:tabs>
          <w:tab w:leader="none" w:pos="1163"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expressly vested in it by this Indenture, and use the same degree of care and skill in its exercise, as a prudent person would exercise or use under the circumstances in the conduct of such person’s own affairs.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3" w:name="page354"/>
    <w:bookmarkEnd w:id="353"/>
    <w:p>
      <w:pPr>
        <w:ind w:left="1140" w:hanging="524"/>
        <w:spacing w:after="0"/>
        <w:tabs>
          <w:tab w:leader="none" w:pos="11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780" w:right="260" w:firstLine="646"/>
        <w:spacing w:after="0" w:line="263" w:lineRule="auto"/>
        <w:tabs>
          <w:tab w:leader="none" w:pos="2043"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3" w:lineRule="exact"/>
        <w:rPr>
          <w:rFonts w:ascii="Arial" w:cs="Arial" w:eastAsia="Arial" w:hAnsi="Arial"/>
          <w:sz w:val="18"/>
          <w:szCs w:val="18"/>
          <w:color w:val="auto"/>
        </w:rPr>
      </w:pPr>
    </w:p>
    <w:p>
      <w:pPr>
        <w:ind w:left="780" w:firstLine="646"/>
        <w:spacing w:after="0" w:line="301" w:lineRule="auto"/>
        <w:tabs>
          <w:tab w:leader="none" w:pos="2043" w:val="left"/>
        </w:tabs>
        <w:numPr>
          <w:ilvl w:val="1"/>
          <w:numId w:val="396"/>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57" w:lineRule="exact"/>
        <w:rPr>
          <w:rFonts w:ascii="Arial" w:cs="Arial" w:eastAsia="Arial" w:hAnsi="Arial"/>
          <w:sz w:val="16"/>
          <w:szCs w:val="16"/>
          <w:color w:val="auto"/>
        </w:rPr>
      </w:pPr>
    </w:p>
    <w:p>
      <w:pPr>
        <w:ind w:left="-40" w:right="340" w:firstLine="656"/>
        <w:spacing w:after="0" w:line="277" w:lineRule="auto"/>
        <w:tabs>
          <w:tab w:leader="none" w:pos="111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grossly negligent action, its own grossly negligent failure to act, or its own willful misconduct, except that:</w:t>
      </w:r>
    </w:p>
    <w:p>
      <w:pPr>
        <w:spacing w:after="0" w:line="170" w:lineRule="exact"/>
        <w:rPr>
          <w:rFonts w:ascii="Arial" w:cs="Arial" w:eastAsia="Arial" w:hAnsi="Arial"/>
          <w:sz w:val="18"/>
          <w:szCs w:val="18"/>
          <w:color w:val="auto"/>
        </w:rPr>
      </w:pPr>
    </w:p>
    <w:p>
      <w:pPr>
        <w:ind w:left="2040" w:hanging="614"/>
        <w:spacing w:after="0"/>
        <w:tabs>
          <w:tab w:leader="none" w:pos="20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780" w:right="200" w:firstLine="646"/>
        <w:spacing w:after="0" w:line="277" w:lineRule="auto"/>
        <w:tabs>
          <w:tab w:leader="none" w:pos="2043"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grossly negligent in ascertaining the pertinent facts; and</w:t>
      </w:r>
    </w:p>
    <w:p>
      <w:pPr>
        <w:spacing w:after="0" w:line="170" w:lineRule="exact"/>
        <w:rPr>
          <w:rFonts w:ascii="Arial" w:cs="Arial" w:eastAsia="Arial" w:hAnsi="Arial"/>
          <w:sz w:val="18"/>
          <w:szCs w:val="18"/>
          <w:color w:val="auto"/>
        </w:rPr>
      </w:pPr>
    </w:p>
    <w:p>
      <w:pPr>
        <w:ind w:left="780" w:right="260" w:firstLine="646"/>
        <w:spacing w:after="0" w:line="277" w:lineRule="auto"/>
        <w:tabs>
          <w:tab w:leader="none" w:pos="2043"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under this Indenture.</w:t>
      </w:r>
    </w:p>
    <w:p>
      <w:pPr>
        <w:spacing w:after="0" w:line="170" w:lineRule="exact"/>
        <w:rPr>
          <w:rFonts w:ascii="Arial" w:cs="Arial" w:eastAsia="Arial" w:hAnsi="Arial"/>
          <w:sz w:val="18"/>
          <w:szCs w:val="18"/>
          <w:color w:val="auto"/>
        </w:rPr>
      </w:pPr>
    </w:p>
    <w:p>
      <w:pPr>
        <w:ind w:left="-40" w:right="740" w:firstLine="656"/>
        <w:spacing w:after="0" w:line="277" w:lineRule="auto"/>
        <w:tabs>
          <w:tab w:leader="none" w:pos="112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ind w:left="-40" w:right="40" w:firstLine="656"/>
        <w:spacing w:after="0" w:line="263" w:lineRule="auto"/>
        <w:tabs>
          <w:tab w:leader="none" w:pos="1123"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The Trustee will be under no obligation to exercise any of its rights and powers under this Indenture at the request of any Holders, unless such Holder has offered to the Trustee security and indemnity satisfactory to it against any loss, liability or expense.</w:t>
      </w:r>
    </w:p>
    <w:p>
      <w:pPr>
        <w:spacing w:after="0" w:line="183" w:lineRule="exact"/>
        <w:rPr>
          <w:rFonts w:ascii="Arial" w:cs="Arial" w:eastAsia="Arial" w:hAnsi="Arial"/>
          <w:sz w:val="18"/>
          <w:szCs w:val="18"/>
          <w:color w:val="auto"/>
        </w:rPr>
      </w:pPr>
    </w:p>
    <w:p>
      <w:pPr>
        <w:ind w:left="-40" w:right="180" w:firstLine="656"/>
        <w:spacing w:after="0" w:line="277" w:lineRule="auto"/>
        <w:tabs>
          <w:tab w:leader="none" w:pos="11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Issuer. Money held in trust by the Trustee need not be segregated from other funds except to the extent required by law.</w:t>
      </w:r>
    </w:p>
    <w:p>
      <w:pPr>
        <w:spacing w:after="0" w:line="170" w:lineRule="exact"/>
        <w:rPr>
          <w:sz w:val="20"/>
          <w:szCs w:val="20"/>
          <w:color w:val="auto"/>
        </w:rPr>
      </w:pPr>
    </w:p>
    <w:p>
      <w:pPr>
        <w:ind w:left="620"/>
        <w:spacing w:after="0"/>
        <w:tabs>
          <w:tab w:leader="none" w:pos="17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i w:val="1"/>
          <w:iCs w:val="1"/>
          <w:color w:val="auto"/>
        </w:rPr>
        <w:t>Rights of Trustee.</w:t>
      </w:r>
    </w:p>
    <w:p>
      <w:pPr>
        <w:spacing w:after="0" w:line="225" w:lineRule="exact"/>
        <w:rPr>
          <w:sz w:val="20"/>
          <w:szCs w:val="20"/>
          <w:color w:val="auto"/>
        </w:rPr>
      </w:pPr>
    </w:p>
    <w:p>
      <w:pPr>
        <w:ind w:left="-40" w:right="340" w:firstLine="656"/>
        <w:spacing w:after="0" w:line="277" w:lineRule="auto"/>
        <w:tabs>
          <w:tab w:leader="none" w:pos="1119"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jc w:val="both"/>
        <w:ind w:left="-40" w:right="140" w:firstLine="656"/>
        <w:spacing w:after="0" w:line="259" w:lineRule="auto"/>
        <w:tabs>
          <w:tab w:leader="none" w:pos="1133"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60" w:top="692" w:right="379" w:bottom="1440" w:gutter="0" w:footer="0" w:header="0"/>
        </w:sectPr>
      </w:pPr>
    </w:p>
    <w:bookmarkStart w:id="354" w:name="page355"/>
    <w:bookmarkEnd w:id="354"/>
    <w:p>
      <w:pPr>
        <w:ind w:left="1160" w:hanging="504"/>
        <w:spacing w:after="0"/>
        <w:tabs>
          <w:tab w:leader="none" w:pos="116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Trustee may act through its attorneys and agents and will not be responsible for the misconduct or negligence of any agent appointed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due care.</w:t>
      </w:r>
    </w:p>
    <w:p>
      <w:pPr>
        <w:spacing w:after="0" w:line="210" w:lineRule="exact"/>
        <w:rPr>
          <w:rFonts w:ascii="Arial" w:cs="Arial" w:eastAsia="Arial" w:hAnsi="Arial"/>
          <w:sz w:val="16"/>
          <w:szCs w:val="16"/>
          <w:color w:val="auto"/>
        </w:rPr>
      </w:pPr>
    </w:p>
    <w:p>
      <w:pPr>
        <w:ind w:right="300" w:firstLine="656"/>
        <w:spacing w:after="0" w:line="277" w:lineRule="auto"/>
        <w:tabs>
          <w:tab w:leader="none" w:pos="1169"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firstLine="656"/>
        <w:spacing w:after="0" w:line="277" w:lineRule="auto"/>
        <w:tabs>
          <w:tab w:leader="none" w:pos="116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Issuer will be sufficient if signed by an Officer of the Issuer.</w:t>
      </w:r>
    </w:p>
    <w:p>
      <w:pPr>
        <w:spacing w:after="0" w:line="170" w:lineRule="exact"/>
        <w:rPr>
          <w:rFonts w:ascii="Arial" w:cs="Arial" w:eastAsia="Arial" w:hAnsi="Arial"/>
          <w:sz w:val="18"/>
          <w:szCs w:val="18"/>
          <w:color w:val="auto"/>
        </w:rPr>
      </w:pPr>
    </w:p>
    <w:p>
      <w:pPr>
        <w:ind w:right="120" w:firstLine="656"/>
        <w:spacing w:after="0" w:line="308" w:lineRule="auto"/>
        <w:tabs>
          <w:tab w:leader="none" w:pos="1184"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Trustee will be under no obligation to exercise any of the rights or powers under this Indenture at the request of any Holders of Notes unless such Holders have offered to the Trustee indemnity and/or security satisfactory to it against any losses, liabilities or expenses.</w:t>
      </w:r>
    </w:p>
    <w:p>
      <w:pPr>
        <w:spacing w:after="0" w:line="146" w:lineRule="exact"/>
        <w:rPr>
          <w:rFonts w:ascii="Arial" w:cs="Arial" w:eastAsia="Arial" w:hAnsi="Arial"/>
          <w:sz w:val="17"/>
          <w:szCs w:val="17"/>
          <w:color w:val="auto"/>
        </w:rPr>
      </w:pPr>
    </w:p>
    <w:p>
      <w:pPr>
        <w:jc w:val="both"/>
        <w:ind w:right="80" w:firstLine="656"/>
        <w:spacing w:after="0" w:line="263" w:lineRule="auto"/>
        <w:tabs>
          <w:tab w:leader="none" w:pos="117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ind w:right="240" w:firstLine="656"/>
        <w:spacing w:after="0" w:line="263" w:lineRule="auto"/>
        <w:tabs>
          <w:tab w:leader="none" w:pos="1169"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spacing w:after="0" w:line="183" w:lineRule="exact"/>
        <w:rPr>
          <w:rFonts w:ascii="Arial" w:cs="Arial" w:eastAsia="Arial" w:hAnsi="Arial"/>
          <w:sz w:val="18"/>
          <w:szCs w:val="18"/>
          <w:color w:val="auto"/>
        </w:rPr>
      </w:pPr>
    </w:p>
    <w:p>
      <w:pPr>
        <w:ind w:right="20" w:firstLine="656"/>
        <w:spacing w:after="0" w:line="277" w:lineRule="auto"/>
        <w:tabs>
          <w:tab w:leader="none" w:pos="117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Trustee may request that the Issuer deliver a certificate setting forth the names of individuals and/or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right="160" w:firstLine="656"/>
        <w:spacing w:after="0" w:line="263" w:lineRule="auto"/>
        <w:tabs>
          <w:tab w:leader="none" w:pos="117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 the Notes Collateral Agent, each Agent and each agent, custodian and other Person employed to act hereunder.</w:t>
      </w:r>
    </w:p>
    <w:p>
      <w:pPr>
        <w:spacing w:after="0" w:line="183" w:lineRule="exact"/>
        <w:rPr>
          <w:rFonts w:ascii="Arial" w:cs="Arial" w:eastAsia="Arial" w:hAnsi="Arial"/>
          <w:sz w:val="18"/>
          <w:szCs w:val="18"/>
          <w:color w:val="auto"/>
        </w:rPr>
      </w:pPr>
    </w:p>
    <w:p>
      <w:pPr>
        <w:ind w:right="60" w:firstLine="656"/>
        <w:spacing w:after="0" w:line="277" w:lineRule="auto"/>
        <w:tabs>
          <w:tab w:leader="none" w:pos="1169"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 including the Notes Collateral Agent.</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248" w:lineRule="exact"/>
        <w:rPr>
          <w:rFonts w:ascii="Arial" w:cs="Arial" w:eastAsia="Arial" w:hAnsi="Arial"/>
          <w:sz w:val="16"/>
          <w:szCs w:val="16"/>
          <w:color w:val="auto"/>
        </w:rPr>
      </w:pPr>
    </w:p>
    <w:p>
      <w:pPr>
        <w:jc w:val="both"/>
        <w:ind w:firstLine="656"/>
        <w:spacing w:after="0" w:line="257" w:lineRule="auto"/>
        <w:tabs>
          <w:tab w:leader="none" w:pos="1249"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5" w:name="page356"/>
    <w:bookmarkEnd w:id="355"/>
    <w:p>
      <w:pPr>
        <w:jc w:val="both"/>
        <w:ind w:firstLine="656"/>
        <w:spacing w:after="0" w:line="279" w:lineRule="auto"/>
        <w:tabs>
          <w:tab w:leader="none" w:pos="120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Notwithstanding anything else herein contained, the Trustee may refrain without liability from doing anything that would in its opinion be contrary to any law of any state or jurisdiction (including but not limited to the State of New York, the European Union, the United States of America or, in each case, any jurisdiction forming a part of it, and England and Wales) or any directive or regulation of any agency of any such state or jurisdiction and may without liability do anything which is, in its opinion, necessary to comply with any such law, directive or regulation.</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19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At any time that the security granted pursuant to the Collateral Documents has become enforceable and the Holders have given a direction to the Trustee to enforce such Charged Property, the Trustee is not required to give any direction to the Notes Collateral Agent with respect thereto unless it has been indemnified and/or secured in accordance with Section 7.01(a). In any event, in connection with any enforcement of such security, the Trustee is not responsible for:</w:t>
      </w:r>
    </w:p>
    <w:p>
      <w:pPr>
        <w:spacing w:after="0" w:line="186" w:lineRule="exact"/>
        <w:rPr>
          <w:rFonts w:ascii="Arial" w:cs="Arial" w:eastAsia="Arial" w:hAnsi="Arial"/>
          <w:sz w:val="18"/>
          <w:szCs w:val="18"/>
          <w:color w:val="auto"/>
        </w:rPr>
      </w:pPr>
    </w:p>
    <w:p>
      <w:pPr>
        <w:ind w:left="2080" w:hanging="614"/>
        <w:spacing w:after="0"/>
        <w:tabs>
          <w:tab w:leader="none" w:pos="20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failure of the Notes Collateral Agent to enforce such security within a reasonable time or at all;</w:t>
      </w:r>
    </w:p>
    <w:p>
      <w:pPr>
        <w:spacing w:after="0" w:line="225" w:lineRule="exact"/>
        <w:rPr>
          <w:rFonts w:ascii="Arial" w:cs="Arial" w:eastAsia="Arial" w:hAnsi="Arial"/>
          <w:sz w:val="18"/>
          <w:szCs w:val="18"/>
          <w:color w:val="auto"/>
        </w:rPr>
      </w:pPr>
    </w:p>
    <w:p>
      <w:pPr>
        <w:ind w:left="2080" w:hanging="614"/>
        <w:spacing w:after="0"/>
        <w:tabs>
          <w:tab w:leader="none" w:pos="20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failure of the Notes Collateral Agent to pay over the proceeds of enforcement of the Charged Property;</w:t>
      </w:r>
    </w:p>
    <w:p>
      <w:pPr>
        <w:spacing w:after="0" w:line="225" w:lineRule="exact"/>
        <w:rPr>
          <w:rFonts w:ascii="Arial" w:cs="Arial" w:eastAsia="Arial" w:hAnsi="Arial"/>
          <w:sz w:val="18"/>
          <w:szCs w:val="18"/>
          <w:color w:val="auto"/>
        </w:rPr>
      </w:pPr>
    </w:p>
    <w:p>
      <w:pPr>
        <w:ind w:left="2080" w:hanging="614"/>
        <w:spacing w:after="0"/>
        <w:tabs>
          <w:tab w:leader="none" w:pos="20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failure of the Notes Collateral Agent to realize such security for the best price obtainable;</w:t>
      </w:r>
    </w:p>
    <w:p>
      <w:pPr>
        <w:spacing w:after="0" w:line="225" w:lineRule="exact"/>
        <w:rPr>
          <w:rFonts w:ascii="Arial" w:cs="Arial" w:eastAsia="Arial" w:hAnsi="Arial"/>
          <w:sz w:val="18"/>
          <w:szCs w:val="18"/>
          <w:color w:val="auto"/>
        </w:rPr>
      </w:pPr>
    </w:p>
    <w:p>
      <w:pPr>
        <w:ind w:left="2080" w:hanging="614"/>
        <w:spacing w:after="0"/>
        <w:tabs>
          <w:tab w:leader="none" w:pos="20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monitoring the activities of the Notes Collateral Agent in relation to such enforcement;</w:t>
      </w:r>
    </w:p>
    <w:p>
      <w:pPr>
        <w:spacing w:after="0" w:line="225" w:lineRule="exact"/>
        <w:rPr>
          <w:rFonts w:ascii="Arial" w:cs="Arial" w:eastAsia="Arial" w:hAnsi="Arial"/>
          <w:sz w:val="18"/>
          <w:szCs w:val="18"/>
          <w:color w:val="auto"/>
        </w:rPr>
      </w:pPr>
    </w:p>
    <w:p>
      <w:pPr>
        <w:ind w:left="2080" w:hanging="614"/>
        <w:spacing w:after="0"/>
        <w:tabs>
          <w:tab w:leader="none" w:pos="20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taking any enforcement action itself in relation to such Charged Property;</w:t>
      </w:r>
    </w:p>
    <w:p>
      <w:pPr>
        <w:spacing w:after="0" w:line="225" w:lineRule="exact"/>
        <w:rPr>
          <w:rFonts w:ascii="Arial" w:cs="Arial" w:eastAsia="Arial" w:hAnsi="Arial"/>
          <w:sz w:val="18"/>
          <w:szCs w:val="18"/>
          <w:color w:val="auto"/>
        </w:rPr>
      </w:pPr>
    </w:p>
    <w:p>
      <w:pPr>
        <w:ind w:left="820" w:firstLine="646"/>
        <w:spacing w:after="0" w:line="277" w:lineRule="auto"/>
        <w:tabs>
          <w:tab w:leader="none" w:pos="2258"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agreeing to any proposed course of action by the Notes Collateral Agent which could result in the Trustee incurring any liability for its own account; or</w:t>
      </w:r>
    </w:p>
    <w:p>
      <w:pPr>
        <w:spacing w:after="0" w:line="170" w:lineRule="exact"/>
        <w:rPr>
          <w:rFonts w:ascii="Arial" w:cs="Arial" w:eastAsia="Arial" w:hAnsi="Arial"/>
          <w:sz w:val="18"/>
          <w:szCs w:val="18"/>
          <w:color w:val="auto"/>
        </w:rPr>
      </w:pPr>
    </w:p>
    <w:p>
      <w:pPr>
        <w:ind w:left="2080" w:hanging="614"/>
        <w:spacing w:after="0"/>
        <w:tabs>
          <w:tab w:leader="none" w:pos="20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paying any fees, costs or expenses of the Notes Collateral Agent.</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Trustee in its individual or any other capacity may become the owner or pledgee of Notes and may otherwise deal with the Issuer or any Affiliate of the Issuer with the same rights it would have if it were not Trustee. If the Trustee becomes a creditor of the Issuer or any Guarantor, this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Any Agent may do the same with like rights and duties. The Trustee is also subject to Section 7.09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6" w:name="page357"/>
    <w:bookmarkEnd w:id="356"/>
    <w:p>
      <w:pPr>
        <w:ind w:left="660"/>
        <w:spacing w:after="0"/>
        <w:tabs>
          <w:tab w:leader="none" w:pos="18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Trustee does not assume any responsibility for any failure or delay in performance or any breach by the Issuer or any Guarantor under this Indenture, the First Lien Intercreditor Agreement, the Junior Lien Intercreditor Agreement, if any, and the Collateral Documents. The Trustee shall not be responsible to the Holders or any other Person for any recitals, statements, information, representations or warranties contained in this Indenture, the Collateral Documents, the First Lien Intercreditor Agreement, the Junior Lien Intercreditor Agreement, if any, or in any certificate, report, statement, or other document referred to or provided for in, or received by the Trustee under or in connection with, this Indenture, the First Lien Intercreditor Agreement, the Junior Lien Intercreditor Agreement, if any, or any Collateral Document; the execution, validity, genuineness, effectiveness or enforceability of the First Lien Intercreditor Agreement, the Junior Lien Intercreditor Agreement, if any, and any Collateral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First Lien Intercreditor Agreement, the Junior Lien Intercreditor Agreement, if any, and the Collateral Documents.</w:t>
      </w:r>
    </w:p>
    <w:p>
      <w:pPr>
        <w:spacing w:after="0" w:line="17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 Default or Event of Default occurs and is continuing and if it is known to the Trustee, the Trustee will deliver to Holders of Notes a notice of the Default or Event of Default within 90 days after it occurs. Except in the case of a Default or Event of Default in payment of principal of, premium on, if any, or interest, on, any Note, the Trustee may withhold the notice if and so long as it in good faith determines that withholding the notice is in the interests of the Holders of the Notes.</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ind w:right="120" w:firstLine="656"/>
        <w:spacing w:after="0" w:line="296" w:lineRule="auto"/>
        <w:tabs>
          <w:tab w:leader="none" w:pos="1159"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Issuer, or upon the failure of the Issuer, each Guarantor, will pay to the Trustee from time to time compensation, as agreed in writing between the Issuer and the Trustee, for its acceptance of this Indenture and services hereunder. The Trustee’s compensation will not be limited by any law on compensation of a trustee of an express trust. The Issuer will reimburse the Trustee promptly upon request for all reasonable disbursements, advances and expenses incurred or made by it in addition to the compensation for its services. Such expenses will include the compensation, as agreed in writing by the Issuer and the Trustee, and reasonable disbursements and expenses of the Trustee’s agents and counsel.</w:t>
      </w:r>
    </w:p>
    <w:p>
      <w:pPr>
        <w:spacing w:after="0" w:line="161" w:lineRule="exact"/>
        <w:rPr>
          <w:rFonts w:ascii="Arial" w:cs="Arial" w:eastAsia="Arial" w:hAnsi="Arial"/>
          <w:sz w:val="16"/>
          <w:szCs w:val="16"/>
          <w:color w:val="auto"/>
        </w:rPr>
      </w:pPr>
    </w:p>
    <w:p>
      <w:pPr>
        <w:ind w:firstLine="656"/>
        <w:spacing w:after="0" w:line="269" w:lineRule="auto"/>
        <w:tabs>
          <w:tab w:leader="none" w:pos="116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Issuer and the Guarantors will, jointly and severally, indemnify and hold harmless the Trustee against any and all losses, claims, damages, expenses, fees, liabilities or expenses incurred by it arising out of or in connection with the acceptance or administration of its duties under this Indenture, including the costs and expenses (including attorney’s fees and expenses) of enforcing this Indenture against the Issuer and the Guarantors (including this Section 7.06) and defending itself against any claim (whether asserted by the Issuer, the Guarantors, any Holder or any other Person) or liability in connection with the exercise or performance of any of its powers or duties hereunder, except to the extent any such loss, liability or expense may be attributable to its gross negligence or willful misconduct. The Trustee will notify the Issuer promptly of any claim for which it may seek indemnity. Failure by the Trustee to so notify the Issuer will not relieve the Issuer or any of the Guarantors of their obligations hereunder. The Issuer or such Guarantor will defend the claim and the Trustee will cooperate in the defense. The Trustee may have separate counsel and the Issuer will pay the reasonable fees and expenses of such counsel. Neither the Issuer nor any Guarantor need pay for any settlement made without its consent, which consent will not be unreasonably withheld.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57" w:name="page358"/>
    <w:bookmarkEnd w:id="357"/>
    <w:p>
      <w:pPr>
        <w:ind w:left="-40" w:firstLine="656"/>
        <w:spacing w:after="0" w:line="277" w:lineRule="auto"/>
        <w:tabs>
          <w:tab w:leader="none" w:pos="1119"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obligations of the Issuer and the Guarantors under this Section 7.06 will survive the satisfaction and discharge of this Indenture and the resignation, removal or replacement of the Trustee, Notes Collateral Agent or any Agent, as applicable.</w:t>
      </w:r>
    </w:p>
    <w:p>
      <w:pPr>
        <w:spacing w:after="0" w:line="170" w:lineRule="exact"/>
        <w:rPr>
          <w:rFonts w:ascii="Arial" w:cs="Arial" w:eastAsia="Arial" w:hAnsi="Arial"/>
          <w:sz w:val="18"/>
          <w:szCs w:val="18"/>
          <w:color w:val="auto"/>
        </w:rPr>
      </w:pPr>
    </w:p>
    <w:p>
      <w:pPr>
        <w:jc w:val="both"/>
        <w:ind w:left="-40" w:right="220" w:firstLine="656"/>
        <w:spacing w:after="0" w:line="286" w:lineRule="auto"/>
        <w:tabs>
          <w:tab w:leader="none" w:pos="1129"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To secure the Issuer’s and the Guarantors’ payment obligations in this Section 7.06, the Trustee will have a Lien prior to the Notes on all money or property held or collected by the Trustee, except that held in trust to pay principal of, premium on, if any, or interest on, particular Notes. Such Lien will survive the satisfaction and discharge of this Indenture and the earlier resignation or removal of the Trustee.</w:t>
      </w:r>
    </w:p>
    <w:p>
      <w:pPr>
        <w:spacing w:after="0" w:line="165" w:lineRule="exact"/>
        <w:rPr>
          <w:rFonts w:ascii="Arial" w:cs="Arial" w:eastAsia="Arial" w:hAnsi="Arial"/>
          <w:sz w:val="17"/>
          <w:szCs w:val="17"/>
          <w:color w:val="auto"/>
        </w:rPr>
      </w:pPr>
    </w:p>
    <w:p>
      <w:pPr>
        <w:ind w:left="-40" w:right="20" w:firstLine="656"/>
        <w:spacing w:after="0" w:line="263" w:lineRule="auto"/>
        <w:tabs>
          <w:tab w:leader="none" w:pos="1119"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6.01(8) hereof occurs, the expenses and the compensation for the services (including the fees and expenses of its agents and counsel) are intended to constitute expenses of administration under any Bankruptcy Law.</w:t>
      </w:r>
    </w:p>
    <w:p>
      <w:pPr>
        <w:spacing w:after="0" w:line="183" w:lineRule="exact"/>
        <w:rPr>
          <w:rFonts w:ascii="Arial" w:cs="Arial" w:eastAsia="Arial" w:hAnsi="Arial"/>
          <w:sz w:val="18"/>
          <w:szCs w:val="18"/>
          <w:color w:val="auto"/>
        </w:rPr>
      </w:pPr>
    </w:p>
    <w:p>
      <w:pPr>
        <w:ind w:left="-40" w:right="180" w:firstLine="656"/>
        <w:spacing w:after="0" w:line="277" w:lineRule="auto"/>
        <w:tabs>
          <w:tab w:leader="none" w:pos="114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Trustee shall have no liability or responsibility for any action or inaction on the part of any Paying Agent, Transfer Agent, Registrar, authenticating agent, Custodian (aside from the Trustee acting in such capacities and subject to the terms hereof).</w:t>
      </w:r>
    </w:p>
    <w:p>
      <w:pPr>
        <w:spacing w:after="0" w:line="170" w:lineRule="exact"/>
        <w:rPr>
          <w:sz w:val="20"/>
          <w:szCs w:val="20"/>
          <w:color w:val="auto"/>
        </w:rPr>
      </w:pPr>
    </w:p>
    <w:p>
      <w:pPr>
        <w:ind w:left="620"/>
        <w:spacing w:after="0"/>
        <w:tabs>
          <w:tab w:leader="none" w:pos="176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5"/>
          <w:szCs w:val="15"/>
          <w:i w:val="1"/>
          <w:iCs w:val="1"/>
          <w:color w:val="auto"/>
        </w:rPr>
        <w:t>Replacement of Trustee.</w:t>
      </w:r>
    </w:p>
    <w:p>
      <w:pPr>
        <w:spacing w:after="0" w:line="225" w:lineRule="exact"/>
        <w:rPr>
          <w:sz w:val="20"/>
          <w:szCs w:val="20"/>
          <w:color w:val="auto"/>
        </w:rPr>
      </w:pPr>
    </w:p>
    <w:p>
      <w:pPr>
        <w:ind w:left="-40" w:right="260" w:firstLine="656"/>
        <w:spacing w:after="0" w:line="277" w:lineRule="auto"/>
        <w:tabs>
          <w:tab w:leader="none" w:pos="111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7.07.</w:t>
      </w:r>
    </w:p>
    <w:p>
      <w:pPr>
        <w:spacing w:after="0" w:line="170" w:lineRule="exact"/>
        <w:rPr>
          <w:rFonts w:ascii="Arial" w:cs="Arial" w:eastAsia="Arial" w:hAnsi="Arial"/>
          <w:sz w:val="18"/>
          <w:szCs w:val="18"/>
          <w:color w:val="auto"/>
        </w:rPr>
      </w:pPr>
    </w:p>
    <w:p>
      <w:pPr>
        <w:ind w:left="-40" w:right="120" w:firstLine="656"/>
        <w:spacing w:after="0" w:line="263" w:lineRule="auto"/>
        <w:tabs>
          <w:tab w:leader="none" w:pos="1129"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Issuer. The Holders of a majority in aggregate principal amount of the then outstanding Notes may remove the Trustee by so notifying the Trustee and the Issuer in writing. The Issuer may remove the Trustee if:</w:t>
      </w:r>
    </w:p>
    <w:p>
      <w:pPr>
        <w:spacing w:after="0" w:line="183" w:lineRule="exact"/>
        <w:rPr>
          <w:rFonts w:ascii="Arial" w:cs="Arial" w:eastAsia="Arial" w:hAnsi="Arial"/>
          <w:sz w:val="18"/>
          <w:szCs w:val="18"/>
          <w:color w:val="auto"/>
        </w:rPr>
      </w:pPr>
    </w:p>
    <w:p>
      <w:pPr>
        <w:ind w:left="2040" w:hanging="614"/>
        <w:spacing w:after="0"/>
        <w:tabs>
          <w:tab w:leader="none" w:pos="204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Trustee fails to comply with Section 7.09 hereof;</w:t>
      </w:r>
    </w:p>
    <w:p>
      <w:pPr>
        <w:spacing w:after="0" w:line="225" w:lineRule="exact"/>
        <w:rPr>
          <w:rFonts w:ascii="Arial" w:cs="Arial" w:eastAsia="Arial" w:hAnsi="Arial"/>
          <w:sz w:val="18"/>
          <w:szCs w:val="18"/>
          <w:color w:val="auto"/>
        </w:rPr>
      </w:pPr>
    </w:p>
    <w:p>
      <w:pPr>
        <w:ind w:left="2040" w:hanging="614"/>
        <w:spacing w:after="0"/>
        <w:tabs>
          <w:tab w:leader="none" w:pos="204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w:t>
      </w:r>
    </w:p>
    <w:p>
      <w:pPr>
        <w:spacing w:after="0" w:line="3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Bankruptcy Law;</w:t>
      </w:r>
    </w:p>
    <w:p>
      <w:pPr>
        <w:spacing w:after="0" w:line="210" w:lineRule="exact"/>
        <w:rPr>
          <w:rFonts w:ascii="Arial" w:cs="Arial" w:eastAsia="Arial" w:hAnsi="Arial"/>
          <w:sz w:val="17"/>
          <w:szCs w:val="17"/>
          <w:color w:val="auto"/>
        </w:rPr>
      </w:pPr>
    </w:p>
    <w:p>
      <w:pPr>
        <w:ind w:left="2040" w:hanging="614"/>
        <w:spacing w:after="0"/>
        <w:tabs>
          <w:tab w:leader="none" w:pos="204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60" w:top="692" w:right="359" w:bottom="1440" w:gutter="0" w:footer="0" w:header="0"/>
        </w:sectPr>
      </w:pPr>
    </w:p>
    <w:bookmarkStart w:id="358" w:name="page359"/>
    <w:bookmarkEnd w:id="358"/>
    <w:p>
      <w:pPr>
        <w:ind w:left="2080" w:hanging="614"/>
        <w:spacing w:after="0"/>
        <w:tabs>
          <w:tab w:leader="none" w:pos="208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80" w:firstLine="656"/>
        <w:spacing w:after="0" w:line="263" w:lineRule="auto"/>
        <w:tabs>
          <w:tab w:leader="none" w:pos="1163"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Issuer will promptly appoint a successor Trustee. Within one year after the successor Trustee takes office, the Holders of a majority in aggregate principal amount of the then outstanding Notes may appoint a successor Trustee to replace the successor Trustee appointed by the Issuer.</w:t>
      </w:r>
    </w:p>
    <w:p>
      <w:pPr>
        <w:spacing w:after="0" w:line="183" w:lineRule="exact"/>
        <w:rPr>
          <w:rFonts w:ascii="Arial" w:cs="Arial" w:eastAsia="Arial" w:hAnsi="Arial"/>
          <w:sz w:val="18"/>
          <w:szCs w:val="18"/>
          <w:color w:val="auto"/>
        </w:rPr>
      </w:pPr>
    </w:p>
    <w:p>
      <w:pPr>
        <w:ind w:right="60" w:firstLine="656"/>
        <w:spacing w:after="0" w:line="263" w:lineRule="auto"/>
        <w:tabs>
          <w:tab w:leader="none" w:pos="1173"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the Issuer, or the Holders of at least 10% in aggregate principal amount of the then outstanding Notes may petition, at the expense of the Issuer, any court of competent jurisdiction for the appointment of a successor Trustee.</w:t>
      </w:r>
    </w:p>
    <w:p>
      <w:pPr>
        <w:spacing w:after="0" w:line="183" w:lineRule="exact"/>
        <w:rPr>
          <w:rFonts w:ascii="Arial" w:cs="Arial" w:eastAsia="Arial" w:hAnsi="Arial"/>
          <w:sz w:val="18"/>
          <w:szCs w:val="18"/>
          <w:color w:val="auto"/>
        </w:rPr>
      </w:pPr>
    </w:p>
    <w:p>
      <w:pPr>
        <w:ind w:right="120" w:firstLine="656"/>
        <w:spacing w:after="0" w:line="308" w:lineRule="auto"/>
        <w:tabs>
          <w:tab w:leader="none" w:pos="1163" w:val="left"/>
        </w:tabs>
        <w:numPr>
          <w:ilvl w:val="0"/>
          <w:numId w:val="404"/>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7.09 hereof,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ind w:firstLine="656"/>
        <w:spacing w:after="0" w:line="293" w:lineRule="auto"/>
        <w:tabs>
          <w:tab w:leader="none" w:pos="1178" w:val="left"/>
        </w:tabs>
        <w:numPr>
          <w:ilvl w:val="0"/>
          <w:numId w:val="404"/>
        </w:numPr>
        <w:rPr>
          <w:rFonts w:ascii="Arial" w:cs="Arial" w:eastAsia="Arial" w:hAnsi="Arial"/>
          <w:sz w:val="16"/>
          <w:szCs w:val="16"/>
          <w:color w:val="auto"/>
        </w:rPr>
      </w:pPr>
      <w:r>
        <w:rPr>
          <w:rFonts w:ascii="Arial" w:cs="Arial" w:eastAsia="Arial" w:hAnsi="Arial"/>
          <w:sz w:val="16"/>
          <w:szCs w:val="16"/>
          <w:color w:val="auto"/>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under this Indenture. The successor Trustee will deliver a notice of its succession to Holders. The retiring Trustee will promptly transfer all property held by it as Trustee to the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all sums owing to the Trustee hereunder have been paid and subject to the Lien provided for in Section 7.06 hereof. Notwithstanding replacement of the Trustee pursuant to this Section 7.07, the Issuer’s obligations under Section 7.06 hereof will continue for the benefit of the retiring Trustee. The Trustee shall have no responsibility for any action or inaction of any successor Trustee.</w:t>
      </w:r>
    </w:p>
    <w:p>
      <w:pPr>
        <w:spacing w:after="0" w:line="16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Successor Trustee by Merger, etc.</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This Indenture shall at all times have a Trustee that is an entity organized and doing business under the laws of the United States or any state thereof, or a member state of the European Union or a political subdivision thereof or the United Kingdom, that is authorized to exercise corporate trust power and that is a Person which is generally recognized as an entity which customarily performs such corporate trustee roles and provides such corporate trustee services in transactions similar in nature of the Offering of the Notes as described in the Offering Memorandum.</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59" w:name="page360"/>
    <w:bookmarkEnd w:id="359"/>
    <w:p>
      <w:pPr>
        <w:ind w:left="660"/>
        <w:spacing w:after="0"/>
        <w:tabs>
          <w:tab w:leader="none" w:pos="18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i w:val="1"/>
          <w:iCs w:val="1"/>
          <w:color w:val="auto"/>
        </w:rPr>
        <w:t>Collateral Documents; Intercreditor Agreements.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By their acceptance of the Notes, the Holders hereby authorize and direct the Trustee and the Notes Collateral Agent, as the case may be, to execute and deliver the First Lien Intercreditor Agreement, the Junior Lien Intercreditor Agreement, if any, and any other Collateral Documents in which the Trustee or the Notes Collateral Agent, as applicable, is named as a party, including any Collateral Documents executed on or after the Issue Date. It is hereby expressly acknowledged and agreed that, in doing so, the Trustee and the Notes Collateral Agent are not responsible for the terms or contents of such agreements, or for the validity or enforceability thereof, or the sufficiency thereof for any purpose. Whether or not so expressly stated therein, in entering into, or taking (or forbearing from) any action under, the First Lien Intercreditor Agreement, the Junior Lien Intercreditor Agreement, if any, or any other Collateral Documents, the Trustee and the Notes Collateral Agent each shall have all of the rights, privileges, benefits, immunities, indemnities and other protections granted to it under this Indenture (in addition to those that may be granted to it under the terms of such other agreement or agreements).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Issuer may at any time elect to have either Section 8.02 or 8.03 hereof be applied to all outstanding Notes upon compliance with the conditions set forth below in this Article 8.</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Upon the Issuer’s exercise under Section 8.01 hereof of the option applicable to this Section 8.02, the Issuer and each of the Guarantors will, subject to the satisfaction of the conditions set forth in Section 8.04 hereof, be deemed to have been discharged from their obligations with respect to this Indenture and all outstanding Notes (including the Note Guarantees) and have Liens on the Collateral securing the Notes and the Note Guarantees released, in each case, on the date the conditions set forth below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For this purpose, Legal Defeasance means that the Issuer and the Guarantors will be deemed to have paid and discharged the entire Indebtedness represented by the outstanding Notes (including the Note Guarantees), which will thereafter be deemed to be “outstanding” only for the purposes of Section 8.05 hereof and the other Sections of this Indenture referred to in clauses (a) and (b) below, and to have satisfied all their other obligations under such Notes, the Note Guarantees and this Indenture (and the Trustee, on written demand of and at the expense of the Issuer, shall execute proper instruments acknowledging the same), except for the following provisions which will survive until otherwise terminated or discharged hereunder:</w:t>
      </w:r>
    </w:p>
    <w:p>
      <w:pPr>
        <w:spacing w:after="0" w:line="181" w:lineRule="exact"/>
        <w:rPr>
          <w:sz w:val="20"/>
          <w:szCs w:val="20"/>
          <w:color w:val="auto"/>
        </w:rPr>
      </w:pPr>
    </w:p>
    <w:p>
      <w:pPr>
        <w:ind w:right="100" w:firstLine="656"/>
        <w:spacing w:after="0" w:line="277" w:lineRule="auto"/>
        <w:tabs>
          <w:tab w:leader="none" w:pos="1163"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on, if any, or interest on, such Notes when such payments are due from the trust referred to in Section 8.04 hereof;</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under Sections 2.06, 2.07, 2.10 and 4.02 hereof;</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hereunder and the Issuer’s and the Guarantors’ obligations in connection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therewith; and</w:t>
      </w:r>
    </w:p>
    <w:p>
      <w:pPr>
        <w:spacing w:after="0" w:line="210" w:lineRule="exact"/>
        <w:rPr>
          <w:rFonts w:ascii="Arial" w:cs="Arial" w:eastAsia="Arial" w:hAnsi="Arial"/>
          <w:sz w:val="16"/>
          <w:szCs w:val="16"/>
          <w:color w:val="auto"/>
        </w:rPr>
      </w:pPr>
    </w:p>
    <w:p>
      <w:pPr>
        <w:ind w:left="1180" w:hanging="524"/>
        <w:spacing w:after="0"/>
        <w:tabs>
          <w:tab w:leader="none" w:pos="11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0" w:name="page361"/>
    <w:bookmarkEnd w:id="360"/>
    <w:p>
      <w:pPr>
        <w:ind w:right="20" w:firstLine="648"/>
        <w:spacing w:after="0" w:line="277" w:lineRule="auto"/>
        <w:rPr>
          <w:sz w:val="20"/>
          <w:szCs w:val="20"/>
          <w:color w:val="auto"/>
        </w:rPr>
      </w:pPr>
      <w:r>
        <w:rPr>
          <w:rFonts w:ascii="Arial" w:cs="Arial" w:eastAsia="Arial" w:hAnsi="Arial"/>
          <w:sz w:val="18"/>
          <w:szCs w:val="18"/>
          <w:color w:val="auto"/>
        </w:rPr>
        <w:t>Subject to compliance with this Article 8, the Issuer may exercise its option under this Section 8.02 notwithstanding the prior exercise of its option under Section 8.03 hereof.</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Upon the Issuer’s exercise under Section 8.01 hereof of the option applicable to this Section 8.03, the Issuer and each of the Guarantors will, subject to the satisfaction of the conditions set forth in Section 8.04 hereof, be released from each of their obligations under Sections 3.09, 4.03, 4.07, 4.08, 4.09, 4.10, 4.11, 4.12, 4.14, 4.18, 4.19 and 4.22 hereof and clauses (a)(3), (a)(4) and (b)(3) of Section 5.01 hereof with respect to the outstanding Notes and have Liens on the Collateral securing the Notes and the Note Guarantees released, in each case, on and after the date the conditions set forth in Section 8.04 hereof are satisfied (hereinafter,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this Indenture and outstanding Notes and Note Guarantees, the Issuer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Issuer’s exercise under Section 8.01 hereof of the option applicable to this Section 8.03, subject to the satisfaction of the conditions set forth in Section 8.04 hereof, Sections 6.01(3), (4),</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(5), (6), (7) (only as such clause 7 applies to Significant Subsidiaries) and (8) (only as such clause 8 applies to Significant Subsidiaries) hereof will not constitute Events of Default.</w:t>
      </w:r>
    </w:p>
    <w:p>
      <w:pPr>
        <w:spacing w:after="0" w:line="18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225" w:lineRule="exact"/>
        <w:rPr>
          <w:sz w:val="20"/>
          <w:szCs w:val="20"/>
          <w:color w:val="auto"/>
        </w:rPr>
      </w:pPr>
    </w:p>
    <w:p>
      <w:pPr>
        <w:ind w:right="20" w:firstLine="656"/>
        <w:spacing w:after="0" w:line="269" w:lineRule="auto"/>
        <w:tabs>
          <w:tab w:leader="none" w:pos="1163" w:val="left"/>
        </w:tabs>
        <w:numPr>
          <w:ilvl w:val="0"/>
          <w:numId w:val="406"/>
        </w:numPr>
        <w:rPr>
          <w:rFonts w:ascii="Arial" w:cs="Arial" w:eastAsia="Arial" w:hAnsi="Arial"/>
          <w:sz w:val="17"/>
          <w:szCs w:val="17"/>
          <w:color w:val="auto"/>
        </w:rPr>
      </w:pPr>
      <w:r>
        <w:rPr>
          <w:rFonts w:ascii="Arial" w:cs="Arial" w:eastAsia="Arial" w:hAnsi="Arial"/>
          <w:sz w:val="17"/>
          <w:szCs w:val="17"/>
          <w:color w:val="auto"/>
        </w:rPr>
        <w:t xml:space="preserve">the Issuer must irrevocably deposit with the Trustee, in trust, for the benefit of the Holders of the Notes, cash in U.S. dollars, non-callable Government Securities, or a combination thereof, in amounts as will be sufficient, in the opinion of a nationally recognized investment bank, appraisal firm or firm of independent public accountants, to pay the principal of, premium on, if any, and interest on, the outstanding Notes on the stated date for payment thereof or on the applicable redemption date, as the case may be, and the Issuer must specify whether such Notes are being defeased to such stated date for payment or to a particular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any redemption that requires the payment of the Applicable Premium, the amount deposited will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Arial" w:cs="Arial" w:eastAsia="Arial" w:hAnsi="Arial"/>
          <w:sz w:val="17"/>
          <w:szCs w:val="17"/>
          <w:i w:val="1"/>
          <w:iCs w:val="1"/>
          <w:color w:val="auto"/>
        </w:rPr>
        <w:t>Applicable Premium Deficit</w:t>
      </w:r>
      <w:r>
        <w:rPr>
          <w:rFonts w:ascii="Arial" w:cs="Arial" w:eastAsia="Arial" w:hAnsi="Arial"/>
          <w:sz w:val="17"/>
          <w:szCs w:val="17"/>
          <w:color w:val="auto"/>
        </w:rPr>
        <w:t xml:space="preserve">”) only required to be deposited with the Trustee on or prior to the date of redemption;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Trustee shall have no liability whatsoever in the event that such deposit is not made after the Trustee has discharged this Indenture.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1" w:name="page362"/>
    <w:bookmarkEnd w:id="361"/>
    <w:p>
      <w:pPr>
        <w:ind w:left="-40" w:right="400" w:firstLine="656"/>
        <w:spacing w:after="0" w:line="277" w:lineRule="auto"/>
        <w:tabs>
          <w:tab w:leader="none" w:pos="1133"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 the case of an election of Legal Defeasance under Section 8.02 hereof, the Issuer must deliver to the Trustee an Opinion of Counsel reasonably acceptable to the Trustee confirming that, subject to customary assumptions and exclusions:</w:t>
      </w:r>
    </w:p>
    <w:p>
      <w:pPr>
        <w:spacing w:after="0" w:line="170" w:lineRule="exact"/>
        <w:rPr>
          <w:rFonts w:ascii="Arial" w:cs="Arial" w:eastAsia="Arial" w:hAnsi="Arial"/>
          <w:sz w:val="18"/>
          <w:szCs w:val="18"/>
          <w:color w:val="auto"/>
        </w:rPr>
      </w:pPr>
    </w:p>
    <w:p>
      <w:pPr>
        <w:ind w:left="2040" w:hanging="614"/>
        <w:spacing w:after="0"/>
        <w:tabs>
          <w:tab w:leader="none" w:pos="204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Internal Revenue Service a ruling; or</w:t>
      </w:r>
    </w:p>
    <w:p>
      <w:pPr>
        <w:spacing w:after="0" w:line="225" w:lineRule="exact"/>
        <w:rPr>
          <w:rFonts w:ascii="Arial" w:cs="Arial" w:eastAsia="Arial" w:hAnsi="Arial"/>
          <w:sz w:val="18"/>
          <w:szCs w:val="18"/>
          <w:color w:val="auto"/>
        </w:rPr>
      </w:pPr>
    </w:p>
    <w:p>
      <w:pPr>
        <w:ind w:left="2040" w:hanging="614"/>
        <w:spacing w:after="0"/>
        <w:tabs>
          <w:tab w:leader="none" w:pos="204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since the Issue Date, there has been a change in the applicable U.S. federal income tax law,</w:t>
      </w:r>
    </w:p>
    <w:p>
      <w:pPr>
        <w:spacing w:after="0" w:line="225" w:lineRule="exact"/>
        <w:rPr>
          <w:sz w:val="20"/>
          <w:szCs w:val="20"/>
          <w:color w:val="auto"/>
        </w:rPr>
      </w:pPr>
    </w:p>
    <w:p>
      <w:pPr>
        <w:ind w:left="620" w:firstLine="648"/>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87" w:lineRule="exact"/>
        <w:rPr>
          <w:sz w:val="20"/>
          <w:szCs w:val="20"/>
          <w:color w:val="auto"/>
        </w:rPr>
      </w:pPr>
    </w:p>
    <w:p>
      <w:pPr>
        <w:ind w:left="-40" w:right="40" w:firstLine="656"/>
        <w:spacing w:after="0" w:line="301" w:lineRule="auto"/>
        <w:tabs>
          <w:tab w:leader="none" w:pos="1123" w:val="left"/>
        </w:tabs>
        <w:numPr>
          <w:ilvl w:val="0"/>
          <w:numId w:val="408"/>
        </w:numPr>
        <w:rPr>
          <w:rFonts w:ascii="Arial" w:cs="Arial" w:eastAsia="Arial" w:hAnsi="Arial"/>
          <w:sz w:val="16"/>
          <w:szCs w:val="16"/>
          <w:color w:val="auto"/>
        </w:rPr>
      </w:pPr>
      <w:r>
        <w:rPr>
          <w:rFonts w:ascii="Arial" w:cs="Arial" w:eastAsia="Arial" w:hAnsi="Arial"/>
          <w:sz w:val="16"/>
          <w:szCs w:val="16"/>
          <w:color w:val="auto"/>
        </w:rPr>
        <w:t>in the case of an election of Covenant Defeasance under Section 8.03 hereof, the Issuer must deliver to the Trustee an Opinion of Counsel reasonably acceptable to the Trustee confirming that, subject to customary assumptions and exclusions,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57" w:lineRule="exact"/>
        <w:rPr>
          <w:rFonts w:ascii="Arial" w:cs="Arial" w:eastAsia="Arial" w:hAnsi="Arial"/>
          <w:sz w:val="16"/>
          <w:szCs w:val="16"/>
          <w:color w:val="auto"/>
        </w:rPr>
      </w:pPr>
    </w:p>
    <w:p>
      <w:pPr>
        <w:ind w:left="-40" w:right="100" w:firstLine="656"/>
        <w:spacing w:after="0" w:line="263" w:lineRule="auto"/>
        <w:tabs>
          <w:tab w:leader="none" w:pos="1133"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any of the Guarantors is a party or by which the Issuer or any of the Guarantors is bound;</w:t>
      </w:r>
    </w:p>
    <w:p>
      <w:pPr>
        <w:spacing w:after="0" w:line="183" w:lineRule="exact"/>
        <w:rPr>
          <w:rFonts w:ascii="Arial" w:cs="Arial" w:eastAsia="Arial" w:hAnsi="Arial"/>
          <w:sz w:val="18"/>
          <w:szCs w:val="18"/>
          <w:color w:val="auto"/>
        </w:rPr>
      </w:pPr>
    </w:p>
    <w:p>
      <w:pPr>
        <w:ind w:left="-40" w:right="360" w:firstLine="656"/>
        <w:spacing w:after="0" w:line="263" w:lineRule="auto"/>
        <w:tabs>
          <w:tab w:leader="none" w:pos="1123"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 and</w:t>
      </w:r>
    </w:p>
    <w:p>
      <w:pPr>
        <w:spacing w:after="0" w:line="183" w:lineRule="exact"/>
        <w:rPr>
          <w:rFonts w:ascii="Arial" w:cs="Arial" w:eastAsia="Arial" w:hAnsi="Arial"/>
          <w:sz w:val="18"/>
          <w:szCs w:val="18"/>
          <w:color w:val="auto"/>
        </w:rPr>
      </w:pPr>
    </w:p>
    <w:p>
      <w:pPr>
        <w:ind w:left="-40" w:right="120" w:firstLine="656"/>
        <w:spacing w:after="0" w:line="263" w:lineRule="auto"/>
        <w:tabs>
          <w:tab w:leader="none" w:pos="114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Issuer must deliver to the Trustee an Officer’s Certificate and an Opinion of Counsel (which Opinion of Counsel may be subject to customary assumptions and exclusions), each stating that all conditions precedent relating to the Legal Defeasance or the Covenant Defeasance have been complied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60" w:top="692" w:right="359" w:bottom="1440" w:gutter="0" w:footer="0" w:header="0"/>
        </w:sectPr>
      </w:pPr>
    </w:p>
    <w:bookmarkStart w:id="362" w:name="page363"/>
    <w:bookmarkEnd w:id="362"/>
    <w:p>
      <w:pPr>
        <w:jc w:val="both"/>
        <w:ind w:right="80" w:firstLine="648"/>
        <w:spacing w:after="0" w:line="291" w:lineRule="auto"/>
        <w:rPr>
          <w:sz w:val="20"/>
          <w:szCs w:val="20"/>
          <w:color w:val="auto"/>
        </w:rPr>
      </w:pPr>
      <w:r>
        <w:rPr>
          <w:rFonts w:ascii="Arial" w:cs="Arial" w:eastAsia="Arial" w:hAnsi="Arial"/>
          <w:sz w:val="16"/>
          <w:szCs w:val="16"/>
          <w:color w:val="auto"/>
        </w:rPr>
        <w:t>Notwithstanding the foregoing provisions of this Section 8.04, the conditions set forth in the foregoing subsections (b), (c), (d), (e), and (f) of this Section 8.04 need not be satisfied so long as, at the time the Issuer makes the deposit described in subsection (a), (i) no Default under Section 6.01(1), (2),</w:t>
      </w:r>
    </w:p>
    <w:p>
      <w:pPr>
        <w:ind w:right="80" w:firstLine="8"/>
        <w:spacing w:after="0" w:line="253" w:lineRule="auto"/>
        <w:tabs>
          <w:tab w:leader="none" w:pos="25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and (8) has occurred and is continuing on the date of such deposit and after giving effect thereto and (ii) all Notes not previously delivered to the Trustee for cancellation (x) have become due and payable, (y) will become due and payable at their Stated Maturity within one year or (z) are to be called for redemption within one year under arrangements satisfactory to the Trustee for the giving of notice of redemption by the Trustee in the name, and at the expense, of the Issuer. If the conditions in the preceding sentence are satisfied, the Issuer shall be deemed to have exercised its Covenant Defeasance option.</w:t>
      </w:r>
    </w:p>
    <w:p>
      <w:pPr>
        <w:spacing w:after="0" w:line="19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interest, but such money need not be segregated from other funds except to the extent required by law.</w:t>
      </w:r>
    </w:p>
    <w:p>
      <w:pPr>
        <w:spacing w:after="0" w:line="19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Issuer will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anything in this Article 8 to the contrary, the Trustee will deliver or pay to the Issuer from time to time upon the written request of the Issuer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Issuer.</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Any money deposited with the Trustee or any Paying Agent, or then held by the Issuer, in trust for the payment of the principal of, premium on, if any, or interest on, any Note and remaining unclaimed for two years after such principal, premium, if any, or interest has become due and payable shall be paid to the Issuer on its written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63" w:name="page364"/>
    <w:bookmarkEnd w:id="363"/>
    <w:p>
      <w:pPr>
        <w:ind w:left="660"/>
        <w:spacing w:after="0"/>
        <w:tabs>
          <w:tab w:leader="none" w:pos="180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Issuer’s and the Guarantors’ obligations under this Indenture and the Notes and the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Issuer makes any payment of principal of, premium on, if any, or interest on, any Note following the reinstatement of its obligations, the Issuer will be subrogated to the rights of the Holders of such Notes to receive such payment from the money held by the Trustee or Paying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Notwithstanding Section 9.02, without the consent of any Holder of Notes, the Issuer, the Guarantors and the Trustee (and the Notes Collateral Agent, as applicable) may amend or supplement this Indenture, the Notes, the Note Guarantees or the Collateral Documents:</w:t>
      </w:r>
    </w:p>
    <w:p>
      <w:pPr>
        <w:spacing w:after="0" w:line="146" w:lineRule="exact"/>
        <w:rPr>
          <w:sz w:val="20"/>
          <w:szCs w:val="20"/>
          <w:color w:val="auto"/>
        </w:rPr>
      </w:pPr>
    </w:p>
    <w:p>
      <w:pPr>
        <w:ind w:left="1180" w:hanging="524"/>
        <w:spacing w:after="0"/>
        <w:tabs>
          <w:tab w:leader="none" w:pos="11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right="480" w:firstLine="656"/>
        <w:spacing w:after="0" w:line="277" w:lineRule="auto"/>
        <w:tabs>
          <w:tab w:leader="none" w:pos="1173"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Notes are issued in registered form for purposes of Section 163(f) of the Code);</w:t>
      </w:r>
    </w:p>
    <w:p>
      <w:pPr>
        <w:spacing w:after="0" w:line="170" w:lineRule="exact"/>
        <w:rPr>
          <w:rFonts w:ascii="Arial" w:cs="Arial" w:eastAsia="Arial" w:hAnsi="Arial"/>
          <w:sz w:val="18"/>
          <w:szCs w:val="18"/>
          <w:color w:val="auto"/>
        </w:rPr>
      </w:pPr>
    </w:p>
    <w:p>
      <w:pPr>
        <w:ind w:right="140" w:firstLine="656"/>
        <w:spacing w:after="0" w:line="277" w:lineRule="auto"/>
        <w:tabs>
          <w:tab w:leader="none" w:pos="1163"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Holders of Notes and Note Guarantees in the case of a merger or consolidation or sale of all or substantially all of the Issuer’s or such Guarantor’s assets, as applicable;</w:t>
      </w:r>
    </w:p>
    <w:p>
      <w:pPr>
        <w:spacing w:after="0" w:line="170" w:lineRule="exact"/>
        <w:rPr>
          <w:rFonts w:ascii="Arial" w:cs="Arial" w:eastAsia="Arial" w:hAnsi="Arial"/>
          <w:sz w:val="18"/>
          <w:szCs w:val="18"/>
          <w:color w:val="auto"/>
        </w:rPr>
      </w:pPr>
    </w:p>
    <w:p>
      <w:pPr>
        <w:ind w:firstLine="656"/>
        <w:spacing w:after="0" w:line="277" w:lineRule="auto"/>
        <w:tabs>
          <w:tab w:leader="none" w:pos="1223"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Notes or that does not materially adversely affect the legal rights under this Indenture of any Holder;</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the qualification of this Indenture under the Trust Indenture Act of 1939,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amended;</w:t>
      </w:r>
    </w:p>
    <w:p>
      <w:pPr>
        <w:spacing w:after="0" w:line="210" w:lineRule="exact"/>
        <w:rPr>
          <w:rFonts w:ascii="Arial" w:cs="Arial" w:eastAsia="Arial" w:hAnsi="Arial"/>
          <w:sz w:val="17"/>
          <w:szCs w:val="17"/>
          <w:color w:val="auto"/>
        </w:rPr>
      </w:pPr>
    </w:p>
    <w:p>
      <w:pPr>
        <w:ind w:right="20" w:firstLine="656"/>
        <w:spacing w:after="0" w:line="263" w:lineRule="auto"/>
        <w:tabs>
          <w:tab w:leader="none" w:pos="118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to conform the text of this Indenture, the Notes or the Note Guarantees to any provision of the “Description of the Notes” section of the Offering Memorandum, to the extent that the Trustee has received an Officer’s Certificate to the effect that such text constitutes an unintended conflict with the description of the corresponding provision in such “Description of the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4" w:name="page365"/>
    <w:bookmarkEnd w:id="364"/>
    <w:p>
      <w:pPr>
        <w:ind w:left="1180" w:hanging="524"/>
        <w:spacing w:after="0"/>
        <w:tabs>
          <w:tab w:leader="none" w:pos="118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to provide for the issuance of Additional Notes in accordance with the limitations set forth in this Indenture as of the Issue Date;</w:t>
      </w:r>
    </w:p>
    <w:p>
      <w:pPr>
        <w:spacing w:after="0" w:line="236" w:lineRule="exact"/>
        <w:rPr>
          <w:rFonts w:ascii="Arial" w:cs="Arial" w:eastAsia="Arial" w:hAnsi="Arial"/>
          <w:sz w:val="17"/>
          <w:szCs w:val="17"/>
          <w:color w:val="auto"/>
        </w:rPr>
      </w:pPr>
    </w:p>
    <w:p>
      <w:pPr>
        <w:ind w:left="1180" w:hanging="524"/>
        <w:spacing w:after="0"/>
        <w:tabs>
          <w:tab w:leader="none" w:pos="11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this Indenture by a successor Trustee;</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release any Guarantor in accordance with the terms of this Indenture;</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w:t>
      </w:r>
    </w:p>
    <w:p>
      <w:pPr>
        <w:spacing w:after="0" w:line="225" w:lineRule="exact"/>
        <w:rPr>
          <w:rFonts w:ascii="Arial" w:cs="Arial" w:eastAsia="Arial" w:hAnsi="Arial"/>
          <w:sz w:val="18"/>
          <w:szCs w:val="18"/>
          <w:color w:val="auto"/>
        </w:rPr>
      </w:pPr>
    </w:p>
    <w:p>
      <w:pPr>
        <w:ind w:right="180" w:firstLine="656"/>
        <w:spacing w:after="0" w:line="308" w:lineRule="auto"/>
        <w:tabs>
          <w:tab w:leader="none" w:pos="1173"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to add additional co-issuers (to the extent such entities are organized under the laws of the United States, any state of the United States or the District of Columbia, Luxembourg or Ireland) with respect to the Notes in accordance with the limitations set forth in this Indenture;</w:t>
      </w:r>
    </w:p>
    <w:p>
      <w:pPr>
        <w:spacing w:after="0" w:line="146" w:lineRule="exact"/>
        <w:rPr>
          <w:rFonts w:ascii="Arial" w:cs="Arial" w:eastAsia="Arial" w:hAnsi="Arial"/>
          <w:sz w:val="17"/>
          <w:szCs w:val="17"/>
          <w:color w:val="auto"/>
        </w:rPr>
      </w:pPr>
    </w:p>
    <w:p>
      <w:pPr>
        <w:ind w:right="120" w:firstLine="656"/>
        <w:spacing w:after="0" w:line="263" w:lineRule="auto"/>
        <w:tabs>
          <w:tab w:leader="none" w:pos="113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make any amendment to the provisions of Section 2.06 relating to the transfer and legending of Notes as permitted by this Indenture, including to facilitate the issuance and administration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amendment does not adversely affect the rights of Holders to transfer Notes in any material respect;</w:t>
      </w:r>
    </w:p>
    <w:p>
      <w:pPr>
        <w:spacing w:after="0" w:line="183" w:lineRule="exact"/>
        <w:rPr>
          <w:rFonts w:ascii="Arial" w:cs="Arial" w:eastAsia="Arial" w:hAnsi="Arial"/>
          <w:sz w:val="18"/>
          <w:szCs w:val="18"/>
          <w:color w:val="auto"/>
        </w:rPr>
      </w:pPr>
    </w:p>
    <w:p>
      <w:pPr>
        <w:ind w:left="1240" w:hanging="584"/>
        <w:spacing w:after="0"/>
        <w:tabs>
          <w:tab w:leader="none" w:pos="12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secure the Notes or the Note Guarantees or to add additional assets as Collateral;</w:t>
      </w:r>
    </w:p>
    <w:p>
      <w:pPr>
        <w:spacing w:after="0" w:line="225" w:lineRule="exact"/>
        <w:rPr>
          <w:rFonts w:ascii="Arial" w:cs="Arial" w:eastAsia="Arial" w:hAnsi="Arial"/>
          <w:sz w:val="18"/>
          <w:szCs w:val="18"/>
          <w:color w:val="auto"/>
        </w:rPr>
      </w:pPr>
    </w:p>
    <w:p>
      <w:pPr>
        <w:ind w:firstLine="656"/>
        <w:spacing w:after="0" w:line="277" w:lineRule="auto"/>
        <w:tabs>
          <w:tab w:leader="none" w:pos="122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 the case of any Collateral Document, include therein any legend required to be set forth therein pursuant to the First Lien Intercreditor Agreement or to modify any such legend as required by the First Lien Intercreditor Agreement;</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98" w:val="left"/>
        </w:tabs>
        <w:numPr>
          <w:ilvl w:val="0"/>
          <w:numId w:val="411"/>
        </w:numPr>
        <w:rPr>
          <w:rFonts w:ascii="Arial" w:cs="Arial" w:eastAsia="Arial" w:hAnsi="Arial"/>
          <w:sz w:val="18"/>
          <w:szCs w:val="18"/>
          <w:color w:val="auto"/>
        </w:rPr>
      </w:pPr>
      <w:r>
        <w:rPr>
          <w:rFonts w:ascii="Arial" w:cs="Arial" w:eastAsia="Arial" w:hAnsi="Arial"/>
          <w:sz w:val="18"/>
          <w:szCs w:val="18"/>
          <w:color w:val="auto"/>
        </w:rPr>
        <w:t>mortgage, pledge, hypothecate or grant (including by entry into additional Collateral Documents) any other Lien in favor of the Trustee or the Notes Collateral Agent for the benefit of the Holders, as additional security for the payment and performance of all or any portion of the Obligations in respect of the Notes and the Note Guarantees, in any property or assets, including any which are required to be mortgaged, pledged or hypothecated, or in which a Lien is required to be granted to or for the benefit of the Trustee or the Notes Collateral Agent pursuant to this Indenture, any of the Collateral Documents or otherwise;</w:t>
      </w:r>
    </w:p>
    <w:p>
      <w:pPr>
        <w:spacing w:after="0" w:line="187" w:lineRule="exact"/>
        <w:rPr>
          <w:rFonts w:ascii="Arial" w:cs="Arial" w:eastAsia="Arial" w:hAnsi="Arial"/>
          <w:sz w:val="18"/>
          <w:szCs w:val="18"/>
          <w:color w:val="auto"/>
        </w:rPr>
      </w:pPr>
    </w:p>
    <w:p>
      <w:pPr>
        <w:jc w:val="both"/>
        <w:ind w:firstLine="656"/>
        <w:spacing w:after="0" w:line="286" w:lineRule="auto"/>
        <w:tabs>
          <w:tab w:leader="none" w:pos="1306" w:val="left"/>
        </w:tabs>
        <w:numPr>
          <w:ilvl w:val="0"/>
          <w:numId w:val="411"/>
        </w:numPr>
        <w:rPr>
          <w:rFonts w:ascii="Arial" w:cs="Arial" w:eastAsia="Arial" w:hAnsi="Arial"/>
          <w:sz w:val="17"/>
          <w:szCs w:val="17"/>
          <w:color w:val="auto"/>
        </w:rPr>
      </w:pPr>
      <w:r>
        <w:rPr>
          <w:rFonts w:ascii="Arial" w:cs="Arial" w:eastAsia="Arial" w:hAnsi="Arial"/>
          <w:sz w:val="17"/>
          <w:szCs w:val="17"/>
          <w:color w:val="auto"/>
        </w:rPr>
        <w:t>provide for the succession of any parties to the Collateral Documents (and other amendments that are administrative or ministerial in nature) in connection with an amendment, renewal, extension, substitution, refinancing, restructuring, replacement, supplementing or other modification from time to time of the Senior Secured Credit Facilities or any other agreement that is not prohibited by this Indenture;</w:t>
      </w:r>
    </w:p>
    <w:p>
      <w:pPr>
        <w:spacing w:after="0" w:line="165" w:lineRule="exact"/>
        <w:rPr>
          <w:rFonts w:ascii="Arial" w:cs="Arial" w:eastAsia="Arial" w:hAnsi="Arial"/>
          <w:sz w:val="17"/>
          <w:szCs w:val="17"/>
          <w:color w:val="auto"/>
        </w:rPr>
      </w:pPr>
    </w:p>
    <w:p>
      <w:pPr>
        <w:ind w:right="20" w:firstLine="656"/>
        <w:spacing w:after="0" w:line="277" w:lineRule="auto"/>
        <w:tabs>
          <w:tab w:leader="none" w:pos="123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release Collateral from the Lien pursuant to this Indenture, the Collateral Documents and the First Lien Intercreditor Agreement when permitted or required by this Indenture, the Collateral Documents or the First Lien Intercreditor Agreement; or</w:t>
      </w:r>
    </w:p>
    <w:p>
      <w:pPr>
        <w:spacing w:after="0" w:line="170" w:lineRule="exact"/>
        <w:rPr>
          <w:rFonts w:ascii="Arial" w:cs="Arial" w:eastAsia="Arial" w:hAnsi="Arial"/>
          <w:sz w:val="18"/>
          <w:szCs w:val="18"/>
          <w:color w:val="auto"/>
        </w:rPr>
      </w:pPr>
    </w:p>
    <w:p>
      <w:pPr>
        <w:ind w:right="320" w:firstLine="656"/>
        <w:spacing w:after="0" w:line="277" w:lineRule="auto"/>
        <w:tabs>
          <w:tab w:leader="none" w:pos="1188"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add parallel debt or other foreign law provisions that the Issuer determines are necessary or advisable with respect to the jurisdiction of organization or incorporation of any Guarantor.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5" w:name="page366"/>
    <w:bookmarkEnd w:id="365"/>
    <w:p>
      <w:pPr>
        <w:ind w:right="80" w:firstLine="648"/>
        <w:spacing w:after="0" w:line="272" w:lineRule="auto"/>
        <w:rPr>
          <w:sz w:val="20"/>
          <w:szCs w:val="20"/>
          <w:color w:val="auto"/>
        </w:rPr>
      </w:pPr>
      <w:r>
        <w:rPr>
          <w:rFonts w:ascii="Arial" w:cs="Arial" w:eastAsia="Arial" w:hAnsi="Arial"/>
          <w:sz w:val="17"/>
          <w:szCs w:val="17"/>
          <w:color w:val="auto"/>
        </w:rPr>
        <w:t xml:space="preserve">In addition, the Issuer, the Trustee and the Notes Collateral Agent may amend the First Lien Intercreditor Agreement and the Collateral Documents to provide for the addition of any creditors to such agreements to the extent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lien for the benefit of such creditor is permitted by the terms of this Indenture and may enter into a junior lien intercreditor agreement with creditors for whom a junior lien on the Collateral is to be granted (a “</w:t>
      </w:r>
      <w:r>
        <w:rPr>
          <w:rFonts w:ascii="Arial" w:cs="Arial" w:eastAsia="Arial" w:hAnsi="Arial"/>
          <w:sz w:val="17"/>
          <w:szCs w:val="17"/>
          <w:i w:val="1"/>
          <w:iCs w:val="1"/>
          <w:color w:val="auto"/>
        </w:rPr>
        <w:t>Junior Lien Intercreditor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Issuer delivers an Officer’s Certificate to the Trustee and Notes Collateral Agent certifying that such agreement is substantially in the form of the junior lien intercreditor agreement attached to the Senior Secured Credit Facilities (with such changes that are not materially adverse to the senior creditors thereunder) or the terms thereof are customary and that the Trustee and Notes Collateral Agent are authorized to enter into the Junior Lien Intercreditor Agreement.</w:t>
      </w:r>
    </w:p>
    <w:p>
      <w:pPr>
        <w:spacing w:after="0" w:line="17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Upon the request of the Issuer, and upon receipt by the Trustee of the documents described in Sections 7.02 and 9.05 hereof, the Trustee and, if applicable, the Notes Collateral Agent will join with the Issuer and the Guarantors in the execution of any amended or supplemental indenture authorized or permitted by the terms of this Indenture and to make any further appropriate agreements and stipulations that may be therein contained, but the Trustee and, if applicable, the Notes Collateral Agent will not be obligated to enter into such amended or supplemental indenture that affects its own rights, duties or immunities under this Indenture or otherwise.</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Except as provided below in this Section 9.02, each of this Indenture, the Notes, the Note Guarantees and the Collateral Documents may be amended or supplemented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any existing Default or Event of Default (other than a Default or Event of Default in the payment of the principal of, premium on, if any, or interest on, the Notes, except a payment default resulting from an acceleration that has been rescinded) or compliance with any provision of this Indenture, the Notes, the Note Guarantees and the Collateral Documents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the Notes).</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Upon the request of the Issuer, and upon the filing with the Trustee and, if applicable, the Notes Collateral Agent of evidence satisfactory to the Trustee and, if applicable, the Notes Collateral Agent of the consent of the Holders of Notes as aforesaid, and upon receipt by the Trustee and, if applicable, the Notes Collateral Agent of the documents described in Section 7.02 hereof, the Trustee and, if applicable, the Notes Collateral Agent will join with the Issuer and the Guarantors in the execution of such amended or supplemental indenture unless such amended or supplemental indenture directly affects the Trustee’s and, if applicable, the Notes Collateral Agent’s own rights, duties or immunities under this Indenture or otherwise, in which case the Trustee and, if applicable, the Notes Collateral Agent may in its discretion, but will not be obligated to, enter into such amended or supplemental indenture.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6" w:name="page367"/>
    <w:bookmarkEnd w:id="366"/>
    <w:p>
      <w:pPr>
        <w:ind w:right="400" w:firstLine="648"/>
        <w:spacing w:after="0" w:line="277" w:lineRule="auto"/>
        <w:rPr>
          <w:sz w:val="20"/>
          <w:szCs w:val="20"/>
          <w:color w:val="auto"/>
        </w:rPr>
      </w:pPr>
      <w:r>
        <w:rPr>
          <w:rFonts w:ascii="Arial" w:cs="Arial" w:eastAsia="Arial" w:hAnsi="Arial"/>
          <w:sz w:val="18"/>
          <w:szCs w:val="18"/>
          <w:color w:val="auto"/>
        </w:rPr>
        <w:t>It is not necessary for the consent of the Holders of Notes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After an amendment, supplement or waiver under this Section 9.02 becomes effective, the Issuer will promptly deliver to the Holders of Notes affected thereby a notice briefly describing the amendment, supplement or waiver. Any failure of the Issuer to deliver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 or any Guarantor with any provision of this Indenture, the Notes or the Note Guarantees. However, without the consent of each Holder affected, an amendment, supplement or waiver under this Section 9.02 may not (with respect to any Notes held by a non-consenting Holder):</w:t>
      </w:r>
    </w:p>
    <w:p>
      <w:pPr>
        <w:spacing w:after="0" w:line="164" w:lineRule="exact"/>
        <w:rPr>
          <w:sz w:val="20"/>
          <w:szCs w:val="20"/>
          <w:color w:val="auto"/>
        </w:rPr>
      </w:pPr>
    </w:p>
    <w:p>
      <w:pPr>
        <w:ind w:left="1180" w:hanging="524"/>
        <w:spacing w:after="0"/>
        <w:tabs>
          <w:tab w:leader="none" w:pos="11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25" w:lineRule="exact"/>
        <w:rPr>
          <w:rFonts w:ascii="Arial" w:cs="Arial" w:eastAsia="Arial" w:hAnsi="Arial"/>
          <w:sz w:val="18"/>
          <w:szCs w:val="18"/>
          <w:color w:val="auto"/>
        </w:rPr>
      </w:pPr>
    </w:p>
    <w:p>
      <w:pPr>
        <w:ind w:right="480" w:firstLine="656"/>
        <w:spacing w:after="0" w:line="277" w:lineRule="auto"/>
        <w:tabs>
          <w:tab w:leader="none" w:pos="1173" w:val="left"/>
        </w:tabs>
        <w:numPr>
          <w:ilvl w:val="0"/>
          <w:numId w:val="412"/>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or waive any of the provisions with respect to the payment of Additional Amounts or the redemption of the Notes (except those provisions relating to Sections 4.10 and 4.14 hereof);</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225" w:lineRule="exact"/>
        <w:rPr>
          <w:rFonts w:ascii="Arial" w:cs="Arial" w:eastAsia="Arial" w:hAnsi="Arial"/>
          <w:sz w:val="18"/>
          <w:szCs w:val="18"/>
          <w:color w:val="auto"/>
        </w:rPr>
      </w:pPr>
    </w:p>
    <w:p>
      <w:pPr>
        <w:jc w:val="both"/>
        <w:ind w:right="360" w:firstLine="656"/>
        <w:spacing w:after="0" w:line="263" w:lineRule="auto"/>
        <w:tabs>
          <w:tab w:leader="none" w:pos="1173"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premium on, if any, or interest on, the Notes (except a rescission of acceleration of the Notes by the Holders of at least a majority in aggregate principal amount of the then outstanding Notes and a waiver of the payment default that resulted from such acceleration);</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225" w:lineRule="exact"/>
        <w:rPr>
          <w:rFonts w:ascii="Arial" w:cs="Arial" w:eastAsia="Arial" w:hAnsi="Arial"/>
          <w:sz w:val="18"/>
          <w:szCs w:val="18"/>
          <w:color w:val="auto"/>
        </w:rPr>
      </w:pPr>
    </w:p>
    <w:p>
      <w:pPr>
        <w:ind w:right="620" w:firstLine="656"/>
        <w:spacing w:after="0" w:line="277" w:lineRule="auto"/>
        <w:tabs>
          <w:tab w:leader="none" w:pos="118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Notes to receive payments of principal of, premium on, if any, or interest on, the Notes;</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Sections 4.10 or 4.14 hereof);</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this Indenture, except in accordance with the terms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 or</w:t>
      </w:r>
    </w:p>
    <w:p>
      <w:pPr>
        <w:spacing w:after="0" w:line="210" w:lineRule="exact"/>
        <w:rPr>
          <w:rFonts w:ascii="Arial" w:cs="Arial" w:eastAsia="Arial" w:hAnsi="Arial"/>
          <w:sz w:val="16"/>
          <w:szCs w:val="16"/>
          <w:color w:val="auto"/>
        </w:rPr>
      </w:pPr>
    </w:p>
    <w:p>
      <w:pPr>
        <w:ind w:left="1180" w:hanging="524"/>
        <w:spacing w:after="0"/>
        <w:tabs>
          <w:tab w:leader="none" w:pos="11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without the consent of Holders of at least 66 2/3% in principal amount of the Notes then outstanding (including, without limitation, consents obtained in connection with a purchase of, or tender offer or exchange offer for, Notes), no amendment or supplement may modify any Collateral Documents or the provisions in this Indenture dealing with Collateral or the Collateral Documents to the extent that such amendment or supplement would have the effect of releasing all or substantially all of the Liens securing the Notes (except as permitted by the terms of this Indenture and the Collateral Documents) or change or alter the priority of the security interests in the Collateral.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7" w:name="page368"/>
    <w:bookmarkEnd w:id="367"/>
    <w:p>
      <w:pPr>
        <w:ind w:left="660"/>
        <w:spacing w:after="0"/>
        <w:tabs>
          <w:tab w:leader="none" w:pos="180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7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Notation on or Exchange of Notes.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Failure to make the appropriate notation or issue a new Note will not affect the validity and effect of such amendment, supplement or waiver.</w:t>
      </w:r>
    </w:p>
    <w:p>
      <w:pPr>
        <w:spacing w:after="0" w:line="23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Trustee and the Notes Collateral Agent to Sign Amendments, etc.</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Trustee and the Notes Collateral Agent will sign any amended or supplemental indenture authorized pursuant to this Article 9 if the amendment or supplement does not adversely affect the rights, duties, liabilities or immunities of the Trustee and the Notes Collateral Agent. The Issuer may not sign an amended or supplemental indenture until the Board of Directors of the Issuer approves it. In executing any amended or supplemental indenture, the Trustee and the Notes Collateral Agent will receive and (subject to Section 7.01 hereof) will be fully protected in conclusively relying upon, in addition to the documents required by Section 12.03 hereof, an Officer’s Certificate and an Opinion of Counsel stating that the execution of such amended or supplemental indenture is authorized or permitted by this Indenture and that such supplemental indenture constitutes the valid and binding obligation of the Issuer and any Guarantors party thereto, enforceable against such parties in accordance with its terms, subject to customary exceptions.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 GUARANTEES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5"/>
          <w:szCs w:val="15"/>
          <w:i w:val="1"/>
          <w:iCs w:val="1"/>
          <w:color w:val="auto"/>
        </w:rPr>
        <w:t>Guarantee</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86" w:lineRule="auto"/>
        <w:tabs>
          <w:tab w:leader="none" w:pos="1163" w:val="left"/>
        </w:tabs>
        <w:numPr>
          <w:ilvl w:val="0"/>
          <w:numId w:val="413"/>
        </w:numPr>
        <w:rPr>
          <w:rFonts w:ascii="Arial" w:cs="Arial" w:eastAsia="Arial" w:hAnsi="Arial"/>
          <w:sz w:val="17"/>
          <w:szCs w:val="17"/>
          <w:color w:val="auto"/>
        </w:rPr>
      </w:pPr>
      <w:r>
        <w:rPr>
          <w:rFonts w:ascii="Arial" w:cs="Arial" w:eastAsia="Arial" w:hAnsi="Arial"/>
          <w:sz w:val="17"/>
          <w:szCs w:val="17"/>
          <w:color w:val="auto"/>
        </w:rPr>
        <w:t>Subject to this Article 10, upon consummative of the Merger,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68" w:name="page369"/>
    <w:bookmarkEnd w:id="368"/>
    <w:p>
      <w:pPr>
        <w:jc w:val="both"/>
        <w:ind w:left="820" w:firstLine="646"/>
        <w:spacing w:after="0" w:line="259" w:lineRule="auto"/>
        <w:tabs>
          <w:tab w:leader="none" w:pos="208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principal of, premium on, if any, and interest on, the Notes will be promptly paid in full when due, whether at maturity, by acceleration, redemption or otherwise, and interest on the overdue principal of, premium on, if any, and interest on, the Notes, if lawful, and all other obligations of the Issuer to the Holders or the Trustee hereunder or thereunder will be promptly paid in full or performed, all in accordance with the terms hereof and thereof; and</w:t>
      </w:r>
    </w:p>
    <w:p>
      <w:pPr>
        <w:spacing w:after="0" w:line="186" w:lineRule="exact"/>
        <w:rPr>
          <w:rFonts w:ascii="Arial" w:cs="Arial" w:eastAsia="Arial" w:hAnsi="Arial"/>
          <w:sz w:val="18"/>
          <w:szCs w:val="18"/>
          <w:color w:val="auto"/>
        </w:rPr>
      </w:pPr>
    </w:p>
    <w:p>
      <w:pPr>
        <w:ind w:left="820" w:right="580" w:firstLine="646"/>
        <w:spacing w:after="0" w:line="263" w:lineRule="auto"/>
        <w:tabs>
          <w:tab w:leader="none" w:pos="208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8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ind w:right="60" w:firstLine="656"/>
        <w:spacing w:after="0" w:line="254" w:lineRule="auto"/>
        <w:tabs>
          <w:tab w:leader="none" w:pos="116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 that this Note Guarantee will not be discharged except by complete performance of the obligations contained in the Notes and this Indenture.</w:t>
      </w:r>
    </w:p>
    <w:p>
      <w:pPr>
        <w:spacing w:after="0" w:line="194" w:lineRule="exact"/>
        <w:rPr>
          <w:rFonts w:ascii="Arial" w:cs="Arial" w:eastAsia="Arial" w:hAnsi="Arial"/>
          <w:sz w:val="18"/>
          <w:szCs w:val="18"/>
          <w:color w:val="auto"/>
        </w:rPr>
      </w:pPr>
    </w:p>
    <w:p>
      <w:pPr>
        <w:ind w:right="20" w:firstLine="656"/>
        <w:spacing w:after="0" w:line="263" w:lineRule="auto"/>
        <w:tabs>
          <w:tab w:leader="none" w:pos="116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by either to the Trustee or such Holder, this Note Guarantee, to the extent theretofore discharged, will be reinstated in full force and effect.</w:t>
      </w:r>
    </w:p>
    <w:p>
      <w:pPr>
        <w:spacing w:after="0" w:line="183" w:lineRule="exact"/>
        <w:rPr>
          <w:rFonts w:ascii="Arial" w:cs="Arial" w:eastAsia="Arial" w:hAnsi="Arial"/>
          <w:sz w:val="18"/>
          <w:szCs w:val="18"/>
          <w:color w:val="auto"/>
        </w:rPr>
      </w:pPr>
    </w:p>
    <w:p>
      <w:pPr>
        <w:ind w:right="80" w:firstLine="656"/>
        <w:spacing w:after="0" w:line="254" w:lineRule="auto"/>
        <w:tabs>
          <w:tab w:leader="none" w:pos="117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69" w:name="page370"/>
    <w:bookmarkEnd w:id="369"/>
    <w:p>
      <w:pPr>
        <w:ind w:left="660"/>
        <w:spacing w:after="0"/>
        <w:tabs>
          <w:tab w:leader="none" w:pos="190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7"/>
          <w:szCs w:val="17"/>
          <w:i w:val="1"/>
          <w:iCs w:val="1"/>
          <w:color w:val="auto"/>
        </w:rPr>
        <w:t>Limitation on Guarantor Liability.</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state law or similar foreign law to the extent applicable to any Note Guarantee or unlawful financial assistance within the meaning of Section 82 of the Companies Act (as amended).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Note Guarantee not constituting a fraudulent transfer or conveyance under federal, state or similar foreign law or unlawful financial assistance within the meaning of Section 82 of the Irish Companies Act 2014 (as amended).</w:t>
      </w:r>
    </w:p>
    <w:p>
      <w:pPr>
        <w:spacing w:after="0" w:line="16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i w:val="1"/>
          <w:iCs w:val="1"/>
          <w:color w:val="auto"/>
        </w:rPr>
        <w:t>Issuance and Delivery of Note Guarantee.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To evidence its Note Guarantee set forth in Section 10.01, each Guarantor hereby agrees that this Indenture (or, a supplemental indenture to this Indenture) shall be executed on behalf of such Guarantor by an Officer of such Guarantor.</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Each Guarantor hereby agrees that its Note Guarantee set forth in Section 10.01 shall remain in full force and effect notwithstanding the absence of the endorsement of any notation of such Note Guarantee on the Notes.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an Officer whose signature is on this Indenture or on the Note Guarantee no longer holds that office at the time the Trustee authenticates the Note on which a Note Guarantee is endorsed, the Note Guarantee will be valid nevertheless.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Note Guarantee set forth in this Indenture on behalf of the Guarantors. Upon execution of a supplemental indenture to this Indenture by any Guarantor in the form of Exhibit E hereto, the Note Guarantee set forth in this Indenture and such supplemental indenture shall be deemed duly delivered, without any further action by any Person, on behalf of such Guarantor. All the Note Guarantees so issued will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70" w:name="page371"/>
    <w:bookmarkEnd w:id="370"/>
    <w:p>
      <w:pPr>
        <w:ind w:left="660"/>
        <w:spacing w:after="0"/>
        <w:tabs>
          <w:tab w:leader="none" w:pos="190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i w:val="1"/>
          <w:iCs w:val="1"/>
          <w:color w:val="auto"/>
        </w:rPr>
        <w:t>Guarantors May Consolidate, etc., on Certain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Except as otherwise provided in Section 10.05 hereof, no Guarantor (other than the Parent, which is governed by Section 5.01) may sell or otherwise dispose of all or substantially all of its assets to, or consolidate with or merge with or into (whether or not such Guarantor is the surviving Person) another Person, other than the Parent, the Issuer or a Restricted Subsidiary, unless either:</w:t>
      </w:r>
    </w:p>
    <w:p>
      <w:pPr>
        <w:spacing w:after="0" w:line="184" w:lineRule="exact"/>
        <w:rPr>
          <w:sz w:val="20"/>
          <w:szCs w:val="20"/>
          <w:color w:val="auto"/>
        </w:rPr>
      </w:pPr>
    </w:p>
    <w:p>
      <w:pPr>
        <w:ind w:right="60" w:firstLine="656"/>
        <w:spacing w:after="0" w:line="259" w:lineRule="auto"/>
        <w:tabs>
          <w:tab w:leader="none" w:pos="116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subject to Section 10.05 hereof, the Person acquiring the property in any such sale or disposition or the Person formed by or surviving any such consolidation or merger (the “</w:t>
      </w:r>
      <w:r>
        <w:rPr>
          <w:rFonts w:ascii="Arial" w:cs="Arial" w:eastAsia="Arial" w:hAnsi="Arial"/>
          <w:sz w:val="18"/>
          <w:szCs w:val="18"/>
          <w:i w:val="1"/>
          <w:iCs w:val="1"/>
          <w:color w:val="auto"/>
        </w:rPr>
        <w:t>Successor Guarantor</w:t>
      </w:r>
      <w:r>
        <w:rPr>
          <w:rFonts w:ascii="Arial" w:cs="Arial" w:eastAsia="Arial" w:hAnsi="Arial"/>
          <w:sz w:val="18"/>
          <w:szCs w:val="18"/>
          <w:color w:val="auto"/>
        </w:rPr>
        <w:t>”) is organized in a Covered Jurisdiction unconditionally assumes all the obligations of that Guarantor under its Note Guarantees and this Indenture on the terms set forth herein or therein, pursuant to a supplemental indenture in form and substance reasonably satisfactory to the Trustee;</w:t>
      </w:r>
    </w:p>
    <w:p>
      <w:pPr>
        <w:spacing w:after="0" w:line="186" w:lineRule="exact"/>
        <w:rPr>
          <w:rFonts w:ascii="Arial" w:cs="Arial" w:eastAsia="Arial" w:hAnsi="Arial"/>
          <w:sz w:val="18"/>
          <w:szCs w:val="18"/>
          <w:color w:val="auto"/>
        </w:rPr>
      </w:pPr>
    </w:p>
    <w:p>
      <w:pPr>
        <w:ind w:right="60" w:firstLine="656"/>
        <w:spacing w:after="0" w:line="286" w:lineRule="auto"/>
        <w:tabs>
          <w:tab w:leader="none" w:pos="1173" w:val="left"/>
        </w:tabs>
        <w:numPr>
          <w:ilvl w:val="0"/>
          <w:numId w:val="416"/>
        </w:numPr>
        <w:rPr>
          <w:rFonts w:ascii="Arial" w:cs="Arial" w:eastAsia="Arial" w:hAnsi="Arial"/>
          <w:sz w:val="17"/>
          <w:szCs w:val="17"/>
          <w:color w:val="auto"/>
        </w:rPr>
      </w:pPr>
      <w:r>
        <w:rPr>
          <w:rFonts w:ascii="Arial" w:cs="Arial" w:eastAsia="Arial" w:hAnsi="Arial"/>
          <w:sz w:val="17"/>
          <w:szCs w:val="17"/>
          <w:color w:val="auto"/>
        </w:rPr>
        <w:t>the transaction constitutes a Disposition (including by way of merger or consolidation) (A) that is not an Asset Sale or is an Asset Sale that is in compliance with Section 4.10 or (B) of such Guarantor (other than the Parent) or the Disposition of all or substantially all of the assets of such Guarantor (other than the Parent)that is not an Asset Sale or is an Asset Sale that is in compliance with Section 4.10; or</w:t>
      </w:r>
    </w:p>
    <w:p>
      <w:pPr>
        <w:spacing w:after="0" w:line="165" w:lineRule="exact"/>
        <w:rPr>
          <w:rFonts w:ascii="Arial" w:cs="Arial" w:eastAsia="Arial" w:hAnsi="Arial"/>
          <w:sz w:val="17"/>
          <w:szCs w:val="17"/>
          <w:color w:val="auto"/>
        </w:rPr>
      </w:pPr>
    </w:p>
    <w:p>
      <w:pPr>
        <w:ind w:right="840" w:firstLine="656"/>
        <w:spacing w:after="0" w:line="277" w:lineRule="auto"/>
        <w:tabs>
          <w:tab w:leader="none" w:pos="116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Note Guarantee of such Guarantor shall be released in accordance with Section 10.05 upon, or in connection with, such sale, disposition, consolidation or merger.</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Notwithstanding the foregoing in this Section 10.04, any Guarantor (other than the Parent, which is governed by Section 5.01) may merge or consolidate with or into an Affiliate solely for the purpose of reorganizing in another jurisdiction and (iv) any Guarantor (other than the Parent, which is governed by Section 5.01) may liquidate, dissolve or wind up if the Parent determines in good faith that such liquidation, dissolution or conveyance is in the best interest of the Parent and the Restricted Subsidiaries taken as whole.</w:t>
      </w:r>
    </w:p>
    <w:p>
      <w:pPr>
        <w:spacing w:after="0" w:line="187"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In case of any such consolidation, merger, sale or disposition and upon the assumption by the Successor Guarantor, by a supplemental indenture, of the Note Guarantees and the due and punctual performance of all of the covenants and conditions of this Indenture to be performed by the Guarantor, such Successor Guarantor will succeed to and be substituted for the Guarantor with the same effect as if it had been named herein as a Guarantor.</w:t>
      </w:r>
    </w:p>
    <w:p>
      <w:pPr>
        <w:spacing w:after="0" w:line="14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Except as set forth in Articles 4 and 5 hereof, and notwithstanding clauses (a) and (b) above, nothing contained in this Indenture or in any of the Notes will prevent any consolidation or merger of a Guarantor with or into the Parent, the Issuer or another Guarantor, or will prevent any sale or conveyance of the property of a Guarantor as an entirety or substantially as an entirety to the Parent or another Guarantor.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1" w:name="page372"/>
    <w:bookmarkEnd w:id="371"/>
    <w:p>
      <w:pPr>
        <w:ind w:left="660"/>
        <w:spacing w:after="0"/>
        <w:tabs>
          <w:tab w:leader="none" w:pos="190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3"/>
          <w:szCs w:val="13"/>
          <w:i w:val="1"/>
          <w:iCs w:val="1"/>
          <w:color w:val="auto"/>
        </w:rPr>
        <w:t>Releases.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Any Guarantor will be automatically and unconditionally released from all obligations under its Note Guarantee, and such Note Guarantee shall thereupon terminate and be discharged and of no further force and effect:</w:t>
      </w:r>
    </w:p>
    <w:p>
      <w:pPr>
        <w:spacing w:after="0" w:line="170" w:lineRule="exact"/>
        <w:rPr>
          <w:sz w:val="20"/>
          <w:szCs w:val="20"/>
          <w:color w:val="auto"/>
        </w:rPr>
      </w:pPr>
    </w:p>
    <w:p>
      <w:pPr>
        <w:jc w:val="both"/>
        <w:ind w:firstLine="656"/>
        <w:spacing w:after="0" w:line="263" w:lineRule="auto"/>
        <w:tabs>
          <w:tab w:leader="none" w:pos="1163" w:val="left"/>
        </w:tabs>
        <w:numPr>
          <w:ilvl w:val="0"/>
          <w:numId w:val="417"/>
        </w:numPr>
        <w:rPr>
          <w:rFonts w:ascii="Arial" w:cs="Arial" w:eastAsia="Arial" w:hAnsi="Arial"/>
          <w:sz w:val="18"/>
          <w:szCs w:val="18"/>
          <w:color w:val="auto"/>
        </w:rPr>
      </w:pPr>
      <w:r>
        <w:rPr>
          <w:rFonts w:ascii="Arial" w:cs="Arial" w:eastAsia="Arial" w:hAnsi="Arial"/>
          <w:sz w:val="18"/>
          <w:szCs w:val="18"/>
          <w:color w:val="auto"/>
        </w:rPr>
        <w:t>concurrently with any sale, exchange, disposition or transfer (by merger or otherwise) of any Capital Stock, or all or substantially all assets, of such Guarantor in accordance with the applicable provisions of this Indenture following which such Guarantor is no longer a Restricted Subsidiary of the Parent or ceases to be organized in a Covered Jurisdiction;</w:t>
      </w:r>
    </w:p>
    <w:p>
      <w:pPr>
        <w:spacing w:after="0" w:line="183" w:lineRule="exact"/>
        <w:rPr>
          <w:rFonts w:ascii="Arial" w:cs="Arial" w:eastAsia="Arial" w:hAnsi="Arial"/>
          <w:sz w:val="18"/>
          <w:szCs w:val="18"/>
          <w:color w:val="auto"/>
        </w:rPr>
      </w:pPr>
    </w:p>
    <w:p>
      <w:pPr>
        <w:ind w:right="300" w:firstLine="656"/>
        <w:spacing w:after="0" w:line="277" w:lineRule="auto"/>
        <w:tabs>
          <w:tab w:leader="none" w:pos="1173"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if the Parent designates any Restricted Subsidiary that is a Guarantor to be an Unrestricted Subsidiary in accordance with the applicable provisions of this Indenture;</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upon Legal Defeasance, Covenant Defeasance or satisfaction and discharge of this Indenture as provided in Articles 8 and 11 hereof; or</w:t>
      </w:r>
    </w:p>
    <w:p>
      <w:pPr>
        <w:spacing w:after="0" w:line="248" w:lineRule="exact"/>
        <w:rPr>
          <w:rFonts w:ascii="Arial" w:cs="Arial" w:eastAsia="Arial" w:hAnsi="Arial"/>
          <w:sz w:val="16"/>
          <w:szCs w:val="16"/>
          <w:color w:val="auto"/>
        </w:rPr>
      </w:pPr>
    </w:p>
    <w:p>
      <w:pPr>
        <w:jc w:val="both"/>
        <w:ind w:firstLine="656"/>
        <w:spacing w:after="0" w:line="293" w:lineRule="auto"/>
        <w:tabs>
          <w:tab w:leader="none" w:pos="1185"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at the Issuer’s election, upon achieving Investment Grade Status;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Guarantor may be released from its obligations under its Note Guarantee pursuant to this clause (d) if any obligations under the Senior Secured Credit Facilities remain outstanding and such obligations continue to be guaranteed by such Guarantor;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after the date on which the Notes have achieved Investment Grade Status, a Reversion Date shall occur, then the Suspension Period with respect to such Investment Grade Status shall terminate and all actions reasonably necessary to provide that the Notes shall have been unconditionally guaranteed by each Guarantor (to the extent such guarantee is required Section 4.18) shall be taken within 90 days after such Reversion Date or as soon as reasonably practicable thereafter using commercially reasonable efforts;</w:t>
      </w:r>
    </w:p>
    <w:p>
      <w:pPr>
        <w:spacing w:after="0" w:line="164" w:lineRule="exact"/>
        <w:rPr>
          <w:rFonts w:ascii="Arial" w:cs="Arial" w:eastAsia="Arial" w:hAnsi="Arial"/>
          <w:sz w:val="16"/>
          <w:szCs w:val="16"/>
          <w:color w:val="auto"/>
        </w:rPr>
      </w:pPr>
    </w:p>
    <w:p>
      <w:pPr>
        <w:ind w:right="20" w:firstLine="656"/>
        <w:spacing w:after="0" w:line="277" w:lineRule="auto"/>
        <w:tabs>
          <w:tab w:leader="none" w:pos="127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upon the merger, amalgamation or consolidation of any Guarantor with an into the Parent, the Issuer or another Guarantor or upon the liquidation, dissolution or winding up of such Guarantor;</w:t>
      </w:r>
    </w:p>
    <w:p>
      <w:pPr>
        <w:spacing w:after="0" w:line="170" w:lineRule="exact"/>
        <w:rPr>
          <w:rFonts w:ascii="Arial" w:cs="Arial" w:eastAsia="Arial" w:hAnsi="Arial"/>
          <w:sz w:val="18"/>
          <w:szCs w:val="18"/>
          <w:color w:val="auto"/>
        </w:rPr>
      </w:pPr>
    </w:p>
    <w:p>
      <w:pPr>
        <w:ind w:right="20" w:firstLine="656"/>
        <w:spacing w:after="0" w:line="277" w:lineRule="auto"/>
        <w:tabs>
          <w:tab w:leader="none" w:pos="123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upon the release of such Guarantor from its guarantee under the Senior Secured Credit Facilities (except in the case of a release resulting from the repayment in full of the Senior Secured Credit Facilities); or</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upon such Guarantor becoming an Excluded Subsidiary.</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any occurrence giving rise to a release of a Note Guarantee, as specified in this Section 10.05, the Trustee, upon receipt of an Officer’s Certificate from the Issuer in accordance with the provisions of Section 13.03, which the Trustee shall be entitled to rely on absolutely and without further inquiry, will take all necessary actions at the reasonable request and cost of the Issuer, to effectuate any release of a Note Guarantee in accordance with these provisions, subject to customary protections and indemnifications. Each of the releases set forth above shall be effected by the Trustee without the consent of the Holders and will not require any other action or consent on the part of the Trustee. None of the Issuer, the Trustee or any Guarantor will be required to make a notation on the Notes to reflect any such release, termination or discharge. The Issuer may in its sole discretion, and without prejudice to any future election in relation thereto, elect to have any Note Guarantee remain in place as opposed to being released.</w:t>
      </w:r>
    </w:p>
    <w:p>
      <w:pPr>
        <w:spacing w:after="0" w:line="16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Any Guarantor not released from its obligations under its Note Guarantee as provided in this Section 10.05 will remain liable for the full amount of principal of, premium on, if any, and interest on, the Notes and for the other obligations of any Guarantor under this Indenture as provided in this Article 10.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2" w:name="page373"/>
    <w:bookmarkEnd w:id="372"/>
    <w:p>
      <w:pPr>
        <w:ind w:left="660"/>
        <w:spacing w:after="0"/>
        <w:tabs>
          <w:tab w:leader="none" w:pos="186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i w:val="1"/>
          <w:iCs w:val="1"/>
          <w:color w:val="auto"/>
        </w:rPr>
        <w:t>Luxembourg Guarantee Limitation Language.</w:t>
      </w:r>
    </w:p>
    <w:p>
      <w:pPr>
        <w:spacing w:after="0" w:line="225" w:lineRule="exact"/>
        <w:rPr>
          <w:sz w:val="20"/>
          <w:szCs w:val="20"/>
          <w:color w:val="auto"/>
        </w:rPr>
      </w:pPr>
    </w:p>
    <w:p>
      <w:pPr>
        <w:ind w:firstLine="656"/>
        <w:spacing w:after="0" w:line="342" w:lineRule="auto"/>
        <w:tabs>
          <w:tab w:leader="none" w:pos="1181" w:val="left"/>
        </w:tabs>
        <w:numPr>
          <w:ilvl w:val="0"/>
          <w:numId w:val="41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Indenture, the aggregate obligations and exposure of a Non-Parent Guarantor in respect of the Note Guarantees for the obligations of the Issuer shall be limited at any time to an aggregate amount not exceeding 95% of the greater of:</w:t>
      </w:r>
    </w:p>
    <w:p>
      <w:pPr>
        <w:spacing w:after="0" w:line="123" w:lineRule="exact"/>
        <w:rPr>
          <w:rFonts w:ascii="Arial" w:cs="Arial" w:eastAsia="Arial" w:hAnsi="Arial"/>
          <w:sz w:val="16"/>
          <w:szCs w:val="16"/>
          <w:color w:val="auto"/>
        </w:rPr>
      </w:pPr>
    </w:p>
    <w:p>
      <w:pPr>
        <w:jc w:val="both"/>
        <w:ind w:left="820" w:firstLine="646"/>
        <w:spacing w:after="0" w:line="291" w:lineRule="auto"/>
        <w:tabs>
          <w:tab w:leader="none" w:pos="1983" w:val="left"/>
        </w:tabs>
        <w:numPr>
          <w:ilvl w:val="1"/>
          <w:numId w:val="418"/>
        </w:numPr>
        <w:rPr>
          <w:rFonts w:ascii="Arial" w:cs="Arial" w:eastAsia="Arial" w:hAnsi="Arial"/>
          <w:sz w:val="16"/>
          <w:szCs w:val="16"/>
          <w:color w:val="auto"/>
        </w:rPr>
      </w:pPr>
      <w:r>
        <w:rPr>
          <w:rFonts w:ascii="Arial" w:cs="Arial" w:eastAsia="Arial" w:hAnsi="Arial"/>
          <w:sz w:val="16"/>
          <w:szCs w:val="16"/>
          <w:color w:val="auto"/>
        </w:rPr>
        <w:t>An amount equal to the sum of the Non-Parent Guarantor’s net assets (</w:t>
      </w:r>
      <w:r>
        <w:rPr>
          <w:rFonts w:ascii="Arial" w:cs="Arial" w:eastAsia="Arial" w:hAnsi="Arial"/>
          <w:sz w:val="16"/>
          <w:szCs w:val="16"/>
          <w:i w:val="1"/>
          <w:iCs w:val="1"/>
          <w:color w:val="auto"/>
        </w:rPr>
        <w:t>capitaux propres</w:t>
      </w:r>
      <w:r>
        <w:rPr>
          <w:rFonts w:ascii="Arial" w:cs="Arial" w:eastAsia="Arial" w:hAnsi="Arial"/>
          <w:sz w:val="16"/>
          <w:szCs w:val="16"/>
          <w:color w:val="auto"/>
        </w:rPr>
        <w:t>) (as referred to in Annex I to the Grand-Ducal regulation dated 18 December 2015 setting out the form and content of the presentation of the balance sheet and profit and loss account, enforcing the Luxembourg act of 19 December 2002 on the trade and companies register and the accounting and annual accounts of undertakings, as amended)(the “Own Funds”), as amended and its subordinated debt (</w:t>
      </w:r>
      <w:r>
        <w:rPr>
          <w:rFonts w:ascii="Arial" w:cs="Arial" w:eastAsia="Arial" w:hAnsi="Arial"/>
          <w:sz w:val="16"/>
          <w:szCs w:val="16"/>
          <w:i w:val="1"/>
          <w:iCs w:val="1"/>
          <w:color w:val="auto"/>
        </w:rPr>
        <w:t>dettes subordonnées</w:t>
      </w:r>
      <w:r>
        <w:rPr>
          <w:rFonts w:ascii="Arial" w:cs="Arial" w:eastAsia="Arial" w:hAnsi="Arial"/>
          <w:sz w:val="16"/>
          <w:szCs w:val="16"/>
          <w:color w:val="auto"/>
        </w:rPr>
        <w:t>), as reflected in the financial information of the Non-Parent Guarantor publicly available at the date of this Offering Memorandum (or its accession as a Luxembourg Guarantor, as the case may be), including, without limitation, its most recently and duly approved financial statements (</w:t>
      </w:r>
      <w:r>
        <w:rPr>
          <w:rFonts w:ascii="Arial" w:cs="Arial" w:eastAsia="Arial" w:hAnsi="Arial"/>
          <w:sz w:val="16"/>
          <w:szCs w:val="16"/>
          <w:i w:val="1"/>
          <w:iCs w:val="1"/>
          <w:color w:val="auto"/>
        </w:rPr>
        <w:t>comptes annuels)</w:t>
      </w:r>
      <w:r>
        <w:rPr>
          <w:rFonts w:ascii="Arial" w:cs="Arial" w:eastAsia="Arial" w:hAnsi="Arial"/>
          <w:sz w:val="16"/>
          <w:szCs w:val="16"/>
          <w:color w:val="auto"/>
        </w:rPr>
        <w:t xml:space="preserve"> and any (unaudited) interim financial statements signed by its board of managers (</w:t>
      </w:r>
      <w:r>
        <w:rPr>
          <w:rFonts w:ascii="Arial" w:cs="Arial" w:eastAsia="Arial" w:hAnsi="Arial"/>
          <w:sz w:val="16"/>
          <w:szCs w:val="16"/>
          <w:i w:val="1"/>
          <w:iCs w:val="1"/>
          <w:color w:val="auto"/>
        </w:rPr>
        <w:t>gérants</w:t>
      </w:r>
      <w:r>
        <w:rPr>
          <w:rFonts w:ascii="Arial" w:cs="Arial" w:eastAsia="Arial" w:hAnsi="Arial"/>
          <w:sz w:val="16"/>
          <w:szCs w:val="16"/>
          <w:color w:val="auto"/>
        </w:rPr>
        <w:t>) or directors (</w:t>
      </w:r>
      <w:r>
        <w:rPr>
          <w:rFonts w:ascii="Arial" w:cs="Arial" w:eastAsia="Arial" w:hAnsi="Arial"/>
          <w:sz w:val="16"/>
          <w:szCs w:val="16"/>
          <w:i w:val="1"/>
          <w:iCs w:val="1"/>
          <w:color w:val="auto"/>
        </w:rPr>
        <w:t>administrateurs</w:t>
      </w:r>
      <w:r>
        <w:rPr>
          <w:rFonts w:ascii="Arial" w:cs="Arial" w:eastAsia="Arial" w:hAnsi="Arial"/>
          <w:sz w:val="16"/>
          <w:szCs w:val="16"/>
          <w:color w:val="auto"/>
        </w:rPr>
        <w:t>) (as the case may be); and</w:t>
      </w:r>
    </w:p>
    <w:p>
      <w:pPr>
        <w:spacing w:after="0" w:line="166" w:lineRule="exact"/>
        <w:rPr>
          <w:rFonts w:ascii="Arial" w:cs="Arial" w:eastAsia="Arial" w:hAnsi="Arial"/>
          <w:sz w:val="16"/>
          <w:szCs w:val="16"/>
          <w:color w:val="auto"/>
        </w:rPr>
      </w:pPr>
    </w:p>
    <w:p>
      <w:pPr>
        <w:jc w:val="both"/>
        <w:ind w:left="820" w:firstLine="646"/>
        <w:spacing w:after="0" w:line="279" w:lineRule="auto"/>
        <w:tabs>
          <w:tab w:leader="none" w:pos="2111" w:val="left"/>
        </w:tabs>
        <w:numPr>
          <w:ilvl w:val="1"/>
          <w:numId w:val="418"/>
        </w:numPr>
        <w:rPr>
          <w:rFonts w:ascii="Arial" w:cs="Arial" w:eastAsia="Arial" w:hAnsi="Arial"/>
          <w:sz w:val="17"/>
          <w:szCs w:val="17"/>
          <w:color w:val="auto"/>
        </w:rPr>
      </w:pPr>
      <w:r>
        <w:rPr>
          <w:rFonts w:ascii="Arial" w:cs="Arial" w:eastAsia="Arial" w:hAnsi="Arial"/>
          <w:sz w:val="17"/>
          <w:szCs w:val="17"/>
          <w:color w:val="auto"/>
        </w:rPr>
        <w:t>an amount equal to the sum of the Non-Parent Guarantor’s Own Funds and its subordinated debt (</w:t>
      </w:r>
      <w:r>
        <w:rPr>
          <w:rFonts w:ascii="Arial" w:cs="Arial" w:eastAsia="Arial" w:hAnsi="Arial"/>
          <w:sz w:val="17"/>
          <w:szCs w:val="17"/>
          <w:i w:val="1"/>
          <w:iCs w:val="1"/>
          <w:color w:val="auto"/>
        </w:rPr>
        <w:t>dettes subordonnées</w:t>
      </w:r>
      <w:r>
        <w:rPr>
          <w:rFonts w:ascii="Arial" w:cs="Arial" w:eastAsia="Arial" w:hAnsi="Arial"/>
          <w:sz w:val="17"/>
          <w:szCs w:val="17"/>
          <w:color w:val="auto"/>
        </w:rPr>
        <w:t>), as reflected in the financial information of the Luxembourg Guarantor available as at the date the guarantee is called, including, without limitation, its most recently and duly approved financial statements (</w:t>
      </w:r>
      <w:r>
        <w:rPr>
          <w:rFonts w:ascii="Arial" w:cs="Arial" w:eastAsia="Arial" w:hAnsi="Arial"/>
          <w:sz w:val="17"/>
          <w:szCs w:val="17"/>
          <w:i w:val="1"/>
          <w:iCs w:val="1"/>
          <w:color w:val="auto"/>
        </w:rPr>
        <w:t>comptes annuels</w:t>
      </w:r>
      <w:r>
        <w:rPr>
          <w:rFonts w:ascii="Arial" w:cs="Arial" w:eastAsia="Arial" w:hAnsi="Arial"/>
          <w:sz w:val="17"/>
          <w:szCs w:val="17"/>
          <w:color w:val="auto"/>
        </w:rPr>
        <w:t>) and any (unaudited) interim financial statements signed by its board of managers (</w:t>
      </w:r>
      <w:r>
        <w:rPr>
          <w:rFonts w:ascii="Arial" w:cs="Arial" w:eastAsia="Arial" w:hAnsi="Arial"/>
          <w:sz w:val="17"/>
          <w:szCs w:val="17"/>
          <w:i w:val="1"/>
          <w:iCs w:val="1"/>
          <w:color w:val="auto"/>
        </w:rPr>
        <w:t>gérants</w:t>
      </w:r>
      <w:r>
        <w:rPr>
          <w:rFonts w:ascii="Arial" w:cs="Arial" w:eastAsia="Arial" w:hAnsi="Arial"/>
          <w:sz w:val="17"/>
          <w:szCs w:val="17"/>
          <w:color w:val="auto"/>
        </w:rPr>
        <w:t>) or directors (</w:t>
      </w:r>
      <w:r>
        <w:rPr>
          <w:rFonts w:ascii="Arial" w:cs="Arial" w:eastAsia="Arial" w:hAnsi="Arial"/>
          <w:sz w:val="17"/>
          <w:szCs w:val="17"/>
          <w:i w:val="1"/>
          <w:iCs w:val="1"/>
          <w:color w:val="auto"/>
        </w:rPr>
        <w:t>administrateurs</w:t>
      </w:r>
      <w:r>
        <w:rPr>
          <w:rFonts w:ascii="Arial" w:cs="Arial" w:eastAsia="Arial" w:hAnsi="Arial"/>
          <w:sz w:val="17"/>
          <w:szCs w:val="17"/>
          <w:color w:val="auto"/>
        </w:rPr>
        <w:t>) (as the case may be).</w:t>
      </w:r>
    </w:p>
    <w:p>
      <w:pPr>
        <w:spacing w:after="0" w:line="171" w:lineRule="exact"/>
        <w:rPr>
          <w:rFonts w:ascii="Arial" w:cs="Arial" w:eastAsia="Arial" w:hAnsi="Arial"/>
          <w:sz w:val="17"/>
          <w:szCs w:val="17"/>
          <w:color w:val="auto"/>
        </w:rPr>
      </w:pPr>
    </w:p>
    <w:p>
      <w:pPr>
        <w:ind w:firstLine="656"/>
        <w:spacing w:after="0" w:line="277" w:lineRule="auto"/>
        <w:tabs>
          <w:tab w:leader="none" w:pos="123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limitation set forth at paragraph (a) above shall not apply to any amounts received under the Notes and made available, in any form whatsoever, to such Non-Parent Guarantor or any of its direct or indirect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will be discharged and will cease to be of further effect as to all Notes and Note Guarantees issued hereunder and the Liens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Collateral securing the Notes will be released without any further action by the Holders of Notes, when:</w:t>
      </w:r>
    </w:p>
    <w:p>
      <w:pPr>
        <w:spacing w:after="0" w:line="211" w:lineRule="exact"/>
        <w:rPr>
          <w:sz w:val="20"/>
          <w:szCs w:val="20"/>
          <w:color w:val="auto"/>
        </w:rPr>
      </w:pPr>
    </w:p>
    <w:p>
      <w:pPr>
        <w:ind w:left="1180" w:hanging="524"/>
        <w:spacing w:after="0"/>
        <w:tabs>
          <w:tab w:leader="none" w:pos="11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820" w:right="380" w:firstLine="646"/>
        <w:spacing w:after="0" w:line="342" w:lineRule="auto"/>
        <w:tabs>
          <w:tab w:leader="none" w:pos="1993" w:val="left"/>
        </w:tabs>
        <w:numPr>
          <w:ilvl w:val="1"/>
          <w:numId w:val="419"/>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3" w:name="page374"/>
    <w:bookmarkEnd w:id="373"/>
    <w:p>
      <w:pPr>
        <w:ind w:left="820" w:firstLine="646"/>
        <w:spacing w:after="0" w:line="286" w:lineRule="auto"/>
        <w:tabs>
          <w:tab w:leader="none" w:pos="1993" w:val="left"/>
        </w:tabs>
        <w:numPr>
          <w:ilvl w:val="1"/>
          <w:numId w:val="420"/>
        </w:numPr>
        <w:rPr>
          <w:rFonts w:ascii="Arial" w:cs="Arial" w:eastAsia="Arial" w:hAnsi="Arial"/>
          <w:sz w:val="16"/>
          <w:szCs w:val="16"/>
          <w:color w:val="auto"/>
        </w:rPr>
      </w:pPr>
      <w:r>
        <w:rPr>
          <w:rFonts w:ascii="Arial" w:cs="Arial" w:eastAsia="Arial" w:hAnsi="Arial"/>
          <w:sz w:val="16"/>
          <w:szCs w:val="16"/>
          <w:color w:val="auto"/>
        </w:rPr>
        <w:t xml:space="preserve">all outstanding Notes not previously delivered to the Trustee for cancellation (i) have become due and payable, (ii) will become due and payable at their Stated Maturity within one year or (iii) are to be called for redemption within one year under arrangements satisfactory to the Trustee for the giving of notice of redemption by the Trustee in the name, and at the expense, of the Issuer and the Issuer or any Guarantor has irrevocably deposited or caused to be deposited with the Trustee as trust funds in trust solely for the benefit of the Holders, cash in U.S. dollars, non-callable Government Securities, or a combination thereof, in amounts as will be sufficient, without consideration of any reinvestment of interest, to pay and discharge the entire Indebtedness on the Notes not delivered to the Trustee for cancellation for principal of, premium on, if any, and interest on, the Notes to the date of maturity 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any redemption that requires the payment of the Applicable Premium, the amount deposited will be sufficient for purposes of this Indenture to the extent that an amount is deposited with the Trustee equal to the Applicable Premium calculated as of the date of the notice of redemption, with any Applicable Premium Deficit only required to be deposited with the Trustee on or prior to the date of redemption;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shall have no liability whatsoever in the event that such deposit is not made after the Trustee has discharged this Indenture.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73" w:lineRule="exact"/>
        <w:rPr>
          <w:rFonts w:ascii="Arial" w:cs="Arial" w:eastAsia="Arial" w:hAnsi="Arial"/>
          <w:sz w:val="16"/>
          <w:szCs w:val="16"/>
          <w:color w:val="auto"/>
        </w:rPr>
      </w:pPr>
    </w:p>
    <w:p>
      <w:pPr>
        <w:ind w:left="1180" w:hanging="524"/>
        <w:spacing w:after="0"/>
        <w:tabs>
          <w:tab w:leader="none" w:pos="118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Issuer or any Guarantor has or have paid or caused to be paid all sums payable by it or them under this Indenture; and</w:t>
      </w:r>
    </w:p>
    <w:p>
      <w:pPr>
        <w:spacing w:after="0" w:line="225" w:lineRule="exact"/>
        <w:rPr>
          <w:rFonts w:ascii="Arial" w:cs="Arial" w:eastAsia="Arial" w:hAnsi="Arial"/>
          <w:sz w:val="18"/>
          <w:szCs w:val="18"/>
          <w:color w:val="auto"/>
        </w:rPr>
      </w:pPr>
    </w:p>
    <w:p>
      <w:pPr>
        <w:ind w:right="380" w:firstLine="656"/>
        <w:spacing w:after="0" w:line="308" w:lineRule="auto"/>
        <w:tabs>
          <w:tab w:leader="none" w:pos="1163" w:val="left"/>
        </w:tabs>
        <w:numPr>
          <w:ilvl w:val="0"/>
          <w:numId w:val="421"/>
        </w:numPr>
        <w:rPr>
          <w:rFonts w:ascii="Arial" w:cs="Arial" w:eastAsia="Arial" w:hAnsi="Arial"/>
          <w:sz w:val="17"/>
          <w:szCs w:val="17"/>
          <w:color w:val="auto"/>
        </w:rPr>
      </w:pPr>
      <w:r>
        <w:rPr>
          <w:rFonts w:ascii="Arial" w:cs="Arial" w:eastAsia="Arial" w:hAnsi="Arial"/>
          <w:sz w:val="17"/>
          <w:szCs w:val="17"/>
          <w:color w:val="auto"/>
        </w:rPr>
        <w:t>in the case of clause (a)(2) of this Section 11.01, the Issuer has delivered irrevocable instructions to the Trustee under this Indenture to apply the deposited money toward the payment of the Notes at maturity or on the redemption date, as the case may be.</w:t>
      </w:r>
    </w:p>
    <w:p>
      <w:pPr>
        <w:spacing w:after="0" w:line="14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the Issuer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Section 11.01(a)(2), the provisions of Sections 11.02 and 8.06 hereof will survive. In addition, nothing in this Section 11.01 will be deemed to discharge those provisions of Section 7.06 hereof, that, by their terms, survive the satisfaction and discharge of this Indenture and the earlier resignation or removal of the Trustee.</w:t>
      </w:r>
    </w:p>
    <w:p>
      <w:pPr>
        <w:spacing w:after="0" w:line="14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74" w:name="page375"/>
    <w:bookmarkEnd w:id="374"/>
    <w:p>
      <w:pPr>
        <w:ind w:right="160" w:firstLine="648"/>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hereof; </w:t>
      </w:r>
      <w:r>
        <w:rPr>
          <w:rFonts w:ascii="Arial" w:cs="Arial" w:eastAsia="Arial" w:hAnsi="Arial"/>
          <w:sz w:val="17"/>
          <w:szCs w:val="17"/>
          <w:i w:val="1"/>
          <w:iCs w:val="1"/>
          <w:color w:val="auto"/>
        </w:rPr>
        <w:t>provided</w:t>
      </w:r>
      <w:r>
        <w:rPr>
          <w:rFonts w:ascii="Arial" w:cs="Arial" w:eastAsia="Arial" w:hAnsi="Arial"/>
          <w:sz w:val="17"/>
          <w:szCs w:val="17"/>
          <w:color w:val="auto"/>
        </w:rPr>
        <w:t>, that if the Issuer has made any payment of principal of, premium on,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COLLATERAL</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Collateral Documents</w:t>
      </w:r>
    </w:p>
    <w:p>
      <w:pPr>
        <w:spacing w:after="0" w:line="225" w:lineRule="exact"/>
        <w:rPr>
          <w:sz w:val="20"/>
          <w:szCs w:val="20"/>
          <w:color w:val="auto"/>
        </w:rPr>
      </w:pPr>
    </w:p>
    <w:p>
      <w:pPr>
        <w:jc w:val="both"/>
        <w:ind w:firstLine="656"/>
        <w:spacing w:after="0" w:line="284" w:lineRule="auto"/>
        <w:tabs>
          <w:tab w:leader="none" w:pos="898"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due and punctual payment of the principal of, premium and interest (including Additional Amounts, if any) on the Notes when and as the same shall be due and payable, whether on an interest payment date, at maturity, by acceleration, repurchase, redemption or otherwise, and interest on the overdue principal of, premium and interest on the Notes and performance of all other Obligations of the Issuer and the Guarantors to the Holders or the Trustee under this Indenture, the Notes, the Note Guarantees and the Collateral Documents, according to the terms hereunder or thereunder, shall be secured as provided in the Collateral Documents, which define the terms of the Liens that secure the Obligations, subject to the terms of the First Lien Intercreditor Agreement. The Trustee and the Issuer hereby acknowledge and agree that the Notes Collateral Agent hold the Collateral in trust for the benefit of the Holders and the Trustee and pursuant to the terms of this Indenture, the Collateral Documents and the First Lien Intercreditor Agreement. Each Holder, by accepting a Note, and each beneficial owner of an interest in a Note, consents and agrees to the terms of the Collateral Documents (including the provisions providing for the possession, use, release and foreclosure of Collateral) and the First Lien Intercreditor Agreement as the same may be in effect or may be amended from time to time in accordance with their terms and this Indenture and the First Lien Intercreditor Agreement, and authorizes and directs the Notes Collateral Agent to enter into the Collateral Documents and the First Lien Intercreditor Agreement and to perform its obligations and exercise its rights thereunder in accordance therewith. Subject to the Agreed Guarantee and Security Principles, the Issuer shall deliver to the Notes Collateral Agent copies of all documents required to be filed pursuant to the Collateral Documents to which the Notes Collateral Agent is a party, and will do or cause to be done all such acts and things as may be reasonably required by the next sentence of this Section 12.01, to provide to the Notes Collateral Agent the security interest in the Collateral contemplated hereby and/or by the Collateral Documents or any part thereof, as from time to time constituted, so as to render the same available for the security and benefit of this Indenture and of the Notes secured hereby, according to the intent and purposes herein expressed. Subject to the Agreed Guarantee and Security Principles, the Issuer and the Guarantors shall take any and all actions and make all filings (including the filing of UCC financing statements, continuation statements and amendments thereto (or analogous procedures under the applicable laws in the relevant Covered Jurisdiction)) required to cause the Collateral Documents to create and maintain, as security for the First Priority Notes Obligations of the Issuer and the Guarantors to the First Lien Notes Secured Parties, a valid and enforceable perfected Lien and security interest in and on all of the Collateral (subject to the terms of the First Lien Intercreditor Agreement and the Collateral Documents), in favor of the Notes Collateral Agent for the benefit of the First Lien Notes Secured Parties subject to no Liens other than Permitted Liens.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5" w:name="page376"/>
    <w:bookmarkEnd w:id="375"/>
    <w:p>
      <w:pPr>
        <w:jc w:val="both"/>
        <w:ind w:firstLine="656"/>
        <w:spacing w:after="0" w:line="268" w:lineRule="auto"/>
        <w:tabs>
          <w:tab w:leader="none" w:pos="93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Notwithstanding anything herein or in the Collateral Documents to the contrary, it is understood that only the Issuer and the Guarantors organized under the laws of the United States shall be required to provide guarantees and Collateral (subject to the other terms set forth herein) on the Issue Date and the other Guarantors may instead provide guarantees and Collateral within forty-five (45) Business Days after the Issue Date (subject to extension to be reasonably agreed upon by the Credit Agreement Administrative Agent, which extensions will be deemed to be a corresponding extension herein and in the Collateral Documents). The security interest of the Notes Collateral Agent in certain of the Collateral may not be granted or perfected on the Issue Date. To the extent any assets owned by the Issuer or any Guarantor on the Issue Date (other than Excluded Assets) may not subject to a valid Lien in favor of the Notes Collateral Agent on or prior to the Issue Date or subject to a Lien in favor of the Notes Collateral Agent that is not granted or perfected on or prior to the Issue Date, the Issuer and the Guarantors shall use their commercially reasonable efforts to enter into Collateral Documents to create such Liens (including all Collateral Documents governed by the laws of each Covered Jurisdiction, except where pursuant to laws governing such assets or local practice applicable to such assets, such assets that were pledged to the Credit Agreement Administrative Agent are not capable of being pledged to the Notes Collateral Agent at the same time) and have all such Liens and any Liens created but not perfected (including by appropriate filings with the United States Patent and Trademark Office and United States Copyright Office) on or prior to the Issue Date perfected, subject to any limitations set forth in this Indenture and the Collateral Documents, including the Agreed Guarantee and Security Principles, within 120 days (subject to extension to be reasonably agreed upon by the Credit Agreement Administrative Agent, which extensions will be deemed to be a corresponding extension herein and in the Collateral Documents), after the Issue Date.</w:t>
      </w:r>
    </w:p>
    <w:p>
      <w:pPr>
        <w:spacing w:after="0" w:line="18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i w:val="1"/>
          <w:iCs w:val="1"/>
          <w:color w:val="auto"/>
        </w:rPr>
        <w:t>Release of Collateral</w:t>
      </w:r>
    </w:p>
    <w:p>
      <w:pPr>
        <w:spacing w:after="0" w:line="225" w:lineRule="exact"/>
        <w:rPr>
          <w:sz w:val="20"/>
          <w:szCs w:val="20"/>
          <w:color w:val="auto"/>
        </w:rPr>
      </w:pPr>
    </w:p>
    <w:p>
      <w:pPr>
        <w:jc w:val="both"/>
        <w:ind w:firstLine="656"/>
        <w:spacing w:after="0" w:line="273" w:lineRule="auto"/>
        <w:tabs>
          <w:tab w:leader="none" w:pos="899" w:val="left"/>
        </w:tabs>
        <w:numPr>
          <w:ilvl w:val="0"/>
          <w:numId w:val="424"/>
        </w:numPr>
        <w:rPr>
          <w:rFonts w:ascii="Arial" w:cs="Arial" w:eastAsia="Arial" w:hAnsi="Arial"/>
          <w:sz w:val="17"/>
          <w:szCs w:val="17"/>
          <w:color w:val="auto"/>
        </w:rPr>
      </w:pPr>
      <w:r>
        <w:rPr>
          <w:rFonts w:ascii="Arial" w:cs="Arial" w:eastAsia="Arial" w:hAnsi="Arial"/>
          <w:sz w:val="17"/>
          <w:szCs w:val="17"/>
          <w:color w:val="auto"/>
        </w:rPr>
        <w:t>The Liens securing the Notes will be automatically released, all without delivery of any instrument or performance of any act by any party, at any time and from time to time as provided by this Section 12.02. Upon such release, subject to the terms of the Collateral Documents, all rights in the released Collateral securing First Priority Notes Obligations shall revert to the Issuer and the Guarantors, as applicable. The Collateral shall be released from the Lien and security interest created by the Collateral Documents and the Notes Collateral Agent (subject to its receipt of an Officer’s Certificate as provided below) shall execute documents evidencing such release, and the Trustee shall instruct the Notes Collateral Agent in writing to execute, as applicable, the same at the Issuer’s sole cost and expense, under one or more of the following circumstances: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in whole upon:</w:t>
      </w:r>
    </w:p>
    <w:p>
      <w:pPr>
        <w:spacing w:after="0" w:line="225" w:lineRule="exact"/>
        <w:rPr>
          <w:sz w:val="20"/>
          <w:szCs w:val="20"/>
          <w:color w:val="auto"/>
        </w:rPr>
      </w:pPr>
    </w:p>
    <w:p>
      <w:pPr>
        <w:jc w:val="both"/>
        <w:ind w:firstLine="656"/>
        <w:spacing w:after="0" w:line="259" w:lineRule="auto"/>
        <w:tabs>
          <w:tab w:leader="none" w:pos="9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payment in full of the principal of, together with accrued and unpaid interest (including Additional Amounts, if any) on, the Notes and all other Obligations under this Indenture, the Note Guarantees and the Collateral Documents (for the avoidance of doubt, other than contingent Obligations in respect of which no claims have been made) that are due and payable at or prior to the time such principal, together with accrued and unpaid interest, are paid;</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6" w:name="page377"/>
    <w:bookmarkEnd w:id="376"/>
    <w:p>
      <w:pPr>
        <w:ind w:left="940" w:hanging="284"/>
        <w:spacing w:after="0"/>
        <w:tabs>
          <w:tab w:leader="none" w:pos="9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satisfaction and discharge of this Indenture with respect to the Notes as set forth under Section 8.01;</w:t>
      </w:r>
    </w:p>
    <w:p>
      <w:pPr>
        <w:spacing w:after="0" w:line="225" w:lineRule="exact"/>
        <w:rPr>
          <w:rFonts w:ascii="Arial" w:cs="Arial" w:eastAsia="Arial" w:hAnsi="Arial"/>
          <w:sz w:val="18"/>
          <w:szCs w:val="18"/>
          <w:color w:val="auto"/>
        </w:rPr>
      </w:pPr>
    </w:p>
    <w:p>
      <w:pPr>
        <w:ind w:right="20" w:firstLine="656"/>
        <w:spacing w:after="0" w:line="277" w:lineRule="auto"/>
        <w:tabs>
          <w:tab w:leader="none" w:pos="95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 Legal Defeasance or Covenant Defeasance of this Indenture with respect to the Notes as set forth under Sections 8.02 or 8.03 hereof, as applicable; or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59"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at the Issuer’s election, upon achieving Investment Grade Status;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Lien shall be released pursuant to this clause (D) if any obligations under the Senior Secured Credit Facilities remain outstanding and such obligations continue to be secured by a Lien;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after the date on which the Notes have achieved Investment Grade Status a Reversion Date shall occur, the Issuer and the Guarantors shall use commercially reasonable efforts to take all actions reasonably necessary to provide to the Notes Collateral Agent for its benefit and the benefit of the First Lien Notes Secured Parties valid, perfected, first priority security interests (subject to Permitted Liens) in the Collateral within 90 days after the occurrence of such Reversion Date or as soon as reasonably practicable thereafter;</w:t>
      </w:r>
    </w:p>
    <w:p>
      <w:pPr>
        <w:spacing w:after="0" w:line="192" w:lineRule="exact"/>
        <w:rPr>
          <w:sz w:val="20"/>
          <w:szCs w:val="20"/>
          <w:color w:val="auto"/>
        </w:rPr>
      </w:pPr>
    </w:p>
    <w:p>
      <w:pPr>
        <w:ind w:right="20" w:firstLine="656"/>
        <w:spacing w:after="0" w:line="277" w:lineRule="auto"/>
        <w:tabs>
          <w:tab w:leader="none" w:pos="93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in whole or in part, with the consent of Holders of the Notes in accordance with Article 9 of this Indenture including consents obtained in connection with a tender offer or exchange offer for, or purchase of, Notes;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in part, as to any asset:</w:t>
      </w:r>
    </w:p>
    <w:p>
      <w:pPr>
        <w:spacing w:after="0" w:line="225" w:lineRule="exact"/>
        <w:rPr>
          <w:sz w:val="20"/>
          <w:szCs w:val="20"/>
          <w:color w:val="auto"/>
        </w:rPr>
      </w:pPr>
    </w:p>
    <w:p>
      <w:pPr>
        <w:jc w:val="both"/>
        <w:ind w:firstLine="656"/>
        <w:spacing w:after="0" w:line="275" w:lineRule="auto"/>
        <w:tabs>
          <w:tab w:leader="none" w:pos="95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(I) constituting Collateral that is sold or otherwise disposed of by the Issuer or any of the Guarantors to any Person that is not the Issuer or a Guarantor (or to a Person that is an Issuer or a Guarantor, in any jurisdiction outside of the United States, where, in order to effect a Disposition of such Collateral, the Lien on such assets is required to be released (provided that in the case of such Disposition to a Person that is the Issuer or a Guarantor outside of the United States, such other Person shall concurrently (or on such later date after the use of commercially reasonable efforts) grant a security interest on the released Collateral)) in a transaction permitted by this Indenture (to the extent of the interest sold or disposed of), or</w:t>
      </w:r>
    </w:p>
    <w:p>
      <w:pPr>
        <w:spacing w:after="0" w:line="176" w:lineRule="exact"/>
        <w:rPr>
          <w:sz w:val="20"/>
          <w:szCs w:val="20"/>
          <w:color w:val="auto"/>
        </w:rPr>
      </w:pPr>
    </w:p>
    <w:p>
      <w:pPr>
        <w:ind w:left="940" w:hanging="284"/>
        <w:spacing w:after="0"/>
        <w:tabs>
          <w:tab w:leader="none" w:pos="9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constituting Shared Collateral, in accordance with the provisions of the First Lien Intercreditor Agreement,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that is held by a Guarantor that ceases to be a Guarantor in accordance with the terms of this Indenture,</w:t>
      </w:r>
    </w:p>
    <w:p>
      <w:pPr>
        <w:spacing w:after="0" w:line="225" w:lineRule="exact"/>
        <w:rPr>
          <w:sz w:val="20"/>
          <w:szCs w:val="20"/>
          <w:color w:val="auto"/>
        </w:rPr>
      </w:pPr>
    </w:p>
    <w:p>
      <w:pPr>
        <w:jc w:val="both"/>
        <w:ind w:firstLine="656"/>
        <w:spacing w:after="0" w:line="259" w:lineRule="auto"/>
        <w:tabs>
          <w:tab w:leader="none" w:pos="93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that becomes Excluded Assets, including so long as the Senior Secured Credit Facilities is outstanding, any asset that is not pledged to secure obligations arising in respect of the Senior Secured Credit Facilities (whether pursuant to the terms of the Senior Secured Credit Facilities (and any related documents) or as a result of any determination made thereunder, or by amendment, waiver or otherwise (other than releases in connection with the payment in full thereof),</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7" w:name="page378"/>
    <w:bookmarkEnd w:id="377"/>
    <w:p>
      <w:pPr>
        <w:ind w:right="20" w:firstLine="656"/>
        <w:spacing w:after="0" w:line="277" w:lineRule="auto"/>
        <w:tabs>
          <w:tab w:leader="none" w:pos="971"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that is otherwise released in accordance with, and as expressly provided for by the terms of, this Indenture, the First Lien Intercreditor Agreement and the Collateral Documents,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of the Issuer or a Guarantor that is a Securitization Asset subject to a Qualified Securitization Financing or a Qualified Receivables Factoring.</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provided that, in the case of clause (iii)(A)(II), the proceeds of such Shared Collateral shall be applied in accordance with the First Lien Intercreditor Agreement.</w:t>
      </w:r>
    </w:p>
    <w:p>
      <w:pPr>
        <w:spacing w:after="0" w:line="170" w:lineRule="exact"/>
        <w:rPr>
          <w:sz w:val="20"/>
          <w:szCs w:val="20"/>
          <w:color w:val="auto"/>
        </w:rPr>
      </w:pPr>
    </w:p>
    <w:p>
      <w:pPr>
        <w:jc w:val="both"/>
        <w:ind w:firstLine="656"/>
        <w:spacing w:after="0" w:line="287" w:lineRule="auto"/>
        <w:tabs>
          <w:tab w:leader="none" w:pos="919" w:val="left"/>
        </w:tabs>
        <w:numPr>
          <w:ilvl w:val="0"/>
          <w:numId w:val="433"/>
        </w:numPr>
        <w:rPr>
          <w:rFonts w:ascii="Arial" w:cs="Arial" w:eastAsia="Arial" w:hAnsi="Arial"/>
          <w:sz w:val="16"/>
          <w:szCs w:val="16"/>
          <w:color w:val="auto"/>
        </w:rPr>
      </w:pPr>
      <w:r>
        <w:rPr>
          <w:rFonts w:ascii="Arial" w:cs="Arial" w:eastAsia="Arial" w:hAnsi="Arial"/>
          <w:sz w:val="16"/>
          <w:szCs w:val="16"/>
          <w:color w:val="auto"/>
        </w:rPr>
        <w:t>With respect to any release of Collateral or release of the Notes from the Liens securing the Notes, upon receipt of an Officer’s Certificate stating that all conditions precedent under this Indenture and the Collateral Documents and the First Lien Intercreditor Agreement, as applicable, to such release have been met and that it is permitted for the Trustee and/or the Notes Collateral Agent to execute and deliver the documents requested by the Issuer in connection with such release, and any necessary or proper instruments of termination, satisfaction, discharge or release prepared by the Issuer, the Trustee shall, or shall cause the Notes Collateral Agent to, execute, deliver or acknowledge (at the Issuer’s expense) such instruments or releases (whether electronically or in writing) to evidence, and shall do or cause to be done all other acts reasonably necessary to effect, in each case as soon as reasonably practicable, the release and discharge of any Collateral or any Notes permitted to be released pursuant to this Indenture or the Collateral Documents or the First Lien Intercreditor Agreement. Neither the Trustee nor the Notes Collateral Agent shall be liable for any such release undertaken in reliance upon any such Officer’s Certificate, and notwithstanding any term hereof or in any Collateral Document or in the First Lien Intercreditor Agreement to the contrary, but without limiting any automatic release provided hereunder or under any Collateral Document, the Trustee and the Notes Collateral Agent shall not be under any obligation to release any such Lien and security interest, or execute and deliver any such instrument of release, satisfaction, discharge or termination, unless and until it receives such Officer’s Certificate and Opinion of Counsel.</w:t>
      </w:r>
    </w:p>
    <w:p>
      <w:pPr>
        <w:spacing w:after="0" w:line="16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i w:val="1"/>
          <w:iCs w:val="1"/>
          <w:color w:val="auto"/>
        </w:rPr>
        <w:t>Suits to Protect the Collateral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provisions of Article 7 hereof and the Collateral Documents and the First Lien Intercreditor Agreement, the Trustee, without the consent of the Holders, on behalf of the Holders, following the occurrence of an Event of Default that is continuing, may or may instruct the Notes Collateral Agent in writing to take all actions it reasonably determines are necessary in order to:</w:t>
      </w:r>
    </w:p>
    <w:p>
      <w:pPr>
        <w:spacing w:after="0" w:line="184" w:lineRule="exact"/>
        <w:rPr>
          <w:sz w:val="20"/>
          <w:szCs w:val="20"/>
          <w:color w:val="auto"/>
        </w:rPr>
      </w:pPr>
    </w:p>
    <w:p>
      <w:pPr>
        <w:ind w:left="900" w:hanging="244"/>
        <w:spacing w:after="0"/>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enforce any of the terms of the Collateral Documents;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collect and receive any and all amounts payable in respect of the Obligations hereunder.</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Subject to the provisions of the Collateral Documents and the First Lien Intercreditor Agreement, the Trustee and the Notes Collateral Agent shall have power to institute and to maintain such suits and proceedings as the Trustee may deem expedient to prevent any impairment of the Collateral by any acts which may be unlawful or in violation of any of the Collateral Documents or this Indenture, and such suits and proceedings as the Trustee may determine to preserve or protect its interests and the interests of the Holders in the Collateral. Nothing in this Section 12.03 shall be considered to impose any such duty or obligation to act on the part of the Trustee or the Notes Collateral Agent.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8" w:name="page379"/>
    <w:bookmarkEnd w:id="378"/>
    <w:p>
      <w:pPr>
        <w:ind w:left="660"/>
        <w:spacing w:after="0"/>
        <w:tabs>
          <w:tab w:leader="none" w:pos="186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i w:val="1"/>
          <w:iCs w:val="1"/>
          <w:color w:val="auto"/>
        </w:rPr>
        <w:t>Authorization of Receipt of Funds by the Trustee Under the Collateral Documents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Subject to the provisions of the First Lien Intercreditor Agreement, the Trustee is authorized to receive any funds for the benefit of the Holders distributed under the Collateral Documents, and to make further distributions of such funds to the Holders according to the provisions of this Indenture.</w:t>
      </w:r>
    </w:p>
    <w:p>
      <w:pPr>
        <w:spacing w:after="0" w:line="12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i w:val="1"/>
          <w:iCs w:val="1"/>
          <w:color w:val="auto"/>
        </w:rPr>
        <w:t>Purchaser Protected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no event shall any purchaser or other transferee in good faith of any property or asset purported to be released hereunder be bound to ascertain the authority of the Notes Collateral Agent or the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asset or rights permitted by this Article 12 to be sold be under any obligation to ascertain or inquire into the authority of the Issuer or the applicable Guarantor to make any such sale or other transfer.</w:t>
      </w:r>
    </w:p>
    <w:p>
      <w:pPr>
        <w:spacing w:after="0" w:line="17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6"/>
          <w:szCs w:val="16"/>
          <w:i w:val="1"/>
          <w:iCs w:val="1"/>
          <w:color w:val="auto"/>
        </w:rPr>
        <w:t>Powers Exercisable by Receiver or Trustee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case the Collateral shall be in the possession of a receiver or trustee, lawfully appointed, the powers conferred in this Article 12 upon the Issuer or a Guarantor with respect to the release, sale or other disposition of such property or asset may be exercised by such receiver or trustee, and an instrument signed by such receiver or trustee shall be deemed the equivalent of any similar instrument of the Issuer or a Guarantor or of any Officer or Officers thereof required by the provisions of this Article 12; and if the Trustee shall be in the possession of the Collateral under any provision of this Indenture, then such powers may be exercised by the Trustee.</w:t>
      </w:r>
    </w:p>
    <w:p>
      <w:pPr>
        <w:spacing w:after="0" w:line="18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i w:val="1"/>
          <w:iCs w:val="1"/>
          <w:color w:val="auto"/>
        </w:rPr>
        <w:t>Release Upon Termination of the Issuer’s Obligations.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the event that the Issuer delivers to the Trustee an Officer’s Certificate certifying that (i) payment in full of the principal of, together with accrued and unpaid interest on, the Notes and all other First Priority Notes Obligations that are due and payable at or prior to the time such principal, together with accrued and unpaid interest, are paid or (ii) the Issuer shall have exercised its Legal Defeasance option or their Covenant Defeasance option, in each case in compliance with the provisions of Section 8.02 or 8.03 hereof, as applicable, and an Officer’s Certificate stating that all conditions precedent to the execution and delivery of such notice by the Trustee have been satisfied, the Trustee shall deliver to the Issuer and the Notes Collateral Agent a notice, in form reasonably satisfactory to the Notes Collateral Agent, stating that the Trustee, on behalf of the Holders, disclaims and gives up any and all rights it has in or to the Collateral solely on behalf of the Holders of the Notes without representation, warranty or recourse (other than with respect to funds held by the Trustee pursuant to Section 8.02 or 8.03 hereof, as applicable), and any rights it has under the Collateral Documents solely on behalf of the Holders of the Notes and upon receipt by the Notes Collateral Agent of such notice, the Notes Collateral Agent shall be deemed not to hold a Lien in the Collateral on behalf of the Trustee and shall execute and deliver all documents and do or cause to be done (at the expense of the Issuer) all acts reasonably requested by the Issuer to release and discharge such Lien as soon as is reasonably practicable.</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9" w:name="page380"/>
    <w:bookmarkEnd w:id="379"/>
    <w:p>
      <w:pPr>
        <w:ind w:left="660"/>
        <w:spacing w:after="0"/>
        <w:tabs>
          <w:tab w:leader="none" w:pos="186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i w:val="1"/>
          <w:iCs w:val="1"/>
          <w:color w:val="auto"/>
        </w:rPr>
        <w:t>Notes Collateral Agent.</w:t>
      </w:r>
    </w:p>
    <w:p>
      <w:pPr>
        <w:spacing w:after="0" w:line="225" w:lineRule="exact"/>
        <w:rPr>
          <w:sz w:val="20"/>
          <w:szCs w:val="20"/>
          <w:color w:val="auto"/>
        </w:rPr>
      </w:pPr>
    </w:p>
    <w:p>
      <w:pPr>
        <w:jc w:val="both"/>
        <w:ind w:firstLine="656"/>
        <w:spacing w:after="0" w:line="284" w:lineRule="auto"/>
        <w:tabs>
          <w:tab w:leader="none" w:pos="913" w:val="left"/>
        </w:tabs>
        <w:numPr>
          <w:ilvl w:val="0"/>
          <w:numId w:val="435"/>
        </w:numPr>
        <w:rPr>
          <w:rFonts w:ascii="Arial" w:cs="Arial" w:eastAsia="Arial" w:hAnsi="Arial"/>
          <w:sz w:val="16"/>
          <w:szCs w:val="16"/>
          <w:color w:val="auto"/>
        </w:rPr>
      </w:pPr>
      <w:r>
        <w:rPr>
          <w:rFonts w:ascii="Arial" w:cs="Arial" w:eastAsia="Arial" w:hAnsi="Arial"/>
          <w:sz w:val="16"/>
          <w:szCs w:val="16"/>
          <w:color w:val="auto"/>
        </w:rPr>
        <w:t>The Issuer and each of the Holders by acceptance of the Notes, and each beneficial owner of an interest in a Note, hereby designates and appoints the Notes Collateral Agent as its agent under this Indenture, the Collateral Documents and the First Lien Intercreditor Agreement and the Issuer directs and authorizes and each of the Holders by acceptance of the Notes hereby irrevocably authorizes the Notes Collateral Agent to take such action on its behalf under the provisions of this Indenture, the Collateral Documents and the First Lien Intercreditor Agreement and to exercise such powers and perform such duties as are expressly delegated to the Notes Collateral Agent by the terms of this Indenture, the Collateral Documents and the First Lien Intercreditor Agreement, and consents and agrees to the terms of the First Lien Intercreditor Agreement and each Collateral Document, as the same may be in effect or may be amended, restated, supplemented or otherwise modified from time to time in accordance with their respective terms or the terms of this Indenture. The Notes Collateral Agent agrees to act as such on the express conditions contained in this Section 12.08. The provisions of this Section 12.08 are solely for the benefit of the Notes Collateral Agent and none of the Trustee, any of the Holders nor any of the Guarantors shall have any rights as a third party beneficiary of any of the provisions contained herein. Each Holder agrees that any action taken by the Notes Collateral Agent in accordance with the provision of this Indenture, the First Lien Intercreditor Agreement and/or the applicable Collateral Documents, and the exercise by the Notes Collateral Agent of any rights or remedies set forth herein and therein shall be authorized and binding upon all Holders. Notwithstanding any provision to the contrary contained elsewhere in this Indenture, the Collateral Documents and the First Lien Intercreditor Agreement, the duties of the Notes Collateral Agent shall be ministerial and administrative in nature, and the Notes Collateral Agent shall not have any duties or responsibilities, except those expressly set forth herein and in the other Notes Documents to which the Notes Collateral Agent is a party, nor shall the Notes Collateral Agent have or be deemed to have any trust or other fiduciary relationship with the Trustee, any Holder or any Guarantor, and no implied covenants, functions, responsibilities, duties, obligations or liabilities shall be read into this Indenture, the Collateral Documents and the First Lien Intercreditor Agreement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397" w:lineRule="exact"/>
        <w:rPr>
          <w:rFonts w:ascii="Arial" w:cs="Arial" w:eastAsia="Arial" w:hAnsi="Arial"/>
          <w:sz w:val="16"/>
          <w:szCs w:val="16"/>
          <w:color w:val="auto"/>
        </w:rPr>
      </w:pPr>
    </w:p>
    <w:p>
      <w:pPr>
        <w:jc w:val="both"/>
        <w:ind w:firstLine="656"/>
        <w:spacing w:after="0" w:line="273" w:lineRule="auto"/>
        <w:tabs>
          <w:tab w:leader="none" w:pos="931"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Notes Collateral Agent may perform any of its duties under this Indenture, the Collateral Documents or the First Lien Intercreditor Agreement by or through receivers, agents, employees, attorneys-in-fact or with respect to any specified Person, such Person’s Affiliates, and the respective officers, directors, employees, agents, advisors and attorneys-in-fact of such Person and its Affiliates, (a “</w:t>
      </w:r>
      <w:r>
        <w:rPr>
          <w:rFonts w:ascii="Arial" w:cs="Arial" w:eastAsia="Arial" w:hAnsi="Arial"/>
          <w:sz w:val="17"/>
          <w:szCs w:val="17"/>
          <w:i w:val="1"/>
          <w:iCs w:val="1"/>
          <w:color w:val="auto"/>
        </w:rPr>
        <w:t>Related Person</w:t>
      </w:r>
      <w:r>
        <w:rPr>
          <w:rFonts w:ascii="Arial" w:cs="Arial" w:eastAsia="Arial" w:hAnsi="Arial"/>
          <w:sz w:val="17"/>
          <w:szCs w:val="17"/>
          <w:color w:val="auto"/>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willful misconduct of any receiver, agent, employee, attorney-in-fact or Related Person that it selects as long as such selection was made in good faith.</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0" w:name="page381"/>
    <w:bookmarkEnd w:id="380"/>
    <w:p>
      <w:pPr>
        <w:jc w:val="both"/>
        <w:ind w:firstLine="656"/>
        <w:spacing w:after="0" w:line="269" w:lineRule="auto"/>
        <w:tabs>
          <w:tab w:leader="none" w:pos="897" w:val="left"/>
        </w:tabs>
        <w:numPr>
          <w:ilvl w:val="0"/>
          <w:numId w:val="436"/>
        </w:numPr>
        <w:rPr>
          <w:rFonts w:ascii="Arial" w:cs="Arial" w:eastAsia="Arial" w:hAnsi="Arial"/>
          <w:sz w:val="17"/>
          <w:szCs w:val="17"/>
          <w:color w:val="auto"/>
        </w:rPr>
      </w:pPr>
      <w:r>
        <w:rPr>
          <w:rFonts w:ascii="Arial" w:cs="Arial" w:eastAsia="Arial" w:hAnsi="Arial"/>
          <w:sz w:val="17"/>
          <w:szCs w:val="17"/>
          <w:color w:val="auto"/>
        </w:rPr>
        <w:t>Neither the Notes Collateral Agent nor any of its Related Persons shall (i) be liable for any action taken or omitted to be taken by any of them under or in connection with this Indenture or the transactions contemplated hereby (except for its own gross negligence or willful misconduct) or under or in connection with any Collateral Document or the First Lien Intercreditor Agreement or the transactions contemplated thereby (except for its own gross negligence or willful misconduct), or (ii) be responsible in any manner to any of the Trustee or any Holder for any recital, statement, representation, warranty, covenant or agreement made by the Issuer or any other Guarantor or Affiliate of any Guarantor, or any Officer or Related Person thereof, contained in this Indenture, or any other Notes Documents, or the validity, effectiveness, genuineness, enforceability or sufficiency of this Indenture, the Collateral Documents or the First Lien Intercreditor Agreement, or for any failure of any Guarantor or any other party to this Indenture, the Collateral Documents or the First Lien Intercreditor Agreement to perform its obligations hereunder or thereunder. Neither the Notes Collateral Agent nor any of its Related Persons shall be under any obligation to the Trustee or any Holder to ascertain or to inquire as to the observance or performance of any of the agreements contained in, or conditions of, this Indenture, the Collateral Documents or the First Lien Intercreditor Agreement or to inspect the properties, books, or records of any Guarantor or any Guarantor’s Affiliates.</w:t>
      </w:r>
    </w:p>
    <w:p>
      <w:pPr>
        <w:spacing w:after="0" w:line="181" w:lineRule="exact"/>
        <w:rPr>
          <w:rFonts w:ascii="Arial" w:cs="Arial" w:eastAsia="Arial" w:hAnsi="Arial"/>
          <w:sz w:val="17"/>
          <w:szCs w:val="17"/>
          <w:color w:val="auto"/>
        </w:rPr>
      </w:pPr>
    </w:p>
    <w:p>
      <w:pPr>
        <w:jc w:val="both"/>
        <w:ind w:firstLine="656"/>
        <w:spacing w:after="0" w:line="267" w:lineRule="auto"/>
        <w:tabs>
          <w:tab w:leader="none" w:pos="9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 xml:space="preserve">The Notes Collateral Agent shall be entitled (in the absence of bad faith)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other Guarantor), independent accountants and/or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Unless otherwise expressly required hereunder or pursuant to any Collateral Document, the Notes Collateral Agent shall be fully justified in failing or refusing to take any action under this Indenture, the Collateral Documents or the First Lien Intercreditor Agreement unless it shall first receive such written advice or concurrence of the Trustee or the Holders of a majority in aggregate principal amount of the Notes as it determines and, if it so requests, it shall first be indemnified and/or secured to its satisfaction by the Holders against any and all liability and expense which may be incurred by it by reason of taking or continuing to take any such action. The Notes Collateral Agent shall in all cases be fully protected from claims by any Holders in acting, or in refraining from acting, under this Indenture, the Collateral Documents or the First Lien Intercreditor Agreement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 The Notes Collateral Agent shall be entitled to seek directions, instructions and clarifications from any instructing party and is entitled to refrain from acting in the absence of such instructions and/or clarifications. The Notes Collateral Agent will not incur any liability for any action it takes or refrains from taking on such instructions of an instructing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Notes Collateral Agent may not be relieved from liabilities for its own grossly negligent action, its own grossly negligent failure to act, or its own willful misconduct.</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1" w:name="page382"/>
    <w:bookmarkEnd w:id="381"/>
    <w:p>
      <w:pPr>
        <w:jc w:val="both"/>
        <w:ind w:firstLine="656"/>
        <w:spacing w:after="0" w:line="257" w:lineRule="auto"/>
        <w:tabs>
          <w:tab w:leader="none" w:pos="90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Notes Collateral Agent shall not be deemed to have knowledge or notice of the occurrence of any Default or Event of Default, unless a Responsible Officer of the Notes Collateral Agent shall have received written notice from the Trustee or the Issuer referring to this Indenture, describing such Default or Event of Default and stating that such notice is a “notice of default.” The Notes Collateral Agent shall take such action with respect to such Default or Event of Default as may be requested by the Trustee in accordance with Article 6 or the Holders of a majority in aggregate principal amount of the Notes (subject to this Section 12.08).</w:t>
      </w:r>
    </w:p>
    <w:p>
      <w:pPr>
        <w:spacing w:after="0" w:line="187" w:lineRule="exact"/>
        <w:rPr>
          <w:rFonts w:ascii="Arial" w:cs="Arial" w:eastAsia="Arial" w:hAnsi="Arial"/>
          <w:sz w:val="18"/>
          <w:szCs w:val="18"/>
          <w:color w:val="auto"/>
        </w:rPr>
      </w:pPr>
    </w:p>
    <w:p>
      <w:pPr>
        <w:jc w:val="both"/>
        <w:ind w:firstLine="656"/>
        <w:spacing w:after="0" w:line="268" w:lineRule="auto"/>
        <w:tabs>
          <w:tab w:leader="none" w:pos="876"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Notes Collateral Agent may resign at any time by notice to the Trustee and the Issuer, such resignation to be effective upon the acceptance of a successor agent to its appointment as Notes Collateral Agent. If the Notes Collateral Agent resigns under this Indenture, the Issuer shall appoint a successor collateral agent. If no successor collateral agent is appointed prior to the intended effective date of the resignation of the Notes Collateral Agent (as stated in the notice of resignation), the Notes Collateral Agent may appoint, subject to the consent of the Issuer (which shall not be unreasonably withheld and which shall not be required during a continuing Event of Default), a successor collateral agent. If no successor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Notes Collateral Agent, and the term “Notes Collateral Agent” shall mean such successor collateral agent, and the retiring Notes Collateral Agent’s appointment, powers and duties as a Notes Collateral Agent shall be terminated. After the retiring Notes Collateral Agent’s resignation hereunder, the provisions of this Section 12.08 (and Section 7.07) shall continue to inure to its benefit and the retiring Notes Collateral Agent shall not by reason of such resignation be deemed to be released from liability as to any actions taken or omitted to be taken by it while it was a Notes Collateral Agent under this Indenture.</w:t>
      </w:r>
    </w:p>
    <w:p>
      <w:pPr>
        <w:spacing w:after="0" w:line="186" w:lineRule="exact"/>
        <w:rPr>
          <w:rFonts w:ascii="Arial" w:cs="Arial" w:eastAsia="Arial" w:hAnsi="Arial"/>
          <w:sz w:val="17"/>
          <w:szCs w:val="17"/>
          <w:color w:val="auto"/>
        </w:rPr>
      </w:pPr>
    </w:p>
    <w:p>
      <w:pPr>
        <w:jc w:val="both"/>
        <w:ind w:firstLine="656"/>
        <w:spacing w:after="0" w:line="270" w:lineRule="auto"/>
        <w:tabs>
          <w:tab w:leader="none" w:pos="915"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Issuer and each of the Holders by its acceptance of the Notes, and each beneficial owner of an interest in a Note, hereby authorizes the Trustee and the Notes Collateral Agent, respectively, to appoint sub-agents (and, in each case, appointment of such person shall be reflected in documentation, which the Trustee and the Notes Collateral Agent are hereby authorized to enter into). Except as otherwise explicitly provided herein or in the Collateral Documents or the First Lien Intercreditor Agreement, no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or agents shall be responsible for any act or failure to act hereunder, except for its own gross negligence or willful misconduct.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2" w:name="page383"/>
    <w:bookmarkEnd w:id="382"/>
    <w:p>
      <w:pPr>
        <w:jc w:val="both"/>
        <w:ind w:firstLine="656"/>
        <w:spacing w:after="0" w:line="257" w:lineRule="auto"/>
        <w:tabs>
          <w:tab w:leader="none" w:pos="91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Notes Collateral Agent is authorized and directed to (i) enter into the Collateral Documents to which it is party, whether executed on or after the Issue Date, (ii) enter into the First Lien Intercreditor Agreement and the Junior Lien Intercreditor Agreement, (iii) make the representations of the Holders set forth in the Collateral Documents and First Lien Intercreditor Agreement, (iv) bind the Holders on the terms as set forth in the Collateral Documents and the First Lien Intercreditor Agreement and (v) perform and observe its obligations under the Collateral Documents and the First Lien Intercreditor Agreement.</w:t>
      </w:r>
    </w:p>
    <w:p>
      <w:pPr>
        <w:spacing w:after="0" w:line="187" w:lineRule="exact"/>
        <w:rPr>
          <w:rFonts w:ascii="Arial" w:cs="Arial" w:eastAsia="Arial" w:hAnsi="Arial"/>
          <w:sz w:val="18"/>
          <w:szCs w:val="18"/>
          <w:color w:val="auto"/>
        </w:rPr>
      </w:pPr>
    </w:p>
    <w:p>
      <w:pPr>
        <w:ind w:left="880" w:hanging="224"/>
        <w:spacing w:after="0"/>
        <w:tabs>
          <w:tab w:leader="none" w:pos="88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7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If applicable, the Notes Collateral Agent is each Holder’s agent for the purpose of perfecting the Holders’ security interest in assets which, in accordance with Article 9 of the UCC can be perfected only by possession. Should the Trustee obtain possession of any such Collateral, upon request from the Issuer, the Trustee shall notify the Notes Collateral Agent thereof and promptly shall deliver such Collateral to the Notes Collateral Agent or otherwise deal with such Collateral in accordance with the Notes Collateral Agent’s instructions.</w:t>
      </w:r>
    </w:p>
    <w:p>
      <w:pPr>
        <w:spacing w:after="0" w:line="186" w:lineRule="exact"/>
        <w:rPr>
          <w:rFonts w:ascii="Arial" w:cs="Arial" w:eastAsia="Arial" w:hAnsi="Arial"/>
          <w:sz w:val="18"/>
          <w:szCs w:val="18"/>
          <w:color w:val="auto"/>
        </w:rPr>
      </w:pPr>
    </w:p>
    <w:p>
      <w:pPr>
        <w:jc w:val="both"/>
        <w:ind w:firstLine="656"/>
        <w:spacing w:after="0" w:line="288" w:lineRule="auto"/>
        <w:tabs>
          <w:tab w:leader="none" w:pos="906"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Notes Collateral Agent shall not have any obligation whatsoever to the Trustee or any of the Holders to assure that the Collateral exists or is owned by any Guarantor or is cared for, protected, or insured or has been encumbered, or that the Notes Collateral Agent’s Liens have been properly or sufficiently or lawfully created, perfected, protected, maintained or enforced or are entitled to any particular priority, or to determine whether all or the Guarantor’s property constituting collateral intended to be subject to the Lien and security interest of the Collateral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any Collateral Document or the First Lien Intercreditor Agreement other than pursuant to the instructions of the Trustee or the Holders of a majority in aggregate principal amount of the Notes or as otherwise provided in the Collateral Documents, it being understood and agreed that in respect of the Collateral, or any act, omission, or event related thereto, the Notes Collateral Agent shall not have any other duty or liability whatsoever to the Trustee or any Holder or any other Notes Collateral Agent as to any of the foregoing.</w:t>
      </w:r>
    </w:p>
    <w:p>
      <w:pPr>
        <w:spacing w:after="0" w:line="168" w:lineRule="exact"/>
        <w:rPr>
          <w:rFonts w:ascii="Arial" w:cs="Arial" w:eastAsia="Arial" w:hAnsi="Arial"/>
          <w:sz w:val="16"/>
          <w:szCs w:val="16"/>
          <w:color w:val="auto"/>
        </w:rPr>
      </w:pPr>
    </w:p>
    <w:p>
      <w:pPr>
        <w:jc w:val="both"/>
        <w:ind w:firstLine="656"/>
        <w:spacing w:after="0" w:line="270" w:lineRule="auto"/>
        <w:tabs>
          <w:tab w:leader="none" w:pos="879" w:val="left"/>
        </w:tabs>
        <w:numPr>
          <w:ilvl w:val="0"/>
          <w:numId w:val="438"/>
        </w:numPr>
        <w:rPr>
          <w:rFonts w:ascii="Arial" w:cs="Arial" w:eastAsia="Arial" w:hAnsi="Arial"/>
          <w:sz w:val="17"/>
          <w:szCs w:val="17"/>
          <w:color w:val="auto"/>
        </w:rPr>
      </w:pPr>
      <w:r>
        <w:rPr>
          <w:rFonts w:ascii="Arial" w:cs="Arial" w:eastAsia="Arial" w:hAnsi="Arial"/>
          <w:sz w:val="17"/>
          <w:szCs w:val="17"/>
          <w:color w:val="auto"/>
        </w:rPr>
        <w:t>If the Issuer or any Guarantor (i) incurs any obligations in respect of First Priority Obligations at any time when no First Lien Intercreditor Agreement is in effect or at any time when Indebtedness constituting First Priority Obligations entitled to the benefit of an existing First Lien Intercreditor Agreement is concurrently retired, or incurs any other obligations permitted hereunder and required to be subject to an intercreditor agreement, and (ii) delivers to the Notes Collateral Agent an Officer’s Certificate so stating and requesting the Notes Collateral Agent to enter into an intercreditor agreement (on substantially the same terms as the First Lien Intercreditor Agreement) in favor of a designated agent or representative for the holders of the First Priority Obligations so incurred, or on reasonable and customary terms with respect to any other such intercreditor agreement, the Notes Collateral Agent and the Trustee (as applicable) shall (and are hereby authorized and directed to) enter into such intercreditor agreement (at the sole expense and cost of the Issuer, including legal fees and expenses of the Notes Collateral Agent), bind the Holders on the terms set forth therein and perform and observe its obligations thereunder.</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3" w:name="page384"/>
    <w:bookmarkEnd w:id="383"/>
    <w:p>
      <w:pPr>
        <w:ind w:left="960" w:hanging="304"/>
        <w:spacing w:after="0"/>
        <w:tabs>
          <w:tab w:leader="none" w:pos="960" w:val="left"/>
        </w:tabs>
        <w:numPr>
          <w:ilvl w:val="1"/>
          <w:numId w:val="439"/>
        </w:numPr>
        <w:rPr>
          <w:rFonts w:ascii="Arial" w:cs="Arial" w:eastAsia="Arial" w:hAnsi="Arial"/>
          <w:sz w:val="16"/>
          <w:szCs w:val="16"/>
          <w:color w:val="auto"/>
        </w:rPr>
      </w:pPr>
      <w:r>
        <w:rPr>
          <w:rFonts w:ascii="Arial" w:cs="Arial" w:eastAsia="Arial" w:hAnsi="Arial"/>
          <w:sz w:val="16"/>
          <w:szCs w:val="16"/>
          <w:color w:val="auto"/>
        </w:rPr>
        <w:t>If the Issuer or any Guarantor (i) incurs any obligations in respect of Indebtedness on which a junior lien on the Collateral is to be granted, and</w:t>
      </w:r>
    </w:p>
    <w:p>
      <w:pPr>
        <w:spacing w:after="0" w:line="46" w:lineRule="exact"/>
        <w:rPr>
          <w:rFonts w:ascii="Arial" w:cs="Arial" w:eastAsia="Arial" w:hAnsi="Arial"/>
          <w:sz w:val="16"/>
          <w:szCs w:val="16"/>
          <w:color w:val="auto"/>
        </w:rPr>
      </w:pPr>
    </w:p>
    <w:p>
      <w:pPr>
        <w:jc w:val="both"/>
        <w:ind w:firstLine="8"/>
        <w:spacing w:after="0" w:line="270" w:lineRule="auto"/>
        <w:tabs>
          <w:tab w:leader="none" w:pos="295" w:val="left"/>
        </w:tabs>
        <w:numPr>
          <w:ilvl w:val="0"/>
          <w:numId w:val="440"/>
        </w:numPr>
        <w:rPr>
          <w:rFonts w:ascii="Arial" w:cs="Arial" w:eastAsia="Arial" w:hAnsi="Arial"/>
          <w:sz w:val="17"/>
          <w:szCs w:val="17"/>
          <w:color w:val="auto"/>
        </w:rPr>
      </w:pPr>
      <w:r>
        <w:rPr>
          <w:rFonts w:ascii="Arial" w:cs="Arial" w:eastAsia="Arial" w:hAnsi="Arial"/>
          <w:sz w:val="17"/>
          <w:szCs w:val="17"/>
          <w:color w:val="auto"/>
        </w:rPr>
        <w:t>delivers to the Notes Collateral Agent an Officer’s Certificate so stating and requesting the Notes Collateral Agent to enter into an intercreditor agreement (including any Junior Lien Intercreditor Agreement) with a designated agent or representative for the holders of such Indebtedness or other obligations so incurred, and stating that such intercreditor agreement is on customary terms (as determined by the Issuer), the Notes Collateral Agent and the Trustee (as applicable) shall (and are hereby authorized and directed to) enter into such intercreditor agreement (including any Junior Lien Intercreditor Agreement) (at the sole expense and cost of the Issuer, including legal fees and expenses of the Notes Collateral Agent), bind the Holders on the terms set forth therein and perform and observe its obligations thereunder.</w:t>
      </w:r>
    </w:p>
    <w:p>
      <w:pPr>
        <w:spacing w:after="0" w:line="178" w:lineRule="exact"/>
        <w:rPr>
          <w:rFonts w:ascii="Arial" w:cs="Arial" w:eastAsia="Arial" w:hAnsi="Arial"/>
          <w:sz w:val="17"/>
          <w:szCs w:val="17"/>
          <w:color w:val="auto"/>
        </w:rPr>
      </w:pPr>
    </w:p>
    <w:p>
      <w:pPr>
        <w:jc w:val="both"/>
        <w:ind w:firstLine="656"/>
        <w:spacing w:after="0" w:line="268" w:lineRule="auto"/>
        <w:tabs>
          <w:tab w:leader="none" w:pos="907" w:val="left"/>
        </w:tabs>
        <w:numPr>
          <w:ilvl w:val="1"/>
          <w:numId w:val="440"/>
        </w:numPr>
        <w:rPr>
          <w:rFonts w:ascii="Arial" w:cs="Arial" w:eastAsia="Arial" w:hAnsi="Arial"/>
          <w:sz w:val="17"/>
          <w:szCs w:val="17"/>
          <w:color w:val="auto"/>
        </w:rPr>
      </w:pPr>
      <w:r>
        <w:rPr>
          <w:rFonts w:ascii="Arial" w:cs="Arial" w:eastAsia="Arial" w:hAnsi="Arial"/>
          <w:sz w:val="17"/>
          <w:szCs w:val="17"/>
          <w:color w:val="auto"/>
        </w:rPr>
        <w:t>No provision of this Indenture, the First Lien Intercreditor Agreement or any Collateral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it shall have first received indemnity and/or security satisfactory to the Notes Collateral Agent against potential costs and liabilities incurred by the Notes Collateral Agent relating thereto. Notwithstanding anything to the contrary contained in this Indenture, the First Lien Intercreditor Agreement or the Collateral Documents,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unless the Notes Collateral Agent has received security and/or indemnity from the Holders in an amount and in a form all satisfactory to the Notes Collateral Agent in its sole discretion, protecting the Notes Collateral Agent from all such liability. The Notes Collateral Agent shall at any time be entitled to cease taking any action described in this paragraph (n) if it no longer reasonably deems any indemnity, security or undertaking from the Issuer or the Holders to be sufficient. For the avoidance of doubt, in commencing any such proceeding or taking any other action, the Notes Collateral Agent shall not be responsible or liable (i) for the payment of any taxes or stamp duty as a result of holding and/or enforcing against the Collateral, (ii) for deducting or withholding taxes in respect of any amounts paid from enforcement proceeds and (iii) for paying premiums in respect of any insurance policies.</w:t>
      </w:r>
    </w:p>
    <w:p>
      <w:pPr>
        <w:spacing w:after="0" w:line="179" w:lineRule="exact"/>
        <w:rPr>
          <w:rFonts w:ascii="Arial" w:cs="Arial" w:eastAsia="Arial" w:hAnsi="Arial"/>
          <w:sz w:val="17"/>
          <w:szCs w:val="17"/>
          <w:color w:val="auto"/>
        </w:rPr>
      </w:pPr>
    </w:p>
    <w:p>
      <w:pPr>
        <w:jc w:val="both"/>
        <w:ind w:firstLine="656"/>
        <w:spacing w:after="0" w:line="269" w:lineRule="auto"/>
        <w:tabs>
          <w:tab w:leader="none" w:pos="911" w:val="left"/>
        </w:tabs>
        <w:numPr>
          <w:ilvl w:val="1"/>
          <w:numId w:val="440"/>
        </w:numPr>
        <w:rPr>
          <w:rFonts w:ascii="Arial" w:cs="Arial" w:eastAsia="Arial" w:hAnsi="Arial"/>
          <w:sz w:val="17"/>
          <w:szCs w:val="17"/>
          <w:color w:val="auto"/>
        </w:rPr>
      </w:pPr>
      <w:r>
        <w:rPr>
          <w:rFonts w:ascii="Arial" w:cs="Arial" w:eastAsia="Arial" w:hAnsi="Arial"/>
          <w:sz w:val="17"/>
          <w:szCs w:val="17"/>
          <w:color w:val="auto"/>
        </w:rPr>
        <w:t>The Notes Collateral Agent (i) shall not be liable for any action taken or omitted to be taken by it in connection with this Indenture, the First Lien Intercreditor Agreement and the Collateral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Notes Collateral Agent may agree in writing with the Issuer (and money held in trust by the Notes Collateral Agent need (a) shall be held uninvested without liability for interest, unless otherwise agreed in writing, (b) shall be held in a non-interest bearing trust account and (c)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 For the avoidance of doubt, in commencing any such proceeding or taking any other action, the Notes Collateral Agent shall not be responsible or liable (i) for the payment of any taxes or stamp duty as a result of holding and/or enforcing against the Collateral, (ii) for deducting or withholding taxes in respect of any amounts paid from enforcement proceeds and (iii) for paying premiums in respect of any insurance policies.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4" w:name="page385"/>
    <w:bookmarkEnd w:id="384"/>
    <w:p>
      <w:pPr>
        <w:jc w:val="both"/>
        <w:ind w:firstLine="656"/>
        <w:spacing w:after="0" w:line="257" w:lineRule="auto"/>
        <w:tabs>
          <w:tab w:leader="none" w:pos="911" w:val="left"/>
        </w:tabs>
        <w:numPr>
          <w:ilvl w:val="0"/>
          <w:numId w:val="441"/>
        </w:numPr>
        <w:rPr>
          <w:rFonts w:ascii="Arial" w:cs="Arial" w:eastAsia="Arial" w:hAnsi="Arial"/>
          <w:sz w:val="18"/>
          <w:szCs w:val="18"/>
          <w:color w:val="auto"/>
        </w:rPr>
      </w:pPr>
      <w:r>
        <w:rPr>
          <w:rFonts w:ascii="Arial" w:cs="Arial" w:eastAsia="Arial" w:hAnsi="Arial"/>
          <w:sz w:val="18"/>
          <w:szCs w:val="18"/>
          <w:color w:val="auto"/>
        </w:rPr>
        <w:t>Neither the Notes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Notes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spacing w:after="0" w:line="187" w:lineRule="exact"/>
        <w:rPr>
          <w:rFonts w:ascii="Arial" w:cs="Arial" w:eastAsia="Arial" w:hAnsi="Arial"/>
          <w:sz w:val="18"/>
          <w:szCs w:val="18"/>
          <w:color w:val="auto"/>
        </w:rPr>
      </w:pPr>
    </w:p>
    <w:p>
      <w:pPr>
        <w:jc w:val="both"/>
        <w:ind w:firstLine="656"/>
        <w:spacing w:after="0" w:line="268" w:lineRule="auto"/>
        <w:tabs>
          <w:tab w:leader="none" w:pos="904"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Notes Collateral Agent shall not assume any responsibility for any failure or delay in performance or any breach by the Issuer or any other Guarantor under this Indenture, the First Lien Intercreditor Agreement and the Collateral Documents. The Notes Collateral Agent shall not be responsible to the Holders or any other Person for any recitals, statements, information, representations or warranties contained in any Notes Documents or in any certificate, report, statement, or other document referred to or provided for in, or received by the Notes Collateral Agent under or in connection with, this Indenture, the First Lien Intercreditor Agreement or any Collateral Document; the execution, validity, genuineness, effectiveness or enforceability of the First Lien Intercreditor Agreement and any Collateral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First Lien Intercreditor Agreement and the Collateral Documents. The Notes Collateral Agent shall not have any obligation to any Holder or any other Person to ascertain or inquire into the existence of any Default or Event of Default, the observance or performance by any obligor of any terms of this Indenture, the First Lien Intercreditor Agreement, the Credit Agreement or the Collateral Documents, or the satisfaction of any conditions precedent contained in this Indenture, the First Lien Intercreditor Agreement or any Collateral Documents. The Notes Collateral Agent shall not be required to initiate or conduct any litigation or collection or other proceeding under this Indenture, the First Lien Intercreditor Agreement and the Collateral Documents unless expressly set forth hereunder or thereunder. Without limiting its obligations as expressly set forth herein, the Notes Collateral Agent shall have the right at any time to seek instructions from the Holders with respect to the administration of the Notes Documents.</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5" w:name="page386"/>
    <w:bookmarkEnd w:id="385"/>
    <w:p>
      <w:pPr>
        <w:jc w:val="both"/>
        <w:ind w:firstLine="656"/>
        <w:spacing w:after="0" w:line="268" w:lineRule="auto"/>
        <w:tabs>
          <w:tab w:leader="none" w:pos="895" w:val="left"/>
        </w:tabs>
        <w:numPr>
          <w:ilvl w:val="0"/>
          <w:numId w:val="442"/>
        </w:numPr>
        <w:rPr>
          <w:rFonts w:ascii="Arial" w:cs="Arial" w:eastAsia="Arial" w:hAnsi="Arial"/>
          <w:sz w:val="17"/>
          <w:szCs w:val="17"/>
          <w:color w:val="auto"/>
        </w:rPr>
      </w:pPr>
      <w:r>
        <w:rPr>
          <w:rFonts w:ascii="Arial" w:cs="Arial" w:eastAsia="Arial" w:hAnsi="Arial"/>
          <w:sz w:val="17"/>
          <w:szCs w:val="17"/>
          <w:color w:val="auto"/>
        </w:rPr>
        <w:t>The parties hereto and the Holders hereby agree and acknowledge that the Notes Collateral Agent shall not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First Lien Intercreditor Agreement, the Collateral Documents or any actions taken pursuant hereto or thereto. Further, the parties hereto and the Holders hereby agree and acknowledge that in the exercise of its rights under this Indenture, the First Lien Intercreditor Agreement and the Collateral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However, if the Notes Collateral Agent is required to acquire title to an asset pursuant to this Indenture which in the Notes Collateral Agent’s reasonable discretion may cause the Notes Collateral Agent to be considered an “owner or operator” under the provisions of the Comprehensive Environmental Response, Compensation and Liability Act (“CERCLA”), 42 U.S.C. §9601, et seq., or otherwise cause the Notes Collateral Agent to incur liability under CERCLA or any equivalent federal, state or local law, the Notes Collateral Agent reserves the right, instead of taking such action, to either resign as the Notes Collateral Agent or arrange for the transfer of the title or control of the asset to a court-appointed receiver.</w:t>
      </w:r>
    </w:p>
    <w:p>
      <w:pPr>
        <w:spacing w:after="0" w:line="184" w:lineRule="exact"/>
        <w:rPr>
          <w:rFonts w:ascii="Arial" w:cs="Arial" w:eastAsia="Arial" w:hAnsi="Arial"/>
          <w:sz w:val="17"/>
          <w:szCs w:val="17"/>
          <w:color w:val="auto"/>
        </w:rPr>
      </w:pPr>
    </w:p>
    <w:p>
      <w:pPr>
        <w:jc w:val="both"/>
        <w:ind w:firstLine="656"/>
        <w:spacing w:after="0" w:line="254" w:lineRule="auto"/>
        <w:tabs>
          <w:tab w:leader="none" w:pos="88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Upon the receipt by the Notes Collateral Agent of an Officer’s Certificate, the Notes Collateral Agent is hereby authorized to execute and enter into, and shall execute and enter into, without the further consent of any Holder or the Trustee, any Collateral Document to be executed after the Issue Date. Such Officer’s Certificate shall (i) state that it is being delivered to the Notes Collateral Agent pursuant to this Section 12.08(s), and (ii) instruct the Notes Collateral Agent to execute and enter into such Collateral Document. Any such execution of a Collateral Document shall be at the direction and expense of the Issuer, upon delivery to the Notes Collateral Agent of an Officer’s Certificate stating that all conditions precedent (if any) to the execution and delivery of the Collateral Document have been satisfied. The Holders, by their acceptance of the Notes, hereby authorize and direct the Notes Collateral Agent to execute such Collateral Documents.</w:t>
      </w:r>
    </w:p>
    <w:p>
      <w:pPr>
        <w:spacing w:after="0" w:line="194" w:lineRule="exact"/>
        <w:rPr>
          <w:rFonts w:ascii="Arial" w:cs="Arial" w:eastAsia="Arial" w:hAnsi="Arial"/>
          <w:sz w:val="18"/>
          <w:szCs w:val="18"/>
          <w:color w:val="auto"/>
        </w:rPr>
      </w:pPr>
    </w:p>
    <w:p>
      <w:pPr>
        <w:jc w:val="both"/>
        <w:ind w:firstLine="656"/>
        <w:spacing w:after="0" w:line="272" w:lineRule="auto"/>
        <w:tabs>
          <w:tab w:leader="none" w:pos="866" w:val="left"/>
        </w:tabs>
        <w:numPr>
          <w:ilvl w:val="0"/>
          <w:numId w:val="442"/>
        </w:numPr>
        <w:rPr>
          <w:rFonts w:ascii="Arial" w:cs="Arial" w:eastAsia="Arial" w:hAnsi="Arial"/>
          <w:sz w:val="17"/>
          <w:szCs w:val="17"/>
          <w:color w:val="auto"/>
        </w:rPr>
      </w:pPr>
      <w:r>
        <w:rPr>
          <w:rFonts w:ascii="Arial" w:cs="Arial" w:eastAsia="Arial" w:hAnsi="Arial"/>
          <w:sz w:val="17"/>
          <w:szCs w:val="17"/>
          <w:color w:val="auto"/>
        </w:rPr>
        <w:t>Subject to the provisions of the applicable Collateral Documents and the First Lien Intercreditor Agreement, each Holder, by acceptance of the Notes, agrees that the Notes Collateral Agent shall execute and deliver the First Lien Intercreditor Agreement and the Collateral Documents to which it is a party and all agreements, documents and instruments incidental thereto (including any releases permitted hereunder), and act in accordance with the terms thereof. For the avoidance of doubt, the Notes Collateral Agent shall not be required to exercise discretion under this Indenture, the First Lien Intercreditor Agreement or the Collateral Documents and shall not be required to make or give any determination, consent, approval, request or direction without the written direction of the Holders of a majority in aggregate principal amount of the then outstanding Notes or the Trustee, as applicable, except as otherwise expressly provided for herein or in any Collateral Document.</w:t>
      </w:r>
    </w:p>
    <w:p>
      <w:pPr>
        <w:spacing w:after="0" w:line="177" w:lineRule="exact"/>
        <w:rPr>
          <w:rFonts w:ascii="Arial" w:cs="Arial" w:eastAsia="Arial" w:hAnsi="Arial"/>
          <w:sz w:val="17"/>
          <w:szCs w:val="17"/>
          <w:color w:val="auto"/>
        </w:rPr>
      </w:pPr>
    </w:p>
    <w:p>
      <w:pPr>
        <w:ind w:firstLine="656"/>
        <w:spacing w:after="0" w:line="277" w:lineRule="auto"/>
        <w:tabs>
          <w:tab w:leader="none" w:pos="92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After the occurrence of an Event of Default, the Trustee may direct the Notes Collateral Agent in connection with any action required or permitted by this Indenture, the Collateral Documents or the First Lien Intercreditor Agreement.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6" w:name="page387"/>
    <w:bookmarkEnd w:id="386"/>
    <w:p>
      <w:pPr>
        <w:jc w:val="both"/>
        <w:ind w:firstLine="656"/>
        <w:spacing w:after="0" w:line="259" w:lineRule="auto"/>
        <w:tabs>
          <w:tab w:leader="none" w:pos="929"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Notes Collateral Agent is authorized to receive any funds for the benefit of itself, the Trustee and the Holders distributed under the Collateral Documents or the First Lien Intercreditor Agreement or Junior Lien Intercreditor Agreement and to the extent not prohibited under the First Lien Intercreditor Agreement, for turnover to the Trustee to make further distributions of such funds to itself, the Trustee and the Holders in accordance with the provisions of Section 6.10 hereof and the other provisions of this Indenture.</w:t>
      </w:r>
    </w:p>
    <w:p>
      <w:pPr>
        <w:spacing w:after="0" w:line="186" w:lineRule="exact"/>
        <w:rPr>
          <w:rFonts w:ascii="Arial" w:cs="Arial" w:eastAsia="Arial" w:hAnsi="Arial"/>
          <w:sz w:val="18"/>
          <w:szCs w:val="18"/>
          <w:color w:val="auto"/>
        </w:rPr>
      </w:pPr>
    </w:p>
    <w:p>
      <w:pPr>
        <w:jc w:val="both"/>
        <w:ind w:firstLine="656"/>
        <w:spacing w:after="0" w:line="289" w:lineRule="auto"/>
        <w:tabs>
          <w:tab w:leader="none" w:pos="944" w:val="left"/>
        </w:tabs>
        <w:numPr>
          <w:ilvl w:val="0"/>
          <w:numId w:val="443"/>
        </w:numPr>
        <w:rPr>
          <w:rFonts w:ascii="Arial" w:cs="Arial" w:eastAsia="Arial" w:hAnsi="Arial"/>
          <w:sz w:val="16"/>
          <w:szCs w:val="16"/>
          <w:color w:val="auto"/>
        </w:rPr>
      </w:pPr>
      <w:r>
        <w:rPr>
          <w:rFonts w:ascii="Arial" w:cs="Arial" w:eastAsia="Arial" w:hAnsi="Arial"/>
          <w:sz w:val="16"/>
          <w:szCs w:val="16"/>
          <w:color w:val="auto"/>
        </w:rPr>
        <w:t>Subject to the terms of the Collateral Documents, in each case that the Notes Collateral Agent may or is required hereunder or under any other Notes Document to take any action (an “</w:t>
      </w:r>
      <w:r>
        <w:rPr>
          <w:rFonts w:ascii="Arial" w:cs="Arial" w:eastAsia="Arial" w:hAnsi="Arial"/>
          <w:sz w:val="16"/>
          <w:szCs w:val="16"/>
          <w:i w:val="1"/>
          <w:iCs w:val="1"/>
          <w:color w:val="auto"/>
        </w:rPr>
        <w:t>Action</w:t>
      </w:r>
      <w:r>
        <w:rPr>
          <w:rFonts w:ascii="Arial" w:cs="Arial" w:eastAsia="Arial" w:hAnsi="Arial"/>
          <w:sz w:val="16"/>
          <w:szCs w:val="16"/>
          <w:color w:val="auto"/>
        </w:rPr>
        <w:t>”), including without limitation to make any determination, to give consents, to exercise rights, powers or remedies, to release or sell Collateral or otherwise to act hereunder or under any other Notes Document, the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Subject to the terms of the Collateral Documents, if the Notes Collateral Agent shall request direction from the Holders of a majority in aggregate principal amount of the then outstanding Notes with respect to any Action, the Notes Collateral Agent shall be entitled to refrain from such Action unless and until the Notes Collateral Agent shall have received direction from the Holders of a majority in aggregate principal amount of the then outstanding Notes, and the Notes Collateral Agent shall not incur liability to any Person by reason of so refraining.</w:t>
      </w:r>
    </w:p>
    <w:p>
      <w:pPr>
        <w:spacing w:after="0" w:line="166" w:lineRule="exact"/>
        <w:rPr>
          <w:rFonts w:ascii="Arial" w:cs="Arial" w:eastAsia="Arial" w:hAnsi="Arial"/>
          <w:sz w:val="16"/>
          <w:szCs w:val="16"/>
          <w:color w:val="auto"/>
        </w:rPr>
      </w:pPr>
    </w:p>
    <w:p>
      <w:pPr>
        <w:jc w:val="both"/>
        <w:ind w:firstLine="656"/>
        <w:spacing w:after="0" w:line="254" w:lineRule="auto"/>
        <w:tabs>
          <w:tab w:leader="none" w:pos="91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or any other Notes Document, in no event shall the Notes Collateral Agent or the Trustee be responsible for, or have any duty or obligation with respect to, the recording, filing, registering, perfection, protection or maintenance of the security interests or Liens intended to be created by this Indenture or the other Notes Documents (including without limitation the filing or continuation of any UCC financing or continuation statements or similar documents or instruments (or analogous procedures under the applicable laws in the relevant Covered Jurisdiction), nor shall the Notes Collateral Agent or the Trustee be responsible for, and neither the Notes Collateral Agent nor the Trustee makes any representation regarding, the validity, effectiveness or priority of any of the Collateral Documents or the security interests or Liens intended to be created thereby.</w:t>
      </w:r>
    </w:p>
    <w:p>
      <w:pPr>
        <w:spacing w:after="0" w:line="194" w:lineRule="exact"/>
        <w:rPr>
          <w:rFonts w:ascii="Arial" w:cs="Arial" w:eastAsia="Arial" w:hAnsi="Arial"/>
          <w:sz w:val="18"/>
          <w:szCs w:val="18"/>
          <w:color w:val="auto"/>
        </w:rPr>
      </w:pPr>
    </w:p>
    <w:p>
      <w:pPr>
        <w:jc w:val="both"/>
        <w:ind w:firstLine="656"/>
        <w:spacing w:after="0" w:line="286" w:lineRule="auto"/>
        <w:tabs>
          <w:tab w:leader="none" w:pos="906" w:val="left"/>
        </w:tabs>
        <w:numPr>
          <w:ilvl w:val="0"/>
          <w:numId w:val="443"/>
        </w:numPr>
        <w:rPr>
          <w:rFonts w:ascii="Arial" w:cs="Arial" w:eastAsia="Arial" w:hAnsi="Arial"/>
          <w:sz w:val="17"/>
          <w:szCs w:val="17"/>
          <w:color w:val="auto"/>
        </w:rPr>
      </w:pPr>
      <w:r>
        <w:rPr>
          <w:rFonts w:ascii="Arial" w:cs="Arial" w:eastAsia="Arial" w:hAnsi="Arial"/>
          <w:sz w:val="17"/>
          <w:szCs w:val="17"/>
          <w:color w:val="auto"/>
        </w:rPr>
        <w:t>Before the Notes Collateral Agent acts or refrains from acting in each case at the request or direction of the Issuer, the Note Guarantors, or the Trustee, it may require an Officer’s Certificate and an Opinion of Counsel, which shall conform to the provisions of Section 13.04 hereof. The Notes Collateral Agent shall not be liable for any action it takes or omits to take in good faith in reliance on such certificate or opinion.</w:t>
      </w:r>
    </w:p>
    <w:p>
      <w:pPr>
        <w:spacing w:after="0" w:line="165" w:lineRule="exact"/>
        <w:rPr>
          <w:rFonts w:ascii="Arial" w:cs="Arial" w:eastAsia="Arial" w:hAnsi="Arial"/>
          <w:sz w:val="17"/>
          <w:szCs w:val="17"/>
          <w:color w:val="auto"/>
        </w:rPr>
      </w:pPr>
    </w:p>
    <w:p>
      <w:pPr>
        <w:ind w:firstLine="656"/>
        <w:spacing w:after="0" w:line="277" w:lineRule="auto"/>
        <w:tabs>
          <w:tab w:leader="none" w:pos="91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Notes Collateral Agent shall act pursuant to the instructions of the Holders and/or the Trustee solely with respect to the Collateral Documents and the Collateral.</w:t>
      </w:r>
    </w:p>
    <w:p>
      <w:pPr>
        <w:spacing w:after="0" w:line="170" w:lineRule="exact"/>
        <w:rPr>
          <w:sz w:val="20"/>
          <w:szCs w:val="20"/>
          <w:color w:val="auto"/>
        </w:rPr>
      </w:pPr>
    </w:p>
    <w:p>
      <w:pPr>
        <w:jc w:val="both"/>
        <w:ind w:firstLine="656"/>
        <w:spacing w:after="0" w:line="263" w:lineRule="auto"/>
        <w:tabs>
          <w:tab w:leader="none" w:pos="99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Issuer shall pay compensation to, reimburse expenses of and indemnify the Notes Collateral Agent in accordance with Section 7.07 hereof. Accordingly, the reference to the “Trustee” in Section 6.10, Section 7.07 and Section 7.08 hereof shall be deemed to include the reference to the Notes Collateral Agent.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7" w:name="page388"/>
    <w:bookmarkEnd w:id="387"/>
    <w:p>
      <w:pPr>
        <w:jc w:val="both"/>
        <w:ind w:firstLine="656"/>
        <w:spacing w:after="0" w:line="263" w:lineRule="auto"/>
        <w:tabs>
          <w:tab w:leader="none" w:pos="103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Issuer and each of the Holders by acceptance of the Notes acknowledges and directs that the benefits, indemnities, privileges, protections, and rights of the Notes Collateral Agent shall extend to (and may be claimed directly or by the Notes Collateral Agent on behalf of) each sub-agent, as the case may be.</w:t>
      </w:r>
    </w:p>
    <w:p>
      <w:pPr>
        <w:spacing w:after="0" w:line="183" w:lineRule="exact"/>
        <w:rPr>
          <w:rFonts w:ascii="Arial" w:cs="Arial" w:eastAsia="Arial" w:hAnsi="Arial"/>
          <w:sz w:val="18"/>
          <w:szCs w:val="18"/>
          <w:color w:val="auto"/>
        </w:rPr>
      </w:pPr>
    </w:p>
    <w:p>
      <w:pPr>
        <w:ind w:right="20" w:firstLine="656"/>
        <w:spacing w:after="0" w:line="308" w:lineRule="auto"/>
        <w:tabs>
          <w:tab w:leader="none" w:pos="100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Notes Collateral Agent and entities associated with the Notes Collateral Agent shall be permitted to engage in business/contractual relationships with the Issuer and its affiliates and subsidiaries and profit therefrom without being obliged to account for such profits.</w:t>
      </w:r>
    </w:p>
    <w:p>
      <w:pPr>
        <w:spacing w:after="0" w:line="146" w:lineRule="exact"/>
        <w:rPr>
          <w:rFonts w:ascii="Arial" w:cs="Arial" w:eastAsia="Arial" w:hAnsi="Arial"/>
          <w:sz w:val="17"/>
          <w:szCs w:val="17"/>
          <w:color w:val="auto"/>
        </w:rPr>
      </w:pPr>
    </w:p>
    <w:p>
      <w:pPr>
        <w:ind w:firstLine="656"/>
        <w:spacing w:after="0" w:line="342" w:lineRule="auto"/>
        <w:tabs>
          <w:tab w:leader="none" w:pos="995"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Issuer and each Guarantor shall promptly, at the reasonable request of the Notes Collateral Agent, and at the expense of the Issuer, do all such acts and things reasonably necessary or desirable to assist the Notes Collateral Agent in carrying out its duties and obligations hereunder.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i w:val="1"/>
          <w:iCs w:val="1"/>
          <w:color w:val="auto"/>
        </w:rPr>
        <w:t>Notices.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Any notice or communication by the Parent, the Issuer, any Guarantor or the Trustee to the others is duly given if in writing and delivered in Person or by first class mail (registered or certified, return receipt requested), facsimile transmission or overnight air courier guaranteeing next day delivery, to the others’ address: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Parent, Issuer and/or any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Indigo Merger Sub,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ICON plc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Country Business Park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Financial Officer with a copy to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 Paying Agent, Transfer Agent and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Citigroup Centre</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Canada Square</w:t>
      </w:r>
    </w:p>
    <w:p>
      <w:pPr>
        <w:ind w:left="660"/>
        <w:spacing w:after="0" w:line="184" w:lineRule="auto"/>
        <w:rPr>
          <w:sz w:val="20"/>
          <w:szCs w:val="20"/>
          <w:color w:val="auto"/>
        </w:rPr>
      </w:pPr>
      <w:r>
        <w:rPr>
          <w:rFonts w:ascii="Arial" w:cs="Arial" w:eastAsia="Arial" w:hAnsi="Arial"/>
          <w:sz w:val="16"/>
          <w:szCs w:val="16"/>
          <w:color w:val="auto"/>
        </w:rPr>
        <w:t>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(mail drop CGC-06-09)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Canary Wharf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emea.at.debt@citi.com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Issuer Services – Trustee Team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K&amp;L Gates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Heather Rees</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8" w:name="page389"/>
    <w:bookmarkEnd w:id="388"/>
    <w:p>
      <w:pPr>
        <w:ind w:right="400" w:firstLine="648"/>
        <w:spacing w:after="0" w:line="277" w:lineRule="auto"/>
        <w:rPr>
          <w:sz w:val="20"/>
          <w:szCs w:val="20"/>
          <w:color w:val="auto"/>
        </w:rPr>
      </w:pPr>
      <w:r>
        <w:rPr>
          <w:rFonts w:ascii="Arial" w:cs="Arial" w:eastAsia="Arial" w:hAnsi="Arial"/>
          <w:sz w:val="18"/>
          <w:szCs w:val="18"/>
          <w:color w:val="auto"/>
        </w:rPr>
        <w:t>The Parent, the Issuer, any Guarantor, the Trustee or the Notes Collateral Agent by notice to the others, may designate additional or different addresses for subsequent notices or communications.</w:t>
      </w:r>
    </w:p>
    <w:p>
      <w:pPr>
        <w:spacing w:after="0" w:line="170"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4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Any notice or communication to a Holder will be mailed by first class mail, certified or registered, return receipt requested, or by overnight air courier guaranteeing next day delivery to its address shown on the register kept by the Registrar;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notices given to Holders of Global Notes may be given through the facilities of the Depositary. Failure to deliver a notice or communication to a Holder or any defect in it will not affect its sufficiency with respect to other Holders.</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a notice or communication is delivered in the manner provided above within the time prescribed, it is duly given, whether or not the addressee receives it.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the Parent or the Issuer mail a notice or communication to Holders, it will mail a copy to the Trustee, Notes Collateral Agent and each Agent at the same time.</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i w:val="1"/>
          <w:iCs w:val="1"/>
          <w:color w:val="auto"/>
        </w:rPr>
        <w:t>Communication by Holders of Notes with Other Holders of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22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Upon any request or application by the Parent and/or the Issuer to the Trustee or Notes Collateral Agent to take any action under this Indenture, the Parent and/or the Issuer, as applicable, shall furnish to the Trustee or, if such action relates to a Collateral Document or intercreditor agreement, the Notes Collateral Agent:</w:t>
      </w:r>
    </w:p>
    <w:p>
      <w:pPr>
        <w:spacing w:after="0" w:line="184" w:lineRule="exact"/>
        <w:rPr>
          <w:sz w:val="20"/>
          <w:szCs w:val="20"/>
          <w:color w:val="auto"/>
        </w:rPr>
      </w:pPr>
    </w:p>
    <w:p>
      <w:pPr>
        <w:ind w:firstLine="656"/>
        <w:spacing w:after="0" w:line="263" w:lineRule="auto"/>
        <w:tabs>
          <w:tab w:leader="none" w:pos="1163"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12.04 hereof) stating that, in the opinion of the signers, all conditions precedent, if any, provided for in this Indenture relating to the proposed action have been complied with; and</w:t>
      </w:r>
    </w:p>
    <w:p>
      <w:pPr>
        <w:spacing w:after="0" w:line="183" w:lineRule="exact"/>
        <w:rPr>
          <w:rFonts w:ascii="Arial" w:cs="Arial" w:eastAsia="Arial" w:hAnsi="Arial"/>
          <w:sz w:val="18"/>
          <w:szCs w:val="18"/>
          <w:color w:val="auto"/>
        </w:rPr>
      </w:pPr>
    </w:p>
    <w:p>
      <w:pPr>
        <w:ind w:right="20" w:firstLine="656"/>
        <w:spacing w:after="0" w:line="277" w:lineRule="auto"/>
        <w:tabs>
          <w:tab w:leader="none" w:pos="1173"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 Opinion of Counsel in form and substance reasonably satisfactory to the Trustee (which must include the statements set forth in Section 12.04 hereof) stating that, in the opinion of such counsel, all such conditions precedent have been complied with.</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389" w:name="page390"/>
    <w:bookmarkEnd w:id="389"/>
    <w:p>
      <w:pPr>
        <w:ind w:left="660"/>
        <w:spacing w:after="0"/>
        <w:tabs>
          <w:tab w:leader="none" w:pos="186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and must include:</w:t>
      </w:r>
    </w:p>
    <w:p>
      <w:pPr>
        <w:spacing w:after="0" w:line="225" w:lineRule="exact"/>
        <w:rPr>
          <w:sz w:val="20"/>
          <w:szCs w:val="20"/>
          <w:color w:val="auto"/>
        </w:rPr>
      </w:pPr>
    </w:p>
    <w:p>
      <w:pPr>
        <w:ind w:left="1180" w:hanging="524"/>
        <w:spacing w:after="0"/>
        <w:tabs>
          <w:tab w:leader="none" w:pos="118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280" w:firstLine="656"/>
        <w:spacing w:after="0" w:line="277" w:lineRule="auto"/>
        <w:tabs>
          <w:tab w:leader="none" w:pos="1173"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20" w:firstLine="656"/>
        <w:spacing w:after="0" w:line="277" w:lineRule="auto"/>
        <w:tabs>
          <w:tab w:leader="none" w:pos="1163"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i w:val="1"/>
          <w:iCs w:val="1"/>
          <w:color w:val="auto"/>
        </w:rPr>
        <w:t>Form of Documents Delivered to Trustee.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Any certificate or opinion of an officer of the Issuer or Parent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his/her certificate or opinion is based are erroneous. Any such certificate or Opinion of Counsel may be based, insofar as it relates to factual matters, upon a certificate or opinion of, or representations by, an officer or officers of the Issuer or Parent stating that the information with respect to such factual matters is in the possession of the Issuer or Parent, unless such counsel knows, or in the exercise of reasonable care should know, that the certificate or opinion or representations with respect to such matters are erroneous.</w:t>
      </w:r>
    </w:p>
    <w:p>
      <w:pPr>
        <w:spacing w:after="0" w:line="16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5"/>
          <w:szCs w:val="15"/>
          <w:i w:val="1"/>
          <w:iCs w:val="1"/>
          <w:color w:val="auto"/>
        </w:rPr>
        <w:t>Rules by Trustee and Agents.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0" w:name="page391"/>
    <w:bookmarkEnd w:id="390"/>
    <w:p>
      <w:pPr>
        <w:ind w:left="660"/>
        <w:spacing w:after="0"/>
        <w:tabs>
          <w:tab w:leader="none" w:pos="186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No director, manager, officer, employee, incorporator or stockholder of the Issuer or any Guarantor, as such, will have any liability for any obligations of the Issuer or the Guarantors under the Notes, this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5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6"/>
          <w:szCs w:val="16"/>
          <w:i w:val="1"/>
          <w:iCs w:val="1"/>
          <w:color w:val="auto"/>
        </w:rPr>
        <w:t>Governing Law; Waiver of Jury Trial; Jurisdiction.</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THIS INDENTURE AND THE NOTES, INCLUDING ANY NOTE GUARANTEES AND THE RIGHTS AND DUTIES OF THE PARTIES THEREUNDER SHALL BE GOVERNED BY AND CONSTRUED IN ACCORDANCE WITH THE LAWS OF THE STATE OF NEW YORK. THE ISSUER, GUARANTORS AND THE TRUSTEE HEREBY IRREVOCABLY WAIVE, TO THE FULLEST EXTENT PERMITTED BY APPLICABLE LAW, ANY AND ALL RIGHT TO TRIAL BY JURY IN ANY LEGAL PROCEEDING ARISING OUT OF OR RELATING TO THIS INDENTURE, THE NOTES OR THE TRANSACTIONS CONTEMPLATED HEREBY. THE ISSUER, GUARANTORS AND THE TRUSTEE HEREBY CONSENT AND IRREVOCABLY SUBMITS TO THE JURISDICTION OF ANY NEW YORK STATE OR U.S. FEDERAL COURT LOCATED IN THE BOROUGH OF MANHATTAN, CITY OF NEW YORK, COUNTY OF NEW YORK, STATE OF NEW YORK IN RELATION TO ANY LEGAL ACTION OR PROCEEDING (I) ARISING OUT OF, RELATING TO OR IN CONNECTION WITH THIS INDENTURE, AS SUPPLEMENTED, THE NOTES, THE GUARANTEES AND ANY RELATED DOCUMENTS AND/OR (II) ARISING UNDER ANY U.S. FEDERAL OR U.S. STATE SECURITIES LAWS IN RESPECT OF THE NOTES, THE GUARANTEES AND ANY SECURITIES ISSUED PURSUANT TO THE TERMS OF THIS INDENTURE, AS SUPPLEMENTED. THE ISSUER, THE GUARANTORS AND THE TRUSTEE WAIVE ANY OBJECTION TO PROCEEDINGS IN ANY SUCH COURTS, WHETHER ON THE GROUND OF VENUE OR ON THE GROUND THAT THE PROCEEDINGS HAVE BEEN BROUGHT IN AN INCONVENIENT FORUM. THE GUARANTORS, TO THE EXTENT ORGANIZED OUTSIDE OF THE UNITED STATES, SHALL APPOINT ICON CLINICAL RESEARCH LLC (INDIGO MERGER SUB, INC., 2100 PENNBROOK PKWY, NORTH WALES, PA 19446), AS ITS AGENT FOR SERVICE OF PROCESS IN ANY SUCH SUIT, ACTION OR PROCEEDING AND AGREES THAT SERVICE OF PROCESS UPON SAID AUTHORIZED AGENT SHALL BE DEEMED IN EVERY RESPECT EFFECTIVE SERVICE OF PROCESS UPON IT IN ANY SUCH SUIT, ACTION OR PROCEEDING.</w:t>
      </w:r>
    </w:p>
    <w:p>
      <w:pPr>
        <w:spacing w:after="0" w:line="193"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may not be used to interpret any other indenture, loan or debt agreement of the Parent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391" w:name="page392"/>
    <w:bookmarkEnd w:id="391"/>
    <w:p>
      <w:pPr>
        <w:ind w:left="660"/>
        <w:spacing w:after="0"/>
        <w:tabs>
          <w:tab w:leader="none" w:pos="186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All agreements of the Parent, the Issuer and the other Guarantors in this Indenture and the Notes will bind its successors. All agreements of the Trustee in this Indenture will bind its successors. All agreements of each Guarantor in this Indenture will bind its successors, except as otherwise provided in Section 10.05 hereof.</w:t>
      </w:r>
    </w:p>
    <w:p>
      <w:pPr>
        <w:spacing w:after="0" w:line="18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i w:val="1"/>
          <w:iCs w:val="1"/>
          <w:color w:val="auto"/>
        </w:rPr>
        <w:t>Counterpart Originals.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parties may sign any number of copies of this Indenture. Each signed copy (which may be provided via facsimile or other electronic transmission) will be an original, but all of them together represent the same agreement. This Indenture may be executed in counterparts, each of which will be deemed an original, but all of which taken together will constitute one and the same instrument. Delivery of an executed counterpart of a signature page to this Indenture by facsimile or other electronic transmission shall be effective as delivery of a manually signed counterpart. The words “execution,” “signed,” “signature,” “delivery,” and words of like import in or relating to this Indenture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8"/>
          <w:szCs w:val="18"/>
          <w:i w:val="1"/>
          <w:iCs w:val="1"/>
          <w:color w:val="auto"/>
        </w:rPr>
        <w:t>Electronic Signatures</w:t>
      </w:r>
      <w:r>
        <w:rPr>
          <w:rFonts w:ascii="Arial" w:cs="Arial" w:eastAsia="Arial" w:hAnsi="Arial"/>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9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13.13</w:t>
      </w:r>
      <w:r>
        <w:rPr>
          <w:sz w:val="20"/>
          <w:szCs w:val="20"/>
          <w:color w:val="auto"/>
        </w:rPr>
        <w:tab/>
      </w:r>
      <w:r>
        <w:rPr>
          <w:rFonts w:ascii="Arial" w:cs="Arial" w:eastAsia="Arial" w:hAnsi="Arial"/>
          <w:sz w:val="16"/>
          <w:szCs w:val="16"/>
          <w:i w:val="1"/>
          <w:iCs w:val="1"/>
          <w:color w:val="auto"/>
        </w:rPr>
        <w:t>Table of Contents, Headings, etc.</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13.14</w:t>
      </w:r>
      <w:r>
        <w:rPr>
          <w:sz w:val="20"/>
          <w:szCs w:val="20"/>
          <w:color w:val="auto"/>
        </w:rPr>
        <w:tab/>
      </w:r>
      <w:r>
        <w:rPr>
          <w:rFonts w:ascii="Arial" w:cs="Arial" w:eastAsia="Arial" w:hAnsi="Arial"/>
          <w:sz w:val="16"/>
          <w:szCs w:val="16"/>
          <w:i w:val="1"/>
          <w:iCs w:val="1"/>
          <w:color w:val="auto"/>
        </w:rPr>
        <w:t>U.S.A. Patriot Act</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disasters,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2" w:name="page393"/>
    <w:bookmarkEnd w:id="392"/>
    <w:p>
      <w:pPr>
        <w:ind w:left="660"/>
        <w:spacing w:after="0"/>
        <w:tabs>
          <w:tab w:leader="none" w:pos="1860" w:val="left"/>
        </w:tabs>
        <w:rPr>
          <w:sz w:val="20"/>
          <w:szCs w:val="20"/>
          <w:color w:val="auto"/>
        </w:rPr>
      </w:pPr>
      <w:r>
        <w:rPr>
          <w:rFonts w:ascii="Arial" w:cs="Arial" w:eastAsia="Arial" w:hAnsi="Arial"/>
          <w:sz w:val="18"/>
          <w:szCs w:val="18"/>
          <w:color w:val="auto"/>
        </w:rPr>
        <w:t>Section 13.15</w:t>
      </w:r>
      <w:r>
        <w:rPr>
          <w:sz w:val="20"/>
          <w:szCs w:val="20"/>
          <w:color w:val="auto"/>
        </w:rPr>
        <w:tab/>
      </w:r>
      <w:r>
        <w:rPr>
          <w:rFonts w:ascii="Arial" w:cs="Arial" w:eastAsia="Arial" w:hAnsi="Arial"/>
          <w:sz w:val="16"/>
          <w:szCs w:val="16"/>
          <w:i w:val="1"/>
          <w:iCs w:val="1"/>
          <w:color w:val="auto"/>
        </w:rPr>
        <w:t>Intercreditor Agreements.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Reference is made to the First Lien Intercreditor Agreement and Junior Lien Intercreditor Agreement, if any. Each Holder, by its acceptance of a Note, (a) agrees that it will be bound by and will take no actions contrary to the provisions of the First Lien Intercreditor Agreement and Junior Lien Intercreditor Agreement, if any, and (b) authorizes and instructs the Trustee and the Notes Collateral Agent to enter into the First Lien Intercreditor Agreement and Junior Lien Intercreditor Agreement, if any, as Trustee and as Notes Collateral Agent, as the case may be, and on behalf of such Holder, including without limitation, making the representations of the Holders contained therein. The foregoing provisions are intended as an inducement to the lenders under the Senior Secured Credit Facilities to extend credit and such lenders are intended third party beneficiaries of such provisions and the provisions of the First Lien Intercreditor Agreement and Junior Lien Intercreditor Agreement, if 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3" w:name="page394"/>
    <w:bookmarkEnd w:id="393"/>
    <w:p>
      <w:pPr>
        <w:ind w:left="560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July 1, 2021</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INDIGO MERGER SUB, INC.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PRA HEALTH SCIENCES, INC.</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394" w:name="page395"/>
    <w:bookmarkEnd w:id="394"/>
    <w:p>
      <w:pPr>
        <w:ind w:left="4460"/>
        <w:spacing w:after="0"/>
        <w:rPr>
          <w:sz w:val="20"/>
          <w:szCs w:val="20"/>
          <w:color w:val="auto"/>
        </w:rPr>
      </w:pPr>
      <w:r>
        <w:rPr>
          <w:rFonts w:ascii="Arial" w:cs="Arial" w:eastAsia="Arial" w:hAnsi="Arial"/>
          <w:sz w:val="18"/>
          <w:szCs w:val="18"/>
          <w:color w:val="auto"/>
        </w:rPr>
        <w:t>GUARANTORS</w:t>
      </w:r>
      <w:r>
        <w:rPr>
          <w:rFonts w:ascii="Arial" w:cs="Arial" w:eastAsia="Arial" w:hAnsi="Arial"/>
          <w:sz w:val="18"/>
          <w:szCs w:val="18"/>
          <w:b w:val="1"/>
          <w:bCs w:val="1"/>
          <w:color w:val="auto"/>
        </w:rPr>
        <w:t>:</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ICON LUXEMBOURG, S.À R.L.</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339471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4780"/>
        <w:spacing w:after="0"/>
        <w:tabs>
          <w:tab w:leader="none" w:pos="5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Authorised Signatory</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ICON US HOLDINGS INC.</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ICON CLINICAL INVESTMENTS, LLC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BEACON BIOSCIENCE, INC.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ICON CLINICAL RESEARCH LLC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ICON LABORATORY SERVICES, INC.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PRICESPECTIVE LLC</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339471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4780"/>
        <w:spacing w:after="0"/>
        <w:tabs>
          <w:tab w:leader="none" w:pos="5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ICON EARLY PHASE SERVICES, LLC</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MOLECULARMD CORP.</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DOCS GLOBAL, INC.</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339471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4780"/>
        <w:spacing w:after="0"/>
        <w:tabs>
          <w:tab w:leader="none" w:pos="5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ACCELLACARE US INC.</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33947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4780"/>
        <w:spacing w:after="0"/>
        <w:tabs>
          <w:tab w:leader="none" w:pos="5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CLINICAL RESOURCE NETWORK, LLC</w:t>
      </w:r>
    </w:p>
    <w:p>
      <w:pPr>
        <w:spacing w:after="0" w:line="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CRN HOLDINGS, LLC</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339471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Simon Hollywood</w:t>
      </w:r>
    </w:p>
    <w:p>
      <w:pPr>
        <w:spacing w:after="0" w:line="23" w:lineRule="exact"/>
        <w:rPr>
          <w:sz w:val="20"/>
          <w:szCs w:val="20"/>
          <w:color w:val="auto"/>
        </w:rPr>
      </w:pPr>
    </w:p>
    <w:p>
      <w:pPr>
        <w:ind w:left="4780"/>
        <w:spacing w:after="0"/>
        <w:tabs>
          <w:tab w:leader="none" w:pos="5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211455</wp:posOffset>
            </wp:positionV>
            <wp:extent cx="71323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5" w:name="page396"/>
    <w:bookmarkEnd w:id="395"/>
    <w:p>
      <w:pPr>
        <w:ind w:left="4440"/>
        <w:spacing w:after="0"/>
        <w:rPr>
          <w:sz w:val="20"/>
          <w:szCs w:val="20"/>
          <w:color w:val="auto"/>
        </w:rPr>
      </w:pPr>
      <w:r>
        <w:rPr>
          <w:rFonts w:ascii="Arial" w:cs="Arial" w:eastAsia="Arial" w:hAnsi="Arial"/>
          <w:sz w:val="18"/>
          <w:szCs w:val="18"/>
          <w:color w:val="auto"/>
        </w:rPr>
        <w:t>RESEARCH PHARMACEUTICAL SERVICES, INC.</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SOURCE HEALTHCARE ANALYTICS,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SYMPHONY HEALTH SOLUTIONS CORPORATION</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PHARMACEUTICAL RESEARCH ASSOCIATES, INC.</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PRA HOLDINGS, INC.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PRA INTERNATIONAL,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RPS GLOBAL HOLDINGS,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RPS PARENT HOLDING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ROY RPS HOLDINGS LLC</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34118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Diarmaid Cunningham</w:t>
      </w:r>
    </w:p>
    <w:p>
      <w:pPr>
        <w:spacing w:after="0" w:line="23" w:lineRule="exact"/>
        <w:rPr>
          <w:sz w:val="20"/>
          <w:szCs w:val="20"/>
          <w:color w:val="auto"/>
        </w:rPr>
      </w:pPr>
    </w:p>
    <w:p>
      <w:pPr>
        <w:ind w:left="4740"/>
        <w:spacing w:after="0"/>
        <w:tabs>
          <w:tab w:leader="none" w:pos="5300" w:val="left"/>
        </w:tabs>
        <w:rPr>
          <w:sz w:val="20"/>
          <w:szCs w:val="20"/>
          <w:color w:val="auto"/>
        </w:rPr>
      </w:pPr>
      <w:r>
        <w:rPr>
          <w:rFonts w:ascii="Arial" w:cs="Arial" w:eastAsia="Arial" w:hAnsi="Arial"/>
          <w:sz w:val="18"/>
          <w:szCs w:val="18"/>
          <w:color w:val="auto"/>
        </w:rPr>
        <w:t>Title:</w:t>
        <w:tab/>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211455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96" w:name="page397"/>
    <w:bookmarkEnd w:id="396"/>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ICON PUBLIC LIMITED COMPANY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its lawfully appointed attorney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220345</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97" w:name="page398"/>
    <w:bookmarkEnd w:id="397"/>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ICON HOLDINGS UNLIMITED COMPANY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its lawfully appointed attorney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8" w:name="page399"/>
    <w:bookmarkEnd w:id="398"/>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DOCS RESOURCING LIMITED</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 its lawfully appointed attorney</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99" w:name="page400"/>
    <w:bookmarkEnd w:id="399"/>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ICON CLINICAL INTERNATIONAL UNLIMITED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its lawfully appointed attorney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Diarmuid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109220</wp:posOffset>
            </wp:positionV>
            <wp:extent cx="71323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00" w:name="page401"/>
    <w:bookmarkEnd w:id="400"/>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ICON CLINICAL RESEARCH PROPERTY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DEVELOPMENT (IRELAND)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its lawfully appointed attorney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401" w:name="page402"/>
    <w:bookmarkEnd w:id="401"/>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ACCELLACARE LIMITED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its lawfully appointed attorney</w:t>
      </w:r>
    </w:p>
    <w:p>
      <w:pPr>
        <w:spacing w:after="0" w:line="2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02" w:name="page403"/>
    <w:bookmarkEnd w:id="402"/>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line="260" w:lineRule="auto"/>
        <w:rPr>
          <w:sz w:val="20"/>
          <w:szCs w:val="20"/>
          <w:color w:val="auto"/>
        </w:rPr>
      </w:pPr>
      <w:r>
        <w:rPr>
          <w:rFonts w:ascii="Arial" w:cs="Arial" w:eastAsia="Arial" w:hAnsi="Arial"/>
          <w:sz w:val="18"/>
          <w:szCs w:val="18"/>
          <w:color w:val="auto"/>
        </w:rPr>
        <w:t>ICON OPERATIONAL HOLDINGS UNLIMITED COMPANY by its lawfully appointed attorney</w:t>
      </w:r>
    </w:p>
    <w:p>
      <w:pPr>
        <w:spacing w:after="0" w:line="18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490" w:right="1299" w:bottom="1440" w:gutter="0" w:footer="0" w:header="0"/>
        </w:sectPr>
      </w:pPr>
    </w:p>
    <w:bookmarkStart w:id="403" w:name="page404"/>
    <w:bookmarkEnd w:id="403"/>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line="260" w:lineRule="auto"/>
        <w:rPr>
          <w:sz w:val="20"/>
          <w:szCs w:val="20"/>
          <w:color w:val="auto"/>
        </w:rPr>
      </w:pPr>
      <w:r>
        <w:rPr>
          <w:rFonts w:ascii="Arial" w:cs="Arial" w:eastAsia="Arial" w:hAnsi="Arial"/>
          <w:sz w:val="18"/>
          <w:szCs w:val="18"/>
          <w:color w:val="auto"/>
        </w:rPr>
        <w:t>ICON OPERATIONAL FINANCING UNLIMITED COMPANY by its lawfully appointed attorney</w:t>
      </w:r>
    </w:p>
    <w:p>
      <w:pPr>
        <w:spacing w:after="0" w:line="18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40"/>
          </w:cols>
          <w:pgMar w:left="1440" w:top="490" w:right="1219" w:bottom="1440" w:gutter="0" w:footer="0" w:header="0"/>
        </w:sectPr>
      </w:pPr>
    </w:p>
    <w:bookmarkStart w:id="404" w:name="page405"/>
    <w:bookmarkEnd w:id="404"/>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ICON INVESTMENTS FOUR UNLIMITED COMPANY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its lawfully appointed attorney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05" w:name="page406"/>
    <w:bookmarkEnd w:id="405"/>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line="260" w:lineRule="auto"/>
        <w:rPr>
          <w:sz w:val="20"/>
          <w:szCs w:val="20"/>
          <w:color w:val="auto"/>
        </w:rPr>
      </w:pPr>
      <w:r>
        <w:rPr>
          <w:rFonts w:ascii="Arial" w:cs="Arial" w:eastAsia="Arial" w:hAnsi="Arial"/>
          <w:sz w:val="18"/>
          <w:szCs w:val="18"/>
          <w:color w:val="auto"/>
        </w:rPr>
        <w:t>ICON CLINICAL GLOBAL HOLDINGS UNLIMITED COMPANY by its lawfully appointed attorney</w:t>
      </w:r>
    </w:p>
    <w:p>
      <w:pPr>
        <w:spacing w:after="0" w:line="18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40"/>
          </w:cols>
          <w:pgMar w:left="1440" w:top="490" w:right="919" w:bottom="1440" w:gutter="0" w:footer="0" w:header="0"/>
        </w:sectPr>
      </w:pPr>
    </w:p>
    <w:bookmarkStart w:id="406" w:name="page407"/>
    <w:bookmarkEnd w:id="406"/>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ICON CLINICAL RESEARCH LIMITED</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its lawfully appointed attorney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07" w:name="page408"/>
    <w:bookmarkEnd w:id="407"/>
    <w:p>
      <w:pPr>
        <w:ind w:left="4500"/>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ICON GLOBAL TREASURY UNLIMITED COMPANY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its lawfully appointed attorney</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220345</wp:posOffset>
            </wp:positionV>
            <wp:extent cx="71323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08" w:name="page409"/>
    <w:bookmarkEnd w:id="408"/>
    <w:p>
      <w:pPr>
        <w:ind w:left="4460"/>
        <w:spacing w:after="0"/>
        <w:rPr>
          <w:sz w:val="20"/>
          <w:szCs w:val="20"/>
          <w:color w:val="auto"/>
        </w:rPr>
      </w:pPr>
      <w:r>
        <w:rPr>
          <w:rFonts w:ascii="Arial" w:cs="Arial" w:eastAsia="Arial" w:hAnsi="Arial"/>
          <w:sz w:val="18"/>
          <w:szCs w:val="18"/>
          <w:b w:val="1"/>
          <w:bCs w:val="1"/>
          <w:color w:val="333333"/>
        </w:rPr>
        <w:t>CITIBANK, N.A., LONDON BRANCH,</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333333"/>
        </w:rPr>
        <w:t>as Trustee</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Carl Hardie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339471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Carl Hardie</w:t>
      </w:r>
    </w:p>
    <w:p>
      <w:pPr>
        <w:spacing w:after="0" w:line="23" w:lineRule="exact"/>
        <w:rPr>
          <w:sz w:val="20"/>
          <w:szCs w:val="20"/>
          <w:color w:val="auto"/>
        </w:rPr>
      </w:pPr>
    </w:p>
    <w:p>
      <w:pPr>
        <w:ind w:left="4780"/>
        <w:spacing w:after="0"/>
        <w:tabs>
          <w:tab w:leader="none" w:pos="5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333333"/>
        </w:rPr>
        <w:t>CITIBANK, N.A., LONDON BRANCH,</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333333"/>
        </w:rPr>
        <w:t>as Notes Collateral Agent</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Carl Hardie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339471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Carl Hardie</w:t>
      </w:r>
    </w:p>
    <w:p>
      <w:pPr>
        <w:spacing w:after="0" w:line="23" w:lineRule="exact"/>
        <w:rPr>
          <w:sz w:val="20"/>
          <w:szCs w:val="20"/>
          <w:color w:val="auto"/>
        </w:rPr>
      </w:pPr>
    </w:p>
    <w:p>
      <w:pPr>
        <w:ind w:left="4780"/>
        <w:spacing w:after="0"/>
        <w:tabs>
          <w:tab w:leader="none" w:pos="5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333333"/>
        </w:rPr>
        <w:t>CITIBANK, N.A., LONDON BRANCH,</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6"/>
          <w:szCs w:val="16"/>
          <w:color w:val="333333"/>
        </w:rPr>
        <w:t>as Paying Agent, Transfer Agent and Registrar</w:t>
      </w: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Carl Hardie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339471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Carl Hardie</w:t>
      </w:r>
    </w:p>
    <w:p>
      <w:pPr>
        <w:spacing w:after="0" w:line="23" w:lineRule="exact"/>
        <w:rPr>
          <w:sz w:val="20"/>
          <w:szCs w:val="20"/>
          <w:color w:val="auto"/>
        </w:rPr>
      </w:pPr>
    </w:p>
    <w:p>
      <w:pPr>
        <w:ind w:left="4780"/>
        <w:spacing w:after="0"/>
        <w:tabs>
          <w:tab w:leader="none" w:pos="5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211455</wp:posOffset>
            </wp:positionV>
            <wp:extent cx="713232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9" w:name="page410"/>
    <w:bookmarkEnd w:id="409"/>
    <w:p>
      <w:pPr>
        <w:ind w:left="10420"/>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AGREED GUARANTEE AND SECURITY PRINCIPLES</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Unless otherwise defined herein, capitalized terms used herein and defined in the Indenture to which this Annex A is attached (the “</w:t>
      </w:r>
      <w:r>
        <w:rPr>
          <w:rFonts w:ascii="Arial" w:cs="Arial" w:eastAsia="Arial" w:hAnsi="Arial"/>
          <w:sz w:val="16"/>
          <w:szCs w:val="16"/>
          <w:i w:val="1"/>
          <w:iCs w:val="1"/>
          <w:color w:val="auto"/>
        </w:rPr>
        <w:t>Indentur</w:t>
      </w:r>
      <w:r>
        <w:rPr>
          <w:rFonts w:ascii="Arial" w:cs="Arial" w:eastAsia="Arial" w:hAnsi="Arial"/>
          <w:sz w:val="16"/>
          <w:szCs w:val="16"/>
          <w:color w:val="auto"/>
        </w:rPr>
        <w:t>e”) or the Security Agreement (as defined in the Indenture), are used herein as defined in the Indenture or the Security Agreement, as applicable.</w:t>
      </w:r>
    </w:p>
    <w:p>
      <w:pPr>
        <w:spacing w:after="0" w:line="120" w:lineRule="exact"/>
        <w:rPr>
          <w:sz w:val="20"/>
          <w:szCs w:val="20"/>
          <w:color w:val="auto"/>
        </w:rPr>
      </w:pPr>
    </w:p>
    <w:p>
      <w:pPr>
        <w:ind w:left="660" w:hanging="652"/>
        <w:spacing w:after="0"/>
        <w:tabs>
          <w:tab w:leader="none" w:pos="66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Considerations</w:t>
      </w:r>
    </w:p>
    <w:p>
      <w:pPr>
        <w:spacing w:after="0" w:line="229" w:lineRule="exact"/>
        <w:rPr>
          <w:sz w:val="20"/>
          <w:szCs w:val="20"/>
          <w:color w:val="auto"/>
        </w:rPr>
      </w:pPr>
    </w:p>
    <w:p>
      <w:pPr>
        <w:jc w:val="both"/>
        <w:ind w:left="660" w:hanging="652"/>
        <w:spacing w:after="0" w:line="275" w:lineRule="auto"/>
        <w:tabs>
          <w:tab w:leader="none" w:pos="66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In determining (x) what Liens will be granted by the Foreign Grantors or in respect of Foreign Assets to secure the Secured Obligations, (y) any limitations on the amount or scope of Guarantees by the Foreign Grantors of the Secured Obligations and (z) any limitations on the amount or scope of the Secured Obligations to be secured by any Foreign Assets, the following matters will be taken into account. For the avoidance of doubt, these Agreed Guarantee and Security Principles shall not apply to the Guarantees or grants of security provided by any Domestic Subsidiary of Parent that is a Guarantor. Liens shall not be created or perfected to the extent that they would:</w:t>
      </w:r>
    </w:p>
    <w:p>
      <w:pPr>
        <w:spacing w:after="0" w:line="176" w:lineRule="exact"/>
        <w:rPr>
          <w:rFonts w:ascii="Arial" w:cs="Arial" w:eastAsia="Arial" w:hAnsi="Arial"/>
          <w:sz w:val="17"/>
          <w:szCs w:val="17"/>
          <w:color w:val="auto"/>
        </w:rPr>
      </w:pPr>
    </w:p>
    <w:p>
      <w:pPr>
        <w:jc w:val="both"/>
        <w:ind w:left="1300" w:hanging="644"/>
        <w:spacing w:after="0" w:line="275" w:lineRule="auto"/>
        <w:tabs>
          <w:tab w:leader="none" w:pos="1300" w:val="left"/>
        </w:tabs>
        <w:numPr>
          <w:ilvl w:val="1"/>
          <w:numId w:val="449"/>
        </w:numPr>
        <w:rPr>
          <w:rFonts w:ascii="Arial" w:cs="Arial" w:eastAsia="Arial" w:hAnsi="Arial"/>
          <w:sz w:val="17"/>
          <w:szCs w:val="17"/>
          <w:color w:val="auto"/>
        </w:rPr>
      </w:pPr>
      <w:r>
        <w:rPr>
          <w:rFonts w:ascii="Arial" w:cs="Arial" w:eastAsia="Arial" w:hAnsi="Arial"/>
          <w:sz w:val="17"/>
          <w:szCs w:val="17"/>
          <w:color w:val="auto"/>
        </w:rPr>
        <w:t>result in any breach of corporate benefit, financial assistance, related or connected person transaction, fraudulent preference, thin capitalisation laws, capital maintenance rules, general statutory limitations, retention of title claims, “earnings stripping,” “controlled foreign corporation”, minority shareholder protection/equal treatment of shareholder rules or the laws or regulations (or analogous restrictions) of any applicable jurisdiction or any similar principles which may limit the ability of any Foreign Grantor to provide a guarantee or security or may require that that the guarantee or security be limited by an amount or scope or otherwise;</w:t>
      </w:r>
    </w:p>
    <w:p>
      <w:pPr>
        <w:spacing w:after="0" w:line="176"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result in any (x) risk to the officers of the relevant grantor of Liens of contravention of any legal prohibition, statutory duty in such capacity or their fiduciary duties and/or (y) risk to the officers of the relevant grantor of Liens of personal, civil or criminal liability (in each case, other than arising from fraud, gross negligence or willful misconduct of the relevant officer);</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result in costs that are disproportionate to the benefit obtained by the First Priority Notes Secured Parties by reference to the costs of providing the Guarantee or creating or perfecting the lien versus the value of the assets being secured, as reasonably determined by the Parent;</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impose an undue administration burden on, or material inconvenience to the ordinary course of operations of, the provider of the Lien, in each case which is disproportionate to the benefit obtained by the beneficiary of the Lien, as reasonably determined by the Issuer;</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create Liens over any assets subject to third party arrangements which are permitted by the Notes Documents to the extent (and for so long as) such arrangements prevent those assets from being charged and so long as such arrangements are not overridden by applicable law; or</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require the consent of any works council of the applicable subsidiary or similar employee body or regulatory authority in the jurisdiction of any Foreign Grantor.</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0" w:name="page411"/>
    <w:bookmarkEnd w:id="410"/>
    <w:p>
      <w:pPr>
        <w:jc w:val="both"/>
        <w:ind w:left="660" w:hanging="652"/>
        <w:spacing w:after="0" w:line="263" w:lineRule="auto"/>
        <w:tabs>
          <w:tab w:leader="none" w:pos="6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These Agreed Guarantee and Security Principles embody recognition by all parties that there may be certain legal, regulatory and practical difficulties (including those in paragraph 1 above) in obtaining security and/or Guarantees from all Foreign Grantors or Foreign Assets in every jurisdiction in which Foreign Grantors or Foreign Assets are located, in particular:</w:t>
      </w:r>
    </w:p>
    <w:p>
      <w:pPr>
        <w:spacing w:after="0" w:line="183" w:lineRule="exact"/>
        <w:rPr>
          <w:rFonts w:ascii="Arial" w:cs="Arial" w:eastAsia="Arial" w:hAnsi="Arial"/>
          <w:sz w:val="18"/>
          <w:szCs w:val="18"/>
          <w:color w:val="auto"/>
        </w:rPr>
      </w:pPr>
    </w:p>
    <w:p>
      <w:pPr>
        <w:jc w:val="both"/>
        <w:ind w:left="1300" w:hanging="644"/>
        <w:spacing w:after="0" w:line="293" w:lineRule="auto"/>
        <w:tabs>
          <w:tab w:leader="none" w:pos="130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such Foreign Grantor will use commercially reasonable efforts to ensure perfection of liens, when required, and other legal formalities will be completed within the time periods specified in the Notes Documents or (if earlier or to the extent no such time periods are specified in the Notes Documents) within the time periods specified by applicable law in order to ensure due perfection, in each case subject to such longer period as may be agreed by the Credit Agreement Administrative Agent under the Senior Secured Credit Facilities. Perfection of security will not be required if it would have a material adverse effect on the ability of the relevant Foreign Grantor to conduct its operations and business in the ordinary course as otherwise permitted by the Notes Documents;</w:t>
      </w:r>
    </w:p>
    <w:p>
      <w:pPr>
        <w:spacing w:after="0" w:line="164" w:lineRule="exact"/>
        <w:rPr>
          <w:rFonts w:ascii="Arial" w:cs="Arial" w:eastAsia="Arial" w:hAnsi="Arial"/>
          <w:sz w:val="16"/>
          <w:szCs w:val="16"/>
          <w:color w:val="auto"/>
        </w:rPr>
      </w:pPr>
    </w:p>
    <w:p>
      <w:pPr>
        <w:ind w:left="1300" w:hanging="644"/>
        <w:spacing w:after="0" w:line="342" w:lineRule="auto"/>
        <w:tabs>
          <w:tab w:leader="none" w:pos="130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the maximum granted or secured amount may be limited to minimize stamp duty, notarization, registration or other applicable fees, taxes and duties where the benefit of increasing the granted or secured amount is disproportionate to the level of such fees, taxes and duties; or</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where a class of assets to be secured includes material and immaterial assets, if the costs of granting security over the immaterial assets is disproportionate to the benefit of such security, security will be granted over the material assets only.</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avoidance of doubt, in these Agreed Guarantee and Security Principles, “cost” includes, but is not limited to, income tax cost, registration taxes payable on the creation or enforcement or for the continuance of any Liens, stamp duties, the cost of maintaining capital for regulatory purposes, out-of-pocket expenses, and other fees and expenses directly incurred by the relevant grantor of Liens or any of its direct or indirect owners, subsidiaries or Affiliates.</w:t>
      </w:r>
    </w:p>
    <w:p>
      <w:pPr>
        <w:spacing w:after="0" w:line="183" w:lineRule="exact"/>
        <w:rPr>
          <w:sz w:val="20"/>
          <w:szCs w:val="20"/>
          <w:color w:val="auto"/>
        </w:rPr>
      </w:pPr>
    </w:p>
    <w:p>
      <w:pPr>
        <w:ind w:left="660" w:hanging="652"/>
        <w:spacing w:after="0"/>
        <w:tabs>
          <w:tab w:leader="none" w:pos="660" w:val="left"/>
        </w:tabs>
        <w:numPr>
          <w:ilvl w:val="0"/>
          <w:numId w:val="451"/>
        </w:numPr>
        <w:rPr>
          <w:rFonts w:ascii="Arial" w:cs="Arial" w:eastAsia="Arial" w:hAnsi="Arial"/>
          <w:sz w:val="18"/>
          <w:szCs w:val="18"/>
          <w:color w:val="auto"/>
        </w:rPr>
      </w:pPr>
      <w:r>
        <w:rPr>
          <w:rFonts w:ascii="Arial" w:cs="Arial" w:eastAsia="Arial" w:hAnsi="Arial"/>
          <w:sz w:val="18"/>
          <w:szCs w:val="18"/>
          <w:b w:val="1"/>
          <w:bCs w:val="1"/>
          <w:color w:val="auto"/>
        </w:rPr>
        <w:t>Obligations to be Guaranteed and Secured</w:t>
      </w:r>
    </w:p>
    <w:p>
      <w:pPr>
        <w:spacing w:after="0" w:line="229" w:lineRule="exact"/>
        <w:rPr>
          <w:sz w:val="20"/>
          <w:szCs w:val="20"/>
          <w:color w:val="auto"/>
        </w:rPr>
      </w:pPr>
    </w:p>
    <w:p>
      <w:pPr>
        <w:jc w:val="both"/>
        <w:ind w:left="660" w:hanging="652"/>
        <w:spacing w:after="0" w:line="311" w:lineRule="auto"/>
        <w:tabs>
          <w:tab w:leader="none" w:pos="1164" w:val="left"/>
        </w:tabs>
        <w:numPr>
          <w:ilvl w:val="0"/>
          <w:numId w:val="452"/>
        </w:numPr>
        <w:rPr>
          <w:rFonts w:ascii="Arial" w:cs="Arial" w:eastAsia="Arial" w:hAnsi="Arial"/>
          <w:sz w:val="16"/>
          <w:szCs w:val="16"/>
          <w:color w:val="auto"/>
        </w:rPr>
      </w:pPr>
      <w:r>
        <w:rPr>
          <w:rFonts w:ascii="Arial" w:cs="Arial" w:eastAsia="Arial" w:hAnsi="Arial"/>
          <w:sz w:val="16"/>
          <w:szCs w:val="16"/>
          <w:color w:val="auto"/>
        </w:rPr>
        <w:t>· Subject to paragraph (A) above, the obligations to be secured are the Secured Obligations. The Liens are to be granted in favor of the Notes Collateral Agent on behalf of each First Priority Notes Secured Party (or equivalent local procedure and unless otherwise necessary in any jurisdictions). Subject to paragraph (A) above, the obligations to be guaranteed by Foreign Grantors are the Secured Obligations.</w:t>
      </w:r>
    </w:p>
    <w:p>
      <w:pPr>
        <w:spacing w:after="0" w:line="14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ease of reference, the definitions of the “Secured Obligations” and “First Priority Notes Secured Parties” set forth in the Security Agreement should, where relevant and to the extent legally possible, be incorporated into each other Collateral Document (with the capitalized terms used in them having the meaning given to them in the Indenture or Security Agreement, as applicable).</w:t>
      </w:r>
    </w:p>
    <w:p>
      <w:pPr>
        <w:spacing w:after="0" w:line="180" w:lineRule="exact"/>
        <w:rPr>
          <w:sz w:val="20"/>
          <w:szCs w:val="20"/>
          <w:color w:val="auto"/>
        </w:rPr>
      </w:pPr>
    </w:p>
    <w:p>
      <w:pPr>
        <w:ind w:left="660" w:hanging="652"/>
        <w:spacing w:after="0"/>
        <w:tabs>
          <w:tab w:leader="none" w:pos="660" w:val="left"/>
        </w:tabs>
        <w:numPr>
          <w:ilvl w:val="0"/>
          <w:numId w:val="453"/>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hanging="652"/>
        <w:spacing w:after="0"/>
        <w:tabs>
          <w:tab w:leader="none" w:pos="66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Where appropriate, defined terms in the Collateral Documents should mirror those in the Indenture and the Security Agreement, as applicable.</w:t>
      </w:r>
    </w:p>
    <w:p>
      <w:pPr>
        <w:spacing w:after="0" w:line="248" w:lineRule="exact"/>
        <w:rPr>
          <w:rFonts w:ascii="Arial" w:cs="Arial" w:eastAsia="Arial" w:hAnsi="Arial"/>
          <w:sz w:val="16"/>
          <w:szCs w:val="16"/>
          <w:color w:val="auto"/>
        </w:rPr>
      </w:pPr>
    </w:p>
    <w:p>
      <w:pPr>
        <w:jc w:val="both"/>
        <w:ind w:left="660" w:hanging="652"/>
        <w:spacing w:after="0" w:line="279" w:lineRule="auto"/>
        <w:tabs>
          <w:tab w:leader="none" w:pos="66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The parties to the Indenture agree to negotiate the form of each Collateral Document in good faith in a manner consistent with these Agreed Guarantee and Security Principles. The form of supplemental indenture is set forth as Exhibit E to the Indenture and, with respect to any Foreign Grantor, shall be subject to any limitations as set out in any supplemental indenture applicable to such Foreign Grantor as may be required in order to comply with local laws in accordance with these Agreed Guarantee and Security Principles.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1" w:name="page412"/>
    <w:bookmarkEnd w:id="411"/>
    <w:p>
      <w:pPr>
        <w:jc w:val="both"/>
        <w:ind w:left="660" w:hanging="652"/>
        <w:spacing w:after="0" w:line="263" w:lineRule="auto"/>
        <w:tabs>
          <w:tab w:leader="none" w:pos="6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Liens granted by any Foreign Grantor in favor of the Notes Collateral Agent on behalf of each First Priority Notes Secured Party shall, to the extent possible under local law, be enforceable only upon the acceleration of any of the Obligations under the Indenture and the Notes pursuant to Article 6 thereof or non-payment of the Obligations on the maturity date thereof (an “Enforcement Event”).</w:t>
      </w:r>
    </w:p>
    <w:p>
      <w:pPr>
        <w:spacing w:after="0" w:line="183"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no event shall (1) deposit or securities account control agreements or control, lockbox or similar arrangements be required with respect to deposit accounts, securities accounts or commodities accounts, (2) landlord, mortgagee and bailee waivers or subordination agreements be required, or (3) notices be required to be sent to account debtors or other contractual third parties unless an Enforcement Event has occurred and is continuing, except for (i) notices to be sent to any debtors under a Luxembourg receivables pledge agreement and (ii) notices to be sent to any account bank under a Luxembourg account pledge agreement.</w:t>
      </w:r>
    </w:p>
    <w:p>
      <w:pPr>
        <w:spacing w:after="0" w:line="176"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For the avoidance of doubt, no Foreign Grantor shall be required to (1) grant Liens over any Excluded Assets or (2) enter into any Collateral Documents or take any perfection steps outside of the jurisdiction of organization of such Foreign Grantor (other than in Covered Jurisdictions, including the recordation of patent, trademark and copyright security agreements in the United States Patent and Trademark Office and the United States Copyright Office).</w:t>
      </w:r>
    </w:p>
    <w:p>
      <w:pPr>
        <w:spacing w:after="0" w:line="183" w:lineRule="exact"/>
        <w:rPr>
          <w:sz w:val="20"/>
          <w:szCs w:val="20"/>
          <w:color w:val="auto"/>
        </w:rPr>
      </w:pPr>
    </w:p>
    <w:p>
      <w:pPr>
        <w:ind w:left="660" w:hanging="652"/>
        <w:spacing w:after="0"/>
        <w:tabs>
          <w:tab w:leader="none" w:pos="660" w:val="left"/>
        </w:tabs>
        <w:numPr>
          <w:ilvl w:val="0"/>
          <w:numId w:val="456"/>
        </w:numPr>
        <w:rPr>
          <w:rFonts w:ascii="Arial" w:cs="Arial" w:eastAsia="Arial" w:hAnsi="Arial"/>
          <w:sz w:val="18"/>
          <w:szCs w:val="18"/>
          <w:color w:val="auto"/>
        </w:rPr>
      </w:pPr>
      <w:r>
        <w:rPr>
          <w:rFonts w:ascii="Arial" w:cs="Arial" w:eastAsia="Arial" w:hAnsi="Arial"/>
          <w:sz w:val="18"/>
          <w:szCs w:val="18"/>
          <w:b w:val="1"/>
          <w:bCs w:val="1"/>
          <w:color w:val="auto"/>
        </w:rPr>
        <w:t>Covenants/Representations and Warranties</w:t>
      </w:r>
    </w:p>
    <w:p>
      <w:pPr>
        <w:spacing w:after="0" w:line="229" w:lineRule="exact"/>
        <w:rPr>
          <w:rFonts w:ascii="Arial" w:cs="Arial" w:eastAsia="Arial" w:hAnsi="Arial"/>
          <w:sz w:val="18"/>
          <w:szCs w:val="18"/>
          <w:color w:val="auto"/>
        </w:rPr>
      </w:pPr>
    </w:p>
    <w:p>
      <w:pPr>
        <w:jc w:val="both"/>
        <w:ind w:left="660"/>
        <w:spacing w:after="0" w:line="270" w:lineRule="auto"/>
        <w:rPr>
          <w:rFonts w:ascii="Arial" w:cs="Arial" w:eastAsia="Arial" w:hAnsi="Arial"/>
          <w:sz w:val="18"/>
          <w:szCs w:val="18"/>
          <w:color w:val="auto"/>
        </w:rPr>
      </w:pPr>
      <w:r>
        <w:rPr>
          <w:rFonts w:ascii="Arial" w:cs="Arial" w:eastAsia="Arial" w:hAnsi="Arial"/>
          <w:sz w:val="17"/>
          <w:szCs w:val="17"/>
          <w:color w:val="auto"/>
        </w:rPr>
        <w:t>Any representations, warranties or covenants which are required to be included in any Collateral Document shall reflect (to the extent to which the subject matter of such representation, warranty and covenant is the same as the corresponding representation, warranty and undertaking in the Indenture) the commercial deal set out in the Indenture and the Security Agreement (except to the extent that the Parent’s and the Notes Collateral Agent’s, as applicable, local counsel agree that it is necessary to include any further provisions (or deviate from those contained in the Indenture or the Security Agreement) in order to create, protect or preserve the Liens granted to the Notes Collateral Agent on behalf of each First Priority Notes Secured Party). Accordingly, the Collateral Documents shall not include, repeat or extend clauses set out in the Indenture including the representations or undertakings in respect of insurance, maintenance of assets, information, indemnities or the payment of costs or impose additional affirmative or negative covenants, in each case, unless applicable local counsel advise it necessary in order to ensure the validity of any Collateral Document or the perfection of any Lien granted thereunder.</w:t>
      </w:r>
    </w:p>
    <w:p>
      <w:pPr>
        <w:spacing w:after="0" w:line="176" w:lineRule="exact"/>
        <w:rPr>
          <w:rFonts w:ascii="Arial" w:cs="Arial" w:eastAsia="Arial" w:hAnsi="Arial"/>
          <w:sz w:val="18"/>
          <w:szCs w:val="18"/>
          <w:color w:val="auto"/>
        </w:rPr>
      </w:pPr>
    </w:p>
    <w:p>
      <w:pPr>
        <w:ind w:left="660" w:hanging="652"/>
        <w:spacing w:after="0"/>
        <w:tabs>
          <w:tab w:leader="none" w:pos="660" w:val="left"/>
        </w:tabs>
        <w:numPr>
          <w:ilvl w:val="0"/>
          <w:numId w:val="456"/>
        </w:numPr>
        <w:rPr>
          <w:rFonts w:ascii="Arial" w:cs="Arial" w:eastAsia="Arial" w:hAnsi="Arial"/>
          <w:sz w:val="18"/>
          <w:szCs w:val="18"/>
          <w:color w:val="auto"/>
        </w:rPr>
      </w:pPr>
      <w:r>
        <w:rPr>
          <w:rFonts w:ascii="Arial" w:cs="Arial" w:eastAsia="Arial" w:hAnsi="Arial"/>
          <w:sz w:val="18"/>
          <w:szCs w:val="18"/>
          <w:b w:val="1"/>
          <w:bCs w:val="1"/>
          <w:color w:val="auto"/>
        </w:rPr>
        <w:t>Liens over Equity Interests</w:t>
      </w:r>
    </w:p>
    <w:p>
      <w:pPr>
        <w:spacing w:after="0" w:line="229" w:lineRule="exact"/>
        <w:rPr>
          <w:sz w:val="20"/>
          <w:szCs w:val="20"/>
          <w:color w:val="auto"/>
        </w:rPr>
      </w:pPr>
    </w:p>
    <w:p>
      <w:pPr>
        <w:jc w:val="both"/>
        <w:ind w:left="660" w:hanging="652"/>
        <w:spacing w:after="0" w:line="263" w:lineRule="auto"/>
        <w:tabs>
          <w:tab w:leader="none" w:pos="6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Subject to paragraphs (A), (B) and (C) above, equitable share charges (or the equivalent in local jurisdictions) will be made over Equity Interests in Foreign Grantors that are not Immaterial Subsidiaries to the extent provided to the Credit Agreement Collateral Agent under the Senior Secured Credit Facilities.</w:t>
      </w:r>
    </w:p>
    <w:p>
      <w:pPr>
        <w:spacing w:after="0" w:line="183"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Subject to paragraphs (A), (B) and (C) above, any equitable share charges (or the equivalent in local jurisdictions) over Equity Interests in Foreign Grantors will be granted pursuant to which the Notes Collateral Agent on behalf of each First Priority Notes Secured Party will be entitled, subject to local laws, to transfer the Equity Interests and satisfy the Secured Obligations out of the proceeds of such sale upon enforcement of the Lien.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2" w:name="page413"/>
    <w:bookmarkEnd w:id="412"/>
    <w:p>
      <w:pPr>
        <w:jc w:val="both"/>
        <w:ind w:left="660" w:hanging="652"/>
        <w:spacing w:after="0" w:line="272" w:lineRule="auto"/>
        <w:tabs>
          <w:tab w:leader="none" w:pos="66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Subject to paragraphs (A), (B) and (C) above, to the extent permitted under local law, share pledges should contain provisions to ensure that, unless an Enforcement Event has occurred and is continuing, the grantor of the Lien is entitled to receive dividends and exercise voting rights in any shareholders’ meeting of the relevant company (except if exercise would be materially adverse to the validity or enforceability of the Lien created or would materially impair the value of the shares charged) and if an Enforcement Event has occurred and is continuing the voting and dividend receipt rights may only be exercised by the Trustee or the Notes Collateral Agent, as applicable, on behalf of each First Priority Notes Secured Party, it being understood that if such Enforcement Event is subsequently remedied or waived, the right to receive dividends and the voting rights in any shareholders’ meeting of the relevant company shall return to the grantor of the Lien.</w:t>
      </w:r>
    </w:p>
    <w:p>
      <w:pPr>
        <w:spacing w:after="0" w:line="177"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Liens over Equity Interests will, where possible, automatically charge further Equity Interests issued or otherwise contemplate a procedure for the extension (at the cost of the relevant Issuer or Guarantor) of Liens over newly-issued shares.</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Liens will not be created over minority shareholdings or Equity Interests in joint ventures which are not permitted to be pledged pursuant to the terms of such joint venture’s organizational, joint venture or equivalent documents (after giving effect to the applicable anti-assignment provisions of the UCC or other applicable law).</w:t>
      </w:r>
    </w:p>
    <w:p>
      <w:pPr>
        <w:spacing w:after="0" w:line="180" w:lineRule="exact"/>
        <w:rPr>
          <w:sz w:val="20"/>
          <w:szCs w:val="20"/>
          <w:color w:val="auto"/>
        </w:rPr>
      </w:pPr>
    </w:p>
    <w:p>
      <w:pPr>
        <w:ind w:left="660" w:hanging="652"/>
        <w:spacing w:after="0"/>
        <w:tabs>
          <w:tab w:leader="none" w:pos="660" w:val="left"/>
        </w:tabs>
        <w:numPr>
          <w:ilvl w:val="0"/>
          <w:numId w:val="459"/>
        </w:numPr>
        <w:rPr>
          <w:rFonts w:ascii="Arial" w:cs="Arial" w:eastAsia="Arial" w:hAnsi="Arial"/>
          <w:sz w:val="18"/>
          <w:szCs w:val="18"/>
          <w:color w:val="auto"/>
        </w:rPr>
      </w:pPr>
      <w:r>
        <w:rPr>
          <w:rFonts w:ascii="Arial" w:cs="Arial" w:eastAsia="Arial" w:hAnsi="Arial"/>
          <w:sz w:val="18"/>
          <w:szCs w:val="18"/>
          <w:b w:val="1"/>
          <w:bCs w:val="1"/>
          <w:color w:val="auto"/>
        </w:rPr>
        <w:t>Liens over Receivables of Foreign Grantors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Except where an Enforcement Event has occurred and is continuing, unless necessary to ensure the creation of valid and/or perfected security interests, (and notwithstanding that the Lien may be expressed as a first fixed charge) the proceeds of Receivables shall not be paid into a nominated account unless the relevant Foreign Grantor is able freely to withdraw such money and the Foreign Grantor shall be free to deal with those receivables in the course of its business.</w:t>
      </w:r>
    </w:p>
    <w:p>
      <w:pPr>
        <w:spacing w:after="0" w:line="186"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Each relevant Foreign Grantor shall not be required to notify third party debtors to any contracts that have been assigned and/or charged under a Collateral Document unless so required by the Notes Collateral Agent if an Enforcement Event has occurred and is continuing, other than with respect to a Luxembourg receivables pledge agreement which shall be notified to the relevant debtors in accordance with its provisions. The Trustee or Notes Collateral Agent, as applicable, shall however be entitled to give such notice if an Enforcement Event has occurred and is continuing.</w:t>
      </w:r>
    </w:p>
    <w:p>
      <w:pPr>
        <w:spacing w:after="0" w:line="18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No Lien will be granted under local law over any Receivables to the extent (and for so long as) such Receivable cannot be secured under the terms of the relevant contract (unless such prohibition is overridden by applicable law).</w:t>
      </w:r>
    </w:p>
    <w:p>
      <w:pPr>
        <w:spacing w:after="0" w:line="166" w:lineRule="exact"/>
        <w:rPr>
          <w:sz w:val="20"/>
          <w:szCs w:val="20"/>
          <w:color w:val="auto"/>
        </w:rPr>
      </w:pPr>
    </w:p>
    <w:p>
      <w:pPr>
        <w:ind w:left="660" w:hanging="652"/>
        <w:spacing w:after="0"/>
        <w:tabs>
          <w:tab w:leader="none" w:pos="660" w:val="left"/>
        </w:tabs>
        <w:numPr>
          <w:ilvl w:val="0"/>
          <w:numId w:val="461"/>
        </w:numPr>
        <w:rPr>
          <w:rFonts w:ascii="Arial" w:cs="Arial" w:eastAsia="Arial" w:hAnsi="Arial"/>
          <w:sz w:val="18"/>
          <w:szCs w:val="18"/>
          <w:color w:val="auto"/>
        </w:rPr>
      </w:pPr>
      <w:r>
        <w:rPr>
          <w:rFonts w:ascii="Arial" w:cs="Arial" w:eastAsia="Arial" w:hAnsi="Arial"/>
          <w:sz w:val="18"/>
          <w:szCs w:val="18"/>
          <w:b w:val="1"/>
          <w:bCs w:val="1"/>
          <w:color w:val="auto"/>
        </w:rPr>
        <w:t>Insurances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Subject to paragraphs (A), (B) and (C) above, proceeds of material insurance policies owned by each relevant Foreign Grantor (excluding third party liability insurance policies) are to be assigned by way of security or pledged to the Notes Collateral Agent on behalf of each First Priority Notes Secured Party. Proceeds of insurance shall be collected and retained by the relevant Foreign Grantor (without the further consent of the First Priority Notes Secured Parties) (i) unless such insurance proceeds must be applied to mandatory prepayment in accordance with Section 2.11(c) of the credit agreement governing the Senior Secured Credit Facilities, subject to any reinvestment rights therein or (ii) unless an Enforcement Event has occurred and is continuing.</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3" w:name="page414"/>
    <w:bookmarkEnd w:id="413"/>
    <w:p>
      <w:pPr>
        <w:jc w:val="both"/>
        <w:ind w:left="660" w:hanging="652"/>
        <w:spacing w:after="0" w:line="275" w:lineRule="auto"/>
        <w:tabs>
          <w:tab w:leader="none" w:pos="66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If required by local law to create or perfect the security, notice of the security will be served on the insurance provider within 20 Business Days of the security being granted (or such longer period as the Credit Agreement Collateral Agent may agree under the Senior Secured Credit Facilities) and, to the extent so required, the Foreign Grantor shall use its reasonable endeavors to obtain an acknowledgement of that notice within 30 Business Days of service. If a Foreign Grantor has used its reasonable endeavors but has not been able to obtain acknowledgement its obligations to obtain acknowledgement shall cease on the expiry of that 30 Business Days period.</w:t>
      </w:r>
    </w:p>
    <w:p>
      <w:pPr>
        <w:spacing w:after="0" w:line="172" w:lineRule="exact"/>
        <w:rPr>
          <w:sz w:val="20"/>
          <w:szCs w:val="20"/>
          <w:color w:val="auto"/>
        </w:rPr>
      </w:pPr>
    </w:p>
    <w:p>
      <w:pPr>
        <w:ind w:left="660" w:hanging="652"/>
        <w:spacing w:after="0"/>
        <w:tabs>
          <w:tab w:leader="none" w:pos="660"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Material Agreements And Claims</w:t>
      </w:r>
    </w:p>
    <w:p>
      <w:pPr>
        <w:spacing w:after="0" w:line="229" w:lineRule="exact"/>
        <w:rPr>
          <w:sz w:val="20"/>
          <w:szCs w:val="20"/>
          <w:color w:val="auto"/>
        </w:rPr>
      </w:pPr>
    </w:p>
    <w:p>
      <w:pPr>
        <w:jc w:val="both"/>
        <w:ind w:left="660" w:hanging="652"/>
        <w:spacing w:after="0" w:line="296" w:lineRule="auto"/>
        <w:tabs>
          <w:tab w:leader="none" w:pos="66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No Foreign Grantor shall be required to notify the counterparties to any contracts that have been charged/assigned under a Collateral Document that such contract has been so charged/assigned unless required by the Notes Collateral Agent if an Enforcement Event has occurred and is continuing. Liens should not be created over contracts, leases or licenses which prohibit assignment or the creation of such Liens or which require the consent of third parties for the creation of such Liens or such assignment unless the contracts are material, such consent has been obtained (and only for so long as such consent is in effect) or such prohibitions on assignment are overridden by applicable law.</w:t>
      </w:r>
    </w:p>
    <w:p>
      <w:pPr>
        <w:spacing w:after="0" w:line="161" w:lineRule="exact"/>
        <w:rPr>
          <w:rFonts w:ascii="Arial" w:cs="Arial" w:eastAsia="Arial" w:hAnsi="Arial"/>
          <w:sz w:val="16"/>
          <w:szCs w:val="16"/>
          <w:color w:val="auto"/>
        </w:rPr>
      </w:pPr>
    </w:p>
    <w:p>
      <w:pPr>
        <w:jc w:val="both"/>
        <w:ind w:left="660" w:hanging="652"/>
        <w:spacing w:after="0" w:line="301" w:lineRule="auto"/>
        <w:tabs>
          <w:tab w:leader="none" w:pos="66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Proceeds of Material Agreements (as defined in the credit agreement governing the Senior Secured Credit Facilities) and claims shall be collected and retained by the relevant Foreign Grantor (without the further consent of the First Priority Notes Secured Parties) (i) unless such insurance proceeds must be applied to mandatory prepayment in accordance with Section 2.11(c) of the credit agreement governing the Senior Secured Credit Facilities, subject to any reinvestment rights therein or (ii) unless an Enforcement Event has occurred and is continuing.</w:t>
      </w:r>
    </w:p>
    <w:p>
      <w:pPr>
        <w:spacing w:after="0" w:line="153" w:lineRule="exact"/>
        <w:rPr>
          <w:sz w:val="20"/>
          <w:szCs w:val="20"/>
          <w:color w:val="auto"/>
        </w:rPr>
      </w:pPr>
    </w:p>
    <w:p>
      <w:pPr>
        <w:ind w:left="660" w:hanging="652"/>
        <w:spacing w:after="0"/>
        <w:tabs>
          <w:tab w:leader="none" w:pos="660" w:val="left"/>
        </w:tabs>
        <w:numPr>
          <w:ilvl w:val="0"/>
          <w:numId w:val="466"/>
        </w:numPr>
        <w:rPr>
          <w:rFonts w:ascii="Arial" w:cs="Arial" w:eastAsia="Arial" w:hAnsi="Arial"/>
          <w:sz w:val="18"/>
          <w:szCs w:val="18"/>
          <w:color w:val="auto"/>
        </w:rPr>
      </w:pPr>
      <w:r>
        <w:rPr>
          <w:rFonts w:ascii="Arial" w:cs="Arial" w:eastAsia="Arial" w:hAnsi="Arial"/>
          <w:sz w:val="18"/>
          <w:szCs w:val="18"/>
          <w:b w:val="1"/>
          <w:bCs w:val="1"/>
          <w:color w:val="auto"/>
        </w:rPr>
        <w:t>Liens Over Foreign Intellectual Property</w:t>
      </w:r>
    </w:p>
    <w:p>
      <w:pPr>
        <w:spacing w:after="0" w:line="229" w:lineRule="exact"/>
        <w:rPr>
          <w:sz w:val="20"/>
          <w:szCs w:val="20"/>
          <w:color w:val="auto"/>
        </w:rPr>
      </w:pPr>
    </w:p>
    <w:p>
      <w:pPr>
        <w:jc w:val="both"/>
        <w:ind w:left="660" w:hanging="652"/>
        <w:spacing w:after="0" w:line="268" w:lineRule="auto"/>
        <w:tabs>
          <w:tab w:leader="none" w:pos="66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Subject to paragraphs (A), (B) and (C) above, Liens over all registered Foreign Intellectual Property (other than any applications for trademarks or service marks filed in the United States Patent and Trademark Office (“PTO”), or any successor office thereto pursuant to 15 U.S.C. §1051 Section 1(b) unless and until evidence of use of the mark in interstate commerce is submitted to the PTO pursuant to 15 U.S.C. §1051 Section 1(c) or Section 1(d)) owned by each relevant Notes Party are to be given, and recordation is to be made in all relevant registries of a Covered Jurisdiction in which the grantor of the Liens is resident (in each case to the extent such Foreign Intellectual Property is registered in such jurisdiction) unless the granting of such Liens would contravene any legal or contractual prohibition. Where any relevant Notes Party has the right to the use of any Foreign Intellectual Property through contractual arrangements to which it is a party, a Lien over such contract and/or any rights arising thereunder shall be given in favor of the Notes Collateral Agent on behalf of each First Priority Notes Secured Party, except to the extent (and for so long as) the giving over of such Liens would contravene any legal or contractual prohibition. Notwithstanding anything to the contrary herein, Liens should not be created over intellectual property or any contractual relationships described above (or any rights arising thereunder) where such Lien or assignment is prohibited or the consent of third parties would be required for the creation of such Lien or such assignment unless such consent has been obtained (and only for so long as such consent is in effect) or such prohibition is overridden by applicable law. Liens over intellectual property will only be required to be perfected in the United States of America, except with respect to Foreign Intellectual Property issued or registered by, or applied-for in Ireland or Luxembourg.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4" w:name="page415"/>
    <w:bookmarkEnd w:id="414"/>
    <w:p>
      <w:pPr>
        <w:jc w:val="both"/>
        <w:ind w:left="660" w:hanging="652"/>
        <w:spacing w:after="0" w:line="259" w:lineRule="auto"/>
        <w:tabs>
          <w:tab w:leader="none" w:pos="6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If a Foreign Grantor grants a Lien over any of its intellectual property, it will be free to deal with those assets in the course of its business (including without limitation, allowing any intellectual property to lapse or become abandoned if, in the reasonable good faith judgment of Parent, it is no longer useful, valuable, or material to the conduct of the business of Parent and its Subsidiaries, taken as a whole) until an Enforcement Event has occurred and is continuing.</w:t>
      </w:r>
    </w:p>
    <w:p>
      <w:pPr>
        <w:spacing w:after="0" w:line="183" w:lineRule="exact"/>
        <w:rPr>
          <w:sz w:val="20"/>
          <w:szCs w:val="20"/>
          <w:color w:val="auto"/>
        </w:rPr>
      </w:pPr>
    </w:p>
    <w:p>
      <w:pPr>
        <w:ind w:left="660" w:hanging="652"/>
        <w:spacing w:after="0"/>
        <w:tabs>
          <w:tab w:leader="none" w:pos="660" w:val="left"/>
        </w:tabs>
        <w:numPr>
          <w:ilvl w:val="0"/>
          <w:numId w:val="469"/>
        </w:numPr>
        <w:rPr>
          <w:rFonts w:ascii="Arial" w:cs="Arial" w:eastAsia="Arial" w:hAnsi="Arial"/>
          <w:sz w:val="18"/>
          <w:szCs w:val="18"/>
          <w:color w:val="auto"/>
        </w:rPr>
      </w:pPr>
      <w:r>
        <w:rPr>
          <w:rFonts w:ascii="Arial" w:cs="Arial" w:eastAsia="Arial" w:hAnsi="Arial"/>
          <w:sz w:val="18"/>
          <w:szCs w:val="18"/>
          <w:b w:val="1"/>
          <w:bCs w:val="1"/>
          <w:color w:val="auto"/>
        </w:rPr>
        <w:t>Liens Over Bank Accounts</w:t>
      </w:r>
    </w:p>
    <w:p>
      <w:pPr>
        <w:spacing w:after="0" w:line="229" w:lineRule="exact"/>
        <w:rPr>
          <w:sz w:val="20"/>
          <w:szCs w:val="20"/>
          <w:color w:val="auto"/>
        </w:rPr>
      </w:pPr>
    </w:p>
    <w:p>
      <w:pPr>
        <w:ind w:left="660" w:right="20" w:hanging="652"/>
        <w:spacing w:after="0" w:line="279" w:lineRule="auto"/>
        <w:tabs>
          <w:tab w:leader="none" w:pos="66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No Foreign Grantor shall have any obligation to provide fixed security over bank accounts. The Notes Parties shall have no obligation to notify any bank at which a bank account of a Notes Party is held of any Lien on such bank account unless (i) an Enforcement Event has occurred and is continuing and (ii) with respect to any Luxembourg law governed account pledge agreement. Such Foreign Grantor shall be free to deal with those accounts in the course of its business until an Enforcement Event has occurred and is continuing.</w:t>
      </w:r>
    </w:p>
    <w:p>
      <w:pPr>
        <w:spacing w:after="0" w:line="171" w:lineRule="exact"/>
        <w:rPr>
          <w:rFonts w:ascii="Arial" w:cs="Arial" w:eastAsia="Arial" w:hAnsi="Arial"/>
          <w:sz w:val="17"/>
          <w:szCs w:val="17"/>
          <w:color w:val="auto"/>
        </w:rPr>
      </w:pPr>
    </w:p>
    <w:p>
      <w:pPr>
        <w:ind w:left="660" w:right="100" w:hanging="652"/>
        <w:spacing w:after="0" w:line="263" w:lineRule="auto"/>
        <w:tabs>
          <w:tab w:leader="none" w:pos="6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With respect to any Luxembourg law governed account pledge agreement notice of the security will be served on the account bank within one (1) Business Day of the date of execution of the relevant Collateral Document and, to the extent so required, the Foreign Grantor shall use its reasonable endeavors to obtain an acknowledgement of that notice within three (3) Business Days of service.</w:t>
      </w:r>
    </w:p>
    <w:p>
      <w:pPr>
        <w:spacing w:after="0" w:line="18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security over bank accounts shall be subject to any prior security interests in favor of the account bank which are created either by law or in the standard terms and conditions of the account bank, unless these are waived under the terms of the relevant Collateral Document (including with respect to any Luxembourg law governed account pledge agreement). The notice of security shall request these are waived by the account bank but the Foreign Grantor shall not be required to change its banking arrangements if these security interests are not waived or only partially waived.</w:t>
      </w:r>
    </w:p>
    <w:p>
      <w:pPr>
        <w:spacing w:after="0" w:line="18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Notwithstanding the foregoing, the provisions of this paragraph (J) shall not apply to Excluded Accounts. For the avoidance of doubt, no control agreements or other lockbox or control or similar agreements or arrangements shall be required with respect to the perfection of any security interest or Lien in any Deposit Accounts or Securities Accounts (in each case, as defined in the UCC).</w:t>
      </w:r>
    </w:p>
    <w:p>
      <w:pPr>
        <w:spacing w:after="0" w:line="180" w:lineRule="exact"/>
        <w:rPr>
          <w:sz w:val="20"/>
          <w:szCs w:val="20"/>
          <w:color w:val="auto"/>
        </w:rPr>
      </w:pPr>
    </w:p>
    <w:p>
      <w:pPr>
        <w:ind w:left="660" w:hanging="652"/>
        <w:spacing w:after="0"/>
        <w:tabs>
          <w:tab w:leader="none" w:pos="660" w:val="left"/>
        </w:tabs>
        <w:numPr>
          <w:ilvl w:val="0"/>
          <w:numId w:val="471"/>
        </w:numPr>
        <w:rPr>
          <w:rFonts w:ascii="Arial" w:cs="Arial" w:eastAsia="Arial" w:hAnsi="Arial"/>
          <w:sz w:val="18"/>
          <w:szCs w:val="18"/>
          <w:color w:val="auto"/>
        </w:rPr>
      </w:pPr>
      <w:r>
        <w:rPr>
          <w:rFonts w:ascii="Arial" w:cs="Arial" w:eastAsia="Arial" w:hAnsi="Arial"/>
          <w:sz w:val="18"/>
          <w:szCs w:val="18"/>
          <w:b w:val="1"/>
          <w:bCs w:val="1"/>
          <w:color w:val="auto"/>
        </w:rPr>
        <w:t>Other Assets</w:t>
      </w:r>
    </w:p>
    <w:p>
      <w:pPr>
        <w:spacing w:after="0" w:line="229" w:lineRule="exact"/>
        <w:rPr>
          <w:sz w:val="20"/>
          <w:szCs w:val="20"/>
          <w:color w:val="auto"/>
        </w:rPr>
      </w:pPr>
    </w:p>
    <w:p>
      <w:pPr>
        <w:jc w:val="both"/>
        <w:ind w:left="660" w:hanging="652"/>
        <w:spacing w:after="0" w:line="263" w:lineRule="auto"/>
        <w:tabs>
          <w:tab w:leader="none" w:pos="6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Liens shall be given over any other material assets of any relevant Foreign Grantor from time to time, according to the principles set out herein. Such Foreign Grantor shall be free to deal with those assets in the course of its business until an Enforcement Event has occurred and is continuing.</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To the extent any Notes Party owns any Foreign Assets that are located in a jurisdiction other than a Covered Jurisdiction, no action under the laws of such jurisdiction shall be required to grant or perfect Liens in such Foreign Assets.</w:t>
      </w:r>
    </w:p>
    <w:p>
      <w:pPr>
        <w:spacing w:after="0" w:line="166" w:lineRule="exact"/>
        <w:rPr>
          <w:sz w:val="20"/>
          <w:szCs w:val="20"/>
          <w:color w:val="auto"/>
        </w:rPr>
      </w:pPr>
    </w:p>
    <w:p>
      <w:pPr>
        <w:ind w:left="660" w:hanging="652"/>
        <w:spacing w:after="0"/>
        <w:tabs>
          <w:tab w:leader="none" w:pos="660" w:val="left"/>
        </w:tabs>
        <w:numPr>
          <w:ilvl w:val="0"/>
          <w:numId w:val="473"/>
        </w:numPr>
        <w:rPr>
          <w:rFonts w:ascii="Arial" w:cs="Arial" w:eastAsia="Arial" w:hAnsi="Arial"/>
          <w:sz w:val="18"/>
          <w:szCs w:val="18"/>
          <w:color w:val="auto"/>
        </w:rPr>
      </w:pPr>
      <w:r>
        <w:rPr>
          <w:rFonts w:ascii="Arial" w:cs="Arial" w:eastAsia="Arial" w:hAnsi="Arial"/>
          <w:sz w:val="18"/>
          <w:szCs w:val="18"/>
          <w:b w:val="1"/>
          <w:bCs w:val="1"/>
          <w:color w:val="auto"/>
        </w:rPr>
        <w:t>Perfection of Liens</w:t>
      </w:r>
    </w:p>
    <w:p>
      <w:pPr>
        <w:spacing w:after="0" w:line="229" w:lineRule="exact"/>
        <w:rPr>
          <w:sz w:val="20"/>
          <w:szCs w:val="20"/>
          <w:color w:val="auto"/>
        </w:rPr>
      </w:pPr>
    </w:p>
    <w:p>
      <w:pPr>
        <w:ind w:left="660" w:hanging="652"/>
        <w:spacing w:after="0" w:line="308" w:lineRule="auto"/>
        <w:tabs>
          <w:tab w:leader="none" w:pos="66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Where customary, a Collateral Document may contain a power of attorney allowing the Notes Collateral Agent to perform on behalf of the grantor of the Lien, its obligations under such Collateral Document only if an Enforcement Event has occurred and is continuing.</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5" w:name="page416"/>
    <w:bookmarkEnd w:id="415"/>
    <w:p>
      <w:pPr>
        <w:jc w:val="both"/>
        <w:ind w:left="660" w:hanging="652"/>
        <w:spacing w:after="0" w:line="257" w:lineRule="auto"/>
        <w:tabs>
          <w:tab w:leader="none" w:pos="6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Subject to paragraphs (A), (B), (C) and (I) above, where obligatory or customary under the relevant local law all registrations and filings necessary in relation to the Collateral Documents and/or the Liens evidenced or created thereby are to be undertaken within applicable time limits, by the appropriate local counsel (based on local law and custom as included in the relevant Collateral Document), unless otherwise agreed between Parent and the Credit Agreement Collateral Agent and, in each case, subject to such longer period as the Credit Agreement Collateral Agent may agree in its reasonable discretion.</w:t>
      </w:r>
    </w:p>
    <w:p>
      <w:pPr>
        <w:spacing w:after="0" w:line="18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Subject to paragraphs (A), (B) and (C) above, where obligatory, documents of title relating to the applicable assets charged will be required to be delivered within 90 days or such later date after the use of commercially reasonable efforts of such charge to the Credit Agreement Collateral Agent.</w:t>
      </w:r>
    </w:p>
    <w:p>
      <w:pPr>
        <w:spacing w:after="0" w:line="18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Except as explicitly provided herein, notice, acknowledgement or consent to be obtained from a third party will only be required where the efficacy of the Lien requires it or where it is practicable and reasonable having regard to the costs involved, the commercial impact on the Foreign Grantor in question and the likelihood of obtaining the acknowledgement, in each case, as reasonably determined by Parent in good faith, and, when possible without prejudicing the validity of the Lien concerned, such perfecting procedures shall be delayed until an Enforcement Event has occurred and is continuing.</w:t>
      </w:r>
    </w:p>
    <w:p>
      <w:pPr>
        <w:spacing w:after="0" w:line="184" w:lineRule="exact"/>
        <w:rPr>
          <w:sz w:val="20"/>
          <w:szCs w:val="20"/>
          <w:color w:val="auto"/>
        </w:rPr>
      </w:pPr>
    </w:p>
    <w:p>
      <w:pPr>
        <w:ind w:left="660" w:hanging="652"/>
        <w:spacing w:after="0"/>
        <w:tabs>
          <w:tab w:leader="none" w:pos="660" w:val="left"/>
        </w:tabs>
        <w:numPr>
          <w:ilvl w:val="0"/>
          <w:numId w:val="476"/>
        </w:numPr>
        <w:rPr>
          <w:rFonts w:ascii="Arial" w:cs="Arial" w:eastAsia="Arial" w:hAnsi="Arial"/>
          <w:sz w:val="18"/>
          <w:szCs w:val="18"/>
          <w:color w:val="auto"/>
        </w:rPr>
      </w:pPr>
      <w:r>
        <w:rPr>
          <w:rFonts w:ascii="Arial" w:cs="Arial" w:eastAsia="Arial" w:hAnsi="Arial"/>
          <w:sz w:val="18"/>
          <w:szCs w:val="18"/>
          <w:b w:val="1"/>
          <w:bCs w:val="1"/>
          <w:color w:val="auto"/>
        </w:rPr>
        <w:t>Liens</w:t>
      </w:r>
    </w:p>
    <w:p>
      <w:pPr>
        <w:spacing w:after="0" w:line="229"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Notwithstanding anything to the contrary contained in the Indenture, no provision contained herein shall prejudice the right of the Notes Parties to benefit from the permitted exceptions set out in Section 4.22 of the Indenture regarding the granting of Liens over assets.</w:t>
      </w:r>
    </w:p>
    <w:p>
      <w:pPr>
        <w:spacing w:after="0" w:line="142" w:lineRule="exact"/>
        <w:rPr>
          <w:rFonts w:ascii="Arial" w:cs="Arial" w:eastAsia="Arial" w:hAnsi="Arial"/>
          <w:sz w:val="18"/>
          <w:szCs w:val="18"/>
          <w:color w:val="auto"/>
        </w:rPr>
      </w:pPr>
    </w:p>
    <w:p>
      <w:pPr>
        <w:ind w:left="660" w:hanging="652"/>
        <w:spacing w:after="0"/>
        <w:tabs>
          <w:tab w:leader="none" w:pos="660" w:val="left"/>
        </w:tabs>
        <w:numPr>
          <w:ilvl w:val="0"/>
          <w:numId w:val="476"/>
        </w:numPr>
        <w:rPr>
          <w:rFonts w:ascii="Arial" w:cs="Arial" w:eastAsia="Arial" w:hAnsi="Arial"/>
          <w:sz w:val="18"/>
          <w:szCs w:val="18"/>
          <w:color w:val="auto"/>
        </w:rPr>
      </w:pPr>
      <w:r>
        <w:rPr>
          <w:rFonts w:ascii="Arial" w:cs="Arial" w:eastAsia="Arial" w:hAnsi="Arial"/>
          <w:sz w:val="18"/>
          <w:szCs w:val="18"/>
          <w:b w:val="1"/>
          <w:bCs w:val="1"/>
          <w:color w:val="auto"/>
        </w:rPr>
        <w:t>Proceeds</w:t>
      </w:r>
    </w:p>
    <w:p>
      <w:pPr>
        <w:spacing w:after="0" w:line="229"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The Collateral Documents will state that the proceeds of enforcement of such Collateral Document will be applied as specified in Section 9.2 of the Security Agreement, subject to the First Lien Intercreditor Agreement.</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476"/>
        </w:numPr>
        <w:rPr>
          <w:rFonts w:ascii="Arial" w:cs="Arial" w:eastAsia="Arial" w:hAnsi="Arial"/>
          <w:sz w:val="18"/>
          <w:szCs w:val="18"/>
          <w:color w:val="auto"/>
        </w:rPr>
      </w:pPr>
      <w:r>
        <w:rPr>
          <w:rFonts w:ascii="Arial" w:cs="Arial" w:eastAsia="Arial" w:hAnsi="Arial"/>
          <w:sz w:val="18"/>
          <w:szCs w:val="18"/>
          <w:b w:val="1"/>
          <w:bCs w:val="1"/>
          <w:color w:val="auto"/>
        </w:rPr>
        <w:t>Regulatory consent</w:t>
      </w:r>
    </w:p>
    <w:p>
      <w:pPr>
        <w:spacing w:after="0" w:line="229"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The enforcement of security over shares and the exercise by the Notes Collateral Agent of voting rights in respect of such shares may be subject to regulatory consent. Accordingly, enforcement of any security over any shares subject to such a restriction, and the exercise by the Notes Collateral Agent of the voting rights in respect of any such shares, will be expressed to be conditional upon obtaining any consents required by law or regulation.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Jurisdiction</w:t>
      </w:r>
      <w:r>
        <w:rPr>
          <w:rFonts w:ascii="Arial" w:cs="Arial" w:eastAsia="Arial" w:hAnsi="Arial"/>
          <w:sz w:val="18"/>
          <w:szCs w:val="18"/>
          <w:color w:val="auto"/>
        </w:rPr>
        <w:t>” means each Covered Jurisdiction (as defined in the Indenture) and each other jurisdiction in which any the Issuer or any Guarantor is organized or incorporated.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Assets</w:t>
      </w:r>
      <w:r>
        <w:rPr>
          <w:rFonts w:ascii="Arial" w:cs="Arial" w:eastAsia="Arial" w:hAnsi="Arial"/>
          <w:sz w:val="18"/>
          <w:szCs w:val="18"/>
          <w:color w:val="auto"/>
        </w:rPr>
        <w:t>” means (a) assets owned by the Foreign Grantors, (b) Foreign Intellectual Property, (c) Equity Interests issued by Foreign Grantors or other Persons that are not organized under the laws of a jurisdiction located in the United States of America, and (d) assets located in jurisdictions outside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Grantors</w:t>
      </w:r>
      <w:r>
        <w:rPr>
          <w:rFonts w:ascii="Arial" w:cs="Arial" w:eastAsia="Arial" w:hAnsi="Arial"/>
          <w:sz w:val="18"/>
          <w:szCs w:val="18"/>
          <w:color w:val="auto"/>
        </w:rPr>
        <w:t>” has the meaning assigned to such term in the Security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6" w:name="page417"/>
    <w:bookmarkEnd w:id="416"/>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Intellectual Property</w:t>
      </w:r>
      <w:r>
        <w:rPr>
          <w:rFonts w:ascii="Arial" w:cs="Arial" w:eastAsia="Arial" w:hAnsi="Arial"/>
          <w:sz w:val="18"/>
          <w:szCs w:val="18"/>
          <w:color w:val="auto"/>
        </w:rPr>
        <w:t>” means (x) intellectual property owned by the Foreign Grantors or (y) any non-U.S. intellectual property of any Notes Parties that are Domestic Subsidiaries, in each case, that constitute Material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has the meaning assigned to such term in the Security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Regulation S Global Note Legend, if applicable pursuant to the provisions of the Indenture]</w:t>
      </w:r>
    </w:p>
    <w:p>
      <w:pPr>
        <w:spacing w:after="0" w:line="215" w:lineRule="exact"/>
        <w:rPr>
          <w:sz w:val="20"/>
          <w:szCs w:val="20"/>
          <w:color w:val="auto"/>
        </w:rPr>
      </w:pPr>
    </w:p>
    <w:p>
      <w:pPr>
        <w:ind w:left="10260"/>
        <w:spacing w:after="0"/>
        <w:rPr>
          <w:sz w:val="20"/>
          <w:szCs w:val="20"/>
          <w:color w:val="auto"/>
        </w:rPr>
      </w:pPr>
      <w:r>
        <w:rPr>
          <w:rFonts w:ascii="Arial" w:cs="Arial" w:eastAsia="Arial" w:hAnsi="Arial"/>
          <w:sz w:val="17"/>
          <w:szCs w:val="17"/>
          <w:color w:val="auto"/>
        </w:rPr>
        <w:t>CUSIP/ISIN</w:t>
      </w:r>
      <w:r>
        <w:rPr>
          <w:rFonts w:ascii="Arial" w:cs="Arial" w:eastAsia="Arial" w:hAnsi="Arial"/>
          <w:sz w:val="13"/>
          <w:szCs w:val="13"/>
          <w:color w:val="auto"/>
        </w:rPr>
        <w:t>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2.875% Senior Secured Notes due 2026</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45" w:lineRule="exact"/>
        <w:rPr>
          <w:sz w:val="20"/>
          <w:szCs w:val="20"/>
          <w:color w:val="auto"/>
        </w:rPr>
      </w:pPr>
    </w:p>
    <w:p>
      <w:pPr>
        <w:sectPr>
          <w:pgSz w:w="11900" w:h="16838" w:orient="portrait"/>
          <w:cols w:equalWidth="0" w:num="2">
            <w:col w:w="10440" w:space="720"/>
            <w:col w:w="80"/>
          </w:cols>
          <w:pgMar w:left="320" w:top="337" w:right="339" w:bottom="1440" w:gutter="0" w:footer="0" w:header="0"/>
          <w:type w:val="continuous"/>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INDIGO MERGER SUB, INC.</w:t>
      </w:r>
    </w:p>
    <w:p>
      <w:pPr>
        <w:sectPr>
          <w:pgSz w:w="11900" w:h="16838" w:orient="portrait"/>
          <w:cols w:equalWidth="0" w:num="1">
            <w:col w:w="11240"/>
          </w:cols>
          <w:pgMar w:left="320" w:top="337"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 ________________ or registered assigns, the principal sum of __________________________________________ DOLLARS [or such</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other principal sum as shall be set forth in the Schedule of Exchanges of Interests in the Global Note attached hereto]</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on July 15, 2026.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January 15 and July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1 and July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Indigo Merger Sub, Inc.</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2" w:lineRule="exact"/>
        <w:rPr>
          <w:sz w:val="20"/>
          <w:szCs w:val="20"/>
          <w:color w:val="auto"/>
        </w:rPr>
      </w:pPr>
    </w:p>
    <w:p>
      <w:pPr>
        <w:ind w:left="120" w:hanging="112"/>
        <w:spacing w:after="0"/>
        <w:tabs>
          <w:tab w:leader="none" w:pos="120" w:val="left"/>
        </w:tabs>
        <w:numPr>
          <w:ilvl w:val="0"/>
          <w:numId w:val="477"/>
        </w:numPr>
        <w:rPr>
          <w:rFonts w:ascii="Arial" w:cs="Arial" w:eastAsia="Arial" w:hAnsi="Arial"/>
          <w:sz w:val="30"/>
          <w:szCs w:val="30"/>
          <w:color w:val="auto"/>
          <w:vertAlign w:val="superscript"/>
        </w:rPr>
      </w:pPr>
      <w:r>
        <w:rPr>
          <w:rFonts w:ascii="Arial" w:cs="Arial" w:eastAsia="Arial" w:hAnsi="Arial"/>
          <w:sz w:val="18"/>
          <w:szCs w:val="18"/>
          <w:i w:val="1"/>
          <w:iCs w:val="1"/>
          <w:color w:val="auto"/>
        </w:rPr>
        <w:t xml:space="preserve">Initial Note 144A CUSIP: </w:t>
      </w:r>
      <w:r>
        <w:rPr>
          <w:rFonts w:ascii="Arial" w:cs="Arial" w:eastAsia="Arial" w:hAnsi="Arial"/>
          <w:sz w:val="18"/>
          <w:szCs w:val="18"/>
          <w:color w:val="auto"/>
        </w:rPr>
        <w:t>45569K AA1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Initial Note 144A ISIN: </w:t>
      </w:r>
      <w:r>
        <w:rPr>
          <w:rFonts w:ascii="Arial" w:cs="Arial" w:eastAsia="Arial" w:hAnsi="Arial"/>
          <w:sz w:val="18"/>
          <w:szCs w:val="18"/>
          <w:color w:val="auto"/>
        </w:rPr>
        <w:t>US45569KAA16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Initial Note Reg S CUSIP: </w:t>
      </w:r>
      <w:r>
        <w:rPr>
          <w:rFonts w:ascii="Arial" w:cs="Arial" w:eastAsia="Arial" w:hAnsi="Arial"/>
          <w:sz w:val="18"/>
          <w:szCs w:val="18"/>
          <w:color w:val="auto"/>
        </w:rPr>
        <w:t>U45297 AA3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Initial Note Reg S ISIN: </w:t>
      </w:r>
      <w:r>
        <w:rPr>
          <w:rFonts w:ascii="Arial" w:cs="Arial" w:eastAsia="Arial" w:hAnsi="Arial"/>
          <w:sz w:val="18"/>
          <w:szCs w:val="18"/>
          <w:color w:val="auto"/>
        </w:rPr>
        <w:t>USU45297AA32</w:t>
      </w:r>
    </w:p>
    <w:p>
      <w:pPr>
        <w:spacing w:after="0" w:line="110" w:lineRule="exact"/>
        <w:rPr>
          <w:sz w:val="20"/>
          <w:szCs w:val="20"/>
          <w:color w:val="auto"/>
        </w:rPr>
      </w:pPr>
    </w:p>
    <w:p>
      <w:pPr>
        <w:ind w:left="120" w:hanging="112"/>
        <w:spacing w:after="0"/>
        <w:tabs>
          <w:tab w:leader="none" w:pos="120" w:val="left"/>
        </w:tabs>
        <w:numPr>
          <w:ilvl w:val="0"/>
          <w:numId w:val="478"/>
        </w:numPr>
        <w:rPr>
          <w:rFonts w:ascii="Arial" w:cs="Arial" w:eastAsia="Arial" w:hAnsi="Arial"/>
          <w:sz w:val="30"/>
          <w:szCs w:val="30"/>
          <w:color w:val="auto"/>
          <w:vertAlign w:val="superscript"/>
        </w:rPr>
      </w:pPr>
      <w:r>
        <w:rPr>
          <w:rFonts w:ascii="Arial" w:cs="Arial" w:eastAsia="Arial" w:hAnsi="Arial"/>
          <w:sz w:val="18"/>
          <w:szCs w:val="18"/>
          <w:i w:val="1"/>
          <w:iCs w:val="1"/>
          <w:color w:val="auto"/>
        </w:rPr>
        <w:t>Insert in Global Notes only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8" w:name="page419"/>
    <w:bookmarkEnd w:id="418"/>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Signatory</w:t>
      </w:r>
    </w:p>
    <w:p>
      <w:pPr>
        <w:spacing w:after="0" w:line="332"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419" w:name="page420"/>
    <w:bookmarkEnd w:id="419"/>
    <w:p>
      <w:pPr>
        <w:jc w:val="center"/>
        <w:ind w:right="-51"/>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2.875% Senior Secured Notes due 2026</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left="-8" w:right="80" w:firstLine="8"/>
        <w:spacing w:after="0" w:line="289" w:lineRule="auto"/>
        <w:tabs>
          <w:tab w:leader="none" w:pos="652" w:val="left"/>
        </w:tabs>
        <w:numPr>
          <w:ilvl w:val="0"/>
          <w:numId w:val="479"/>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1"/>
          <w:szCs w:val="11"/>
          <w:i w:val="1"/>
          <w:iCs w:val="1"/>
          <w:color w:val="auto"/>
        </w:rPr>
        <w:t>NTEREST</w:t>
      </w:r>
      <w:r>
        <w:rPr>
          <w:rFonts w:ascii="Arial" w:cs="Arial" w:eastAsia="Arial" w:hAnsi="Arial"/>
          <w:sz w:val="16"/>
          <w:szCs w:val="16"/>
          <w:color w:val="auto"/>
        </w:rPr>
        <w:t>. Indigo Merger Sub, Inc., a Delaware corporation (the “</w:t>
      </w:r>
      <w:r>
        <w:rPr>
          <w:rFonts w:ascii="Arial" w:cs="Arial" w:eastAsia="Arial" w:hAnsi="Arial"/>
          <w:sz w:val="16"/>
          <w:szCs w:val="16"/>
          <w:i w:val="1"/>
          <w:iCs w:val="1"/>
          <w:color w:val="auto"/>
        </w:rPr>
        <w:t>Issuer</w:t>
      </w:r>
      <w:r>
        <w:rPr>
          <w:rFonts w:ascii="Arial" w:cs="Arial" w:eastAsia="Arial" w:hAnsi="Arial"/>
          <w:sz w:val="16"/>
          <w:szCs w:val="16"/>
          <w:color w:val="auto"/>
        </w:rPr>
        <w:t>”), promises to pay or cause to be paid interest on the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Note at 2.875% per annum from July 1, 2021, until but excluding maturity. The Issuer will pay interest, semi-annually in arrears on January 15 and July 15 of each year, or if any such day is not a Business Day, on the next succeeding Business Day (each, an “</w:t>
      </w:r>
      <w:r>
        <w:rPr>
          <w:rFonts w:ascii="Arial" w:cs="Arial" w:eastAsia="Arial" w:hAnsi="Arial"/>
          <w:sz w:val="16"/>
          <w:szCs w:val="16"/>
          <w:i w:val="1"/>
          <w:i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first Interest Payment Date shall be January 15, 2021. The Issuer will pay interest (including post-petition interest in any proceeding under any Bankruptcy Law) on overdue principal at a rate that is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w:t>
      </w:r>
    </w:p>
    <w:p>
      <w:pPr>
        <w:spacing w:after="0" w:line="16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25" w:lineRule="exact"/>
        <w:rPr>
          <w:sz w:val="20"/>
          <w:szCs w:val="20"/>
          <w:color w:val="auto"/>
        </w:rPr>
      </w:pPr>
    </w:p>
    <w:p>
      <w:pPr>
        <w:ind w:left="-8" w:right="20" w:firstLine="8"/>
        <w:spacing w:after="0" w:line="270" w:lineRule="auto"/>
        <w:tabs>
          <w:tab w:leader="none" w:pos="652" w:val="left"/>
        </w:tabs>
        <w:numPr>
          <w:ilvl w:val="0"/>
          <w:numId w:val="480"/>
        </w:numPr>
        <w:rPr>
          <w:rFonts w:ascii="Arial" w:cs="Arial" w:eastAsia="Arial" w:hAnsi="Arial"/>
          <w:sz w:val="17"/>
          <w:szCs w:val="17"/>
          <w:color w:val="auto"/>
        </w:rPr>
      </w:pPr>
      <w:r>
        <w:rPr>
          <w:rFonts w:ascii="Arial" w:cs="Arial" w:eastAsia="Arial" w:hAnsi="Arial"/>
          <w:sz w:val="17"/>
          <w:szCs w:val="17"/>
          <w:i w:val="1"/>
          <w:iCs w:val="1"/>
          <w:color w:val="auto"/>
        </w:rPr>
        <w:t>M</w:t>
      </w:r>
      <w:r>
        <w:rPr>
          <w:rFonts w:ascii="Arial" w:cs="Arial" w:eastAsia="Arial" w:hAnsi="Arial"/>
          <w:sz w:val="11"/>
          <w:szCs w:val="11"/>
          <w:i w:val="1"/>
          <w:iCs w:val="1"/>
          <w:color w:val="auto"/>
        </w:rPr>
        <w:t>ETHOD</w:t>
      </w:r>
      <w:r>
        <w:rPr>
          <w:rFonts w:ascii="Arial" w:cs="Arial" w:eastAsia="Arial" w:hAnsi="Arial"/>
          <w:sz w:val="17"/>
          <w:szCs w:val="17"/>
          <w:i w:val="1"/>
          <w:iCs w:val="1"/>
          <w:color w:val="auto"/>
        </w:rPr>
        <w:t xml:space="preserve"> O</w:t>
      </w:r>
      <w:r>
        <w:rPr>
          <w:rFonts w:ascii="Arial" w:cs="Arial" w:eastAsia="Arial" w:hAnsi="Arial"/>
          <w:sz w:val="11"/>
          <w:szCs w:val="11"/>
          <w:i w:val="1"/>
          <w:iCs w:val="1"/>
          <w:color w:val="auto"/>
        </w:rPr>
        <w:t>F</w:t>
      </w:r>
      <w:r>
        <w:rPr>
          <w:rFonts w:ascii="Arial" w:cs="Arial" w:eastAsia="Arial" w:hAnsi="Arial"/>
          <w:sz w:val="17"/>
          <w:szCs w:val="17"/>
          <w:i w:val="1"/>
          <w:iCs w:val="1"/>
          <w:color w:val="auto"/>
        </w:rPr>
        <w:t xml:space="preserve"> P</w:t>
      </w:r>
      <w:r>
        <w:rPr>
          <w:rFonts w:ascii="Arial" w:cs="Arial" w:eastAsia="Arial" w:hAnsi="Arial"/>
          <w:sz w:val="11"/>
          <w:szCs w:val="11"/>
          <w:i w:val="1"/>
          <w:iCs w:val="1"/>
          <w:color w:val="auto"/>
        </w:rPr>
        <w:t>AYMENT</w:t>
      </w:r>
      <w:r>
        <w:rPr>
          <w:rFonts w:ascii="Arial" w:cs="Arial" w:eastAsia="Arial" w:hAnsi="Arial"/>
          <w:sz w:val="17"/>
          <w:szCs w:val="17"/>
          <w:color w:val="auto"/>
        </w:rPr>
        <w:t>. The Issuer will pay interest on the Notes (except defaulted interest), if any, to the Persons who are registered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Notes at the close of business on the January 1 and July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Paying Agent and Registrar within London, United Kingdom, or, at the option of the Issuer, payment of interest, if any,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that payment by wire transfer of immediately available funds will be required with respect to principal of, premium on, if any, and interest on, all</w:t>
      </w:r>
      <w:r>
        <w:rPr>
          <w:rFonts w:ascii="Arial" w:cs="Arial" w:eastAsia="Arial" w:hAnsi="Arial"/>
          <w:sz w:val="17"/>
          <w:szCs w:val="17"/>
          <w:i w:val="1"/>
          <w:iCs w:val="1"/>
          <w:color w:val="auto"/>
        </w:rPr>
        <w:t xml:space="preserve"> </w:t>
      </w:r>
      <w:r>
        <w:rPr>
          <w:rFonts w:ascii="Arial" w:cs="Arial" w:eastAsia="Arial" w:hAnsi="Arial"/>
          <w:sz w:val="17"/>
          <w:szCs w:val="17"/>
          <w:color w:val="auto"/>
        </w:rPr>
        <w:t>Global Notes and all other Notes the Holders of which will have provided wire transfer instructions to the Issuer or the Paying Agent at least five Business Days prior to the applicable Interest Payment Date. Such payment will be in such coin or currency of the United States of America as at the time of payment is legal tender for payment of public and private debts.</w:t>
      </w:r>
    </w:p>
    <w:p>
      <w:pPr>
        <w:spacing w:after="0" w:line="180" w:lineRule="exact"/>
        <w:rPr>
          <w:rFonts w:ascii="Arial" w:cs="Arial" w:eastAsia="Arial" w:hAnsi="Arial"/>
          <w:sz w:val="17"/>
          <w:szCs w:val="17"/>
          <w:color w:val="auto"/>
        </w:rPr>
      </w:pPr>
    </w:p>
    <w:p>
      <w:pPr>
        <w:ind w:left="-8" w:firstLine="8"/>
        <w:spacing w:after="0" w:line="263" w:lineRule="auto"/>
        <w:tabs>
          <w:tab w:leader="none" w:pos="652" w:val="left"/>
        </w:tabs>
        <w:numPr>
          <w:ilvl w:val="0"/>
          <w:numId w:val="480"/>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GENT</w:t>
      </w:r>
      <w:r>
        <w:rPr>
          <w:rFonts w:ascii="Arial" w:cs="Arial" w:eastAsia="Arial" w:hAnsi="Arial"/>
          <w:sz w:val="18"/>
          <w:szCs w:val="18"/>
          <w:i w:val="1"/>
          <w:iCs w:val="1"/>
          <w:color w:val="auto"/>
        </w:rPr>
        <w:t>, T</w:t>
      </w:r>
      <w:r>
        <w:rPr>
          <w:rFonts w:ascii="Arial" w:cs="Arial" w:eastAsia="Arial" w:hAnsi="Arial"/>
          <w:sz w:val="12"/>
          <w:szCs w:val="12"/>
          <w:i w:val="1"/>
          <w:iCs w:val="1"/>
          <w:color w:val="auto"/>
        </w:rPr>
        <w:t>RANSFER</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GENT</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ND</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EGISTRAR</w:t>
      </w:r>
      <w:r>
        <w:rPr>
          <w:rFonts w:ascii="Arial" w:cs="Arial" w:eastAsia="Arial" w:hAnsi="Arial"/>
          <w:sz w:val="18"/>
          <w:szCs w:val="18"/>
          <w:color w:val="auto"/>
        </w:rPr>
        <w:t>. Initially, Citibank, N.A., London Branch, will act as Paying Agent, Transfer Agent and Registrar.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Issuer may change the Paying Agent, Transfer Agent or Registrar without prior notice to the Holders of the Notes. The Issuer or any of their respective Subsidiaries may act as Paying Agent, Transfer Agent or Registrar.</w:t>
      </w:r>
    </w:p>
    <w:p>
      <w:pPr>
        <w:spacing w:after="0" w:line="29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92"/>
          </w:cols>
          <w:pgMar w:left="328" w:top="341" w:right="379" w:bottom="1440" w:gutter="0" w:footer="0" w:header="0"/>
        </w:sectPr>
      </w:pPr>
    </w:p>
    <w:bookmarkStart w:id="420" w:name="page421"/>
    <w:bookmarkEnd w:id="420"/>
    <w:p>
      <w:pPr>
        <w:ind w:right="40" w:firstLine="8"/>
        <w:spacing w:after="0" w:line="257" w:lineRule="auto"/>
        <w:tabs>
          <w:tab w:leader="none" w:pos="660" w:val="left"/>
        </w:tabs>
        <w:numPr>
          <w:ilvl w:val="0"/>
          <w:numId w:val="481"/>
        </w:numPr>
        <w:rPr>
          <w:rFonts w:ascii="Arial" w:cs="Arial" w:eastAsia="Arial" w:hAnsi="Arial"/>
          <w:sz w:val="18"/>
          <w:szCs w:val="18"/>
          <w:color w:val="auto"/>
        </w:rPr>
      </w:pPr>
      <w:r>
        <w:rPr>
          <w:rFonts w:ascii="Arial" w:cs="Arial" w:eastAsia="Arial" w:hAnsi="Arial"/>
          <w:sz w:val="18"/>
          <w:szCs w:val="18"/>
          <w:i w:val="1"/>
          <w:iCs w:val="1"/>
          <w:color w:val="auto"/>
        </w:rPr>
        <w:t>I</w:t>
      </w:r>
      <w:r>
        <w:rPr>
          <w:rFonts w:ascii="Arial" w:cs="Arial" w:eastAsia="Arial" w:hAnsi="Arial"/>
          <w:sz w:val="12"/>
          <w:szCs w:val="12"/>
          <w:i w:val="1"/>
          <w:iCs w:val="1"/>
          <w:color w:val="auto"/>
        </w:rPr>
        <w:t>NDENTURE</w:t>
      </w:r>
      <w:r>
        <w:rPr>
          <w:rFonts w:ascii="Arial" w:cs="Arial" w:eastAsia="Arial" w:hAnsi="Arial"/>
          <w:sz w:val="18"/>
          <w:szCs w:val="18"/>
          <w:color w:val="auto"/>
        </w:rPr>
        <w:t>. The Issuer issued the Notes under an Indenture, dated as of July 1,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the Issuer, the Trustee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Guarantors.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 the aggregate principal amount of Notes that may be issued thereunder.</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481"/>
        </w:numPr>
        <w:rPr>
          <w:rFonts w:ascii="Arial" w:cs="Arial" w:eastAsia="Arial" w:hAnsi="Arial"/>
          <w:sz w:val="18"/>
          <w:szCs w:val="18"/>
          <w:color w:val="auto"/>
        </w:rPr>
      </w:pPr>
      <w:r>
        <w:rPr>
          <w:rFonts w:ascii="Arial" w:cs="Arial" w:eastAsia="Arial" w:hAnsi="Arial"/>
          <w:sz w:val="18"/>
          <w:szCs w:val="18"/>
          <w:i w:val="1"/>
          <w:iCs w:val="1"/>
          <w:color w:val="auto"/>
        </w:rPr>
        <w:t>O</w:t>
      </w:r>
      <w:r>
        <w:rPr>
          <w:rFonts w:ascii="Arial" w:cs="Arial" w:eastAsia="Arial" w:hAnsi="Arial"/>
          <w:sz w:val="12"/>
          <w:szCs w:val="12"/>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EDEMPTION</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1"/>
          <w:numId w:val="481"/>
        </w:numPr>
        <w:rPr>
          <w:rFonts w:ascii="Arial" w:cs="Arial" w:eastAsia="Arial" w:hAnsi="Arial"/>
          <w:sz w:val="16"/>
          <w:szCs w:val="16"/>
          <w:color w:val="auto"/>
        </w:rPr>
      </w:pPr>
      <w:r>
        <w:rPr>
          <w:rFonts w:ascii="Arial" w:cs="Arial" w:eastAsia="Arial" w:hAnsi="Arial"/>
          <w:sz w:val="16"/>
          <w:szCs w:val="16"/>
          <w:color w:val="auto"/>
        </w:rPr>
        <w:t>Except pursuant to this paragraph 5 and paragraph 7 below, the Notes will not be redeemable at the Issuer’s option prior to July 15, 2023.</w:t>
      </w:r>
    </w:p>
    <w:p>
      <w:pPr>
        <w:spacing w:after="0" w:line="248" w:lineRule="exact"/>
        <w:rPr>
          <w:rFonts w:ascii="Arial" w:cs="Arial" w:eastAsia="Arial" w:hAnsi="Arial"/>
          <w:sz w:val="16"/>
          <w:szCs w:val="16"/>
          <w:color w:val="auto"/>
        </w:rPr>
      </w:pPr>
    </w:p>
    <w:p>
      <w:pPr>
        <w:ind w:right="20" w:firstLine="656"/>
        <w:spacing w:after="0" w:line="259" w:lineRule="auto"/>
        <w:tabs>
          <w:tab w:leader="none" w:pos="1163"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At any time prior to July 15, 2023, the Issuer may on any one or more occasions redeem all or a part of the Notes at a redemption price equal to 100% of the principal amount of the Notes redeemed, plus the Applicable Premium as of, and accrued and unpaid interest to, but not including, the date of redemption, subject to the rights of Holders of Notes on the relevant record date to receive interest due on the relevant interest payment date if the notes have not been redeemed or repurchased prior to such date.</w:t>
      </w:r>
    </w:p>
    <w:p>
      <w:pPr>
        <w:spacing w:after="0" w:line="186" w:lineRule="exact"/>
        <w:rPr>
          <w:rFonts w:ascii="Arial" w:cs="Arial" w:eastAsia="Arial" w:hAnsi="Arial"/>
          <w:sz w:val="18"/>
          <w:szCs w:val="18"/>
          <w:color w:val="auto"/>
        </w:rPr>
      </w:pPr>
    </w:p>
    <w:p>
      <w:pPr>
        <w:ind w:right="20" w:firstLine="656"/>
        <w:spacing w:after="0" w:line="257" w:lineRule="auto"/>
        <w:tabs>
          <w:tab w:leader="none" w:pos="1163" w:val="left"/>
        </w:tabs>
        <w:numPr>
          <w:ilvl w:val="1"/>
          <w:numId w:val="481"/>
        </w:numPr>
        <w:rPr>
          <w:rFonts w:ascii="Arial" w:cs="Arial" w:eastAsia="Arial" w:hAnsi="Arial"/>
          <w:sz w:val="18"/>
          <w:szCs w:val="18"/>
          <w:color w:val="auto"/>
        </w:rPr>
      </w:pPr>
      <w:r>
        <w:rPr>
          <w:rFonts w:ascii="Arial" w:cs="Arial" w:eastAsia="Arial" w:hAnsi="Arial"/>
          <w:sz w:val="18"/>
          <w:szCs w:val="18"/>
          <w:color w:val="auto"/>
        </w:rPr>
        <w:t>On or after July 15, 2023, the Issuer may on any one or more occasions redeem all or a part of the Notes at the redemption prices (expressed as percentages of principal amount) set forth below, plus accrued and unpaid interest, on the Notes redeemed, to, but not including, the applicable date of redemption, if redeemed during the twelve-month period beginning on July 15 of the years indicated below (subject to the rights of Holders on the relevant record date to receive interest due on the relevant interest payment date if the Notes have not been redeemed or repurchased prior to such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Percentage</w:t>
            </w:r>
          </w:p>
        </w:tc>
      </w:tr>
      <w:tr>
        <w:trPr>
          <w:trHeight w:val="216"/>
        </w:trPr>
        <w:tc>
          <w:tcPr>
            <w:tcW w:w="9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101.438%</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100.719%</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r>
      <w:tr>
        <w:trPr>
          <w:trHeight w:val="257"/>
        </w:trPr>
        <w:tc>
          <w:tcPr>
            <w:tcW w:w="96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r>
    </w:tbl>
    <w:p>
      <w:pPr>
        <w:spacing w:after="0" w:line="202" w:lineRule="exact"/>
        <w:rPr>
          <w:sz w:val="20"/>
          <w:szCs w:val="20"/>
          <w:color w:val="auto"/>
        </w:rPr>
      </w:pPr>
    </w:p>
    <w:p>
      <w:pPr>
        <w:ind w:firstLine="656"/>
        <w:spacing w:after="0" w:line="257" w:lineRule="auto"/>
        <w:tabs>
          <w:tab w:leader="none" w:pos="1163"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At any time prior to July 15, 2023, the Issuer may on any one or more occasions redeem up to 40% of the aggregate principal amount of the Notes issued under the Indenture at a redemption price equal to 102.875% of the aggregate principal amount of the Notes redeemed, plus accrued and unpaid interest to, but not including, the date of redemption (subject to the rights of Holders of Notes on the relevant record date to receive interest due on the relevant interest payment date if the Notes have not been redeemed or repurchased prior to such date), with the net cash proceeds of an Equity Offering;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87" w:lineRule="exact"/>
        <w:rPr>
          <w:rFonts w:ascii="Arial" w:cs="Arial" w:eastAsia="Arial" w:hAnsi="Arial"/>
          <w:sz w:val="18"/>
          <w:szCs w:val="18"/>
          <w:color w:val="auto"/>
        </w:rPr>
      </w:pPr>
    </w:p>
    <w:p>
      <w:pPr>
        <w:ind w:left="660" w:right="140" w:firstLine="644"/>
        <w:spacing w:after="0" w:line="308" w:lineRule="auto"/>
        <w:tabs>
          <w:tab w:leader="none" w:pos="1833" w:val="left"/>
        </w:tabs>
        <w:numPr>
          <w:ilvl w:val="1"/>
          <w:numId w:val="482"/>
        </w:numPr>
        <w:rPr>
          <w:rFonts w:ascii="Arial" w:cs="Arial" w:eastAsia="Arial" w:hAnsi="Arial"/>
          <w:sz w:val="17"/>
          <w:szCs w:val="17"/>
          <w:color w:val="auto"/>
        </w:rPr>
      </w:pPr>
      <w:r>
        <w:rPr>
          <w:rFonts w:ascii="Arial" w:cs="Arial" w:eastAsia="Arial" w:hAnsi="Arial"/>
          <w:sz w:val="17"/>
          <w:szCs w:val="17"/>
          <w:color w:val="auto"/>
        </w:rPr>
        <w:t>at least 50% of the aggregate principal amount of Notes originally issued under the Indenture on the Issue Date (excluding Notes held by the Parent and its Subsidiaries) remains outstanding immediately after the occurrence of such redemption; and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1" w:name="page422"/>
    <w:bookmarkEnd w:id="421"/>
    <w:p>
      <w:pPr>
        <w:ind w:left="1812" w:hanging="516"/>
        <w:spacing w:after="0"/>
        <w:tabs>
          <w:tab w:leader="none" w:pos="1812" w:val="left"/>
        </w:tabs>
        <w:numPr>
          <w:ilvl w:val="2"/>
          <w:numId w:val="483"/>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jc w:val="both"/>
        <w:ind w:left="-8" w:right="20" w:firstLine="656"/>
        <w:spacing w:after="0" w:line="257" w:lineRule="auto"/>
        <w:tabs>
          <w:tab w:leader="none" w:pos="1155" w:val="left"/>
        </w:tabs>
        <w:numPr>
          <w:ilvl w:val="1"/>
          <w:numId w:val="484"/>
        </w:numPr>
        <w:rPr>
          <w:rFonts w:ascii="Arial" w:cs="Arial" w:eastAsia="Arial" w:hAnsi="Arial"/>
          <w:sz w:val="18"/>
          <w:szCs w:val="18"/>
          <w:color w:val="auto"/>
        </w:rPr>
      </w:pPr>
      <w:r>
        <w:rPr>
          <w:rFonts w:ascii="Arial" w:cs="Arial" w:eastAsia="Arial" w:hAnsi="Arial"/>
          <w:sz w:val="18"/>
          <w:szCs w:val="18"/>
          <w:color w:val="auto"/>
        </w:rPr>
        <w:t>In addition, at any time and from time to time prior to July 15, 2023, the Issuer may redeem during each twelve-month period commencing with the Issue Date, at its option, up to 10% of the aggregate principal amount of the Notes (including Additional Notes, if any) that have been issued under the Indenture at a redemption price of 103.000% of the aggregate principal amount thereof, plus accrued and unpaid interest, if any, to, but excluding, the date of redemption (subject to the rights of Holders of Notes on the relevant record date to receive interest due on the relevant interest payment date if the Notes have not been redeemed or repurchased prior to such date)</w:t>
      </w:r>
    </w:p>
    <w:p>
      <w:pPr>
        <w:spacing w:after="0" w:line="187" w:lineRule="exact"/>
        <w:rPr>
          <w:rFonts w:ascii="Arial" w:cs="Arial" w:eastAsia="Arial" w:hAnsi="Arial"/>
          <w:sz w:val="18"/>
          <w:szCs w:val="18"/>
          <w:color w:val="auto"/>
        </w:rPr>
      </w:pPr>
    </w:p>
    <w:p>
      <w:pPr>
        <w:ind w:left="-8" w:right="20" w:firstLine="656"/>
        <w:spacing w:after="0" w:line="253" w:lineRule="auto"/>
        <w:tabs>
          <w:tab w:leader="none" w:pos="1135" w:val="left"/>
        </w:tabs>
        <w:numPr>
          <w:ilvl w:val="1"/>
          <w:numId w:val="484"/>
        </w:numPr>
        <w:rPr>
          <w:rFonts w:ascii="Arial" w:cs="Arial" w:eastAsia="Arial" w:hAnsi="Arial"/>
          <w:sz w:val="18"/>
          <w:szCs w:val="18"/>
          <w:color w:val="auto"/>
        </w:rPr>
      </w:pPr>
      <w:r>
        <w:rPr>
          <w:rFonts w:ascii="Arial" w:cs="Arial" w:eastAsia="Arial" w:hAnsi="Arial"/>
          <w:sz w:val="18"/>
          <w:szCs w:val="18"/>
          <w:color w:val="auto"/>
        </w:rPr>
        <w:t>Notwithstanding the foregoing, in connection with any tender offer, Change of Control Offer, Alternate Offer, Collateral Advance Offer, Collateral Asset Sale Offer, Advance Offer or Asset Sale Offer, if Holders of not less than 90% in aggregate principal amount of the then outstanding Notes validly tender and do not withdraw such Notes in such offer and the Issuer, or any third party making such offer in lieu of the Issuer, purchases all of the Notes validly tendered and not withdrawn by such Holders, the Issuer or such third party will have the right upon not less than 10 nor more than 60 days’ prior notice, given not more than 60 days following such purchase date, to redeem (with respect to the Issuer) or purchase (with respect to a third party) all Notes that remain outstanding at a price equal to the price offered to each other Holder in such offer (which may be less than par) plus, to the extent not included in the tender offer payment, accrued and unpaid interest, if any, to, but excluding, the date of redemption or purchase date (subject to the rights of Holders on the relevant record date to receive interest due on the relevant interest payment date if the Notes have not been redeemed or repurchased prior to such date).</w:t>
      </w:r>
    </w:p>
    <w:p>
      <w:pPr>
        <w:spacing w:after="0" w:line="196" w:lineRule="exact"/>
        <w:rPr>
          <w:rFonts w:ascii="Arial" w:cs="Arial" w:eastAsia="Arial" w:hAnsi="Arial"/>
          <w:sz w:val="18"/>
          <w:szCs w:val="18"/>
          <w:color w:val="auto"/>
        </w:rPr>
      </w:pPr>
    </w:p>
    <w:p>
      <w:pPr>
        <w:ind w:left="-8" w:right="80" w:firstLine="656"/>
        <w:spacing w:after="0" w:line="259" w:lineRule="auto"/>
        <w:tabs>
          <w:tab w:leader="none" w:pos="1161"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Issuer may redeem the Notes pursuant to one or more of the relevant provisions in the Indenture, and a single notice of redemption for the Notes may be delivered with respect to redemptions made pursuant to different provisions. Any such notice may provide that redemptions made pursuant to different provisions may have different dates of redemption or may specify the order in which redemptions taking place on the same date of redemption are deemed to occur.</w:t>
      </w:r>
    </w:p>
    <w:p>
      <w:pPr>
        <w:spacing w:after="0" w:line="186" w:lineRule="exact"/>
        <w:rPr>
          <w:rFonts w:ascii="Arial" w:cs="Arial" w:eastAsia="Arial" w:hAnsi="Arial"/>
          <w:sz w:val="18"/>
          <w:szCs w:val="18"/>
          <w:color w:val="auto"/>
        </w:rPr>
      </w:pPr>
    </w:p>
    <w:p>
      <w:pPr>
        <w:ind w:left="-8" w:firstLine="656"/>
        <w:spacing w:after="0" w:line="342" w:lineRule="auto"/>
        <w:tabs>
          <w:tab w:leader="none" w:pos="1161" w:val="left"/>
        </w:tabs>
        <w:numPr>
          <w:ilvl w:val="1"/>
          <w:numId w:val="484"/>
        </w:numPr>
        <w:rPr>
          <w:rFonts w:ascii="Arial" w:cs="Arial" w:eastAsia="Arial" w:hAnsi="Arial"/>
          <w:sz w:val="16"/>
          <w:szCs w:val="16"/>
          <w:color w:val="auto"/>
        </w:rPr>
      </w:pPr>
      <w:r>
        <w:rPr>
          <w:rFonts w:ascii="Arial" w:cs="Arial" w:eastAsia="Arial" w:hAnsi="Arial"/>
          <w:sz w:val="16"/>
          <w:szCs w:val="16"/>
          <w:color w:val="auto"/>
        </w:rPr>
        <w:t>The Issuer, its direct and indirect equityholders, any of its Subsidiaries and their respective Affiliates and members of our management may acquire the Notes by means other than a redemption, whether by tender offer, open market purchases, negotiated transactions or otherwise.</w:t>
      </w:r>
    </w:p>
    <w:p>
      <w:pPr>
        <w:spacing w:after="0" w:line="123" w:lineRule="exact"/>
        <w:rPr>
          <w:rFonts w:ascii="Arial" w:cs="Arial" w:eastAsia="Arial" w:hAnsi="Arial"/>
          <w:sz w:val="16"/>
          <w:szCs w:val="16"/>
          <w:color w:val="auto"/>
        </w:rPr>
      </w:pPr>
    </w:p>
    <w:p>
      <w:pPr>
        <w:ind w:left="-8" w:right="260" w:firstLine="656"/>
        <w:spacing w:after="0" w:line="277" w:lineRule="auto"/>
        <w:tabs>
          <w:tab w:leader="none" w:pos="1125" w:val="left"/>
        </w:tabs>
        <w:numPr>
          <w:ilvl w:val="1"/>
          <w:numId w:val="484"/>
        </w:numPr>
        <w:rPr>
          <w:rFonts w:ascii="Arial" w:cs="Arial" w:eastAsia="Arial" w:hAnsi="Arial"/>
          <w:sz w:val="18"/>
          <w:szCs w:val="18"/>
          <w:color w:val="auto"/>
        </w:rPr>
      </w:pPr>
      <w:r>
        <w:rPr>
          <w:rFonts w:ascii="Arial" w:cs="Arial" w:eastAsia="Arial" w:hAnsi="Arial"/>
          <w:sz w:val="18"/>
          <w:szCs w:val="18"/>
          <w:color w:val="auto"/>
        </w:rPr>
        <w:t>Unless the Issuer defaults in the payment of the redemption price, interest will cease to accrue on the Notes or portions thereof called for redemption on the applicable redemption date.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485"/>
        </w:numPr>
        <w:rPr>
          <w:rFonts w:ascii="Arial" w:cs="Arial" w:eastAsia="Arial" w:hAnsi="Arial"/>
          <w:sz w:val="18"/>
          <w:szCs w:val="18"/>
          <w:color w:val="auto"/>
        </w:rPr>
      </w:pPr>
      <w:r>
        <w:rPr>
          <w:rFonts w:ascii="Arial" w:cs="Arial" w:eastAsia="Arial" w:hAnsi="Arial"/>
          <w:sz w:val="18"/>
          <w:szCs w:val="18"/>
          <w:i w:val="1"/>
          <w:iCs w:val="1"/>
          <w:color w:val="auto"/>
        </w:rPr>
        <w:t>M</w:t>
      </w:r>
      <w:r>
        <w:rPr>
          <w:rFonts w:ascii="Arial" w:cs="Arial" w:eastAsia="Arial" w:hAnsi="Arial"/>
          <w:sz w:val="12"/>
          <w:szCs w:val="12"/>
          <w:i w:val="1"/>
          <w:iCs w:val="1"/>
          <w:color w:val="auto"/>
        </w:rPr>
        <w:t>ANDATORY</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EDEMPTION</w:t>
      </w:r>
      <w:r>
        <w:rPr>
          <w:rFonts w:ascii="Arial" w:cs="Arial" w:eastAsia="Arial" w:hAnsi="Arial"/>
          <w:sz w:val="18"/>
          <w:szCs w:val="18"/>
          <w:color w:val="auto"/>
        </w:rPr>
        <w:t>. The Issuer is not required to make mandatory redemption or sinking fund payments with respect to the Notes.</w:t>
      </w:r>
    </w:p>
    <w:p>
      <w:pPr>
        <w:spacing w:after="0" w:line="3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422" w:name="page423"/>
    <w:bookmarkEnd w:id="422"/>
    <w:p>
      <w:pPr>
        <w:jc w:val="both"/>
        <w:ind w:left="-8" w:right="40" w:firstLine="8"/>
        <w:spacing w:after="0" w:line="342" w:lineRule="auto"/>
        <w:tabs>
          <w:tab w:leader="none" w:pos="652" w:val="left"/>
        </w:tabs>
        <w:numPr>
          <w:ilvl w:val="0"/>
          <w:numId w:val="486"/>
        </w:numPr>
        <w:rPr>
          <w:rFonts w:ascii="Arial" w:cs="Arial" w:eastAsia="Arial" w:hAnsi="Arial"/>
          <w:sz w:val="16"/>
          <w:szCs w:val="16"/>
          <w:color w:val="auto"/>
        </w:rPr>
      </w:pPr>
      <w:r>
        <w:rPr>
          <w:rFonts w:ascii="Arial" w:cs="Arial" w:eastAsia="Arial" w:hAnsi="Arial"/>
          <w:sz w:val="16"/>
          <w:szCs w:val="16"/>
          <w:i w:val="1"/>
          <w:iCs w:val="1"/>
          <w:color w:val="auto"/>
        </w:rPr>
        <w:t>R</w:t>
      </w:r>
      <w:r>
        <w:rPr>
          <w:rFonts w:ascii="Arial" w:cs="Arial" w:eastAsia="Arial" w:hAnsi="Arial"/>
          <w:sz w:val="11"/>
          <w:szCs w:val="11"/>
          <w:i w:val="1"/>
          <w:iCs w:val="1"/>
          <w:color w:val="auto"/>
        </w:rPr>
        <w:t>EDEMPTION</w:t>
      </w:r>
      <w:r>
        <w:rPr>
          <w:rFonts w:ascii="Arial" w:cs="Arial" w:eastAsia="Arial" w:hAnsi="Arial"/>
          <w:sz w:val="16"/>
          <w:szCs w:val="16"/>
          <w:i w:val="1"/>
          <w:iCs w:val="1"/>
          <w:color w:val="auto"/>
        </w:rPr>
        <w:t xml:space="preserve"> F</w:t>
      </w:r>
      <w:r>
        <w:rPr>
          <w:rFonts w:ascii="Arial" w:cs="Arial" w:eastAsia="Arial" w:hAnsi="Arial"/>
          <w:sz w:val="11"/>
          <w:szCs w:val="11"/>
          <w:i w:val="1"/>
          <w:iCs w:val="1"/>
          <w:color w:val="auto"/>
        </w:rPr>
        <w:t>OR</w:t>
      </w:r>
      <w:r>
        <w:rPr>
          <w:rFonts w:ascii="Arial" w:cs="Arial" w:eastAsia="Arial" w:hAnsi="Arial"/>
          <w:sz w:val="16"/>
          <w:szCs w:val="16"/>
          <w:i w:val="1"/>
          <w:iCs w:val="1"/>
          <w:color w:val="auto"/>
        </w:rPr>
        <w:t xml:space="preserve"> C</w:t>
      </w:r>
      <w:r>
        <w:rPr>
          <w:rFonts w:ascii="Arial" w:cs="Arial" w:eastAsia="Arial" w:hAnsi="Arial"/>
          <w:sz w:val="11"/>
          <w:szCs w:val="11"/>
          <w:i w:val="1"/>
          <w:iCs w:val="1"/>
          <w:color w:val="auto"/>
        </w:rPr>
        <w:t>HANGES</w:t>
      </w:r>
      <w:r>
        <w:rPr>
          <w:rFonts w:ascii="Arial" w:cs="Arial" w:eastAsia="Arial" w:hAnsi="Arial"/>
          <w:sz w:val="16"/>
          <w:szCs w:val="16"/>
          <w:i w:val="1"/>
          <w:iCs w:val="1"/>
          <w:color w:val="auto"/>
        </w:rPr>
        <w:t xml:space="preserve"> I</w:t>
      </w:r>
      <w:r>
        <w:rPr>
          <w:rFonts w:ascii="Arial" w:cs="Arial" w:eastAsia="Arial" w:hAnsi="Arial"/>
          <w:sz w:val="11"/>
          <w:szCs w:val="11"/>
          <w:i w:val="1"/>
          <w:iCs w:val="1"/>
          <w:color w:val="auto"/>
        </w:rPr>
        <w:t>N</w:t>
      </w:r>
      <w:r>
        <w:rPr>
          <w:rFonts w:ascii="Arial" w:cs="Arial" w:eastAsia="Arial" w:hAnsi="Arial"/>
          <w:sz w:val="16"/>
          <w:szCs w:val="16"/>
          <w:i w:val="1"/>
          <w:iCs w:val="1"/>
          <w:color w:val="auto"/>
        </w:rPr>
        <w:t xml:space="preserve"> T</w:t>
      </w:r>
      <w:r>
        <w:rPr>
          <w:rFonts w:ascii="Arial" w:cs="Arial" w:eastAsia="Arial" w:hAnsi="Arial"/>
          <w:sz w:val="11"/>
          <w:szCs w:val="11"/>
          <w:i w:val="1"/>
          <w:iCs w:val="1"/>
          <w:color w:val="auto"/>
        </w:rPr>
        <w:t>AXES</w:t>
      </w:r>
      <w:r>
        <w:rPr>
          <w:rFonts w:ascii="Arial" w:cs="Arial" w:eastAsia="Arial" w:hAnsi="Arial"/>
          <w:sz w:val="16"/>
          <w:szCs w:val="16"/>
          <w:color w:val="auto"/>
        </w:rPr>
        <w:t>. The Issuer may redeem the Notes, in whole but not in part, at a redemption price equal to 100% of the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the Notes redeemed, plus accrued and unpaid interest to, but not including, the Tax Redemption Date pursuant to Section 3.10 of the Indenture.</w:t>
      </w:r>
    </w:p>
    <w:p>
      <w:pPr>
        <w:spacing w:after="0" w:line="123" w:lineRule="exact"/>
        <w:rPr>
          <w:rFonts w:ascii="Arial" w:cs="Arial" w:eastAsia="Arial" w:hAnsi="Arial"/>
          <w:sz w:val="16"/>
          <w:szCs w:val="16"/>
          <w:color w:val="auto"/>
        </w:rPr>
      </w:pPr>
    </w:p>
    <w:p>
      <w:pPr>
        <w:ind w:left="652" w:hanging="652"/>
        <w:spacing w:after="0"/>
        <w:tabs>
          <w:tab w:leader="none" w:pos="652" w:val="left"/>
        </w:tabs>
        <w:numPr>
          <w:ilvl w:val="0"/>
          <w:numId w:val="486"/>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2"/>
          <w:szCs w:val="12"/>
          <w:i w:val="1"/>
          <w:iCs w:val="1"/>
          <w:color w:val="auto"/>
        </w:rPr>
        <w:t>EPURCHASE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T</w:t>
      </w:r>
      <w:r>
        <w:rPr>
          <w:rFonts w:ascii="Arial" w:cs="Arial" w:eastAsia="Arial" w:hAnsi="Arial"/>
          <w:sz w:val="18"/>
          <w:szCs w:val="18"/>
          <w:i w:val="1"/>
          <w:iCs w:val="1"/>
          <w:color w:val="auto"/>
        </w:rPr>
        <w:t xml:space="preserve"> T</w:t>
      </w:r>
      <w:r>
        <w:rPr>
          <w:rFonts w:ascii="Arial" w:cs="Arial" w:eastAsia="Arial" w:hAnsi="Arial"/>
          <w:sz w:val="12"/>
          <w:szCs w:val="12"/>
          <w:i w:val="1"/>
          <w:iCs w:val="1"/>
          <w:color w:val="auto"/>
        </w:rPr>
        <w:t>HE</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PTION</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F</w:t>
      </w:r>
      <w:r>
        <w:rPr>
          <w:rFonts w:ascii="Arial" w:cs="Arial" w:eastAsia="Arial" w:hAnsi="Arial"/>
          <w:sz w:val="18"/>
          <w:szCs w:val="18"/>
          <w:i w:val="1"/>
          <w:iCs w:val="1"/>
          <w:color w:val="auto"/>
        </w:rPr>
        <w:t xml:space="preserve"> H</w:t>
      </w:r>
      <w:r>
        <w:rPr>
          <w:rFonts w:ascii="Arial" w:cs="Arial" w:eastAsia="Arial" w:hAnsi="Arial"/>
          <w:sz w:val="12"/>
          <w:szCs w:val="12"/>
          <w:i w:val="1"/>
          <w:iCs w:val="1"/>
          <w:color w:val="auto"/>
        </w:rPr>
        <w:t>OLDER</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8" w:right="60" w:firstLine="656"/>
        <w:spacing w:after="0" w:line="296" w:lineRule="auto"/>
        <w:tabs>
          <w:tab w:leader="none" w:pos="1155" w:val="left"/>
        </w:tabs>
        <w:numPr>
          <w:ilvl w:val="1"/>
          <w:numId w:val="486"/>
        </w:numPr>
        <w:rPr>
          <w:rFonts w:ascii="Arial" w:cs="Arial" w:eastAsia="Arial" w:hAnsi="Arial"/>
          <w:sz w:val="16"/>
          <w:szCs w:val="16"/>
          <w:color w:val="auto"/>
        </w:rPr>
      </w:pPr>
      <w:r>
        <w:rPr>
          <w:rFonts w:ascii="Arial" w:cs="Arial" w:eastAsia="Arial" w:hAnsi="Arial"/>
          <w:sz w:val="16"/>
          <w:szCs w:val="16"/>
          <w:color w:val="auto"/>
        </w:rPr>
        <w:t>If there is a Change of Control, the Issuer will be required to make an offer (a “</w:t>
      </w:r>
      <w:r>
        <w:rPr>
          <w:rFonts w:ascii="Arial" w:cs="Arial" w:eastAsia="Arial" w:hAnsi="Arial"/>
          <w:sz w:val="16"/>
          <w:szCs w:val="16"/>
          <w:i w:val="1"/>
          <w:iCs w:val="1"/>
          <w:color w:val="auto"/>
        </w:rPr>
        <w:t>Change of Control Offer</w:t>
      </w:r>
      <w:r>
        <w:rPr>
          <w:rFonts w:ascii="Arial" w:cs="Arial" w:eastAsia="Arial" w:hAnsi="Arial"/>
          <w:sz w:val="16"/>
          <w:szCs w:val="16"/>
          <w:color w:val="auto"/>
        </w:rPr>
        <w:t>”) to each Holder to repurchase all or any part (equal to $200,000 or an integral multiple of $1,000 in excess thereof) of each Holder’s Notes at a purchase price in cash equal to 101% of the aggregate principal amount of Notes repurchased, plus accrued and unpaid interest on the Notes repurchased to, but not including, the date of purchase (subject to the rights of holders of Notes on the relevant record date to receive interest due on the relevant interest payment date if the Notes have not been redeemed or repurchased prior to such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as provided in, and subject to the terms of, the Indenture.</w:t>
      </w:r>
    </w:p>
    <w:p>
      <w:pPr>
        <w:spacing w:after="0" w:line="161" w:lineRule="exact"/>
        <w:rPr>
          <w:rFonts w:ascii="Arial" w:cs="Arial" w:eastAsia="Arial" w:hAnsi="Arial"/>
          <w:sz w:val="16"/>
          <w:szCs w:val="16"/>
          <w:color w:val="auto"/>
        </w:rPr>
      </w:pPr>
    </w:p>
    <w:p>
      <w:pPr>
        <w:ind w:left="1172" w:hanging="524"/>
        <w:spacing w:after="0"/>
        <w:tabs>
          <w:tab w:leader="none" w:pos="1172" w:val="left"/>
        </w:tabs>
        <w:numPr>
          <w:ilvl w:val="1"/>
          <w:numId w:val="486"/>
        </w:numPr>
        <w:rPr>
          <w:rFonts w:ascii="Arial" w:cs="Arial" w:eastAsia="Arial" w:hAnsi="Arial"/>
          <w:sz w:val="16"/>
          <w:szCs w:val="16"/>
          <w:color w:val="auto"/>
        </w:rPr>
      </w:pPr>
      <w:r>
        <w:rPr>
          <w:rFonts w:ascii="Arial" w:cs="Arial" w:eastAsia="Arial" w:hAnsi="Arial"/>
          <w:sz w:val="16"/>
          <w:szCs w:val="16"/>
          <w:color w:val="auto"/>
        </w:rPr>
        <w:t>The Issuer may be required to make an offer to purchase Notes in the event of an Asset Sale as set forth in Section 4.10 of the Indenture.</w:t>
      </w:r>
    </w:p>
    <w:p>
      <w:pPr>
        <w:spacing w:after="0" w:line="248" w:lineRule="exact"/>
        <w:rPr>
          <w:rFonts w:ascii="Arial" w:cs="Arial" w:eastAsia="Arial" w:hAnsi="Arial"/>
          <w:sz w:val="16"/>
          <w:szCs w:val="16"/>
          <w:color w:val="auto"/>
        </w:rPr>
      </w:pPr>
    </w:p>
    <w:p>
      <w:pPr>
        <w:ind w:left="-8" w:right="100" w:firstLine="8"/>
        <w:spacing w:after="0" w:line="255" w:lineRule="auto"/>
        <w:tabs>
          <w:tab w:leader="none" w:pos="652" w:val="left"/>
        </w:tabs>
        <w:numPr>
          <w:ilvl w:val="0"/>
          <w:numId w:val="486"/>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2"/>
          <w:szCs w:val="12"/>
          <w:i w:val="1"/>
          <w:iCs w:val="1"/>
          <w:color w:val="auto"/>
        </w:rPr>
        <w:t>OTICE</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F</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EDEMPTION</w:t>
      </w:r>
      <w:r>
        <w:rPr>
          <w:rFonts w:ascii="Arial" w:cs="Arial" w:eastAsia="Arial" w:hAnsi="Arial"/>
          <w:sz w:val="18"/>
          <w:szCs w:val="18"/>
          <w:color w:val="auto"/>
        </w:rPr>
        <w:t>. At least 10 days but not more than 60 days before a redemption date, the Issuer will deliver or cause to be delivered a</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redemption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pursuant to Articles 8 or 11 thereof. Notes and portions of Notes selected will be in amounts of $200,000 or whole multiples of $1,000 in excess thereof; except that if all of the Notes of a Holder are to be redeemed or purchased, the entire outstanding amount of Notes held by such Holder shall be redeemed or purchased.</w:t>
      </w:r>
    </w:p>
    <w:p>
      <w:pPr>
        <w:spacing w:after="0" w:line="192" w:lineRule="exact"/>
        <w:rPr>
          <w:rFonts w:ascii="Arial" w:cs="Arial" w:eastAsia="Arial" w:hAnsi="Arial"/>
          <w:sz w:val="18"/>
          <w:szCs w:val="18"/>
          <w:color w:val="auto"/>
        </w:rPr>
      </w:pPr>
    </w:p>
    <w:p>
      <w:pPr>
        <w:ind w:left="652" w:hanging="652"/>
        <w:spacing w:after="0"/>
        <w:tabs>
          <w:tab w:leader="none" w:pos="652" w:val="left"/>
        </w:tabs>
        <w:numPr>
          <w:ilvl w:val="0"/>
          <w:numId w:val="486"/>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2"/>
          <w:szCs w:val="12"/>
          <w:i w:val="1"/>
          <w:iCs w:val="1"/>
          <w:color w:val="auto"/>
        </w:rPr>
        <w:t>ESERVED</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8" w:firstLine="8"/>
        <w:spacing w:after="0" w:line="254" w:lineRule="auto"/>
        <w:tabs>
          <w:tab w:leader="none" w:pos="645" w:val="left"/>
        </w:tabs>
        <w:numPr>
          <w:ilvl w:val="0"/>
          <w:numId w:val="486"/>
        </w:numPr>
        <w:rPr>
          <w:rFonts w:ascii="Arial" w:cs="Arial" w:eastAsia="Arial" w:hAnsi="Arial"/>
          <w:sz w:val="18"/>
          <w:szCs w:val="18"/>
          <w:color w:val="auto"/>
        </w:rPr>
      </w:pPr>
      <w:r>
        <w:rPr>
          <w:rFonts w:ascii="Arial" w:cs="Arial" w:eastAsia="Arial" w:hAnsi="Arial"/>
          <w:sz w:val="18"/>
          <w:szCs w:val="18"/>
          <w:i w:val="1"/>
          <w:iCs w:val="1"/>
          <w:color w:val="auto"/>
        </w:rPr>
        <w:t>D</w:t>
      </w:r>
      <w:r>
        <w:rPr>
          <w:rFonts w:ascii="Arial" w:cs="Arial" w:eastAsia="Arial" w:hAnsi="Arial"/>
          <w:sz w:val="12"/>
          <w:szCs w:val="12"/>
          <w:i w:val="1"/>
          <w:iCs w:val="1"/>
          <w:color w:val="auto"/>
        </w:rPr>
        <w:t>ENOMINATIONS</w:t>
      </w:r>
      <w:r>
        <w:rPr>
          <w:rFonts w:ascii="Arial" w:cs="Arial" w:eastAsia="Arial" w:hAnsi="Arial"/>
          <w:sz w:val="18"/>
          <w:szCs w:val="18"/>
          <w:i w:val="1"/>
          <w:iCs w:val="1"/>
          <w:color w:val="auto"/>
        </w:rPr>
        <w:t>, T</w:t>
      </w:r>
      <w:r>
        <w:rPr>
          <w:rFonts w:ascii="Arial" w:cs="Arial" w:eastAsia="Arial" w:hAnsi="Arial"/>
          <w:sz w:val="12"/>
          <w:szCs w:val="12"/>
          <w:i w:val="1"/>
          <w:iCs w:val="1"/>
          <w:color w:val="auto"/>
        </w:rPr>
        <w:t>RANSFER</w:t>
      </w:r>
      <w:r>
        <w:rPr>
          <w:rFonts w:ascii="Arial" w:cs="Arial" w:eastAsia="Arial" w:hAnsi="Arial"/>
          <w:sz w:val="18"/>
          <w:szCs w:val="18"/>
          <w:i w:val="1"/>
          <w:iCs w:val="1"/>
          <w:color w:val="auto"/>
        </w:rPr>
        <w:t>, E</w:t>
      </w:r>
      <w:r>
        <w:rPr>
          <w:rFonts w:ascii="Arial" w:cs="Arial" w:eastAsia="Arial" w:hAnsi="Arial"/>
          <w:sz w:val="12"/>
          <w:szCs w:val="12"/>
          <w:i w:val="1"/>
          <w:iCs w:val="1"/>
          <w:color w:val="auto"/>
        </w:rPr>
        <w:t>XCHANGE</w:t>
      </w:r>
      <w:r>
        <w:rPr>
          <w:rFonts w:ascii="Arial" w:cs="Arial" w:eastAsia="Arial" w:hAnsi="Arial"/>
          <w:sz w:val="18"/>
          <w:szCs w:val="18"/>
          <w:color w:val="auto"/>
        </w:rPr>
        <w:t>. The Notes are in registered form in denominations of $200,000 and integral multiples of $1,000 in excess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the delivering of any notice of redemption or during the period between a record date and the next succeeding Interest Payment Date.</w:t>
      </w:r>
    </w:p>
    <w:p>
      <w:pPr>
        <w:spacing w:after="0" w:line="194" w:lineRule="exact"/>
        <w:rPr>
          <w:rFonts w:ascii="Arial" w:cs="Arial" w:eastAsia="Arial" w:hAnsi="Arial"/>
          <w:sz w:val="18"/>
          <w:szCs w:val="18"/>
          <w:color w:val="auto"/>
        </w:rPr>
      </w:pPr>
    </w:p>
    <w:p>
      <w:pPr>
        <w:ind w:left="-8" w:right="200" w:firstLine="8"/>
        <w:spacing w:after="0" w:line="277" w:lineRule="auto"/>
        <w:tabs>
          <w:tab w:leader="none" w:pos="652" w:val="left"/>
        </w:tabs>
        <w:numPr>
          <w:ilvl w:val="0"/>
          <w:numId w:val="486"/>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2"/>
          <w:szCs w:val="12"/>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WNERS</w:t>
      </w:r>
      <w:r>
        <w:rPr>
          <w:rFonts w:ascii="Arial" w:cs="Arial" w:eastAsia="Arial" w:hAnsi="Arial"/>
          <w:sz w:val="18"/>
          <w:szCs w:val="18"/>
          <w:color w:val="auto"/>
        </w:rPr>
        <w:t>. The registered Holder of a Note may be treated as the owner of it for all purposes. Only registered Holders have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Indenture.</w:t>
      </w:r>
    </w:p>
    <w:p>
      <w:pPr>
        <w:spacing w:after="0" w:line="170" w:lineRule="exact"/>
        <w:rPr>
          <w:rFonts w:ascii="Arial" w:cs="Arial" w:eastAsia="Arial" w:hAnsi="Arial"/>
          <w:sz w:val="18"/>
          <w:szCs w:val="18"/>
          <w:color w:val="auto"/>
        </w:rPr>
      </w:pPr>
    </w:p>
    <w:p>
      <w:pPr>
        <w:ind w:left="-8" w:right="20" w:firstLine="8"/>
        <w:spacing w:after="0" w:line="259" w:lineRule="auto"/>
        <w:tabs>
          <w:tab w:leader="none" w:pos="652" w:val="left"/>
        </w:tabs>
        <w:numPr>
          <w:ilvl w:val="0"/>
          <w:numId w:val="486"/>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S</w:t>
      </w:r>
      <w:r>
        <w:rPr>
          <w:rFonts w:ascii="Arial" w:cs="Arial" w:eastAsia="Arial" w:hAnsi="Arial"/>
          <w:sz w:val="12"/>
          <w:szCs w:val="12"/>
          <w:i w:val="1"/>
          <w:iCs w:val="1"/>
          <w:color w:val="auto"/>
        </w:rPr>
        <w:t>UPPLEMENT</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ND</w:t>
      </w:r>
      <w:r>
        <w:rPr>
          <w:rFonts w:ascii="Arial" w:cs="Arial" w:eastAsia="Arial" w:hAnsi="Arial"/>
          <w:sz w:val="18"/>
          <w:szCs w:val="18"/>
          <w:i w:val="1"/>
          <w:iCs w:val="1"/>
          <w:color w:val="auto"/>
        </w:rPr>
        <w:t xml:space="preserve"> W</w:t>
      </w:r>
      <w:r>
        <w:rPr>
          <w:rFonts w:ascii="Arial" w:cs="Arial" w:eastAsia="Arial" w:hAnsi="Arial"/>
          <w:sz w:val="12"/>
          <w:szCs w:val="12"/>
          <w:i w:val="1"/>
          <w:iCs w:val="1"/>
          <w:color w:val="auto"/>
        </w:rPr>
        <w:t>AIVER</w:t>
      </w:r>
      <w:r>
        <w:rPr>
          <w:rFonts w:ascii="Arial" w:cs="Arial" w:eastAsia="Arial" w:hAnsi="Arial"/>
          <w:sz w:val="18"/>
          <w:szCs w:val="18"/>
          <w:color w:val="auto"/>
        </w:rPr>
        <w:t>. Subject to certain exceptions, the Indenture, the Notes, the Note Guarantees or the Collateral Documents may</w:t>
      </w:r>
      <w:r>
        <w:rPr>
          <w:rFonts w:ascii="Arial" w:cs="Arial" w:eastAsia="Arial" w:hAnsi="Arial"/>
          <w:sz w:val="18"/>
          <w:szCs w:val="18"/>
          <w:i w:val="1"/>
          <w:iCs w:val="1"/>
          <w:color w:val="auto"/>
        </w:rPr>
        <w:t xml:space="preserve"> </w:t>
      </w:r>
      <w:r>
        <w:rPr>
          <w:rFonts w:ascii="Arial" w:cs="Arial" w:eastAsia="Arial" w:hAnsi="Arial"/>
          <w:sz w:val="18"/>
          <w:szCs w:val="18"/>
          <w:color w:val="auto"/>
        </w:rPr>
        <w:t>be amended or supplemented with the consent of the Holders of at least a majority in aggregate principal amount of the then outstanding Notes including Additional Notes, if any, voting as a single class. Without the consent of any Holder of Notes, the Indenture, the Notes, the Note Guarantees or the Collateral Documents may be amended or supplemented as provided in the Indenture.</w:t>
      </w:r>
    </w:p>
    <w:p>
      <w:pPr>
        <w:spacing w:after="0" w:line="29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32320"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72"/>
          </w:cols>
          <w:pgMar w:left="328" w:top="490" w:right="399" w:bottom="1440" w:gutter="0" w:footer="0" w:header="0"/>
        </w:sectPr>
      </w:pPr>
    </w:p>
    <w:bookmarkStart w:id="423" w:name="page424"/>
    <w:bookmarkEnd w:id="423"/>
    <w:p>
      <w:pPr>
        <w:ind w:left="-8" w:firstLine="8"/>
        <w:spacing w:after="0" w:line="289" w:lineRule="auto"/>
        <w:tabs>
          <w:tab w:leader="none" w:pos="652" w:val="left"/>
        </w:tabs>
        <w:numPr>
          <w:ilvl w:val="0"/>
          <w:numId w:val="487"/>
        </w:numPr>
        <w:rPr>
          <w:rFonts w:ascii="Arial" w:cs="Arial" w:eastAsia="Arial" w:hAnsi="Arial"/>
          <w:sz w:val="16"/>
          <w:szCs w:val="16"/>
          <w:color w:val="auto"/>
        </w:rPr>
      </w:pPr>
      <w:r>
        <w:rPr>
          <w:rFonts w:ascii="Arial" w:cs="Arial" w:eastAsia="Arial" w:hAnsi="Arial"/>
          <w:sz w:val="16"/>
          <w:szCs w:val="16"/>
          <w:i w:val="1"/>
          <w:iCs w:val="1"/>
          <w:color w:val="auto"/>
        </w:rPr>
        <w:t>D</w:t>
      </w:r>
      <w:r>
        <w:rPr>
          <w:rFonts w:ascii="Arial" w:cs="Arial" w:eastAsia="Arial" w:hAnsi="Arial"/>
          <w:sz w:val="11"/>
          <w:szCs w:val="11"/>
          <w:i w:val="1"/>
          <w:iCs w:val="1"/>
          <w:color w:val="auto"/>
        </w:rPr>
        <w:t>EFAULTS</w:t>
      </w:r>
      <w:r>
        <w:rPr>
          <w:rFonts w:ascii="Arial" w:cs="Arial" w:eastAsia="Arial" w:hAnsi="Arial"/>
          <w:sz w:val="16"/>
          <w:szCs w:val="16"/>
          <w:i w:val="1"/>
          <w:iCs w:val="1"/>
          <w:color w:val="auto"/>
        </w:rPr>
        <w:t xml:space="preserve"> A</w:t>
      </w:r>
      <w:r>
        <w:rPr>
          <w:rFonts w:ascii="Arial" w:cs="Arial" w:eastAsia="Arial" w:hAnsi="Arial"/>
          <w:sz w:val="11"/>
          <w:szCs w:val="11"/>
          <w:i w:val="1"/>
          <w:iCs w:val="1"/>
          <w:color w:val="auto"/>
        </w:rPr>
        <w:t>ND</w:t>
      </w:r>
      <w:r>
        <w:rPr>
          <w:rFonts w:ascii="Arial" w:cs="Arial" w:eastAsia="Arial" w:hAnsi="Arial"/>
          <w:sz w:val="16"/>
          <w:szCs w:val="16"/>
          <w:i w:val="1"/>
          <w:iCs w:val="1"/>
          <w:color w:val="auto"/>
        </w:rPr>
        <w:t xml:space="preserve"> R</w:t>
      </w:r>
      <w:r>
        <w:rPr>
          <w:rFonts w:ascii="Arial" w:cs="Arial" w:eastAsia="Arial" w:hAnsi="Arial"/>
          <w:sz w:val="11"/>
          <w:szCs w:val="11"/>
          <w:i w:val="1"/>
          <w:iCs w:val="1"/>
          <w:color w:val="auto"/>
        </w:rPr>
        <w:t>EMEDIES</w:t>
      </w:r>
      <w:r>
        <w:rPr>
          <w:rFonts w:ascii="Arial" w:cs="Arial" w:eastAsia="Arial" w:hAnsi="Arial"/>
          <w:sz w:val="16"/>
          <w:szCs w:val="16"/>
          <w:color w:val="auto"/>
        </w:rPr>
        <w:t>. If an Event of Default (other than an Event of Default specified in Section 6.01(7) and 6.01(8) of the Indenture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Parent or the Issuer) shall have occurred and be continuing, either the Trustee or the Holders of at least 30% of the outstanding principal amount of the Notes may declare to be immediately due and payable the principal amount of all such Notes then outstanding, plus accrued but unpaid interest to the date of acceleration. Upon the effectiveness of such a declaration, such principal, premium, accrued and unpaid interest, and other monetary obligations shall be due and payable immediately. If an Event of Default specified in Sections 6.01(7) and 6.01(8) of the Indenture with respect to the Parent or the Issuer shall occur, such amounts with respect to all the Notes shall become automatically due and payable immediately without any further action or notice. The Holders of a majority in aggregate principal amount of the then outstanding Notes by notice to the Trustee may, on behalf of all the Holders, rescind an acceleration or waive an existing Default or Event of Default and its respective consequences under the Indenture except a continuing Default or Event of Default in the payment of principal of, premium on, if any, or interest on, the Notes (including in connection with an offer to purchase).</w:t>
      </w:r>
    </w:p>
    <w:p>
      <w:pPr>
        <w:spacing w:after="0" w:line="166" w:lineRule="exact"/>
        <w:rPr>
          <w:rFonts w:ascii="Arial" w:cs="Arial" w:eastAsia="Arial" w:hAnsi="Arial"/>
          <w:sz w:val="16"/>
          <w:szCs w:val="16"/>
          <w:color w:val="auto"/>
        </w:rPr>
      </w:pPr>
    </w:p>
    <w:p>
      <w:pPr>
        <w:ind w:left="-8" w:right="140" w:firstLine="8"/>
        <w:spacing w:after="0" w:line="308" w:lineRule="auto"/>
        <w:tabs>
          <w:tab w:leader="none" w:pos="652" w:val="left"/>
        </w:tabs>
        <w:numPr>
          <w:ilvl w:val="0"/>
          <w:numId w:val="487"/>
        </w:numPr>
        <w:rPr>
          <w:rFonts w:ascii="Arial" w:cs="Arial" w:eastAsia="Arial" w:hAnsi="Arial"/>
          <w:sz w:val="17"/>
          <w:szCs w:val="17"/>
          <w:color w:val="auto"/>
        </w:rPr>
      </w:pPr>
      <w:r>
        <w:rPr>
          <w:rFonts w:ascii="Arial" w:cs="Arial" w:eastAsia="Arial" w:hAnsi="Arial"/>
          <w:sz w:val="17"/>
          <w:szCs w:val="17"/>
          <w:i w:val="1"/>
          <w:iCs w:val="1"/>
          <w:color w:val="auto"/>
        </w:rPr>
        <w:t>T</w:t>
      </w:r>
      <w:r>
        <w:rPr>
          <w:rFonts w:ascii="Arial" w:cs="Arial" w:eastAsia="Arial" w:hAnsi="Arial"/>
          <w:sz w:val="11"/>
          <w:szCs w:val="11"/>
          <w:i w:val="1"/>
          <w:iCs w:val="1"/>
          <w:color w:val="auto"/>
        </w:rPr>
        <w:t>RUSTEE</w:t>
      </w:r>
      <w:r>
        <w:rPr>
          <w:rFonts w:ascii="Arial" w:cs="Arial" w:eastAsia="Arial" w:hAnsi="Arial"/>
          <w:sz w:val="17"/>
          <w:szCs w:val="17"/>
          <w:i w:val="1"/>
          <w:iCs w:val="1"/>
          <w:color w:val="auto"/>
        </w:rPr>
        <w:t xml:space="preserve"> D</w:t>
      </w:r>
      <w:r>
        <w:rPr>
          <w:rFonts w:ascii="Arial" w:cs="Arial" w:eastAsia="Arial" w:hAnsi="Arial"/>
          <w:sz w:val="11"/>
          <w:szCs w:val="11"/>
          <w:i w:val="1"/>
          <w:iCs w:val="1"/>
          <w:color w:val="auto"/>
        </w:rPr>
        <w:t>EALINGS</w:t>
      </w:r>
      <w:r>
        <w:rPr>
          <w:rFonts w:ascii="Arial" w:cs="Arial" w:eastAsia="Arial" w:hAnsi="Arial"/>
          <w:sz w:val="17"/>
          <w:szCs w:val="17"/>
          <w:i w:val="1"/>
          <w:iCs w:val="1"/>
          <w:color w:val="auto"/>
        </w:rPr>
        <w:t xml:space="preserve"> W</w:t>
      </w:r>
      <w:r>
        <w:rPr>
          <w:rFonts w:ascii="Arial" w:cs="Arial" w:eastAsia="Arial" w:hAnsi="Arial"/>
          <w:sz w:val="11"/>
          <w:szCs w:val="11"/>
          <w:i w:val="1"/>
          <w:iCs w:val="1"/>
          <w:color w:val="auto"/>
        </w:rPr>
        <w:t>ITH</w:t>
      </w:r>
      <w:r>
        <w:rPr>
          <w:rFonts w:ascii="Arial" w:cs="Arial" w:eastAsia="Arial" w:hAnsi="Arial"/>
          <w:sz w:val="17"/>
          <w:szCs w:val="17"/>
          <w:i w:val="1"/>
          <w:iCs w:val="1"/>
          <w:color w:val="auto"/>
        </w:rPr>
        <w:t xml:space="preserve"> I</w:t>
      </w:r>
      <w:r>
        <w:rPr>
          <w:rFonts w:ascii="Arial" w:cs="Arial" w:eastAsia="Arial" w:hAnsi="Arial"/>
          <w:sz w:val="11"/>
          <w:szCs w:val="11"/>
          <w:i w:val="1"/>
          <w:iCs w:val="1"/>
          <w:color w:val="auto"/>
        </w:rPr>
        <w:t>SSUER</w:t>
      </w:r>
      <w:r>
        <w:rPr>
          <w:rFonts w:ascii="Arial" w:cs="Arial" w:eastAsia="Arial" w:hAnsi="Arial"/>
          <w:sz w:val="17"/>
          <w:szCs w:val="17"/>
          <w:color w:val="auto"/>
        </w:rPr>
        <w:t>. The Trustee, in its individual or any other capacity, may make loans to, accept deposits from, and perform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Issuer or its respective Affiliates, and may otherwise deal with the Issuer or its respective Affiliates, as if it were not the Trustee.</w:t>
      </w:r>
    </w:p>
    <w:p>
      <w:pPr>
        <w:spacing w:after="0" w:line="146" w:lineRule="exact"/>
        <w:rPr>
          <w:rFonts w:ascii="Arial" w:cs="Arial" w:eastAsia="Arial" w:hAnsi="Arial"/>
          <w:sz w:val="17"/>
          <w:szCs w:val="17"/>
          <w:color w:val="auto"/>
        </w:rPr>
      </w:pPr>
    </w:p>
    <w:p>
      <w:pPr>
        <w:ind w:left="-8" w:right="80" w:firstLine="8"/>
        <w:spacing w:after="0" w:line="257" w:lineRule="auto"/>
        <w:tabs>
          <w:tab w:leader="none" w:pos="652" w:val="left"/>
        </w:tabs>
        <w:numPr>
          <w:ilvl w:val="0"/>
          <w:numId w:val="487"/>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THERS</w:t>
      </w:r>
      <w:r>
        <w:rPr>
          <w:rFonts w:ascii="Arial" w:cs="Arial" w:eastAsia="Arial" w:hAnsi="Arial"/>
          <w:sz w:val="18"/>
          <w:szCs w:val="18"/>
          <w:color w:val="auto"/>
        </w:rPr>
        <w:t>. No director, officer, employee, incorporator or stockholder of the Issuer or any Guarantor, as such, will have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any obligations of the Issuer or the Guarantors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ind w:left="652" w:hanging="652"/>
        <w:spacing w:after="0"/>
        <w:tabs>
          <w:tab w:leader="none" w:pos="652" w:val="left"/>
        </w:tabs>
        <w:numPr>
          <w:ilvl w:val="0"/>
          <w:numId w:val="487"/>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UTHENTICATION</w:t>
      </w:r>
      <w:r>
        <w:rPr>
          <w:rFonts w:ascii="Arial" w:cs="Arial" w:eastAsia="Arial" w:hAnsi="Arial"/>
          <w:sz w:val="18"/>
          <w:szCs w:val="18"/>
          <w:color w:val="auto"/>
        </w:rPr>
        <w:t>. This Note will not be valid until authenticated by the manual signature of the Trustee or an authenticating agent.</w:t>
      </w:r>
    </w:p>
    <w:p>
      <w:pPr>
        <w:spacing w:after="0" w:line="225" w:lineRule="exact"/>
        <w:rPr>
          <w:rFonts w:ascii="Arial" w:cs="Arial" w:eastAsia="Arial" w:hAnsi="Arial"/>
          <w:sz w:val="18"/>
          <w:szCs w:val="18"/>
          <w:color w:val="auto"/>
        </w:rPr>
      </w:pPr>
    </w:p>
    <w:p>
      <w:pPr>
        <w:ind w:left="-8" w:firstLine="8"/>
        <w:spacing w:after="0" w:line="263" w:lineRule="auto"/>
        <w:tabs>
          <w:tab w:leader="none" w:pos="652" w:val="left"/>
        </w:tabs>
        <w:numPr>
          <w:ilvl w:val="0"/>
          <w:numId w:val="487"/>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jc w:val="both"/>
        <w:ind w:left="-8" w:firstLine="8"/>
        <w:spacing w:after="0" w:line="259" w:lineRule="auto"/>
        <w:tabs>
          <w:tab w:leader="none" w:pos="652" w:val="left"/>
        </w:tabs>
        <w:numPr>
          <w:ilvl w:val="0"/>
          <w:numId w:val="487"/>
        </w:numPr>
        <w:rPr>
          <w:rFonts w:ascii="Arial" w:cs="Arial" w:eastAsia="Arial" w:hAnsi="Arial"/>
          <w:sz w:val="18"/>
          <w:szCs w:val="18"/>
          <w:color w:val="auto"/>
        </w:rPr>
      </w:pPr>
      <w:r>
        <w:rPr>
          <w:rFonts w:ascii="Arial" w:cs="Arial" w:eastAsia="Arial" w:hAnsi="Arial"/>
          <w:sz w:val="18"/>
          <w:szCs w:val="18"/>
          <w:i w:val="1"/>
          <w:iCs w:val="1"/>
          <w:color w:val="auto"/>
        </w:rPr>
        <w:t>CUSIP O</w:t>
      </w:r>
      <w:r>
        <w:rPr>
          <w:rFonts w:ascii="Arial" w:cs="Arial" w:eastAsia="Arial" w:hAnsi="Arial"/>
          <w:sz w:val="12"/>
          <w:szCs w:val="12"/>
          <w:i w:val="1"/>
          <w:iCs w:val="1"/>
          <w:color w:val="auto"/>
        </w:rPr>
        <w:t>R</w:t>
      </w:r>
      <w:r>
        <w:rPr>
          <w:rFonts w:ascii="Arial" w:cs="Arial" w:eastAsia="Arial" w:hAnsi="Arial"/>
          <w:sz w:val="18"/>
          <w:szCs w:val="18"/>
          <w:i w:val="1"/>
          <w:iCs w:val="1"/>
          <w:color w:val="auto"/>
        </w:rPr>
        <w:t xml:space="preserve"> ISIN N</w:t>
      </w:r>
      <w:r>
        <w:rPr>
          <w:rFonts w:ascii="Arial" w:cs="Arial" w:eastAsia="Arial" w:hAnsi="Arial"/>
          <w:sz w:val="12"/>
          <w:szCs w:val="12"/>
          <w:i w:val="1"/>
          <w:iCs w:val="1"/>
          <w:color w:val="auto"/>
        </w:rPr>
        <w:t>UMBERS</w:t>
      </w:r>
      <w:r>
        <w:rPr>
          <w:rFonts w:ascii="Arial" w:cs="Arial" w:eastAsia="Arial" w:hAnsi="Arial"/>
          <w:sz w:val="18"/>
          <w:szCs w:val="18"/>
          <w:color w:val="auto"/>
        </w:rPr>
        <w:t>. Pursuant to a recommendation promulgated by the Committee on Uniform Security Identification Procedures,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has caused CUSIP or ISIN numbers to be printed on the Notes, and the Trustee may use CUSIP or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92"/>
          </w:cols>
          <w:pgMar w:left="328" w:top="341" w:right="379" w:bottom="1440" w:gutter="0" w:footer="0" w:header="0"/>
        </w:sectPr>
      </w:pPr>
    </w:p>
    <w:bookmarkStart w:id="424" w:name="page425"/>
    <w:bookmarkEnd w:id="424"/>
    <w:p>
      <w:pPr>
        <w:ind w:left="-8" w:firstLine="8"/>
        <w:spacing w:after="0" w:line="270" w:lineRule="auto"/>
        <w:tabs>
          <w:tab w:leader="none" w:pos="652" w:val="left"/>
        </w:tabs>
        <w:numPr>
          <w:ilvl w:val="0"/>
          <w:numId w:val="488"/>
        </w:numPr>
        <w:rPr>
          <w:rFonts w:ascii="Arial" w:cs="Arial" w:eastAsia="Arial" w:hAnsi="Arial"/>
          <w:sz w:val="17"/>
          <w:szCs w:val="17"/>
          <w:color w:val="auto"/>
        </w:rPr>
      </w:pPr>
      <w:r>
        <w:rPr>
          <w:rFonts w:ascii="Arial" w:cs="Arial" w:eastAsia="Arial" w:hAnsi="Arial"/>
          <w:sz w:val="17"/>
          <w:szCs w:val="17"/>
          <w:i w:val="1"/>
          <w:iCs w:val="1"/>
          <w:color w:val="auto"/>
        </w:rPr>
        <w:t>C</w:t>
      </w:r>
      <w:r>
        <w:rPr>
          <w:rFonts w:ascii="Arial" w:cs="Arial" w:eastAsia="Arial" w:hAnsi="Arial"/>
          <w:sz w:val="11"/>
          <w:szCs w:val="11"/>
          <w:i w:val="1"/>
          <w:iCs w:val="1"/>
          <w:color w:val="auto"/>
        </w:rPr>
        <w:t>OLLATERAL</w:t>
      </w:r>
      <w:r>
        <w:rPr>
          <w:rFonts w:ascii="Arial" w:cs="Arial" w:eastAsia="Arial" w:hAnsi="Arial"/>
          <w:sz w:val="17"/>
          <w:szCs w:val="17"/>
          <w:color w:val="auto"/>
        </w:rPr>
        <w:t>. Upon consummation of the Merger, the Notes and the related Note Guarantees will be secured by the Collateral on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conditions set forth in the Indenture and the Collateral Documents. The Trustee and the Notes Collateral Agent, as the case may be, hold the Collateral in trust for the benefit of the First Lien Notes Secured Parties, in each case pursuant to the Collateral Documents and the First Lien Intercreditor Agreement and Junior Lien Intercreditor Agreement, if any. Each Holder, by accepting this Note, consents and agrees to the terms of the Collateral Documents (including the provisions providing for the foreclosure and release of Collateral) and the First Lien Intercreditor Agreement and Junior Lien Intercreditor Agreement, if any, each as may be in effect or may be amended from time to time in accordance with their terms and the Indenture, and authorizes and directs the Notes Collateral Agent to enter into the Collateral Documents and the First Lien Intercreditor Agreement on the Issue Date, and the Collateral Documents and the Junior Lien Intercreditor Agreement, if any, at any time after the Issue Date, if applicable, and to perform its obligations and exercise its rights thereunder in accordance therewith.</w:t>
      </w:r>
    </w:p>
    <w:p>
      <w:pPr>
        <w:spacing w:after="0" w:line="180" w:lineRule="exact"/>
        <w:rPr>
          <w:rFonts w:ascii="Arial" w:cs="Arial" w:eastAsia="Arial" w:hAnsi="Arial"/>
          <w:sz w:val="17"/>
          <w:szCs w:val="17"/>
          <w:color w:val="auto"/>
        </w:rPr>
      </w:pPr>
    </w:p>
    <w:p>
      <w:pPr>
        <w:ind w:left="-8" w:right="120" w:firstLine="8"/>
        <w:spacing w:after="0" w:line="257" w:lineRule="auto"/>
        <w:tabs>
          <w:tab w:leader="none" w:pos="652" w:val="left"/>
        </w:tabs>
        <w:numPr>
          <w:ilvl w:val="0"/>
          <w:numId w:val="488"/>
        </w:numPr>
        <w:rPr>
          <w:rFonts w:ascii="Arial" w:cs="Arial" w:eastAsia="Arial" w:hAnsi="Arial"/>
          <w:sz w:val="18"/>
          <w:szCs w:val="18"/>
          <w:color w:val="auto"/>
        </w:rPr>
      </w:pPr>
      <w:r>
        <w:rPr>
          <w:rFonts w:ascii="Arial" w:cs="Arial" w:eastAsia="Arial" w:hAnsi="Arial"/>
          <w:sz w:val="18"/>
          <w:szCs w:val="18"/>
          <w:i w:val="1"/>
          <w:iCs w:val="1"/>
          <w:color w:val="auto"/>
        </w:rPr>
        <w:t>G</w:t>
      </w:r>
      <w:r>
        <w:rPr>
          <w:rFonts w:ascii="Arial" w:cs="Arial" w:eastAsia="Arial" w:hAnsi="Arial"/>
          <w:sz w:val="12"/>
          <w:szCs w:val="12"/>
          <w:i w:val="1"/>
          <w:iCs w:val="1"/>
          <w:color w:val="auto"/>
        </w:rPr>
        <w:t>OVERNING</w:t>
      </w:r>
      <w:r>
        <w:rPr>
          <w:rFonts w:ascii="Arial" w:cs="Arial" w:eastAsia="Arial" w:hAnsi="Arial"/>
          <w:sz w:val="18"/>
          <w:szCs w:val="18"/>
          <w:i w:val="1"/>
          <w:iCs w:val="1"/>
          <w:color w:val="auto"/>
        </w:rPr>
        <w:t xml:space="preserve"> L</w:t>
      </w:r>
      <w:r>
        <w:rPr>
          <w:rFonts w:ascii="Arial" w:cs="Arial" w:eastAsia="Arial" w:hAnsi="Arial"/>
          <w:sz w:val="12"/>
          <w:szCs w:val="12"/>
          <w:i w:val="1"/>
          <w:iCs w:val="1"/>
          <w:color w:val="auto"/>
        </w:rPr>
        <w:t>AW</w:t>
      </w:r>
      <w:r>
        <w:rPr>
          <w:rFonts w:ascii="Arial" w:cs="Arial" w:eastAsia="Arial" w:hAnsi="Arial"/>
          <w:sz w:val="18"/>
          <w:szCs w:val="18"/>
          <w:color w:val="auto"/>
        </w:rPr>
        <w:t>. THE INDENTURE, THIS NOTE AND THE NOTE GUARANTEES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NEW YORK. THE ISSUER, THE TRUSTEE AND EACH OF THE GUARANTORS HEREBY IRREVOCABLY WAIVES, TO THE FULLEST EXTENT PERMITTED BY APPLICABLE LAW, ANY AND ALL RIGHT TO TRIAL BY JURY IN ANY LEGAL PROCEEDING ARISING OUT OF OR RELATING TO THE INDENTURE, THIS NOTE OR THE TRANSACTIONS CONTEMPLATED THEREBY OR HEREBY.</w:t>
      </w:r>
    </w:p>
    <w:p>
      <w:pPr>
        <w:spacing w:after="0" w:line="18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Issuer will furnish to any Holder upon written request and without charge a copy of the Indenture. Requests may be made to:</w:t>
      </w:r>
    </w:p>
    <w:p>
      <w:pPr>
        <w:spacing w:after="0" w:line="22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Indigo Merger Sub, Inc.</w:t>
      </w:r>
    </w:p>
    <w:p>
      <w:pPr>
        <w:spacing w:after="0" w:line="22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c/o: ICON plc</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Attention: Chief Financial Officer with a copy to General Counsel</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Libhin.NicGabhann@iconplc.com</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 xml:space="preserve">with a copy to ICON General Counsel: </w:t>
      </w:r>
      <w:r>
        <w:rPr>
          <w:rFonts w:ascii="Arial" w:cs="Arial" w:eastAsia="Arial" w:hAnsi="Arial"/>
          <w:sz w:val="18"/>
          <w:szCs w:val="18"/>
          <w:u w:val="single" w:color="auto"/>
          <w:color w:val="auto"/>
        </w:rPr>
        <w:t>Diarmaid.Cunningham@iconplc.com</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Phone: +353 1 2912000</w:t>
      </w:r>
    </w:p>
    <w:p>
      <w:pPr>
        <w:spacing w:after="0" w:line="31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32320"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12"/>
          </w:cols>
          <w:pgMar w:left="328" w:top="490" w:right="459" w:bottom="1440" w:gutter="0" w:footer="0" w:header="0"/>
        </w:sectPr>
      </w:pPr>
    </w:p>
    <w:bookmarkStart w:id="425" w:name="page426"/>
    <w:bookmarkEnd w:id="425"/>
    <w:p>
      <w:pPr>
        <w:ind w:left="476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(I) or (we) assign and transfer this Note to:</w:t>
      </w:r>
      <w:r>
        <w:rPr>
          <w:sz w:val="20"/>
          <w:szCs w:val="20"/>
          <w:color w:val="auto"/>
        </w:rPr>
        <w:tab/>
      </w:r>
      <w:r>
        <w:rPr>
          <w:rFonts w:ascii="Arial" w:cs="Arial" w:eastAsia="Arial" w:hAnsi="Arial"/>
          <w:sz w:val="16"/>
          <w:szCs w:val="16"/>
          <w:color w:val="auto"/>
        </w:rPr>
        <w:t>(Insert assignee’s legal name)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151765</wp:posOffset>
            </wp:positionV>
            <wp:extent cx="35572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to transfer this Note on the books of the Issuer. The agent may substitute 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Signature:</w:t>
      </w:r>
    </w:p>
    <w:p>
      <w:pPr>
        <w:spacing w:after="0" w:line="200" w:lineRule="exact"/>
        <w:rPr>
          <w:sz w:val="20"/>
          <w:szCs w:val="20"/>
          <w:color w:val="auto"/>
        </w:rPr>
      </w:pPr>
    </w:p>
    <w:p>
      <w:pPr>
        <w:spacing w:after="0" w:line="255"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left="5440" w:right="1059" w:hanging="5432"/>
        <w:spacing w:after="0" w:line="653" w:lineRule="auto"/>
        <w:tabs>
          <w:tab w:leader="none" w:pos="14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426" w:name="page427"/>
    <w:bookmarkEnd w:id="426"/>
    <w:p>
      <w:pPr>
        <w:jc w:val="center"/>
        <w:ind w:right="-279"/>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If you want to elect to have this Note purchased by the Issuer pursuant to Section 4.10 or 4.14 of the Indenture, check the appropriate box below:</w:t>
      </w:r>
    </w:p>
    <w:p>
      <w:pPr>
        <w:spacing w:after="0" w:line="204" w:lineRule="exact"/>
        <w:rPr>
          <w:sz w:val="20"/>
          <w:szCs w:val="20"/>
          <w:color w:val="auto"/>
        </w:rPr>
      </w:pPr>
    </w:p>
    <w:p>
      <w:pPr>
        <w:ind w:left="4700" w:hanging="205"/>
        <w:spacing w:after="0" w:line="207" w:lineRule="exact"/>
        <w:tabs>
          <w:tab w:leader="none" w:pos="4700"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 xml:space="preserve">Section 4.10 </w:t>
      </w:r>
      <w:r>
        <w:rPr>
          <w:rFonts w:ascii="MS PGothic" w:cs="MS PGothic" w:eastAsia="MS PGothic" w:hAnsi="MS PGothic"/>
          <w:sz w:val="18"/>
          <w:szCs w:val="18"/>
          <w:color w:val="auto"/>
        </w:rPr>
        <w:t>☐</w:t>
      </w:r>
      <w:r>
        <w:rPr>
          <w:rFonts w:ascii="Arial" w:cs="Arial" w:eastAsia="Arial" w:hAnsi="Arial"/>
          <w:sz w:val="18"/>
          <w:szCs w:val="18"/>
          <w:color w:val="auto"/>
        </w:rPr>
        <w:t xml:space="preserve"> Section 4.14</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want to elect to have only part of the Note purchased by the Issuer pursuant to Section 4.10 or Section 4.14 of the Indenture, state the amount you elect to have purchased:</w:t>
      </w:r>
    </w:p>
    <w:p>
      <w:pPr>
        <w:spacing w:after="0" w:line="1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Tax Identification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left="5440" w:right="1900" w:hanging="5432"/>
        <w:spacing w:after="0" w:line="653" w:lineRule="auto"/>
        <w:tabs>
          <w:tab w:leader="none" w:pos="1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260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980"/>
          </w:cols>
          <w:pgMar w:left="320" w:top="341" w:right="599" w:bottom="1440" w:gutter="0" w:footer="0" w:header="0"/>
        </w:sectPr>
      </w:pPr>
    </w:p>
    <w:bookmarkStart w:id="427" w:name="page428"/>
    <w:bookmarkEnd w:id="427"/>
    <w:p>
      <w:pPr>
        <w:jc w:val="center"/>
        <w:ind w:right="-99"/>
        <w:spacing w:after="0"/>
        <w:rPr>
          <w:sz w:val="20"/>
          <w:szCs w:val="20"/>
          <w:color w:val="auto"/>
        </w:rPr>
      </w:pPr>
      <w:r>
        <w:rPr>
          <w:rFonts w:ascii="Arial" w:cs="Arial" w:eastAsia="Arial" w:hAnsi="Arial"/>
          <w:sz w:val="18"/>
          <w:szCs w:val="18"/>
          <w:color w:val="auto"/>
        </w:rPr>
        <w:t>SCHEDULE OF EXCHANGES OF INTERESTS IN THE GLOBAL NOTE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an interest in another Global Note or for a Definitive Note, or exchanges of a part of another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Global Note or Definitive Note for an interest in this Global Note, have been made:</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this Global</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 in</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 in</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following</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authorized</w:t>
            </w: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such</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signatory</w:t>
            </w: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4"/>
              </w:rPr>
              <w:t>decrease</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of Trustee</w:t>
            </w: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this Global</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this Global</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(or</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or</w:t>
            </w:r>
          </w:p>
        </w:tc>
      </w:tr>
      <w:tr>
        <w:trPr>
          <w:trHeight w:val="2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Exchange</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increase)</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830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40" w:hanging="132"/>
        <w:spacing w:after="0"/>
        <w:tabs>
          <w:tab w:leader="none" w:pos="140" w:val="left"/>
        </w:tabs>
        <w:numPr>
          <w:ilvl w:val="0"/>
          <w:numId w:val="492"/>
        </w:numPr>
        <w:rPr>
          <w:rFonts w:ascii="Arial" w:cs="Arial" w:eastAsia="Arial" w:hAnsi="Arial"/>
          <w:sz w:val="18"/>
          <w:szCs w:val="18"/>
          <w:color w:val="auto"/>
        </w:rPr>
      </w:pPr>
      <w:r>
        <w:rPr>
          <w:rFonts w:ascii="Arial" w:cs="Arial" w:eastAsia="Arial" w:hAnsi="Arial"/>
          <w:sz w:val="18"/>
          <w:szCs w:val="18"/>
          <w:i w:val="1"/>
          <w:iCs w:val="1"/>
          <w:color w:val="auto"/>
        </w:rPr>
        <w:t>This schedule should be included only if the Note is issued in global form</w:t>
      </w:r>
      <w:r>
        <w:rPr>
          <w:rFonts w:ascii="Arial" w:cs="Arial" w:eastAsia="Arial" w:hAnsi="Arial"/>
          <w:sz w:val="18"/>
          <w:szCs w:val="18"/>
          <w:color w:val="auto"/>
        </w:rPr>
        <w:t>.</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428" w:name="page429"/>
    <w:bookmarkEnd w:id="428"/>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Indigo Merger Sub,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ICON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 with a copy to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Libhin.NicGabhann@iconplc.com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ICON General Counsel: Diarmaid.Cunningham@iconplc.com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+353 1 2912000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2.875% Senior Secured Notes due 2026</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Reference is hereby made to the Indenture, dated as of July 1,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Indigo Merger Sub, Inc. (“</w:t>
      </w:r>
      <w:r>
        <w:rPr>
          <w:rFonts w:ascii="Arial" w:cs="Arial" w:eastAsia="Arial" w:hAnsi="Arial"/>
          <w:sz w:val="18"/>
          <w:szCs w:val="18"/>
          <w:i w:val="1"/>
          <w:iCs w:val="1"/>
          <w:color w:val="auto"/>
        </w:rPr>
        <w:t>Merger Sub</w:t>
      </w:r>
      <w:r>
        <w:rPr>
          <w:rFonts w:ascii="Arial" w:cs="Arial" w:eastAsia="Arial" w:hAnsi="Arial"/>
          <w:sz w:val="18"/>
          <w:szCs w:val="18"/>
          <w:color w:val="auto"/>
        </w:rPr>
        <w:t>” or the “</w:t>
      </w:r>
      <w:r>
        <w:rPr>
          <w:rFonts w:ascii="Arial" w:cs="Arial" w:eastAsia="Arial" w:hAnsi="Arial"/>
          <w:sz w:val="18"/>
          <w:szCs w:val="18"/>
          <w:i w:val="1"/>
          <w:iCs w:val="1"/>
          <w:color w:val="auto"/>
        </w:rPr>
        <w:t>Issuer</w:t>
      </w:r>
      <w:r>
        <w:rPr>
          <w:rFonts w:ascii="Arial" w:cs="Arial" w:eastAsia="Arial" w:hAnsi="Arial"/>
          <w:sz w:val="18"/>
          <w:szCs w:val="18"/>
          <w:color w:val="auto"/>
        </w:rPr>
        <w:t>” prior to consummation of the Merger), PRA Health Sciences, Inc. (“</w:t>
      </w:r>
      <w:r>
        <w:rPr>
          <w:rFonts w:ascii="Arial" w:cs="Arial" w:eastAsia="Arial" w:hAnsi="Arial"/>
          <w:sz w:val="18"/>
          <w:szCs w:val="18"/>
          <w:i w:val="1"/>
          <w:iCs w:val="1"/>
          <w:color w:val="auto"/>
        </w:rPr>
        <w:t>PRA</w:t>
      </w:r>
      <w:r>
        <w:rPr>
          <w:rFonts w:ascii="Arial" w:cs="Arial" w:eastAsia="Arial" w:hAnsi="Arial"/>
          <w:sz w:val="18"/>
          <w:szCs w:val="18"/>
          <w:color w:val="auto"/>
        </w:rPr>
        <w:t>” and upon and after consummation of the Merger, the “</w:t>
      </w:r>
      <w:r>
        <w:rPr>
          <w:rFonts w:ascii="Arial" w:cs="Arial" w:eastAsia="Arial" w:hAnsi="Arial"/>
          <w:sz w:val="18"/>
          <w:szCs w:val="18"/>
          <w:i w:val="1"/>
          <w:iCs w:val="1"/>
          <w:color w:val="auto"/>
        </w:rPr>
        <w:t>Issuer</w:t>
      </w:r>
      <w:r>
        <w:rPr>
          <w:rFonts w:ascii="Arial" w:cs="Arial" w:eastAsia="Arial" w:hAnsi="Arial"/>
          <w:sz w:val="18"/>
          <w:szCs w:val="18"/>
          <w:color w:val="auto"/>
        </w:rPr>
        <w:t>”), the Guarantors party thereto and Citibank, N.A., London Branch, as trustee and as notes collateral agent. Capitalized terms used but not defined herein shall have the meanings given to them in the Indenture.</w:t>
      </w:r>
    </w:p>
    <w:p>
      <w:pPr>
        <w:spacing w:after="0" w:line="187" w:lineRule="exact"/>
        <w:rPr>
          <w:sz w:val="20"/>
          <w:szCs w:val="20"/>
          <w:color w:val="auto"/>
        </w:rPr>
      </w:pPr>
    </w:p>
    <w:p>
      <w:pPr>
        <w:ind w:right="160" w:firstLine="8"/>
        <w:spacing w:after="0" w:line="263" w:lineRule="auto"/>
        <w:tabs>
          <w:tab w:leader="none" w:pos="9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Transferor</w:t>
      </w:r>
      <w:r>
        <w:rPr>
          <w:rFonts w:ascii="Arial" w:cs="Arial" w:eastAsia="Arial" w:hAnsi="Arial"/>
          <w:sz w:val="18"/>
          <w:szCs w:val="18"/>
          <w:color w:val="auto"/>
        </w:rPr>
        <w:t>”) owns and proposes to transfer the Note[s] or interest in such Note[s] specified in Annex A hereto, in the principal amount of $ 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 (the “</w:t>
      </w:r>
      <w:r>
        <w:rPr>
          <w:rFonts w:ascii="Arial" w:cs="Arial" w:eastAsia="Arial" w:hAnsi="Arial"/>
          <w:sz w:val="18"/>
          <w:szCs w:val="18"/>
          <w:i w:val="1"/>
          <w:iCs w:val="1"/>
          <w:color w:val="auto"/>
        </w:rPr>
        <w:t>Transferee</w:t>
      </w:r>
      <w:r>
        <w:rPr>
          <w:rFonts w:ascii="Arial" w:cs="Arial" w:eastAsia="Arial" w:hAnsi="Arial"/>
          <w:sz w:val="18"/>
          <w:szCs w:val="18"/>
          <w:color w:val="auto"/>
        </w:rPr>
        <w:t>”), as further specified in Annex A hereto. In connection with the Transfer, the Transferor hereby certifies that: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ind w:left="460" w:hanging="452"/>
        <w:spacing w:after="0" w:line="184" w:lineRule="exact"/>
        <w:tabs>
          <w:tab w:leader="none" w:pos="460" w:val="left"/>
        </w:tabs>
        <w:numPr>
          <w:ilvl w:val="0"/>
          <w:numId w:val="49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144A Global Note or a Restricted Definitive Note pursuant to Rule</w:t>
      </w:r>
    </w:p>
    <w:p>
      <w:pPr>
        <w:spacing w:after="0" w:line="80" w:lineRule="exact"/>
        <w:rPr>
          <w:rFonts w:ascii="Arial" w:cs="Arial" w:eastAsia="Arial" w:hAnsi="Arial"/>
          <w:sz w:val="16"/>
          <w:szCs w:val="16"/>
          <w:color w:val="auto"/>
        </w:rPr>
      </w:pPr>
    </w:p>
    <w:p>
      <w:pPr>
        <w:ind w:right="60"/>
        <w:spacing w:after="0" w:line="268" w:lineRule="auto"/>
        <w:rPr>
          <w:rFonts w:ascii="Arial" w:cs="Arial" w:eastAsia="Arial" w:hAnsi="Arial"/>
          <w:sz w:val="16"/>
          <w:szCs w:val="16"/>
          <w:color w:val="auto"/>
        </w:rPr>
      </w:pPr>
      <w:r>
        <w:rPr>
          <w:rFonts w:ascii="Arial" w:cs="Arial" w:eastAsia="Arial" w:hAnsi="Arial"/>
          <w:sz w:val="17"/>
          <w:szCs w:val="17"/>
          <w:b w:val="1"/>
          <w:bCs w:val="1"/>
          <w:u w:val="single" w:color="auto"/>
          <w:color w:val="auto"/>
        </w:rPr>
        <w:t>144A</w:t>
      </w:r>
      <w:r>
        <w:rPr>
          <w:rFonts w:ascii="Arial" w:cs="Arial" w:eastAsia="Arial" w:hAnsi="Arial"/>
          <w:sz w:val="17"/>
          <w:szCs w:val="17"/>
          <w:color w:val="auto"/>
        </w:rPr>
        <w:t>. The Transfer is being effected pursuant to and in accordance with Rule 144A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29" w:name="page430"/>
    <w:bookmarkEnd w:id="429"/>
    <w:p>
      <w:pPr>
        <w:ind w:right="60" w:firstLine="8"/>
        <w:spacing w:after="0" w:line="220" w:lineRule="exact"/>
        <w:tabs>
          <w:tab w:leader="none" w:pos="450" w:val="left"/>
        </w:tabs>
        <w:numPr>
          <w:ilvl w:val="0"/>
          <w:numId w:val="49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 Note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Regulation S</w:t>
      </w:r>
      <w:r>
        <w:rPr>
          <w:rFonts w:ascii="Arial" w:cs="Arial" w:eastAsia="Arial" w:hAnsi="Arial"/>
          <w:sz w:val="16"/>
          <w:szCs w:val="16"/>
          <w:color w:val="auto"/>
        </w:rPr>
        <w:t>. The Transfer is being effected pursuant to and in accordance with Rule 903 or Rule 904 under the Securities Act and, accordingly,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distribution compliance period (as defined in Regulation S),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77" w:lineRule="exact"/>
        <w:rPr>
          <w:rFonts w:ascii="Arial" w:cs="Arial" w:eastAsia="Arial" w:hAnsi="Arial"/>
          <w:sz w:val="16"/>
          <w:szCs w:val="16"/>
          <w:color w:val="auto"/>
        </w:rPr>
      </w:pPr>
    </w:p>
    <w:p>
      <w:pPr>
        <w:jc w:val="both"/>
        <w:ind w:firstLine="8"/>
        <w:spacing w:after="0" w:line="228" w:lineRule="exact"/>
        <w:tabs>
          <w:tab w:leader="none" w:pos="450" w:val="left"/>
        </w:tabs>
        <w:numPr>
          <w:ilvl w:val="0"/>
          <w:numId w:val="49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the IAI Global Note or a Restricted Definitive Note pursuant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to any provision of the Securities Act other than Rule 144A or Regulation S</w:t>
      </w:r>
      <w:r>
        <w:rPr>
          <w:rFonts w:ascii="Arial" w:cs="Arial" w:eastAsia="Arial" w:hAnsi="Arial"/>
          <w:sz w:val="16"/>
          <w:szCs w:val="16"/>
          <w:color w:val="auto"/>
        </w:rPr>
        <w:t>. The Transfer is being effected in compliance with the 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69" w:lineRule="exact"/>
        <w:rPr>
          <w:rFonts w:ascii="Arial" w:cs="Arial" w:eastAsia="Arial" w:hAnsi="Arial"/>
          <w:sz w:val="16"/>
          <w:szCs w:val="16"/>
          <w:color w:val="auto"/>
        </w:rPr>
      </w:pPr>
    </w:p>
    <w:p>
      <w:pPr>
        <w:ind w:left="1300" w:hanging="644"/>
        <w:spacing w:after="0" w:line="207" w:lineRule="exact"/>
        <w:tabs>
          <w:tab w:leader="none" w:pos="1300" w:val="left"/>
        </w:tabs>
        <w:numPr>
          <w:ilvl w:val="1"/>
          <w:numId w:val="49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 or</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1"/>
          <w:numId w:val="49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Issuer or a subsidiary thereof; or</w:t>
      </w:r>
    </w:p>
    <w:p>
      <w:pPr>
        <w:spacing w:after="0" w:line="225" w:lineRule="exact"/>
        <w:rPr>
          <w:rFonts w:ascii="Arial" w:cs="Arial" w:eastAsia="Arial" w:hAnsi="Arial"/>
          <w:sz w:val="18"/>
          <w:szCs w:val="18"/>
          <w:color w:val="auto"/>
        </w:rPr>
      </w:pPr>
    </w:p>
    <w:p>
      <w:pPr>
        <w:ind w:left="1300" w:right="420" w:hanging="644"/>
        <w:spacing w:after="0" w:line="239" w:lineRule="exact"/>
        <w:tabs>
          <w:tab w:leader="none" w:pos="1300" w:val="left"/>
        </w:tabs>
        <w:numPr>
          <w:ilvl w:val="1"/>
          <w:numId w:val="49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 or</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430" w:name="page431"/>
    <w:bookmarkEnd w:id="430"/>
    <w:p>
      <w:pPr>
        <w:ind w:left="1292" w:hanging="644"/>
        <w:spacing w:after="0" w:line="221" w:lineRule="exact"/>
        <w:tabs>
          <w:tab w:leader="none" w:pos="1292" w:val="left"/>
        </w:tabs>
        <w:numPr>
          <w:ilvl w:val="1"/>
          <w:numId w:val="49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5" w:lineRule="exact"/>
        <w:rPr>
          <w:rFonts w:ascii="Arial" w:cs="Arial" w:eastAsia="Arial" w:hAnsi="Arial"/>
          <w:sz w:val="16"/>
          <w:szCs w:val="16"/>
          <w:color w:val="auto"/>
        </w:rPr>
      </w:pPr>
    </w:p>
    <w:p>
      <w:pPr>
        <w:ind w:left="452" w:hanging="452"/>
        <w:spacing w:after="0" w:line="196" w:lineRule="exact"/>
        <w:tabs>
          <w:tab w:leader="none" w:pos="452" w:val="left"/>
        </w:tabs>
        <w:numPr>
          <w:ilvl w:val="0"/>
          <w:numId w:val="49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292" w:right="20" w:hanging="644"/>
        <w:spacing w:after="0" w:line="224" w:lineRule="exact"/>
        <w:tabs>
          <w:tab w:leader="none" w:pos="1292" w:val="left"/>
        </w:tabs>
        <w:numPr>
          <w:ilvl w:val="1"/>
          <w:numId w:val="49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Rule 144</w:t>
      </w:r>
      <w:r>
        <w:rPr>
          <w:rFonts w:ascii="Arial" w:cs="Arial" w:eastAsia="Arial" w:hAnsi="Arial"/>
          <w:sz w:val="16"/>
          <w:szCs w:val="16"/>
          <w:color w:val="auto"/>
        </w:rPr>
        <w:t>. (i) The Transfer is being effected pursuant to and in accordance with Rule 144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6"/>
          <w:szCs w:val="16"/>
          <w:color w:val="auto"/>
        </w:rPr>
      </w:pPr>
    </w:p>
    <w:p>
      <w:pPr>
        <w:ind w:left="1292" w:right="40" w:hanging="644"/>
        <w:spacing w:after="0" w:line="223" w:lineRule="exact"/>
        <w:tabs>
          <w:tab w:leader="none" w:pos="1292" w:val="left"/>
        </w:tabs>
        <w:numPr>
          <w:ilvl w:val="1"/>
          <w:numId w:val="49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Regulation S</w:t>
      </w:r>
      <w:r>
        <w:rPr>
          <w:rFonts w:ascii="Arial" w:cs="Arial" w:eastAsia="Arial" w:hAnsi="Arial"/>
          <w:sz w:val="18"/>
          <w:szCs w:val="18"/>
          <w:color w:val="auto"/>
        </w:rPr>
        <w:t>. (i) The Transfer is being effected pursuant to and in accordance with Rule 903 or</w:t>
      </w:r>
      <w:r>
        <w:rPr>
          <w:rFonts w:ascii="Arial" w:cs="Arial" w:eastAsia="Arial" w:hAnsi="Arial"/>
          <w:sz w:val="18"/>
          <w:szCs w:val="18"/>
          <w:b w:val="1"/>
          <w:bCs w:val="1"/>
          <w:color w:val="auto"/>
        </w:rPr>
        <w:t xml:space="preserve"> </w:t>
      </w:r>
      <w:r>
        <w:rPr>
          <w:rFonts w:ascii="Arial" w:cs="Arial" w:eastAsia="Arial" w:hAnsi="Arial"/>
          <w:sz w:val="18"/>
          <w:szCs w:val="18"/>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31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72"/>
          </w:cols>
          <w:pgMar w:left="328" w:top="308" w:right="399" w:bottom="1440" w:gutter="0" w:footer="0" w:header="0"/>
        </w:sectPr>
      </w:pPr>
    </w:p>
    <w:bookmarkStart w:id="431" w:name="page432"/>
    <w:bookmarkEnd w:id="431"/>
    <w:p>
      <w:pPr>
        <w:ind w:left="1300" w:hanging="644"/>
        <w:spacing w:after="0" w:line="223" w:lineRule="exact"/>
        <w:tabs>
          <w:tab w:leader="none" w:pos="1300" w:val="left"/>
        </w:tabs>
        <w:numPr>
          <w:ilvl w:val="0"/>
          <w:numId w:val="49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Other Exemption</w:t>
      </w:r>
      <w:r>
        <w:rPr>
          <w:rFonts w:ascii="Arial" w:cs="Arial" w:eastAsia="Arial" w:hAnsi="Arial"/>
          <w:sz w:val="17"/>
          <w:szCs w:val="17"/>
          <w:color w:val="auto"/>
        </w:rPr>
        <w:t>. (i) The Transfer is being effected pursuant to and in compliance with an</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308" w:right="379" w:bottom="1440" w:gutter="0" w:footer="0" w:header="0"/>
        </w:sectPr>
      </w:pPr>
    </w:p>
    <w:bookmarkStart w:id="432" w:name="page433"/>
    <w:bookmarkEnd w:id="432"/>
    <w:p>
      <w:pPr>
        <w:jc w:val="right"/>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Indigo Merger Sub,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ICON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 with a copy to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Libhin.NicGabhann@iconplc.com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ICON General Counsel: Diarmaid.Cunningham@iconplc.com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+353 1 2912000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2.875% Senior Secured Notes due 2026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Reference is hereby made to the Indenture, dated as of July 1,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Indigo Merger Sub, Inc. (“</w:t>
      </w:r>
      <w:r>
        <w:rPr>
          <w:rFonts w:ascii="Arial" w:cs="Arial" w:eastAsia="Arial" w:hAnsi="Arial"/>
          <w:sz w:val="18"/>
          <w:szCs w:val="18"/>
          <w:i w:val="1"/>
          <w:iCs w:val="1"/>
          <w:color w:val="auto"/>
        </w:rPr>
        <w:t>Merger Sub</w:t>
      </w:r>
      <w:r>
        <w:rPr>
          <w:rFonts w:ascii="Arial" w:cs="Arial" w:eastAsia="Arial" w:hAnsi="Arial"/>
          <w:sz w:val="18"/>
          <w:szCs w:val="18"/>
          <w:color w:val="auto"/>
        </w:rPr>
        <w:t>” or the “</w:t>
      </w:r>
      <w:r>
        <w:rPr>
          <w:rFonts w:ascii="Arial" w:cs="Arial" w:eastAsia="Arial" w:hAnsi="Arial"/>
          <w:sz w:val="18"/>
          <w:szCs w:val="18"/>
          <w:i w:val="1"/>
          <w:iCs w:val="1"/>
          <w:color w:val="auto"/>
        </w:rPr>
        <w:t>Issuer</w:t>
      </w:r>
      <w:r>
        <w:rPr>
          <w:rFonts w:ascii="Arial" w:cs="Arial" w:eastAsia="Arial" w:hAnsi="Arial"/>
          <w:sz w:val="18"/>
          <w:szCs w:val="18"/>
          <w:color w:val="auto"/>
        </w:rPr>
        <w:t>” prior to consummation of the Merger), PRA Health Sciences, Inc. (“</w:t>
      </w:r>
      <w:r>
        <w:rPr>
          <w:rFonts w:ascii="Arial" w:cs="Arial" w:eastAsia="Arial" w:hAnsi="Arial"/>
          <w:sz w:val="18"/>
          <w:szCs w:val="18"/>
          <w:i w:val="1"/>
          <w:iCs w:val="1"/>
          <w:color w:val="auto"/>
        </w:rPr>
        <w:t>PRA</w:t>
      </w:r>
      <w:r>
        <w:rPr>
          <w:rFonts w:ascii="Arial" w:cs="Arial" w:eastAsia="Arial" w:hAnsi="Arial"/>
          <w:sz w:val="18"/>
          <w:szCs w:val="18"/>
          <w:color w:val="auto"/>
        </w:rPr>
        <w:t>” and upon and after consummation of the Merger, the “</w:t>
      </w:r>
      <w:r>
        <w:rPr>
          <w:rFonts w:ascii="Arial" w:cs="Arial" w:eastAsia="Arial" w:hAnsi="Arial"/>
          <w:sz w:val="18"/>
          <w:szCs w:val="18"/>
          <w:i w:val="1"/>
          <w:iCs w:val="1"/>
          <w:color w:val="auto"/>
        </w:rPr>
        <w:t>Issuer</w:t>
      </w:r>
      <w:r>
        <w:rPr>
          <w:rFonts w:ascii="Arial" w:cs="Arial" w:eastAsia="Arial" w:hAnsi="Arial"/>
          <w:sz w:val="18"/>
          <w:szCs w:val="18"/>
          <w:color w:val="auto"/>
        </w:rPr>
        <w:t>”), the Guarantors party thereto and Citibank, N.A., London Branch, as trustee and as notes collateral agent. Capitalized terms used but not defined herein shall have the meanings given to them in the Indenture.</w:t>
      </w:r>
    </w:p>
    <w:p>
      <w:pPr>
        <w:spacing w:after="0" w:line="187" w:lineRule="exact"/>
        <w:rPr>
          <w:sz w:val="20"/>
          <w:szCs w:val="20"/>
          <w:color w:val="auto"/>
        </w:rPr>
      </w:pPr>
    </w:p>
    <w:p>
      <w:pPr>
        <w:ind w:right="540" w:firstLine="656"/>
        <w:spacing w:after="0" w:line="277" w:lineRule="auto"/>
        <w:tabs>
          <w:tab w:leader="none" w:pos="738" w:val="left"/>
        </w:tabs>
        <w:numPr>
          <w:ilvl w:val="1"/>
          <w:numId w:val="49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Owner</w:t>
      </w:r>
      <w:r>
        <w:rPr>
          <w:rFonts w:ascii="Arial" w:cs="Arial" w:eastAsia="Arial" w:hAnsi="Arial"/>
          <w:sz w:val="18"/>
          <w:szCs w:val="18"/>
          <w:color w:val="auto"/>
        </w:rPr>
        <w:t>”) owns and proposes to exchange the Note[s] or interest in such Note[s] specified herein, in the principal amount of $ in 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p>
      <w:pPr>
        <w:spacing w:after="0" w:line="166" w:lineRule="exact"/>
        <w:rPr>
          <w:rFonts w:ascii="Arial" w:cs="Arial" w:eastAsia="Arial" w:hAnsi="Arial"/>
          <w:sz w:val="18"/>
          <w:szCs w:val="18"/>
          <w:color w:val="auto"/>
        </w:rPr>
      </w:pPr>
    </w:p>
    <w:p>
      <w:pPr>
        <w:ind w:right="300" w:firstLine="8"/>
        <w:spacing w:after="0" w:line="282" w:lineRule="auto"/>
        <w:tabs>
          <w:tab w:leader="none" w:pos="450" w:val="left"/>
        </w:tabs>
        <w:numPr>
          <w:ilvl w:val="0"/>
          <w:numId w:val="499"/>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3" w:lineRule="exact"/>
        <w:rPr>
          <w:sz w:val="20"/>
          <w:szCs w:val="20"/>
          <w:color w:val="auto"/>
        </w:rPr>
      </w:pPr>
    </w:p>
    <w:p>
      <w:pPr>
        <w:ind w:left="1300" w:right="20" w:hanging="644"/>
        <w:spacing w:after="0" w:line="222" w:lineRule="exact"/>
        <w:tabs>
          <w:tab w:leader="none" w:pos="1300" w:val="left"/>
        </w:tabs>
        <w:numPr>
          <w:ilvl w:val="0"/>
          <w:numId w:val="50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beneficial interest in a Restricted Global Note to beneficial interest in an Unrestricted Global Note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3" w:name="page434"/>
    <w:bookmarkEnd w:id="433"/>
    <w:p>
      <w:pPr>
        <w:ind w:left="644" w:right="20" w:hanging="644"/>
        <w:spacing w:after="0" w:line="240" w:lineRule="exact"/>
        <w:tabs>
          <w:tab w:leader="none" w:pos="644" w:val="left"/>
        </w:tabs>
        <w:numPr>
          <w:ilvl w:val="0"/>
          <w:numId w:val="50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Unrestricted Definitive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Owner’s beneficial interest in a Restricted Global Note for an Unrestricted Definitive Note, the Owner hereby certifies</w:t>
      </w:r>
    </w:p>
    <w:p>
      <w:pPr>
        <w:ind w:left="644" w:right="100" w:firstLine="4"/>
        <w:spacing w:after="0" w:line="253" w:lineRule="auto"/>
        <w:tabs>
          <w:tab w:leader="none" w:pos="859" w:val="left"/>
        </w:tabs>
        <w:numPr>
          <w:ilvl w:val="1"/>
          <w:numId w:val="501"/>
        </w:numPr>
        <w:rPr>
          <w:rFonts w:ascii="Arial" w:cs="Arial" w:eastAsia="Arial" w:hAnsi="Arial"/>
          <w:sz w:val="18"/>
          <w:szCs w:val="18"/>
          <w:color w:val="auto"/>
        </w:rPr>
      </w:pPr>
      <w:r>
        <w:rPr>
          <w:rFonts w:ascii="Arial" w:cs="Arial" w:eastAsia="Arial" w:hAnsi="Arial"/>
          <w:sz w:val="18"/>
          <w:szCs w:val="18"/>
          <w:color w:val="auto"/>
        </w:rPr>
        <w:t>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58" w:lineRule="exact"/>
        <w:rPr>
          <w:rFonts w:ascii="Arial" w:cs="Arial" w:eastAsia="Arial" w:hAnsi="Arial"/>
          <w:sz w:val="18"/>
          <w:szCs w:val="18"/>
          <w:color w:val="auto"/>
        </w:rPr>
      </w:pPr>
    </w:p>
    <w:p>
      <w:pPr>
        <w:ind w:left="644" w:right="20" w:hanging="644"/>
        <w:spacing w:after="0" w:line="240" w:lineRule="exact"/>
        <w:tabs>
          <w:tab w:leader="none" w:pos="644" w:val="left"/>
        </w:tabs>
        <w:numPr>
          <w:ilvl w:val="0"/>
          <w:numId w:val="50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an Unrestricted Global Note</w:t>
      </w:r>
      <w:r>
        <w:rPr>
          <w:rFonts w:ascii="Arial" w:cs="Arial" w:eastAsia="Arial" w:hAnsi="Arial"/>
          <w:sz w:val="16"/>
          <w:szCs w:val="16"/>
          <w:color w:val="auto"/>
        </w:rPr>
        <w:t>.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Owner’s Exchange of a Restricted Definitive Note for a beneficial interest in an Unrestricted Global Note, the Owner hereby certifies</w:t>
      </w:r>
    </w:p>
    <w:p>
      <w:pPr>
        <w:ind w:left="644" w:right="20" w:firstLine="4"/>
        <w:spacing w:after="0" w:line="253" w:lineRule="auto"/>
        <w:tabs>
          <w:tab w:leader="none" w:pos="859" w:val="left"/>
        </w:tabs>
        <w:numPr>
          <w:ilvl w:val="1"/>
          <w:numId w:val="501"/>
        </w:numPr>
        <w:rPr>
          <w:rFonts w:ascii="Arial" w:cs="Arial" w:eastAsia="Arial" w:hAnsi="Arial"/>
          <w:sz w:val="18"/>
          <w:szCs w:val="18"/>
          <w:color w:val="auto"/>
        </w:rPr>
      </w:pPr>
      <w:r>
        <w:rPr>
          <w:rFonts w:ascii="Arial" w:cs="Arial" w:eastAsia="Arial" w:hAnsi="Arial"/>
          <w:sz w:val="18"/>
          <w:szCs w:val="18"/>
          <w:color w:val="auto"/>
        </w:rPr>
        <w:t>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58" w:lineRule="exact"/>
        <w:rPr>
          <w:rFonts w:ascii="Arial" w:cs="Arial" w:eastAsia="Arial" w:hAnsi="Arial"/>
          <w:sz w:val="18"/>
          <w:szCs w:val="18"/>
          <w:color w:val="auto"/>
        </w:rPr>
      </w:pPr>
    </w:p>
    <w:p>
      <w:pPr>
        <w:ind w:left="644" w:hanging="644"/>
        <w:spacing w:after="0" w:line="223" w:lineRule="exact"/>
        <w:tabs>
          <w:tab w:leader="none" w:pos="644" w:val="left"/>
        </w:tabs>
        <w:numPr>
          <w:ilvl w:val="0"/>
          <w:numId w:val="50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Unrestricted Definitive Note</w:t>
      </w:r>
      <w:r>
        <w:rPr>
          <w:rFonts w:ascii="Arial" w:cs="Arial" w:eastAsia="Arial" w:hAnsi="Arial"/>
          <w:sz w:val="18"/>
          <w:szCs w:val="18"/>
          <w:color w:val="auto"/>
        </w:rPr>
        <w:t>. In connection with the Owner’s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31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44"/>
          </w:cols>
          <w:pgMar w:left="976" w:top="308" w:right="379" w:bottom="1440" w:gutter="0" w:footer="0" w:header="0"/>
        </w:sectPr>
      </w:pPr>
    </w:p>
    <w:bookmarkStart w:id="434" w:name="page435"/>
    <w:bookmarkEnd w:id="434"/>
    <w:p>
      <w:pPr>
        <w:ind w:right="540" w:firstLine="8"/>
        <w:spacing w:after="0" w:line="282" w:lineRule="auto"/>
        <w:tabs>
          <w:tab w:leader="none" w:pos="450"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2" w:lineRule="exact"/>
        <w:rPr>
          <w:rFonts w:ascii="Arial" w:cs="Arial" w:eastAsia="Arial" w:hAnsi="Arial"/>
          <w:sz w:val="18"/>
          <w:szCs w:val="18"/>
          <w:b w:val="1"/>
          <w:bCs w:val="1"/>
          <w:color w:val="auto"/>
        </w:rPr>
      </w:pPr>
    </w:p>
    <w:p>
      <w:pPr>
        <w:ind w:left="1300" w:right="120" w:hanging="644"/>
        <w:spacing w:after="0" w:line="224" w:lineRule="exact"/>
        <w:tabs>
          <w:tab w:leader="none" w:pos="1300" w:val="left"/>
        </w:tabs>
        <w:numPr>
          <w:ilvl w:val="1"/>
          <w:numId w:val="50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beneficial interest in a Restricted Global Note to Restricted Definitive Note</w:t>
      </w:r>
      <w:r>
        <w:rPr>
          <w:rFonts w:ascii="Arial" w:cs="Arial" w:eastAsia="Arial" w:hAnsi="Arial"/>
          <w:sz w:val="18"/>
          <w:szCs w:val="18"/>
          <w:color w:val="auto"/>
        </w:rPr>
        <w: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1" w:lineRule="exact"/>
        <w:rPr>
          <w:rFonts w:ascii="Arial" w:cs="Arial" w:eastAsia="Arial" w:hAnsi="Arial"/>
          <w:sz w:val="18"/>
          <w:szCs w:val="18"/>
          <w:color w:val="auto"/>
        </w:rPr>
      </w:pPr>
    </w:p>
    <w:p>
      <w:pPr>
        <w:ind w:left="1300" w:hanging="644"/>
        <w:spacing w:after="0" w:line="222" w:lineRule="exact"/>
        <w:tabs>
          <w:tab w:leader="none" w:pos="1300" w:val="left"/>
        </w:tabs>
        <w:numPr>
          <w:ilvl w:val="1"/>
          <w:numId w:val="50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of the 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5" w:name="page436"/>
    <w:bookmarkEnd w:id="435"/>
    <w:p>
      <w:pPr>
        <w:jc w:val="right"/>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 ACQUIRING INSTITUTIONAL ACCREDITED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Indigo Merger Sub,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ICON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 with a copy to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Libhin.NicGabhann@iconplc.com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ICON General Counsel: Diarmaid.Cunningham@iconplc.com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+353 1 2912000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2.875% Senior Secured Notes due 2026</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Reference is hereby made to the Indenture, dated as of July 1,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Indigo Merger Sub, Inc. (“</w:t>
      </w:r>
      <w:r>
        <w:rPr>
          <w:rFonts w:ascii="Arial" w:cs="Arial" w:eastAsia="Arial" w:hAnsi="Arial"/>
          <w:sz w:val="18"/>
          <w:szCs w:val="18"/>
          <w:i w:val="1"/>
          <w:iCs w:val="1"/>
          <w:color w:val="auto"/>
        </w:rPr>
        <w:t>Merger Sub</w:t>
      </w:r>
      <w:r>
        <w:rPr>
          <w:rFonts w:ascii="Arial" w:cs="Arial" w:eastAsia="Arial" w:hAnsi="Arial"/>
          <w:sz w:val="18"/>
          <w:szCs w:val="18"/>
          <w:color w:val="auto"/>
        </w:rPr>
        <w:t>” or the “</w:t>
      </w:r>
      <w:r>
        <w:rPr>
          <w:rFonts w:ascii="Arial" w:cs="Arial" w:eastAsia="Arial" w:hAnsi="Arial"/>
          <w:sz w:val="18"/>
          <w:szCs w:val="18"/>
          <w:i w:val="1"/>
          <w:iCs w:val="1"/>
          <w:color w:val="auto"/>
        </w:rPr>
        <w:t>Issuer</w:t>
      </w:r>
      <w:r>
        <w:rPr>
          <w:rFonts w:ascii="Arial" w:cs="Arial" w:eastAsia="Arial" w:hAnsi="Arial"/>
          <w:sz w:val="18"/>
          <w:szCs w:val="18"/>
          <w:color w:val="auto"/>
        </w:rPr>
        <w:t>” prior to consummation of the Merger), PRA Health Sciences, Inc. (“</w:t>
      </w:r>
      <w:r>
        <w:rPr>
          <w:rFonts w:ascii="Arial" w:cs="Arial" w:eastAsia="Arial" w:hAnsi="Arial"/>
          <w:sz w:val="18"/>
          <w:szCs w:val="18"/>
          <w:i w:val="1"/>
          <w:iCs w:val="1"/>
          <w:color w:val="auto"/>
        </w:rPr>
        <w:t>PRA</w:t>
      </w:r>
      <w:r>
        <w:rPr>
          <w:rFonts w:ascii="Arial" w:cs="Arial" w:eastAsia="Arial" w:hAnsi="Arial"/>
          <w:sz w:val="18"/>
          <w:szCs w:val="18"/>
          <w:color w:val="auto"/>
        </w:rPr>
        <w:t>” and upon and after consummation of the Merger, the “</w:t>
      </w:r>
      <w:r>
        <w:rPr>
          <w:rFonts w:ascii="Arial" w:cs="Arial" w:eastAsia="Arial" w:hAnsi="Arial"/>
          <w:sz w:val="18"/>
          <w:szCs w:val="18"/>
          <w:i w:val="1"/>
          <w:iCs w:val="1"/>
          <w:color w:val="auto"/>
        </w:rPr>
        <w:t>Issuer</w:t>
      </w:r>
      <w:r>
        <w:rPr>
          <w:rFonts w:ascii="Arial" w:cs="Arial" w:eastAsia="Arial" w:hAnsi="Arial"/>
          <w:sz w:val="18"/>
          <w:szCs w:val="18"/>
          <w:color w:val="auto"/>
        </w:rPr>
        <w:t>”), the Guarantors party thereto and Citibank, N.A., London Branch, as trustee and as notes collateral agent. Capitalized terms used but not defined herein shall have the meanings given to them in the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proposed purchase of $ aggregate principal amount of:</w:t>
      </w:r>
    </w:p>
    <w:p>
      <w:pPr>
        <w:spacing w:after="0" w:line="192" w:lineRule="exact"/>
        <w:rPr>
          <w:sz w:val="20"/>
          <w:szCs w:val="20"/>
          <w:color w:val="auto"/>
        </w:rPr>
      </w:pPr>
    </w:p>
    <w:p>
      <w:pPr>
        <w:ind w:left="260" w:hanging="252"/>
        <w:spacing w:after="0" w:line="207" w:lineRule="exact"/>
        <w:tabs>
          <w:tab w:leader="none" w:pos="260" w:val="left"/>
        </w:tabs>
        <w:numPr>
          <w:ilvl w:val="0"/>
          <w:numId w:val="50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50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ind w:right="160" w:firstLine="8"/>
        <w:spacing w:after="0" w:line="263" w:lineRule="auto"/>
        <w:tabs>
          <w:tab w:leader="none" w:pos="447" w:val="left"/>
        </w:tabs>
        <w:numPr>
          <w:ilvl w:val="0"/>
          <w:numId w:val="504"/>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6" w:name="page437"/>
    <w:bookmarkEnd w:id="436"/>
    <w:p>
      <w:pPr>
        <w:ind w:firstLine="8"/>
        <w:spacing w:after="0" w:line="269" w:lineRule="auto"/>
        <w:tabs>
          <w:tab w:leader="none" w:pos="447" w:val="left"/>
        </w:tabs>
        <w:numPr>
          <w:ilvl w:val="0"/>
          <w:numId w:val="505"/>
        </w:numPr>
        <w:rPr>
          <w:rFonts w:ascii="Arial" w:cs="Arial" w:eastAsia="Arial" w:hAnsi="Arial"/>
          <w:sz w:val="17"/>
          <w:szCs w:val="17"/>
          <w:color w:val="auto"/>
        </w:rPr>
      </w:pPr>
      <w:r>
        <w:rPr>
          <w:rFonts w:ascii="Arial" w:cs="Arial" w:eastAsia="Arial" w:hAnsi="Arial"/>
          <w:sz w:val="17"/>
          <w:szCs w:val="17"/>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 (D) 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81" w:lineRule="exact"/>
        <w:rPr>
          <w:rFonts w:ascii="Arial" w:cs="Arial" w:eastAsia="Arial" w:hAnsi="Arial"/>
          <w:sz w:val="17"/>
          <w:szCs w:val="17"/>
          <w:color w:val="auto"/>
        </w:rPr>
      </w:pPr>
    </w:p>
    <w:p>
      <w:pPr>
        <w:jc w:val="both"/>
        <w:ind w:right="440" w:firstLine="8"/>
        <w:spacing w:after="0" w:line="286" w:lineRule="auto"/>
        <w:tabs>
          <w:tab w:leader="none" w:pos="447" w:val="left"/>
        </w:tabs>
        <w:numPr>
          <w:ilvl w:val="0"/>
          <w:numId w:val="505"/>
        </w:numPr>
        <w:rPr>
          <w:rFonts w:ascii="Arial" w:cs="Arial" w:eastAsia="Arial" w:hAnsi="Arial"/>
          <w:sz w:val="17"/>
          <w:szCs w:val="17"/>
          <w:color w:val="auto"/>
        </w:rPr>
      </w:pPr>
      <w:r>
        <w:rPr>
          <w:rFonts w:ascii="Arial" w:cs="Arial" w:eastAsia="Arial" w:hAnsi="Arial"/>
          <w:sz w:val="17"/>
          <w:szCs w:val="17"/>
          <w:color w:val="auto"/>
        </w:rPr>
        <w:t>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spacing w:after="0" w:line="165" w:lineRule="exact"/>
        <w:rPr>
          <w:rFonts w:ascii="Arial" w:cs="Arial" w:eastAsia="Arial" w:hAnsi="Arial"/>
          <w:sz w:val="17"/>
          <w:szCs w:val="17"/>
          <w:color w:val="auto"/>
        </w:rPr>
      </w:pPr>
    </w:p>
    <w:p>
      <w:pPr>
        <w:ind w:right="80" w:firstLine="8"/>
        <w:spacing w:after="0" w:line="263" w:lineRule="auto"/>
        <w:tabs>
          <w:tab w:leader="none" w:pos="447" w:val="left"/>
        </w:tabs>
        <w:numPr>
          <w:ilvl w:val="0"/>
          <w:numId w:val="505"/>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3" w:lineRule="exact"/>
        <w:rPr>
          <w:rFonts w:ascii="Arial" w:cs="Arial" w:eastAsia="Arial" w:hAnsi="Arial"/>
          <w:sz w:val="18"/>
          <w:szCs w:val="18"/>
          <w:color w:val="auto"/>
        </w:rPr>
      </w:pPr>
    </w:p>
    <w:p>
      <w:pPr>
        <w:ind w:right="440" w:firstLine="8"/>
        <w:spacing w:after="0" w:line="277" w:lineRule="auto"/>
        <w:tabs>
          <w:tab w:leader="none" w:pos="447" w:val="left"/>
        </w:tabs>
        <w:numPr>
          <w:ilvl w:val="0"/>
          <w:numId w:val="505"/>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spacing w:after="0" w:line="40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37" w:name="page438"/>
    <w:bookmarkEnd w:id="437"/>
    <w:p>
      <w:pPr>
        <w:jc w:val="right"/>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among (the “</w:t>
      </w:r>
      <w:r>
        <w:rPr>
          <w:rFonts w:ascii="Arial" w:cs="Arial" w:eastAsia="Arial" w:hAnsi="Arial"/>
          <w:sz w:val="18"/>
          <w:szCs w:val="18"/>
          <w:i w:val="1"/>
          <w:iCs w:val="1"/>
          <w:color w:val="auto"/>
        </w:rPr>
        <w:t>Guaranteeing Entity</w:t>
      </w:r>
      <w:r>
        <w:rPr>
          <w:rFonts w:ascii="Arial" w:cs="Arial" w:eastAsia="Arial" w:hAnsi="Arial"/>
          <w:sz w:val="18"/>
          <w:szCs w:val="18"/>
          <w:color w:val="auto"/>
        </w:rPr>
        <w:t>”), a parent or subsidiary of the Issuer (as defined below), the other Guarantors (as defined in the Indenture referred to herein) and Citibank, N.A., London Branch, as trustee and as notes collateral agent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WHEREAS, the Issuer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July 1, 2021, among Indigo Merger Sub, Inc. (“</w:t>
      </w:r>
      <w:r>
        <w:rPr>
          <w:rFonts w:ascii="Arial" w:cs="Arial" w:eastAsia="Arial" w:hAnsi="Arial"/>
          <w:sz w:val="18"/>
          <w:szCs w:val="18"/>
          <w:i w:val="1"/>
          <w:iCs w:val="1"/>
          <w:color w:val="auto"/>
        </w:rPr>
        <w:t>Merger Sub</w:t>
      </w:r>
      <w:r>
        <w:rPr>
          <w:rFonts w:ascii="Arial" w:cs="Arial" w:eastAsia="Arial" w:hAnsi="Arial"/>
          <w:sz w:val="18"/>
          <w:szCs w:val="18"/>
          <w:color w:val="auto"/>
        </w:rPr>
        <w:t>” or the “</w:t>
      </w:r>
      <w:r>
        <w:rPr>
          <w:rFonts w:ascii="Arial" w:cs="Arial" w:eastAsia="Arial" w:hAnsi="Arial"/>
          <w:sz w:val="18"/>
          <w:szCs w:val="18"/>
          <w:i w:val="1"/>
          <w:iCs w:val="1"/>
          <w:color w:val="auto"/>
        </w:rPr>
        <w:t>Issuer</w:t>
      </w:r>
      <w:r>
        <w:rPr>
          <w:rFonts w:ascii="Arial" w:cs="Arial" w:eastAsia="Arial" w:hAnsi="Arial"/>
          <w:sz w:val="18"/>
          <w:szCs w:val="18"/>
          <w:color w:val="auto"/>
        </w:rPr>
        <w:t>” prior to consummation of the Merger), PRA Health Sciences, Inc. (“</w:t>
      </w:r>
      <w:r>
        <w:rPr>
          <w:rFonts w:ascii="Arial" w:cs="Arial" w:eastAsia="Arial" w:hAnsi="Arial"/>
          <w:sz w:val="18"/>
          <w:szCs w:val="18"/>
          <w:i w:val="1"/>
          <w:iCs w:val="1"/>
          <w:color w:val="auto"/>
        </w:rPr>
        <w:t>PRA</w:t>
      </w:r>
      <w:r>
        <w:rPr>
          <w:rFonts w:ascii="Arial" w:cs="Arial" w:eastAsia="Arial" w:hAnsi="Arial"/>
          <w:sz w:val="18"/>
          <w:szCs w:val="18"/>
          <w:color w:val="auto"/>
        </w:rPr>
        <w:t>” and upon and after consummation of the Merger, the “</w:t>
      </w:r>
      <w:r>
        <w:rPr>
          <w:rFonts w:ascii="Arial" w:cs="Arial" w:eastAsia="Arial" w:hAnsi="Arial"/>
          <w:sz w:val="18"/>
          <w:szCs w:val="18"/>
          <w:i w:val="1"/>
          <w:iCs w:val="1"/>
          <w:color w:val="auto"/>
        </w:rPr>
        <w:t>Issuer</w:t>
      </w:r>
      <w:r>
        <w:rPr>
          <w:rFonts w:ascii="Arial" w:cs="Arial" w:eastAsia="Arial" w:hAnsi="Arial"/>
          <w:sz w:val="18"/>
          <w:szCs w:val="18"/>
          <w:color w:val="auto"/>
        </w:rPr>
        <w:t>”), the Guarantors party thereto and the Trustee, providing for the issuance of 2.875% Senior Secured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Entity shall execute and deliver to the Trustee a supplemental indenture pursuant to which the Guaranteeing Entity shall unconditionally guarantee all of the Issuer’s Obligations under the Notes and the Indenture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Entity and the Trustee mutually covenant and agree for the equal and ratable benefit of the Holders of the Notes as follows:</w:t>
      </w:r>
    </w:p>
    <w:p>
      <w:pPr>
        <w:spacing w:after="0" w:line="184" w:lineRule="exact"/>
        <w:rPr>
          <w:sz w:val="20"/>
          <w:szCs w:val="20"/>
          <w:color w:val="auto"/>
        </w:rPr>
      </w:pPr>
    </w:p>
    <w:p>
      <w:pPr>
        <w:ind w:left="460" w:hanging="452"/>
        <w:spacing w:after="0"/>
        <w:tabs>
          <w:tab w:leader="none" w:pos="4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APITALIZED</w:t>
      </w:r>
      <w:r>
        <w:rPr>
          <w:rFonts w:ascii="Arial" w:cs="Arial" w:eastAsia="Arial" w:hAnsi="Arial"/>
          <w:sz w:val="18"/>
          <w:szCs w:val="18"/>
          <w:color w:val="auto"/>
        </w:rPr>
        <w:t xml:space="preserve"> T</w:t>
      </w:r>
      <w:r>
        <w:rPr>
          <w:rFonts w:ascii="Arial" w:cs="Arial" w:eastAsia="Arial" w:hAnsi="Arial"/>
          <w:sz w:val="12"/>
          <w:szCs w:val="12"/>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ind w:right="160" w:firstLine="8"/>
        <w:spacing w:after="0" w:line="277" w:lineRule="auto"/>
        <w:tabs>
          <w:tab w:leader="none" w:pos="45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GREEMENT</w:t>
      </w:r>
      <w:r>
        <w:rPr>
          <w:rFonts w:ascii="Arial" w:cs="Arial" w:eastAsia="Arial" w:hAnsi="Arial"/>
          <w:sz w:val="18"/>
          <w:szCs w:val="18"/>
          <w:color w:val="auto"/>
        </w:rPr>
        <w:t xml:space="preserve"> T</w:t>
      </w:r>
      <w:r>
        <w:rPr>
          <w:rFonts w:ascii="Arial" w:cs="Arial" w:eastAsia="Arial" w:hAnsi="Arial"/>
          <w:sz w:val="12"/>
          <w:szCs w:val="12"/>
          <w:color w:val="auto"/>
        </w:rPr>
        <w:t>O</w:t>
      </w:r>
      <w:r>
        <w:rPr>
          <w:rFonts w:ascii="Arial" w:cs="Arial" w:eastAsia="Arial" w:hAnsi="Arial"/>
          <w:sz w:val="18"/>
          <w:szCs w:val="18"/>
          <w:color w:val="auto"/>
        </w:rPr>
        <w:t xml:space="preserve"> G</w:t>
      </w:r>
      <w:r>
        <w:rPr>
          <w:rFonts w:ascii="Arial" w:cs="Arial" w:eastAsia="Arial" w:hAnsi="Arial"/>
          <w:sz w:val="12"/>
          <w:szCs w:val="12"/>
          <w:color w:val="auto"/>
        </w:rPr>
        <w:t>UARANTEE</w:t>
      </w:r>
      <w:r>
        <w:rPr>
          <w:rFonts w:ascii="Arial" w:cs="Arial" w:eastAsia="Arial" w:hAnsi="Arial"/>
          <w:sz w:val="18"/>
          <w:szCs w:val="18"/>
          <w:color w:val="auto"/>
        </w:rPr>
        <w:t>. The Guaranteeing Entity hereby agrees to provide an unconditional Guarantee on the terms and subject to the conditions set forth in the Note Guarantee and in the Indenture including but not limited to Article 10 thereof.</w:t>
      </w:r>
    </w:p>
    <w:p>
      <w:pPr>
        <w:spacing w:after="0" w:line="170" w:lineRule="exact"/>
        <w:rPr>
          <w:rFonts w:ascii="Arial" w:cs="Arial" w:eastAsia="Arial" w:hAnsi="Arial"/>
          <w:sz w:val="18"/>
          <w:szCs w:val="18"/>
          <w:color w:val="auto"/>
        </w:rPr>
      </w:pPr>
    </w:p>
    <w:p>
      <w:pPr>
        <w:ind w:right="80" w:firstLine="8"/>
        <w:spacing w:after="0" w:line="301" w:lineRule="auto"/>
        <w:tabs>
          <w:tab w:leader="none" w:pos="54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N</w:t>
      </w:r>
      <w:r>
        <w:rPr>
          <w:rFonts w:ascii="Arial" w:cs="Arial" w:eastAsia="Arial" w:hAnsi="Arial"/>
          <w:sz w:val="11"/>
          <w:szCs w:val="11"/>
          <w:color w:val="auto"/>
        </w:rPr>
        <w:t>O</w:t>
      </w:r>
      <w:r>
        <w:rPr>
          <w:rFonts w:ascii="Arial" w:cs="Arial" w:eastAsia="Arial" w:hAnsi="Arial"/>
          <w:sz w:val="16"/>
          <w:szCs w:val="16"/>
          <w:color w:val="auto"/>
        </w:rPr>
        <w:t xml:space="preserve"> R</w:t>
      </w:r>
      <w:r>
        <w:rPr>
          <w:rFonts w:ascii="Arial" w:cs="Arial" w:eastAsia="Arial" w:hAnsi="Arial"/>
          <w:sz w:val="11"/>
          <w:szCs w:val="11"/>
          <w:color w:val="auto"/>
        </w:rPr>
        <w:t>ECOURSE</w:t>
      </w:r>
      <w:r>
        <w:rPr>
          <w:rFonts w:ascii="Arial" w:cs="Arial" w:eastAsia="Arial" w:hAnsi="Arial"/>
          <w:sz w:val="16"/>
          <w:szCs w:val="16"/>
          <w:color w:val="auto"/>
        </w:rPr>
        <w:t xml:space="preserve"> A</w:t>
      </w:r>
      <w:r>
        <w:rPr>
          <w:rFonts w:ascii="Arial" w:cs="Arial" w:eastAsia="Arial" w:hAnsi="Arial"/>
          <w:sz w:val="11"/>
          <w:szCs w:val="11"/>
          <w:color w:val="auto"/>
        </w:rPr>
        <w:t>GAINST</w:t>
      </w:r>
      <w:r>
        <w:rPr>
          <w:rFonts w:ascii="Arial" w:cs="Arial" w:eastAsia="Arial" w:hAnsi="Arial"/>
          <w:sz w:val="16"/>
          <w:szCs w:val="16"/>
          <w:color w:val="auto"/>
        </w:rPr>
        <w:t xml:space="preserve"> O</w:t>
      </w:r>
      <w:r>
        <w:rPr>
          <w:rFonts w:ascii="Arial" w:cs="Arial" w:eastAsia="Arial" w:hAnsi="Arial"/>
          <w:sz w:val="11"/>
          <w:szCs w:val="11"/>
          <w:color w:val="auto"/>
        </w:rPr>
        <w:t>THERS</w:t>
      </w:r>
      <w:r>
        <w:rPr>
          <w:rFonts w:ascii="Arial" w:cs="Arial" w:eastAsia="Arial" w:hAnsi="Arial"/>
          <w:sz w:val="16"/>
          <w:szCs w:val="16"/>
          <w:color w:val="auto"/>
        </w:rPr>
        <w:t>. No director, officer, employee, incorporator or stockholder of the Issuer or any Guarantor, as such, will have any liability for any obligations of the Issuer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38" w:name="page439"/>
    <w:bookmarkEnd w:id="438"/>
    <w:p>
      <w:pPr>
        <w:jc w:val="both"/>
        <w:ind w:firstLine="8"/>
        <w:spacing w:after="0" w:line="267" w:lineRule="auto"/>
        <w:tabs>
          <w:tab w:leader="none" w:pos="654" w:val="left"/>
        </w:tabs>
        <w:numPr>
          <w:ilvl w:val="0"/>
          <w:numId w:val="507"/>
        </w:numPr>
        <w:rPr>
          <w:rFonts w:ascii="Arial" w:cs="Arial" w:eastAsia="Arial" w:hAnsi="Arial"/>
          <w:sz w:val="17"/>
          <w:szCs w:val="17"/>
          <w:color w:val="auto"/>
        </w:rPr>
      </w:pPr>
      <w:r>
        <w:rPr>
          <w:rFonts w:ascii="Arial" w:cs="Arial" w:eastAsia="Arial" w:hAnsi="Arial"/>
          <w:sz w:val="17"/>
          <w:szCs w:val="17"/>
          <w:color w:val="auto"/>
        </w:rPr>
        <w:t>NEW YORK LAW TO GOVERN; WAIVER OF JURY TRIAL. THIS SUPPLEMENTAL INDENTURE SHALL BE GOVERNED BY, AND CONSTRUED IN ACCORDANCE WITH THE LAWS OF THE STATE OF NEW YORK. THE ISSUER AND THE GUARANTORS CONSENTS AND IRREVOCABLY SUBMITS TO THE JURISDICTION OF ANY NEW YORK STATE OR U.S. FEDERAL COURT LOCATED IN THE BOROUGH OF MANHATTAN, CITY OF NEW YORK, COUNTY OF NEW YORK, STATE OF NEW YORK IN RELATION TO ANY LEGAL ACTION OR PROCEEDING (I) ARISING OUT OF, RELATING TO OR IN CONNECTION WITH THE INDENTURE, AS SUPPLEMENTED, THE NOTES, THE GUARANTEES AND ANY RELATED DOCUMENTS AND/OR (II) ARISING UNDER ANY U.S. FEDERAL OR U.S. STATE SECURITIES LAWS IN RESPECT OF THE NOTES, THE GUARANTEES AND ANY SECURITIES ISSUED PURSUANT TO THE TERMS OF THE INDENTURE, AS SUPPLEMENTED. THE ISSUER AND THE GUARANTORS WAIVES ANY OBJECTION TO PROCEEDINGS IN ANY SUCH COURTS, WHETHER ON THE GROUND OF VENUE OR ON THE GROUND THAT THE PROCEEDINGS HAVE BEEN BROUGHT IN AN INCONVENIENT FORUM. THE ISSUER AND THE GUARANTORS, TO THE EXTENT ORGANIZED OUTSIDE OF THE UNITED STATES, SHALL APPOINT ICON CLINICAL RESEARCH LLC (ICON CLINICAL RESEARCH LLC, 2100 PENNBROOK PKWY, NORTH WALES, PA 19446), AS ITS AGENT FOR SERVICE OF PROCESS IN ANY SUCH SUIT, ACTION OR PROCEEDING AND AGREES THAT SERVICE OF PROCESS UPON SAID AUTHORIZED AGENT SHALL BE DEEMED IN EVERY RESPECT EFFECTIVE SERVICE OF PROCESS UPON IT IN ANY SUCH SUIT, ACTION OR PROCEEDING. THE ISSUER AND THE GUARANTORS AGREES TO DELIVER, UPON THE EXECUTION AND DELIVERY OF THIS SUPPLEMENTAL INDENTURE, A WRITTEN ACCEPTANCE BY SUCH AGENT OF ITS APPOINTMENT AS SUCH AGENT. THE ISSUER AND THE GUARANTORS, TO THE EXTENT ORGANIZED OUTSIDE OF THE UNITED STATES, FURTHER AGREES TO TAKE ANY AND ALL ACTION, INCLUDING THE FILING OF ANY AND ALL SUCH DOCUMENTS AND INSTRUMENTS, AS MAY BE REASONABLY NECESSARY TO CONTINUE SUCH DESIGNATION AND APPOINTMENT OF CT CORPORATION SYSTEM IN FULL FORCE AND EFFECT FOR SO LONG AS THE INDENTURE, AS SUPPLEMENTED, REMAINS IN FORCE. THE ISSUER, THE TRUSTEE AND EACH OF THE GUARANTORS HEREBY IRREVOCABLY WAIVES, TO THE FULLEST EXTENT PERMITTED BY APPLICABLE LAW, ANY AND ALL RIGHT TO TRIAL BY JURY IN ANY LEGAL PROCEEDING ARISING OUT OF OR RELATING TO THIS SUPPLEMENTAL INDENTURE OR THE TRANSACTIONS CONTEMPLATED HEREBY.</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right="140" w:firstLine="8"/>
        <w:spacing w:after="0" w:line="277" w:lineRule="auto"/>
        <w:tabs>
          <w:tab w:leader="none" w:pos="5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OUNTERPARTS</w:t>
      </w:r>
      <w:r>
        <w:rPr>
          <w:rFonts w:ascii="Arial" w:cs="Arial" w:eastAsia="Arial" w:hAnsi="Arial"/>
          <w:sz w:val="18"/>
          <w:szCs w:val="18"/>
          <w:color w:val="auto"/>
        </w:rPr>
        <w:t>. The parties may sign any number of copies of this Supplemental Indenture. Each signed copy (which may be provided via facsimile or other electronic transmission) shall be an original, but all of them together represent the same agreement.</w:t>
      </w:r>
    </w:p>
    <w:p>
      <w:pPr>
        <w:spacing w:after="0" w:line="170" w:lineRule="exact"/>
        <w:rPr>
          <w:rFonts w:ascii="Arial" w:cs="Arial" w:eastAsia="Arial" w:hAnsi="Arial"/>
          <w:sz w:val="18"/>
          <w:szCs w:val="18"/>
          <w:color w:val="auto"/>
        </w:rPr>
      </w:pPr>
    </w:p>
    <w:p>
      <w:pPr>
        <w:ind w:left="540" w:hanging="532"/>
        <w:spacing w:after="0"/>
        <w:tabs>
          <w:tab w:leader="none" w:pos="5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w:t>
      </w:r>
      <w:r>
        <w:rPr>
          <w:rFonts w:ascii="Arial" w:cs="Arial" w:eastAsia="Arial" w:hAnsi="Arial"/>
          <w:sz w:val="18"/>
          <w:szCs w:val="18"/>
          <w:color w:val="auto"/>
        </w:rPr>
        <w:t xml:space="preserve"> O</w:t>
      </w:r>
      <w:r>
        <w:rPr>
          <w:rFonts w:ascii="Arial" w:cs="Arial" w:eastAsia="Arial" w:hAnsi="Arial"/>
          <w:sz w:val="12"/>
          <w:szCs w:val="12"/>
          <w:color w:val="auto"/>
        </w:rPr>
        <w:t>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360" w:firstLine="8"/>
        <w:spacing w:after="0" w:line="342" w:lineRule="auto"/>
        <w:tabs>
          <w:tab w:leader="none" w:pos="54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w:t>
      </w:r>
      <w:r>
        <w:rPr>
          <w:rFonts w:ascii="Arial" w:cs="Arial" w:eastAsia="Arial" w:hAnsi="Arial"/>
          <w:sz w:val="11"/>
          <w:szCs w:val="11"/>
          <w:color w:val="auto"/>
        </w:rPr>
        <w:t>HE</w:t>
      </w:r>
      <w:r>
        <w:rPr>
          <w:rFonts w:ascii="Arial" w:cs="Arial" w:eastAsia="Arial" w:hAnsi="Arial"/>
          <w:sz w:val="16"/>
          <w:szCs w:val="16"/>
          <w:color w:val="auto"/>
        </w:rPr>
        <w:t xml:space="preserve"> T</w:t>
      </w:r>
      <w:r>
        <w:rPr>
          <w:rFonts w:ascii="Arial" w:cs="Arial" w:eastAsia="Arial" w:hAnsi="Arial"/>
          <w:sz w:val="11"/>
          <w:szCs w:val="11"/>
          <w:color w:val="auto"/>
        </w:rPr>
        <w: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Guaranteeing Entity and the Issuer.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39" w:name="page440"/>
    <w:bookmarkEnd w:id="439"/>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[GUARANTEEING ENTITY]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[PRA HEALTH SCIENCES,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[EXISTING GUARANTORS]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80"/>
          </w:cols>
          <w:pgMar w:left="320" w:top="341" w:right="899" w:bottom="1440" w:gutter="0" w:footer="0" w:header="0"/>
        </w:sectPr>
      </w:pPr>
    </w:p>
    <w:bookmarkStart w:id="440" w:name="page441"/>
    <w:bookmarkEnd w:id="44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165100</wp:posOffset>
            </wp:positionV>
            <wp:extent cx="1165860" cy="3168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16586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acquisition creates world-leading healthcare intelligence and clinical research organisation</w:t>
      </w:r>
    </w:p>
    <w:p>
      <w:pPr>
        <w:spacing w:after="0" w:line="233" w:lineRule="exact"/>
        <w:rPr>
          <w:sz w:val="20"/>
          <w:szCs w:val="20"/>
          <w:color w:val="auto"/>
        </w:rPr>
      </w:pPr>
    </w:p>
    <w:p>
      <w:pPr>
        <w:ind w:right="80"/>
        <w:spacing w:after="0" w:line="300" w:lineRule="auto"/>
        <w:rPr>
          <w:sz w:val="20"/>
          <w:szCs w:val="20"/>
          <w:color w:val="auto"/>
        </w:rPr>
      </w:pPr>
      <w:r>
        <w:rPr>
          <w:rFonts w:ascii="Arial" w:cs="Arial" w:eastAsia="Arial" w:hAnsi="Arial"/>
          <w:sz w:val="19"/>
          <w:szCs w:val="19"/>
          <w:b w:val="1"/>
          <w:bCs w:val="1"/>
          <w:color w:val="auto"/>
        </w:rPr>
        <w:t xml:space="preserve">Dublin, Ireland, 1st July 2021 – ICON plc, (NASDAQ: ICLR) (“ICON’’) </w:t>
      </w:r>
      <w:r>
        <w:rPr>
          <w:rFonts w:ascii="Arial" w:cs="Arial" w:eastAsia="Arial" w:hAnsi="Arial"/>
          <w:sz w:val="19"/>
          <w:szCs w:val="19"/>
          <w:color w:val="auto"/>
        </w:rPr>
        <w:t>today announced the completion of its acquisition</w:t>
      </w:r>
      <w:r>
        <w:rPr>
          <w:rFonts w:ascii="Arial" w:cs="Arial" w:eastAsia="Arial" w:hAnsi="Arial"/>
          <w:sz w:val="19"/>
          <w:szCs w:val="19"/>
          <w:b w:val="1"/>
          <w:bCs w:val="1"/>
          <w:color w:val="auto"/>
        </w:rPr>
        <w:t xml:space="preserve"> </w:t>
      </w:r>
      <w:r>
        <w:rPr>
          <w:rFonts w:ascii="Arial" w:cs="Arial" w:eastAsia="Arial" w:hAnsi="Arial"/>
          <w:sz w:val="19"/>
          <w:szCs w:val="19"/>
          <w:color w:val="auto"/>
        </w:rPr>
        <w:t>of PRA Health Sciences. The combined company will retain the name ICON and will bring together 38,000 employees across 47 countries, creating the world’s most advanced healthcare intelligence and clinical research organisation.</w:t>
      </w:r>
    </w:p>
    <w:p>
      <w:pPr>
        <w:spacing w:after="0" w:line="159"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The combined company will leverage its enhanced operations to transform clinical trials and accelerate biopharma customers’ commercial success through the development of much needed medicines and medical devices. The new ICON will have a renewed focus on leveraging data, applying technology and accessing diverse patient populations to speed up drug development.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close details</w:t>
      </w:r>
    </w:p>
    <w:p>
      <w:pPr>
        <w:spacing w:after="0" w:line="14"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Upon completion of the acquisition, pursuant to the terms of the merger agreement, PRA became a wholly owned subsidiary of ICON plc. Under the terms of the merger, PRA shareholders received per share $80 in cash and 0.4125 shares of ICON stock. The trading of PRA common stock on NASDAQ was suspended prior to market open on July 1, 2021.</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enquiries: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CFO</w:t>
      </w:r>
    </w:p>
    <w:p>
      <w:pPr>
        <w:spacing w:after="0" w:line="230" w:lineRule="auto"/>
        <w:rPr>
          <w:sz w:val="20"/>
          <w:szCs w:val="20"/>
          <w:color w:val="auto"/>
        </w:rPr>
      </w:pPr>
      <w:r>
        <w:rPr>
          <w:rFonts w:ascii="Arial" w:cs="Arial" w:eastAsia="Arial" w:hAnsi="Arial"/>
          <w:sz w:val="22"/>
          <w:szCs w:val="22"/>
          <w:color w:val="auto"/>
        </w:rPr>
        <w:t>+35312912000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brendan.brennan@iconplc.com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 VP, Corporate Finance &amp; Investor Relations</w:t>
      </w:r>
    </w:p>
    <w:p>
      <w:pPr>
        <w:spacing w:after="0" w:line="238" w:lineRule="auto"/>
        <w:rPr>
          <w:sz w:val="20"/>
          <w:szCs w:val="20"/>
          <w:color w:val="auto"/>
        </w:rPr>
      </w:pPr>
      <w:r>
        <w:rPr>
          <w:rFonts w:ascii="Arial" w:cs="Arial" w:eastAsia="Arial" w:hAnsi="Arial"/>
          <w:sz w:val="22"/>
          <w:szCs w:val="22"/>
          <w:color w:val="auto"/>
        </w:rPr>
        <w:t>+35312912000</w:t>
      </w:r>
    </w:p>
    <w:p>
      <w:pPr>
        <w:spacing w:after="0"/>
        <w:rPr>
          <w:sz w:val="20"/>
          <w:szCs w:val="20"/>
          <w:color w:val="auto"/>
        </w:rPr>
      </w:pPr>
      <w:r>
        <w:rPr>
          <w:rFonts w:ascii="Arial" w:cs="Arial" w:eastAsia="Arial" w:hAnsi="Arial"/>
          <w:sz w:val="22"/>
          <w:szCs w:val="22"/>
          <w:u w:val="single" w:color="auto"/>
          <w:color w:val="auto"/>
        </w:rPr>
        <w:t>jonathan.curtain@iconplc.com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enquiries: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Weber Shandwick (PR adviser)</w:t>
      </w:r>
    </w:p>
    <w:p>
      <w:pPr>
        <w:spacing w:after="0" w:line="230" w:lineRule="auto"/>
        <w:rPr>
          <w:sz w:val="20"/>
          <w:szCs w:val="20"/>
          <w:color w:val="auto"/>
        </w:rPr>
      </w:pPr>
      <w:r>
        <w:rPr>
          <w:rFonts w:ascii="Arial" w:cs="Arial" w:eastAsia="Arial" w:hAnsi="Arial"/>
          <w:sz w:val="22"/>
          <w:szCs w:val="22"/>
          <w:color w:val="auto"/>
        </w:rPr>
        <w:t>Lisa Henry (GMT timezone)</w:t>
      </w:r>
    </w:p>
    <w:p>
      <w:pPr>
        <w:spacing w:after="0" w:line="231" w:lineRule="auto"/>
        <w:rPr>
          <w:sz w:val="20"/>
          <w:szCs w:val="20"/>
          <w:color w:val="auto"/>
        </w:rPr>
      </w:pPr>
      <w:r>
        <w:rPr>
          <w:rFonts w:ascii="Arial" w:cs="Arial" w:eastAsia="Arial" w:hAnsi="Arial"/>
          <w:sz w:val="22"/>
          <w:szCs w:val="22"/>
          <w:color w:val="auto"/>
        </w:rPr>
        <w:t>+447785 458203</w:t>
      </w:r>
    </w:p>
    <w:p>
      <w:pPr>
        <w:spacing w:after="0"/>
        <w:rPr>
          <w:sz w:val="20"/>
          <w:szCs w:val="20"/>
          <w:color w:val="auto"/>
        </w:rPr>
      </w:pPr>
      <w:r>
        <w:rPr>
          <w:rFonts w:ascii="Arial" w:cs="Arial" w:eastAsia="Arial" w:hAnsi="Arial"/>
          <w:sz w:val="22"/>
          <w:szCs w:val="22"/>
          <w:u w:val="single" w:color="auto"/>
          <w:color w:val="auto"/>
        </w:rPr>
        <w:t>lhenry@webershandwick.com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41" w:name="page442"/>
    <w:bookmarkEnd w:id="44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6174740</wp:posOffset>
            </wp:positionH>
            <wp:positionV relativeFrom="page">
              <wp:posOffset>88900</wp:posOffset>
            </wp:positionV>
            <wp:extent cx="1165860" cy="3168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16865"/>
                    </a:xfrm>
                    <a:prstGeom prst="rect">
                      <a:avLst/>
                    </a:prstGeom>
                    <a:noFill/>
                  </pic:spPr>
                </pic:pic>
              </a:graphicData>
            </a:graphic>
          </wp:anchor>
        </w:drawing>
        <w:t>About ICON plc</w:t>
      </w:r>
    </w:p>
    <w:p>
      <w:pPr>
        <w:spacing w:after="0" w:line="14"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will operate from 163 locations in 47 countries and have approximately 38,000 employees as of July 1,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and F-3, which are available on the SEC’s website at </w:t>
      </w:r>
      <w:r>
        <w:rPr>
          <w:rFonts w:ascii="Arial" w:cs="Arial" w:eastAsia="Arial" w:hAnsi="Arial"/>
          <w:sz w:val="16"/>
          <w:szCs w:val="16"/>
          <w:i w:val="1"/>
          <w:iCs w:val="1"/>
          <w:u w:val="single" w:color="auto"/>
          <w:color w:val="auto"/>
        </w:rPr>
        <w:t>http://www.sec.gov</w:t>
      </w:r>
      <w:r>
        <w:rPr>
          <w:rFonts w:ascii="Arial" w:cs="Arial" w:eastAsia="Arial" w:hAnsi="Arial"/>
          <w:sz w:val="16"/>
          <w:szCs w:val="16"/>
          <w:i w:val="1"/>
          <w:iCs w:val="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5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111BA5"/>
    <w:multiLevelType w:val="hybridMultilevel"/>
    <w:lvl w:ilvl="0">
      <w:lvlJc w:val="left"/>
      <w:lvlText w:val="•"/>
      <w:numFmt w:val="bullet"/>
      <w:start w:val="1"/>
    </w:lvl>
  </w:abstractNum>
  <w:abstractNum w:abstractNumId="1">
    <w:nsid w:val="5E963896"/>
    <w:multiLevelType w:val="hybridMultilevel"/>
    <w:lvl w:ilvl="0">
      <w:lvlJc w:val="left"/>
      <w:lvlText w:val="(%1)"/>
      <w:numFmt w:val="decimal"/>
      <w:start w:val="1"/>
    </w:lvl>
  </w:abstractNum>
  <w:abstractNum w:abstractNumId="2">
    <w:nsid w:val="775BA7C1"/>
    <w:multiLevelType w:val="hybridMultilevel"/>
    <w:lvl w:ilvl="0">
      <w:lvlJc w:val="left"/>
      <w:lvlText w:val="(%1)"/>
      <w:numFmt w:val="decimal"/>
      <w:start w:val="1"/>
    </w:lvl>
  </w:abstractNum>
  <w:abstractNum w:abstractNumId="3">
    <w:nsid w:val="1DD6D6F4"/>
    <w:multiLevelType w:val="hybridMultilevel"/>
    <w:lvl w:ilvl="0">
      <w:lvlJc w:val="left"/>
      <w:lvlText w:val="(%1)"/>
      <w:numFmt w:val="decimal"/>
      <w:start w:val="1"/>
    </w:lvl>
  </w:abstractNum>
  <w:abstractNum w:abstractNumId="4">
    <w:nsid w:val="769A091F"/>
    <w:multiLevelType w:val="hybridMultilevel"/>
    <w:lvl w:ilvl="0">
      <w:lvlJc w:val="left"/>
      <w:lvlText w:val="(%1)"/>
      <w:numFmt w:val="decimal"/>
      <w:start w:val="1"/>
    </w:lvl>
  </w:abstractNum>
  <w:abstractNum w:abstractNumId="5">
    <w:nsid w:val="4695AE95"/>
    <w:multiLevelType w:val="hybridMultilevel"/>
    <w:lvl w:ilvl="0">
      <w:lvlJc w:val="left"/>
      <w:lvlText w:val="(%1)"/>
      <w:numFmt w:val="decimal"/>
      <w:start w:val="2"/>
    </w:lvl>
  </w:abstractNum>
  <w:abstractNum w:abstractNumId="6">
    <w:nsid w:val="777A4EAA"/>
    <w:multiLevelType w:val="hybridMultilevel"/>
    <w:lvl w:ilvl="0">
      <w:lvlJc w:val="left"/>
      <w:lvlText w:val="(%1)"/>
      <w:numFmt w:val="lowerRoman"/>
      <w:start w:val="1"/>
    </w:lvl>
  </w:abstractNum>
  <w:abstractNum w:abstractNumId="7">
    <w:nsid w:val="3F48B982"/>
    <w:multiLevelType w:val="hybridMultilevel"/>
    <w:lvl w:ilvl="0">
      <w:lvlJc w:val="left"/>
      <w:lvlText w:val="(%1)"/>
      <w:numFmt w:val="lowerRoman"/>
      <w:start w:val="2"/>
    </w:lvl>
  </w:abstractNum>
  <w:abstractNum w:abstractNumId="8">
    <w:nsid w:val="46BA8FCA"/>
    <w:multiLevelType w:val="hybridMultilevel"/>
    <w:lvl w:ilvl="0">
      <w:lvlJc w:val="left"/>
      <w:lvlText w:val="(%1)"/>
      <w:numFmt w:val="lowerRoman"/>
      <w:start w:val="3"/>
    </w:lvl>
  </w:abstractNum>
  <w:abstractNum w:abstractNumId="9">
    <w:nsid w:val="7835626C"/>
    <w:multiLevelType w:val="hybridMultilevel"/>
    <w:lvl w:ilvl="0">
      <w:lvlJc w:val="left"/>
      <w:lvlText w:val="(%1)"/>
      <w:numFmt w:val="lowerLetter"/>
      <w:start w:val="2"/>
    </w:lvl>
  </w:abstractNum>
  <w:abstractNum w:abstractNumId="10">
    <w:nsid w:val="665ACA49"/>
    <w:multiLevelType w:val="hybridMultilevel"/>
    <w:lvl w:ilvl="0">
      <w:lvlJc w:val="left"/>
      <w:lvlText w:val="(%1)"/>
      <w:numFmt w:val="decimal"/>
      <w:start w:val="1"/>
    </w:lvl>
  </w:abstractNum>
  <w:abstractNum w:abstractNumId="11">
    <w:nsid w:val="6835B2AE"/>
    <w:multiLevelType w:val="hybridMultilevel"/>
    <w:lvl w:ilvl="0">
      <w:lvlJc w:val="left"/>
      <w:lvlText w:val="(%1)"/>
      <w:numFmt w:val="lowerRoman"/>
      <w:start w:val="1"/>
    </w:lvl>
  </w:abstractNum>
  <w:abstractNum w:abstractNumId="12">
    <w:nsid w:val="4C187C90"/>
    <w:multiLevelType w:val="hybridMultilevel"/>
    <w:lvl w:ilvl="0">
      <w:lvlJc w:val="left"/>
      <w:lvlText w:val="(%1)"/>
      <w:numFmt w:val="lowerRoman"/>
      <w:start w:val="12"/>
    </w:lvl>
  </w:abstractNum>
  <w:abstractNum w:abstractNumId="13">
    <w:nsid w:val="541F28CD"/>
    <w:multiLevelType w:val="hybridMultilevel"/>
    <w:lvl w:ilvl="0">
      <w:lvlJc w:val="left"/>
      <w:lvlText w:val="(%1)"/>
      <w:numFmt w:val="lowerRoman"/>
      <w:start w:val="26"/>
    </w:lvl>
  </w:abstractNum>
  <w:abstractNum w:abstractNumId="14">
    <w:nsid w:val="7F65FD16"/>
    <w:multiLevelType w:val="hybridMultilevel"/>
    <w:lvl w:ilvl="0">
      <w:lvlJc w:val="left"/>
      <w:lvlText w:val="(%1)"/>
      <w:numFmt w:val="decimal"/>
      <w:start w:val="1"/>
    </w:lvl>
  </w:abstractNum>
  <w:abstractNum w:abstractNumId="15">
    <w:nsid w:val="77C9FD68"/>
    <w:multiLevelType w:val="hybridMultilevel"/>
    <w:lvl w:ilvl="0">
      <w:lvlJc w:val="left"/>
      <w:lvlText w:val="(%1)"/>
      <w:numFmt w:val="lowerLetter"/>
      <w:start w:val="1"/>
    </w:lvl>
  </w:abstractNum>
  <w:abstractNum w:abstractNumId="16">
    <w:nsid w:val="298A92BA"/>
    <w:multiLevelType w:val="hybridMultilevel"/>
    <w:lvl w:ilvl="0">
      <w:lvlJc w:val="left"/>
      <w:lvlText w:val="(%1)"/>
      <w:numFmt w:val="lowerRoman"/>
      <w:start w:val="1"/>
    </w:lvl>
  </w:abstractNum>
  <w:abstractNum w:abstractNumId="17">
    <w:nsid w:val="6FE95EAC"/>
    <w:multiLevelType w:val="hybridMultilevel"/>
    <w:lvl w:ilvl="0">
      <w:lvlJc w:val="left"/>
      <w:lvlText w:val="(%1)"/>
      <w:numFmt w:val="lowerRoman"/>
      <w:start w:val="6"/>
    </w:lvl>
  </w:abstractNum>
  <w:abstractNum w:abstractNumId="18">
    <w:nsid w:val="4B697C7A"/>
    <w:multiLevelType w:val="hybridMultilevel"/>
    <w:lvl w:ilvl="0">
      <w:lvlJc w:val="left"/>
      <w:lvlText w:val="(%1)"/>
      <w:numFmt w:val="lowerRoman"/>
      <w:start w:val="13"/>
    </w:lvl>
  </w:abstractNum>
  <w:abstractNum w:abstractNumId="19">
    <w:nsid w:val="51A27AA6"/>
    <w:multiLevelType w:val="hybridMultilevel"/>
    <w:lvl w:ilvl="0">
      <w:lvlJc w:val="left"/>
      <w:lvlText w:val="(%1)"/>
      <w:numFmt w:val="lowerRoman"/>
      <w:start w:val="19"/>
    </w:lvl>
  </w:abstractNum>
  <w:abstractNum w:abstractNumId="20">
    <w:nsid w:val="613183F2"/>
    <w:multiLevelType w:val="hybridMultilevel"/>
    <w:lvl w:ilvl="0">
      <w:lvlJc w:val="left"/>
      <w:lvlText w:val="(%1)"/>
      <w:numFmt w:val="decimal"/>
      <w:start w:val="1"/>
    </w:lvl>
  </w:abstractNum>
  <w:abstractNum w:abstractNumId="21">
    <w:nsid w:val="634102B4"/>
    <w:multiLevelType w:val="hybridMultilevel"/>
    <w:lvl w:ilvl="0">
      <w:lvlJc w:val="left"/>
      <w:lvlText w:val="(%1)"/>
      <w:numFmt w:val="lowerLetter"/>
      <w:start w:val="1"/>
    </w:lvl>
  </w:abstractNum>
  <w:abstractNum w:abstractNumId="22">
    <w:nsid w:val="65BF9DA8"/>
    <w:multiLevelType w:val="hybridMultilevel"/>
    <w:lvl w:ilvl="0">
      <w:lvlJc w:val="left"/>
      <w:lvlText w:val="(%1)"/>
      <w:numFmt w:val="lowerLetter"/>
      <w:start w:val="4"/>
    </w:lvl>
  </w:abstractNum>
  <w:abstractNum w:abstractNumId="23">
    <w:nsid w:val="21A2ECCA"/>
    <w:multiLevelType w:val="hybridMultilevel"/>
    <w:lvl w:ilvl="0">
      <w:lvlJc w:val="left"/>
      <w:lvlText w:val="(%1)"/>
      <w:numFmt w:val="lowerLetter"/>
      <w:start w:val="16"/>
    </w:lvl>
  </w:abstractNum>
  <w:abstractNum w:abstractNumId="24">
    <w:nsid w:val="4D5C4899"/>
    <w:multiLevelType w:val="hybridMultilevel"/>
    <w:lvl w:ilvl="0">
      <w:lvlJc w:val="left"/>
      <w:lvlText w:val="(%1)"/>
      <w:numFmt w:val="lowerLetter"/>
      <w:start w:val="25"/>
    </w:lvl>
  </w:abstractNum>
  <w:abstractNum w:abstractNumId="25">
    <w:nsid w:val="3C3B72B2"/>
    <w:multiLevelType w:val="hybridMultilevel"/>
    <w:lvl w:ilvl="0">
      <w:lvlJc w:val="left"/>
      <w:lvlText w:val="(%1)"/>
      <w:numFmt w:val="lowerRoman"/>
      <w:start w:val="1"/>
    </w:lvl>
  </w:abstractNum>
  <w:abstractNum w:abstractNumId="26">
    <w:nsid w:val="155EC4C2"/>
    <w:multiLevelType w:val="hybridMultilevel"/>
    <w:lvl w:ilvl="0">
      <w:lvlJc w:val="left"/>
      <w:lvlText w:val="(%1)"/>
      <w:numFmt w:val="decimal"/>
      <w:start w:val="1"/>
    </w:lvl>
  </w:abstractNum>
  <w:abstractNum w:abstractNumId="27">
    <w:nsid w:val="65D2A137"/>
    <w:multiLevelType w:val="hybridMultilevel"/>
    <w:lvl w:ilvl="0">
      <w:lvlJc w:val="left"/>
      <w:lvlText w:val="(%1)"/>
      <w:numFmt w:val="lowerLetter"/>
      <w:start w:val="1"/>
    </w:lvl>
  </w:abstractNum>
  <w:abstractNum w:abstractNumId="28">
    <w:nsid w:val="6EBB1F2A"/>
    <w:multiLevelType w:val="hybridMultilevel"/>
    <w:lvl w:ilvl="0">
      <w:lvlJc w:val="left"/>
      <w:lvlText w:val="(%1)"/>
      <w:numFmt w:val="lowerLetter"/>
      <w:start w:val="10"/>
    </w:lvl>
  </w:abstractNum>
  <w:abstractNum w:abstractNumId="29">
    <w:nsid w:val="6FBF29CB"/>
    <w:multiLevelType w:val="hybridMultilevel"/>
    <w:lvl w:ilvl="0">
      <w:lvlJc w:val="left"/>
      <w:lvlText w:val="(%1)"/>
      <w:numFmt w:val="lowerLetter"/>
      <w:start w:val="1"/>
    </w:lvl>
    <w:lvl w:ilvl="1">
      <w:lvlJc w:val="left"/>
      <w:lvlText w:val="(%2)"/>
      <w:numFmt w:val="lowerRoman"/>
      <w:start w:val="1"/>
    </w:lvl>
  </w:abstractNum>
  <w:abstractNum w:abstractNumId="30">
    <w:nsid w:val="550B8808"/>
    <w:multiLevelType w:val="hybridMultilevel"/>
    <w:lvl w:ilvl="0">
      <w:lvlJc w:val="left"/>
      <w:lvlText w:val="(%1)"/>
      <w:numFmt w:val="lowerRoman"/>
      <w:start w:val="3"/>
    </w:lvl>
  </w:abstractNum>
  <w:abstractNum w:abstractNumId="31">
    <w:nsid w:val="34CC3ACF"/>
    <w:multiLevelType w:val="hybridMultilevel"/>
    <w:lvl w:ilvl="0">
      <w:lvlJc w:val="left"/>
      <w:lvlText w:val="(%1)"/>
      <w:numFmt w:val="lowerRoman"/>
      <w:start w:val="8"/>
    </w:lvl>
  </w:abstractNum>
  <w:abstractNum w:abstractNumId="32">
    <w:nsid w:val="4E556261"/>
    <w:multiLevelType w:val="hybridMultilevel"/>
    <w:lvl w:ilvl="0">
      <w:lvlJc w:val="left"/>
      <w:lvlText w:val="%1"/>
      <w:numFmt w:val="decimal"/>
      <w:start w:val="1"/>
    </w:lvl>
    <w:lvl w:ilvl="1">
      <w:lvlJc w:val="left"/>
      <w:lvlText w:val="(%2)"/>
      <w:numFmt w:val="lowerLetter"/>
      <w:start w:val="1"/>
    </w:lvl>
  </w:abstractNum>
  <w:abstractNum w:abstractNumId="33">
    <w:nsid w:val="4C672FC9"/>
    <w:multiLevelType w:val="hybridMultilevel"/>
    <w:lvl w:ilvl="0">
      <w:lvlJc w:val="left"/>
      <w:lvlText w:val="(%1)"/>
      <w:numFmt w:val="decimal"/>
    </w:lvl>
    <w:lvl w:ilvl="1">
      <w:lvlJc w:val="left"/>
      <w:lvlText w:val="(%2)"/>
      <w:numFmt w:val="lowerLetter"/>
      <w:start w:val="2"/>
    </w:lvl>
  </w:abstractNum>
  <w:abstractNum w:abstractNumId="34">
    <w:nsid w:val="52A311C3"/>
    <w:multiLevelType w:val="hybridMultilevel"/>
    <w:lvl w:ilvl="0">
      <w:lvlJc w:val="left"/>
      <w:lvlText w:val="(%1)"/>
      <w:numFmt w:val="lowerRoman"/>
      <w:start w:val="1"/>
    </w:lvl>
  </w:abstractNum>
  <w:abstractNum w:abstractNumId="35">
    <w:nsid w:val="44EF6B80"/>
    <w:multiLevelType w:val="hybridMultilevel"/>
    <w:lvl w:ilvl="0">
      <w:lvlJc w:val="left"/>
      <w:lvlText w:val="(%1)"/>
      <w:numFmt w:val="lowerLetter"/>
      <w:start w:val="2"/>
    </w:lvl>
  </w:abstractNum>
  <w:abstractNum w:abstractNumId="36">
    <w:nsid w:val="12FCDE5E"/>
    <w:multiLevelType w:val="hybridMultilevel"/>
    <w:lvl w:ilvl="0">
      <w:lvlJc w:val="left"/>
      <w:lvlText w:val="(%1)"/>
      <w:numFmt w:val="lowerLetter"/>
      <w:start w:val="4"/>
    </w:lvl>
  </w:abstractNum>
  <w:abstractNum w:abstractNumId="37">
    <w:nsid w:val="4A1D606E"/>
    <w:multiLevelType w:val="hybridMultilevel"/>
    <w:lvl w:ilvl="0">
      <w:lvlJc w:val="left"/>
      <w:lvlText w:val="(%1)"/>
      <w:numFmt w:val="decimal"/>
      <w:start w:val="1"/>
    </w:lvl>
  </w:abstractNum>
  <w:abstractNum w:abstractNumId="38">
    <w:nsid w:val="4382503"/>
    <w:multiLevelType w:val="hybridMultilevel"/>
    <w:lvl w:ilvl="0">
      <w:lvlJc w:val="left"/>
      <w:lvlText w:val="(%1)"/>
      <w:numFmt w:val="upperLetter"/>
      <w:start w:val="1"/>
    </w:lvl>
  </w:abstractNum>
  <w:abstractNum w:abstractNumId="39">
    <w:nsid w:val="59B76E28"/>
    <w:multiLevelType w:val="hybridMultilevel"/>
    <w:lvl w:ilvl="0">
      <w:lvlJc w:val="left"/>
      <w:lvlText w:val="(%1)"/>
      <w:numFmt w:val="upperLetter"/>
      <w:start w:val="2"/>
    </w:lvl>
  </w:abstractNum>
  <w:abstractNum w:abstractNumId="40">
    <w:nsid w:val="4252C2DA"/>
    <w:multiLevelType w:val="hybridMultilevel"/>
    <w:lvl w:ilvl="0">
      <w:lvlJc w:val="left"/>
      <w:lvlText w:val="%1"/>
      <w:numFmt w:val="upperLetter"/>
      <w:start w:val="1"/>
    </w:lvl>
    <w:lvl w:ilvl="1">
      <w:lvlJc w:val="left"/>
      <w:lvlText w:val="(%2)"/>
      <w:numFmt w:val="lowerLetter"/>
      <w:start w:val="1"/>
    </w:lvl>
  </w:abstractNum>
  <w:abstractNum w:abstractNumId="41">
    <w:nsid w:val="6A92EF4C"/>
    <w:multiLevelType w:val="hybridMultilevel"/>
    <w:lvl w:ilvl="0">
      <w:lvlJc w:val="left"/>
      <w:lvlText w:val="(%1)"/>
      <w:numFmt w:val="upperLetter"/>
      <w:start w:val="1"/>
    </w:lvl>
    <w:lvl w:ilvl="1">
      <w:lvlJc w:val="left"/>
      <w:lvlText w:val="(%2)"/>
      <w:numFmt w:val="lowerLetter"/>
      <w:start w:val="1"/>
    </w:lvl>
  </w:abstractNum>
  <w:abstractNum w:abstractNumId="42">
    <w:nsid w:val="41ED20D7"/>
    <w:multiLevelType w:val="hybridMultilevel"/>
    <w:lvl w:ilvl="0">
      <w:lvlJc w:val="left"/>
      <w:lvlText w:val="%1"/>
      <w:numFmt w:val="lowerLetter"/>
      <w:start w:val="1"/>
    </w:lvl>
    <w:lvl w:ilvl="1">
      <w:lvlJc w:val="left"/>
      <w:lvlText w:val="(%2)"/>
      <w:numFmt w:val="decimal"/>
      <w:start w:val="3"/>
    </w:lvl>
  </w:abstractNum>
  <w:abstractNum w:abstractNumId="43">
    <w:nsid w:val="E6B3F6A"/>
    <w:multiLevelType w:val="hybridMultilevel"/>
    <w:lvl w:ilvl="0">
      <w:lvlJc w:val="left"/>
      <w:lvlText w:val="(%1)"/>
      <w:numFmt w:val="lowerLetter"/>
      <w:start w:val="1"/>
    </w:lvl>
    <w:lvl w:ilvl="1">
      <w:lvlJc w:val="left"/>
      <w:lvlText w:val="(%2)"/>
      <w:numFmt w:val="decimal"/>
      <w:start w:val="5"/>
    </w:lvl>
  </w:abstractNum>
  <w:abstractNum w:abstractNumId="44">
    <w:nsid w:val="3EB21819"/>
    <w:multiLevelType w:val="hybridMultilevel"/>
    <w:lvl w:ilvl="0">
      <w:lvlJc w:val="left"/>
      <w:lvlText w:val="(%1)"/>
      <w:numFmt w:val="lowerLetter"/>
      <w:start w:val="2"/>
    </w:lvl>
  </w:abstractNum>
  <w:abstractNum w:abstractNumId="45">
    <w:nsid w:val="41531DED"/>
    <w:multiLevelType w:val="hybridMultilevel"/>
    <w:lvl w:ilvl="0">
      <w:lvlJc w:val="left"/>
      <w:lvlText w:val="(%1)"/>
      <w:numFmt w:val="decimal"/>
      <w:start w:val="1"/>
    </w:lvl>
  </w:abstractNum>
  <w:abstractNum w:abstractNumId="46">
    <w:nsid w:val="6353CD2"/>
    <w:multiLevelType w:val="hybridMultilevel"/>
    <w:lvl w:ilvl="0">
      <w:lvlJc w:val="left"/>
      <w:lvlText w:val="(%1)"/>
      <w:numFmt w:val="decimal"/>
      <w:start w:val="12"/>
    </w:lvl>
  </w:abstractNum>
  <w:abstractNum w:abstractNumId="47">
    <w:nsid w:val="683CAAD3"/>
    <w:multiLevelType w:val="hybridMultilevel"/>
    <w:lvl w:ilvl="0">
      <w:lvlJc w:val="left"/>
      <w:lvlText w:val="(%1)"/>
      <w:numFmt w:val="decimal"/>
      <w:start w:val="22"/>
    </w:lvl>
  </w:abstractNum>
  <w:abstractNum w:abstractNumId="48">
    <w:nsid w:val="313C7C99"/>
    <w:multiLevelType w:val="hybridMultilevel"/>
    <w:lvl w:ilvl="0">
      <w:lvlJc w:val="left"/>
      <w:lvlText w:val="(%1)"/>
      <w:numFmt w:val="decimal"/>
      <w:start w:val="28"/>
    </w:lvl>
  </w:abstractNum>
  <w:abstractNum w:abstractNumId="49">
    <w:nsid w:val="519EB94C"/>
    <w:multiLevelType w:val="hybridMultilevel"/>
    <w:lvl w:ilvl="0">
      <w:lvlJc w:val="left"/>
      <w:lvlText w:val="(%1)"/>
      <w:numFmt w:val="decimal"/>
      <w:start w:val="1"/>
    </w:lvl>
  </w:abstractNum>
  <w:abstractNum w:abstractNumId="50">
    <w:nsid w:val="39DF2579"/>
    <w:multiLevelType w:val="hybridMultilevel"/>
    <w:lvl w:ilvl="0">
      <w:lvlJc w:val="left"/>
      <w:lvlText w:val="(%1)"/>
      <w:numFmt w:val="decimal"/>
      <w:start w:val="11"/>
    </w:lvl>
  </w:abstractNum>
  <w:abstractNum w:abstractNumId="51">
    <w:nsid w:val="126E008B"/>
    <w:multiLevelType w:val="hybridMultilevel"/>
    <w:lvl w:ilvl="0">
      <w:lvlJc w:val="left"/>
      <w:lvlText w:val="(%1)"/>
      <w:numFmt w:val="decimal"/>
      <w:start w:val="22"/>
    </w:lvl>
  </w:abstractNum>
  <w:abstractNum w:abstractNumId="52">
    <w:nsid w:val="34DFBC00"/>
    <w:multiLevelType w:val="hybridMultilevel"/>
    <w:lvl w:ilvl="0">
      <w:lvlJc w:val="left"/>
      <w:lvlText w:val="(%1)"/>
      <w:numFmt w:val="decimal"/>
      <w:start w:val="34"/>
    </w:lvl>
  </w:abstractNum>
  <w:abstractNum w:abstractNumId="53">
    <w:nsid w:val="1F9EC322"/>
    <w:multiLevelType w:val="hybridMultilevel"/>
    <w:lvl w:ilvl="0">
      <w:lvlJc w:val="left"/>
      <w:lvlText w:val="(%1)"/>
      <w:numFmt w:val="lowerRoman"/>
      <w:start w:val="3"/>
    </w:lvl>
  </w:abstractNum>
  <w:abstractNum w:abstractNumId="54">
    <w:nsid w:val="3410ED56"/>
    <w:multiLevelType w:val="hybridMultilevel"/>
    <w:lvl w:ilvl="0">
      <w:lvlJc w:val="left"/>
      <w:lvlText w:val="(%1)"/>
      <w:numFmt w:val="lowerRoman"/>
      <w:start w:val="4"/>
    </w:lvl>
  </w:abstractNum>
  <w:abstractNum w:abstractNumId="55">
    <w:nsid w:val="23C049A"/>
    <w:multiLevelType w:val="hybridMultilevel"/>
    <w:lvl w:ilvl="0">
      <w:lvlJc w:val="left"/>
      <w:lvlText w:val="(%1)"/>
      <w:numFmt w:val="decimal"/>
      <w:start w:val="1"/>
    </w:lvl>
  </w:abstractNum>
  <w:abstractNum w:abstractNumId="56">
    <w:nsid w:val="5BDA35D4"/>
    <w:multiLevelType w:val="hybridMultilevel"/>
    <w:lvl w:ilvl="0">
      <w:lvlJc w:val="left"/>
      <w:lvlText w:val="(%1)"/>
      <w:numFmt w:val="upperLetter"/>
      <w:start w:val="2"/>
    </w:lvl>
  </w:abstractNum>
  <w:abstractNum w:abstractNumId="57">
    <w:nsid w:val="496FB218"/>
    <w:multiLevelType w:val="hybridMultilevel"/>
    <w:lvl w:ilvl="0">
      <w:lvlJc w:val="left"/>
      <w:lvlText w:val="(%1)"/>
      <w:numFmt w:val="lowerRoman"/>
      <w:start w:val="4"/>
    </w:lvl>
  </w:abstractNum>
  <w:abstractNum w:abstractNumId="58">
    <w:nsid w:val="680EA5D1"/>
    <w:multiLevelType w:val="hybridMultilevel"/>
    <w:lvl w:ilvl="0">
      <w:lvlJc w:val="left"/>
      <w:lvlText w:val="(%1)"/>
      <w:numFmt w:val="lowerLetter"/>
      <w:start w:val="2"/>
    </w:lvl>
  </w:abstractNum>
  <w:abstractNum w:abstractNumId="59">
    <w:nsid w:val="4A9554FE"/>
    <w:multiLevelType w:val="hybridMultilevel"/>
    <w:lvl w:ilvl="0">
      <w:lvlJc w:val="left"/>
      <w:lvlText w:val="(%1)"/>
      <w:numFmt w:val="lowerLetter"/>
      <w:start w:val="1"/>
    </w:lvl>
    <w:lvl w:ilvl="1">
      <w:lvlJc w:val="left"/>
      <w:lvlText w:val="(%2)"/>
      <w:numFmt w:val="lowerRoman"/>
      <w:start w:val="1"/>
    </w:lvl>
  </w:abstractNum>
  <w:abstractNum w:abstractNumId="60">
    <w:nsid w:val="392EDBE4"/>
    <w:multiLevelType w:val="hybridMultilevel"/>
    <w:lvl w:ilvl="0">
      <w:lvlJc w:val="left"/>
      <w:lvlText w:val="(%1)"/>
      <w:numFmt w:val="lowerLetter"/>
      <w:start w:val="3"/>
    </w:lvl>
  </w:abstractNum>
  <w:abstractNum w:abstractNumId="61">
    <w:nsid w:val="3D1A2DD9"/>
    <w:multiLevelType w:val="hybridMultilevel"/>
    <w:lvl w:ilvl="0">
      <w:lvlJc w:val="left"/>
      <w:lvlText w:val="(%1)"/>
      <w:numFmt w:val="lowerRoman"/>
      <w:start w:val="10"/>
    </w:lvl>
  </w:abstractNum>
  <w:abstractNum w:abstractNumId="62">
    <w:nsid w:val="7F618FCD"/>
    <w:multiLevelType w:val="hybridMultilevel"/>
    <w:lvl w:ilvl="0">
      <w:lvlJc w:val="left"/>
      <w:lvlText w:val="(%1)"/>
      <w:numFmt w:val="lowerRoman"/>
      <w:start w:val="1"/>
    </w:lvl>
  </w:abstractNum>
  <w:abstractNum w:abstractNumId="63">
    <w:nsid w:val="7843E45"/>
    <w:multiLevelType w:val="hybridMultilevel"/>
    <w:lvl w:ilvl="0">
      <w:lvlJc w:val="left"/>
      <w:lvlText w:val="(%1)"/>
      <w:numFmt w:val="upperLetter"/>
      <w:start w:val="1"/>
    </w:lvl>
  </w:abstractNum>
  <w:abstractNum w:abstractNumId="64">
    <w:nsid w:val="9815DA3"/>
    <w:multiLevelType w:val="hybridMultilevel"/>
    <w:lvl w:ilvl="0">
      <w:lvlJc w:val="left"/>
      <w:lvlText w:val="(%1)"/>
      <w:numFmt w:val="lowerRoman"/>
      <w:start w:val="2"/>
    </w:lvl>
  </w:abstractNum>
  <w:abstractNum w:abstractNumId="65">
    <w:nsid w:val="5204A191"/>
    <w:multiLevelType w:val="hybridMultilevel"/>
    <w:lvl w:ilvl="0">
      <w:lvlJc w:val="left"/>
      <w:lvlText w:val="(%1)"/>
      <w:numFmt w:val="lowerRoman"/>
      <w:start w:val="1"/>
    </w:lvl>
  </w:abstractNum>
  <w:abstractNum w:abstractNumId="66">
    <w:nsid w:val="4C73A9C6"/>
    <w:multiLevelType w:val="hybridMultilevel"/>
    <w:lvl w:ilvl="0">
      <w:lvlJc w:val="left"/>
      <w:lvlText w:val="(%1)"/>
      <w:numFmt w:val="lowerLetter"/>
      <w:start w:val="1"/>
    </w:lvl>
  </w:abstractNum>
  <w:abstractNum w:abstractNumId="67">
    <w:nsid w:val="1C7E3C01"/>
    <w:multiLevelType w:val="hybridMultilevel"/>
    <w:lvl w:ilvl="0">
      <w:lvlJc w:val="left"/>
      <w:lvlText w:val="(%1)"/>
      <w:numFmt w:val="lowerLetter"/>
      <w:start w:val="4"/>
    </w:lvl>
  </w:abstractNum>
  <w:abstractNum w:abstractNumId="68">
    <w:nsid w:val="1C2201FF"/>
    <w:multiLevelType w:val="hybridMultilevel"/>
    <w:lvl w:ilvl="0">
      <w:lvlJc w:val="left"/>
      <w:lvlText w:val="(%1)"/>
      <w:numFmt w:val="lowerLetter"/>
      <w:start w:val="6"/>
    </w:lvl>
  </w:abstractNum>
  <w:abstractNum w:abstractNumId="69">
    <w:nsid w:val="50ABCEC9"/>
    <w:multiLevelType w:val="hybridMultilevel"/>
    <w:lvl w:ilvl="0">
      <w:lvlJc w:val="left"/>
      <w:lvlText w:val="(%1)"/>
      <w:numFmt w:val="lowerLetter"/>
      <w:start w:val="1"/>
    </w:lvl>
  </w:abstractNum>
  <w:abstractNum w:abstractNumId="70">
    <w:nsid w:val="7635AA2A"/>
    <w:multiLevelType w:val="hybridMultilevel"/>
    <w:lvl w:ilvl="0">
      <w:lvlJc w:val="left"/>
      <w:lvlText w:val="(%1)"/>
      <w:numFmt w:val="lowerLetter"/>
      <w:start w:val="1"/>
    </w:lvl>
  </w:abstractNum>
  <w:abstractNum w:abstractNumId="71">
    <w:nsid w:val="5E74C4D9"/>
    <w:multiLevelType w:val="hybridMultilevel"/>
    <w:lvl w:ilvl="0">
      <w:lvlJc w:val="left"/>
      <w:lvlText w:val="(%1)"/>
      <w:numFmt w:val="lowerLetter"/>
      <w:start w:val="1"/>
    </w:lvl>
  </w:abstractNum>
  <w:abstractNum w:abstractNumId="72">
    <w:nsid w:val="3B3EBE15"/>
    <w:multiLevelType w:val="hybridMultilevel"/>
    <w:lvl w:ilvl="0">
      <w:lvlJc w:val="left"/>
      <w:lvlText w:val="(%1)"/>
      <w:numFmt w:val="lowerLetter"/>
      <w:start w:val="4"/>
    </w:lvl>
  </w:abstractNum>
  <w:abstractNum w:abstractNumId="73">
    <w:nsid w:val="3822CB01"/>
    <w:multiLevelType w:val="hybridMultilevel"/>
    <w:lvl w:ilvl="0">
      <w:lvlJc w:val="left"/>
      <w:lvlText w:val="(%1)"/>
      <w:numFmt w:val="lowerLetter"/>
      <w:start w:val="1"/>
    </w:lvl>
  </w:abstractNum>
  <w:abstractNum w:abstractNumId="74">
    <w:nsid w:val="6CE00443"/>
    <w:multiLevelType w:val="hybridMultilevel"/>
    <w:lvl w:ilvl="0">
      <w:lvlJc w:val="left"/>
      <w:lvlText w:val="(%1)"/>
      <w:numFmt w:val="lowerLetter"/>
      <w:start w:val="2"/>
    </w:lvl>
  </w:abstractNum>
  <w:abstractNum w:abstractNumId="75">
    <w:nsid w:val="79F0D62F"/>
    <w:multiLevelType w:val="hybridMultilevel"/>
    <w:lvl w:ilvl="0">
      <w:lvlJc w:val="left"/>
      <w:lvlText w:val="(%1)"/>
      <w:numFmt w:val="lowerLetter"/>
      <w:start w:val="1"/>
    </w:lvl>
  </w:abstractNum>
  <w:abstractNum w:abstractNumId="76">
    <w:nsid w:val="7975E8EE"/>
    <w:multiLevelType w:val="hybridMultilevel"/>
    <w:lvl w:ilvl="0">
      <w:lvlJc w:val="left"/>
      <w:lvlText w:val="(%1)"/>
      <w:numFmt w:val="lowerLetter"/>
      <w:start w:val="4"/>
    </w:lvl>
  </w:abstractNum>
  <w:abstractNum w:abstractNumId="77">
    <w:nsid w:val="73154115"/>
    <w:multiLevelType w:val="hybridMultilevel"/>
    <w:lvl w:ilvl="0">
      <w:lvlJc w:val="left"/>
      <w:lvlText w:val="(%1)"/>
      <w:numFmt w:val="lowerLetter"/>
      <w:start w:val="1"/>
    </w:lvl>
  </w:abstractNum>
  <w:abstractNum w:abstractNumId="78">
    <w:nsid w:val="622D8102"/>
    <w:multiLevelType w:val="hybridMultilevel"/>
    <w:lvl w:ilvl="0">
      <w:lvlJc w:val="left"/>
      <w:lvlText w:val="(%1)"/>
      <w:numFmt w:val="lowerLetter"/>
      <w:start w:val="2"/>
    </w:lvl>
  </w:abstractNum>
  <w:abstractNum w:abstractNumId="79">
    <w:nsid w:val="2AB26587"/>
    <w:multiLevelType w:val="hybridMultilevel"/>
    <w:lvl w:ilvl="0">
      <w:lvlJc w:val="left"/>
      <w:lvlText w:val="(%1)"/>
      <w:numFmt w:val="lowerLetter"/>
      <w:start w:val="5"/>
    </w:lvl>
  </w:abstractNum>
  <w:abstractNum w:abstractNumId="80">
    <w:nsid w:val="44B3FA61"/>
    <w:multiLevelType w:val="hybridMultilevel"/>
    <w:lvl w:ilvl="0">
      <w:lvlJc w:val="left"/>
      <w:lvlText w:val="(%1)"/>
      <w:numFmt w:val="lowerLetter"/>
      <w:start w:val="6"/>
    </w:lvl>
  </w:abstractNum>
  <w:abstractNum w:abstractNumId="81">
    <w:nsid w:val="1C0CA67C"/>
    <w:multiLevelType w:val="hybridMultilevel"/>
    <w:lvl w:ilvl="0">
      <w:lvlJc w:val="left"/>
      <w:lvlText w:val="%1"/>
      <w:numFmt w:val="lowerLetter"/>
      <w:start w:val="1"/>
    </w:lvl>
    <w:lvl w:ilvl="1">
      <w:lvlJc w:val="left"/>
      <w:lvlText w:val="(%2)"/>
      <w:numFmt w:val="lowerLetter"/>
      <w:start w:val="9"/>
    </w:lvl>
  </w:abstractNum>
  <w:abstractNum w:abstractNumId="82">
    <w:nsid w:val="3D206613"/>
    <w:multiLevelType w:val="hybridMultilevel"/>
    <w:lvl w:ilvl="0">
      <w:lvlJc w:val="left"/>
      <w:lvlText w:val="(%1)"/>
      <w:numFmt w:val="lowerLetter"/>
      <w:start w:val="9"/>
    </w:lvl>
    <w:lvl w:ilvl="1">
      <w:lvlJc w:val="left"/>
      <w:lvlText w:val="%2"/>
      <w:numFmt w:val="lowerLetter"/>
      <w:start w:val="1"/>
    </w:lvl>
  </w:abstractNum>
  <w:abstractNum w:abstractNumId="83">
    <w:nsid w:val="7993B662"/>
    <w:multiLevelType w:val="hybridMultilevel"/>
    <w:lvl w:ilvl="0">
      <w:lvlJc w:val="left"/>
      <w:lvlText w:val="(%1)"/>
      <w:numFmt w:val="lowerLetter"/>
      <w:start w:val="11"/>
    </w:lvl>
  </w:abstractNum>
  <w:abstractNum w:abstractNumId="84">
    <w:nsid w:val="3BAB699E"/>
    <w:multiLevelType w:val="hybridMultilevel"/>
    <w:lvl w:ilvl="0">
      <w:lvlJc w:val="left"/>
      <w:lvlText w:val="(%1)"/>
      <w:numFmt w:val="lowerLetter"/>
      <w:start w:val="1"/>
    </w:lvl>
  </w:abstractNum>
  <w:abstractNum w:abstractNumId="85">
    <w:nsid w:val="71315369"/>
    <w:multiLevelType w:val="hybridMultilevel"/>
    <w:lvl w:ilvl="0">
      <w:lvlJc w:val="left"/>
      <w:lvlText w:val="(%1)"/>
      <w:numFmt w:val="lowerLetter"/>
      <w:start w:val="1"/>
    </w:lvl>
  </w:abstractNum>
  <w:abstractNum w:abstractNumId="86">
    <w:nsid w:val="7BCFBAFC"/>
    <w:multiLevelType w:val="hybridMultilevel"/>
    <w:lvl w:ilvl="0">
      <w:lvlJc w:val="left"/>
      <w:lvlText w:val="(%1)"/>
      <w:numFmt w:val="lowerLetter"/>
      <w:start w:val="3"/>
    </w:lvl>
    <w:lvl w:ilvl="1">
      <w:lvlJc w:val="left"/>
      <w:lvlText w:val="(%2)"/>
      <w:numFmt w:val="lowerRoman"/>
      <w:start w:val="1"/>
    </w:lvl>
  </w:abstractNum>
  <w:abstractNum w:abstractNumId="87">
    <w:nsid w:val="17859F72"/>
    <w:multiLevelType w:val="hybridMultilevel"/>
    <w:lvl w:ilvl="0">
      <w:lvlJc w:val="left"/>
      <w:lvlText w:val="(%1)"/>
      <w:numFmt w:val="lowerLetter"/>
      <w:start w:val="4"/>
    </w:lvl>
  </w:abstractNum>
  <w:abstractNum w:abstractNumId="88">
    <w:nsid w:val="3AA10581"/>
    <w:multiLevelType w:val="hybridMultilevel"/>
    <w:lvl w:ilvl="0">
      <w:lvlJc w:val="left"/>
      <w:lvlText w:val="(%1)"/>
      <w:numFmt w:val="lowerLetter"/>
      <w:start w:val="1"/>
    </w:lvl>
  </w:abstractNum>
  <w:abstractNum w:abstractNumId="89">
    <w:nsid w:val="63DE60CD"/>
    <w:multiLevelType w:val="hybridMultilevel"/>
    <w:lvl w:ilvl="0">
      <w:lvlJc w:val="left"/>
      <w:lvlText w:val="(%1)"/>
      <w:numFmt w:val="lowerLetter"/>
      <w:start w:val="1"/>
    </w:lvl>
  </w:abstractNum>
  <w:abstractNum w:abstractNumId="90">
    <w:nsid w:val="621AF471"/>
    <w:multiLevelType w:val="hybridMultilevel"/>
    <w:lvl w:ilvl="0">
      <w:lvlJc w:val="left"/>
      <w:lvlText w:val="%1"/>
      <w:numFmt w:val="lowerLetter"/>
      <w:start w:val="1"/>
    </w:lvl>
    <w:lvl w:ilvl="1">
      <w:lvlJc w:val="left"/>
      <w:lvlText w:val="(%2)"/>
      <w:numFmt w:val="lowerRoman"/>
      <w:start w:val="2"/>
    </w:lvl>
  </w:abstractNum>
  <w:abstractNum w:abstractNumId="91">
    <w:nsid w:val="73CFE165"/>
    <w:multiLevelType w:val="hybridMultilevel"/>
    <w:lvl w:ilvl="0">
      <w:lvlJc w:val="left"/>
      <w:lvlText w:val="(%1)"/>
      <w:numFmt w:val="lowerLetter"/>
      <w:start w:val="2"/>
    </w:lvl>
    <w:lvl w:ilvl="1">
      <w:lvlJc w:val="left"/>
      <w:lvlText w:val="%2"/>
      <w:numFmt w:val="lowerRoman"/>
      <w:start w:val="1"/>
    </w:lvl>
  </w:abstractNum>
  <w:abstractNum w:abstractNumId="92">
    <w:nsid w:val="20F88EA6"/>
    <w:multiLevelType w:val="hybridMultilevel"/>
    <w:lvl w:ilvl="0">
      <w:lvlJc w:val="left"/>
      <w:lvlText w:val="(%1)"/>
      <w:numFmt w:val="lowerLetter"/>
      <w:start w:val="1"/>
    </w:lvl>
  </w:abstractNum>
  <w:abstractNum w:abstractNumId="93">
    <w:nsid w:val="617C843E"/>
    <w:multiLevelType w:val="hybridMultilevel"/>
    <w:lvl w:ilvl="0">
      <w:lvlJc w:val="left"/>
      <w:lvlText w:val="%1"/>
      <w:numFmt w:val="lowerRoman"/>
      <w:start w:val="1"/>
    </w:lvl>
    <w:lvl w:ilvl="1">
      <w:lvlJc w:val="left"/>
      <w:lvlText w:val="(%2)"/>
      <w:numFmt w:val="decimal"/>
      <w:start w:val="1"/>
    </w:lvl>
  </w:abstractNum>
  <w:abstractNum w:abstractNumId="94">
    <w:nsid w:val="7B541FAB"/>
    <w:multiLevelType w:val="hybridMultilevel"/>
    <w:lvl w:ilvl="0">
      <w:lvlJc w:val="left"/>
      <w:lvlText w:val="(%1)"/>
      <w:numFmt w:val="lowerRoman"/>
      <w:start w:val="2"/>
    </w:lvl>
    <w:lvl w:ilvl="1">
      <w:lvlJc w:val="left"/>
      <w:lvlText w:val="%2"/>
      <w:numFmt w:val="decimal"/>
      <w:start w:val="1"/>
    </w:lvl>
  </w:abstractNum>
  <w:abstractNum w:abstractNumId="95">
    <w:nsid w:val="2A79EC49"/>
    <w:multiLevelType w:val="hybridMultilevel"/>
    <w:lvl w:ilvl="0">
      <w:lvlJc w:val="left"/>
      <w:lvlText w:val="(%1)"/>
      <w:numFmt w:val="lowerRoman"/>
      <w:start w:val="3"/>
    </w:lvl>
  </w:abstractNum>
  <w:abstractNum w:abstractNumId="96">
    <w:nsid w:val="338125CF"/>
    <w:multiLevelType w:val="hybridMultilevel"/>
    <w:lvl w:ilvl="0">
      <w:lvlJc w:val="left"/>
      <w:lvlText w:val="%1"/>
      <w:numFmt w:val="lowerLetter"/>
      <w:start w:val="1"/>
    </w:lvl>
    <w:lvl w:ilvl="1">
      <w:lvlJc w:val="left"/>
      <w:lvlText w:val="(%2)"/>
      <w:numFmt w:val="lowerLetter"/>
      <w:start w:val="4"/>
    </w:lvl>
  </w:abstractNum>
  <w:abstractNum w:abstractNumId="97">
    <w:nsid w:val="47C7C971"/>
    <w:multiLevelType w:val="hybridMultilevel"/>
    <w:lvl w:ilvl="0">
      <w:lvlJc w:val="left"/>
      <w:lvlText w:val="(%1)"/>
      <w:numFmt w:val="lowerLetter"/>
      <w:start w:val="9"/>
    </w:lvl>
    <w:lvl w:ilvl="1">
      <w:lvlJc w:val="left"/>
      <w:lvlText w:val="(%2)"/>
      <w:numFmt w:val="lowerLetter"/>
      <w:start w:val="5"/>
    </w:lvl>
  </w:abstractNum>
  <w:abstractNum w:abstractNumId="98">
    <w:nsid w:val="46F8284B"/>
    <w:multiLevelType w:val="hybridMultilevel"/>
    <w:lvl w:ilvl="0">
      <w:lvlJc w:val="left"/>
      <w:lvlText w:val="(%1)"/>
      <w:numFmt w:val="lowerLetter"/>
      <w:start w:val="1"/>
    </w:lvl>
  </w:abstractNum>
  <w:abstractNum w:abstractNumId="99">
    <w:nsid w:val="4FA327CE"/>
    <w:multiLevelType w:val="hybridMultilevel"/>
    <w:lvl w:ilvl="0">
      <w:lvlJc w:val="left"/>
      <w:lvlText w:val="(%1)"/>
      <w:numFmt w:val="lowerLetter"/>
      <w:start w:val="4"/>
    </w:lvl>
  </w:abstractNum>
  <w:abstractNum w:abstractNumId="100">
    <w:nsid w:val="1873983A"/>
    <w:multiLevelType w:val="hybridMultilevel"/>
    <w:lvl w:ilvl="0">
      <w:lvlJc w:val="left"/>
      <w:lvlText w:val="(%1)"/>
      <w:numFmt w:val="lowerLetter"/>
      <w:start w:val="1"/>
    </w:lvl>
  </w:abstractNum>
  <w:abstractNum w:abstractNumId="101">
    <w:nsid w:val="3D2DD275"/>
    <w:multiLevelType w:val="hybridMultilevel"/>
    <w:lvl w:ilvl="0">
      <w:lvlJc w:val="left"/>
      <w:lvlText w:val="(%1)"/>
      <w:numFmt w:val="lowerLetter"/>
      <w:start w:val="6"/>
    </w:lvl>
  </w:abstractNum>
  <w:abstractNum w:abstractNumId="102">
    <w:nsid w:val="2E17ECA7"/>
    <w:multiLevelType w:val="hybridMultilevel"/>
    <w:lvl w:ilvl="0">
      <w:lvlJc w:val="left"/>
      <w:lvlText w:val="(%1)"/>
      <w:numFmt w:val="lowerLetter"/>
      <w:start w:val="1"/>
    </w:lvl>
  </w:abstractNum>
  <w:abstractNum w:abstractNumId="103">
    <w:nsid w:val="53B2564F"/>
    <w:multiLevelType w:val="hybridMultilevel"/>
    <w:lvl w:ilvl="0">
      <w:lvlJc w:val="left"/>
      <w:lvlText w:val="(%1)"/>
      <w:numFmt w:val="lowerLetter"/>
      <w:start w:val="3"/>
    </w:lvl>
  </w:abstractNum>
  <w:abstractNum w:abstractNumId="104">
    <w:nsid w:val="75509D76"/>
    <w:multiLevelType w:val="hybridMultilevel"/>
    <w:lvl w:ilvl="0">
      <w:lvlJc w:val="left"/>
      <w:lvlText w:val="(%1)"/>
      <w:numFmt w:val="lowerLetter"/>
      <w:start w:val="7"/>
    </w:lvl>
  </w:abstractNum>
  <w:abstractNum w:abstractNumId="105">
    <w:nsid w:val="1AF7F0EA"/>
    <w:multiLevelType w:val="hybridMultilevel"/>
    <w:lvl w:ilvl="0">
      <w:lvlJc w:val="left"/>
      <w:lvlText w:val="(%1)"/>
      <w:numFmt w:val="lowerLetter"/>
      <w:start w:val="11"/>
    </w:lvl>
  </w:abstractNum>
  <w:abstractNum w:abstractNumId="106">
    <w:nsid w:val="4DA32C7E"/>
    <w:multiLevelType w:val="hybridMultilevel"/>
    <w:lvl w:ilvl="0">
      <w:lvlJc w:val="left"/>
      <w:lvlText w:val="(%1)"/>
      <w:numFmt w:val="lowerLetter"/>
      <w:start w:val="1"/>
    </w:lvl>
    <w:lvl w:ilvl="1">
      <w:lvlJc w:val="left"/>
      <w:lvlText w:val="(%2)"/>
      <w:numFmt w:val="lowerRoman"/>
      <w:start w:val="1"/>
    </w:lvl>
  </w:abstractNum>
  <w:abstractNum w:abstractNumId="107">
    <w:nsid w:val="6EC68664"/>
    <w:multiLevelType w:val="hybridMultilevel"/>
    <w:lvl w:ilvl="0">
      <w:lvlJc w:val="left"/>
      <w:lvlText w:val="(%1)"/>
      <w:numFmt w:val="lowerLetter"/>
      <w:start w:val="2"/>
    </w:lvl>
  </w:abstractNum>
  <w:abstractNum w:abstractNumId="108">
    <w:nsid w:val="E0D31FF"/>
    <w:multiLevelType w:val="hybridMultilevel"/>
    <w:lvl w:ilvl="0">
      <w:lvlJc w:val="left"/>
      <w:lvlText w:val="(%1)"/>
      <w:numFmt w:val="lowerLetter"/>
      <w:start w:val="1"/>
    </w:lvl>
  </w:abstractNum>
  <w:abstractNum w:abstractNumId="109">
    <w:nsid w:val="2FD0AD8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10">
    <w:nsid w:val="1978EBEB"/>
    <w:multiLevelType w:val="hybridMultilevel"/>
    <w:lvl w:ilvl="0">
      <w:lvlJc w:val="left"/>
      <w:lvlText w:val="(%1)"/>
      <w:numFmt w:val="lowerRoman"/>
      <w:start w:val="19"/>
    </w:lvl>
  </w:abstractNum>
  <w:abstractNum w:abstractNumId="111">
    <w:nsid w:val="52C12C61"/>
    <w:multiLevelType w:val="hybridMultilevel"/>
    <w:lvl w:ilvl="0">
      <w:lvlJc w:val="left"/>
      <w:lvlText w:val="%1"/>
      <w:numFmt w:val="lowerRoman"/>
      <w:start w:val="1"/>
    </w:lvl>
    <w:lvl w:ilvl="1">
      <w:lvlJc w:val="left"/>
      <w:lvlText w:val="(%2)"/>
      <w:numFmt w:val="upperLetter"/>
      <w:start w:val="2"/>
    </w:lvl>
  </w:abstractNum>
  <w:abstractNum w:abstractNumId="112">
    <w:nsid w:val="4BDD53FD"/>
    <w:multiLevelType w:val="hybridMultilevel"/>
    <w:lvl w:ilvl="0">
      <w:lvlJc w:val="left"/>
      <w:lvlText w:val="(%1)"/>
      <w:numFmt w:val="lowerRoman"/>
      <w:start w:val="2"/>
    </w:lvl>
    <w:lvl w:ilvl="1">
      <w:lvlJc w:val="left"/>
      <w:lvlText w:val="%2"/>
      <w:numFmt w:val="upperLetter"/>
      <w:start w:val="1"/>
    </w:lvl>
  </w:abstractNum>
  <w:abstractNum w:abstractNumId="113">
    <w:nsid w:val="569951FE"/>
    <w:multiLevelType w:val="hybridMultilevel"/>
    <w:lvl w:ilvl="0">
      <w:lvlJc w:val="left"/>
      <w:lvlText w:val="%1"/>
      <w:numFmt w:val="lowerLetter"/>
      <w:start w:val="1"/>
    </w:lvl>
    <w:lvl w:ilvl="1">
      <w:lvlJc w:val="left"/>
      <w:lvlText w:val="(%2)"/>
      <w:numFmt w:val="lowerRoman"/>
      <w:start w:val="4"/>
    </w:lvl>
  </w:abstractNum>
  <w:abstractNum w:abstractNumId="114">
    <w:nsid w:val="4C54E2C3"/>
    <w:multiLevelType w:val="hybridMultilevel"/>
    <w:lvl w:ilvl="0">
      <w:lvlJc w:val="left"/>
      <w:lvlText w:val="(%1)"/>
      <w:numFmt w:val="lowerLetter"/>
      <w:start w:val="6"/>
    </w:lvl>
    <w:lvl w:ilvl="1">
      <w:lvlJc w:val="left"/>
      <w:lvlText w:val="%2"/>
      <w:numFmt w:val="lowerRoman"/>
      <w:start w:val="1"/>
    </w:lvl>
  </w:abstractNum>
  <w:abstractNum w:abstractNumId="115">
    <w:nsid w:val="788BD9B"/>
    <w:multiLevelType w:val="hybridMultilevel"/>
    <w:lvl w:ilvl="0">
      <w:lvlJc w:val="left"/>
      <w:lvlText w:val="(%1)"/>
      <w:numFmt w:val="lowerLetter"/>
      <w:start w:val="8"/>
    </w:lvl>
    <w:lvl w:ilvl="1">
      <w:lvlJc w:val="left"/>
      <w:lvlText w:val="(%2)"/>
      <w:numFmt w:val="lowerRoman"/>
      <w:start w:val="2"/>
    </w:lvl>
  </w:abstractNum>
  <w:abstractNum w:abstractNumId="116">
    <w:nsid w:val="47CAA567"/>
    <w:multiLevelType w:val="hybridMultilevel"/>
    <w:lvl w:ilvl="0">
      <w:lvlJc w:val="left"/>
      <w:lvlText w:val="(%1)"/>
      <w:numFmt w:val="lowerRoman"/>
      <w:start w:val="1"/>
    </w:lvl>
  </w:abstractNum>
  <w:abstractNum w:abstractNumId="117">
    <w:nsid w:val="48249DBF"/>
    <w:multiLevelType w:val="hybridMultilevel"/>
    <w:lvl w:ilvl="0">
      <w:lvlJc w:val="left"/>
      <w:lvlText w:val="(%1)"/>
      <w:numFmt w:val="lowerLetter"/>
      <w:start w:val="1"/>
    </w:lvl>
  </w:abstractNum>
  <w:abstractNum w:abstractNumId="118">
    <w:nsid w:val="1F0E5D0D"/>
    <w:multiLevelType w:val="hybridMultilevel"/>
    <w:lvl w:ilvl="0">
      <w:lvlJc w:val="left"/>
      <w:lvlText w:val="(%1)"/>
      <w:numFmt w:val="lowerLetter"/>
      <w:start w:val="3"/>
    </w:lvl>
  </w:abstractNum>
  <w:abstractNum w:abstractNumId="119">
    <w:nsid w:val="26BAAE9"/>
    <w:multiLevelType w:val="hybridMultilevel"/>
    <w:lvl w:ilvl="0">
      <w:lvlJc w:val="left"/>
      <w:lvlText w:val="(%1)"/>
      <w:numFmt w:val="lowerLetter"/>
      <w:start w:val="1"/>
    </w:lvl>
  </w:abstractNum>
  <w:abstractNum w:abstractNumId="120">
    <w:nsid w:val="2C02FE8C"/>
    <w:multiLevelType w:val="hybridMultilevel"/>
    <w:lvl w:ilvl="0">
      <w:lvlJc w:val="left"/>
      <w:lvlText w:val="(%1)"/>
      <w:numFmt w:val="lowerLetter"/>
      <w:start w:val="1"/>
    </w:lvl>
  </w:abstractNum>
  <w:abstractNum w:abstractNumId="121">
    <w:nsid w:val="129517E"/>
    <w:multiLevelType w:val="hybridMultilevel"/>
    <w:lvl w:ilvl="0">
      <w:lvlJc w:val="left"/>
      <w:lvlText w:val="(%1)"/>
      <w:numFmt w:val="lowerLetter"/>
      <w:start w:val="2"/>
    </w:lvl>
  </w:abstractNum>
  <w:abstractNum w:abstractNumId="122">
    <w:nsid w:val="763B8C4E"/>
    <w:multiLevelType w:val="hybridMultilevel"/>
    <w:lvl w:ilvl="0">
      <w:lvlJc w:val="left"/>
      <w:lvlText w:val="(%1)"/>
      <w:numFmt w:val="upperLetter"/>
      <w:start w:val="2"/>
    </w:lvl>
  </w:abstractNum>
  <w:abstractNum w:abstractNumId="123">
    <w:nsid w:val="4CFB8D32"/>
    <w:multiLevelType w:val="hybridMultilevel"/>
    <w:lvl w:ilvl="0">
      <w:lvlJc w:val="left"/>
      <w:lvlText w:val="(%1)"/>
      <w:numFmt w:val="lowerLetter"/>
      <w:start w:val="3"/>
    </w:lvl>
  </w:abstractNum>
  <w:abstractNum w:abstractNumId="124">
    <w:nsid w:val="62A5D5BD"/>
    <w:multiLevelType w:val="hybridMultilevel"/>
    <w:lvl w:ilvl="0">
      <w:lvlJc w:val="left"/>
      <w:lvlText w:val="(%1)"/>
      <w:numFmt w:val="lowerLetter"/>
      <w:start w:val="4"/>
    </w:lvl>
  </w:abstractNum>
  <w:abstractNum w:abstractNumId="125">
    <w:nsid w:val="718FABF9"/>
    <w:multiLevelType w:val="hybridMultilevel"/>
    <w:lvl w:ilvl="0">
      <w:lvlJc w:val="left"/>
      <w:lvlText w:val="(%1)"/>
      <w:numFmt w:val="lowerLetter"/>
      <w:start w:val="5"/>
    </w:lvl>
  </w:abstractNum>
  <w:abstractNum w:abstractNumId="126">
    <w:nsid w:val="7775797C"/>
    <w:multiLevelType w:val="hybridMultilevel"/>
    <w:lvl w:ilvl="0">
      <w:lvlJc w:val="left"/>
      <w:lvlText w:val="(%1)"/>
      <w:numFmt w:val="lowerLetter"/>
      <w:start w:val="1"/>
    </w:lvl>
    <w:lvl w:ilvl="1">
      <w:lvlJc w:val="left"/>
      <w:lvlText w:val="(%2)"/>
      <w:numFmt w:val="lowerRoman"/>
      <w:start w:val="1"/>
    </w:lvl>
  </w:abstractNum>
  <w:abstractNum w:abstractNumId="127">
    <w:nsid w:val="1626FB8C"/>
    <w:multiLevelType w:val="hybridMultilevel"/>
    <w:lvl w:ilvl="0">
      <w:lvlJc w:val="left"/>
      <w:lvlText w:val="%1"/>
      <w:numFmt w:val="lowerLetter"/>
      <w:start w:val="1"/>
    </w:lvl>
    <w:lvl w:ilvl="1">
      <w:lvlJc w:val="left"/>
      <w:lvlText w:val="(%2)"/>
      <w:numFmt w:val="lowerRoman"/>
      <w:start w:val="5"/>
    </w:lvl>
  </w:abstractNum>
  <w:abstractNum w:abstractNumId="128">
    <w:nsid w:val="3957756A"/>
    <w:multiLevelType w:val="hybridMultilevel"/>
    <w:lvl w:ilvl="0">
      <w:lvlJc w:val="left"/>
      <w:lvlText w:val="(%1)"/>
      <w:numFmt w:val="lowerLetter"/>
      <w:start w:val="2"/>
    </w:lvl>
    <w:lvl w:ilvl="1">
      <w:lvlJc w:val="left"/>
      <w:lvlText w:val="%2"/>
      <w:numFmt w:val="lowerRoman"/>
      <w:start w:val="1"/>
    </w:lvl>
  </w:abstractNum>
  <w:abstractNum w:abstractNumId="129">
    <w:nsid w:val="3E6DA1C7"/>
    <w:multiLevelType w:val="hybridMultilevel"/>
    <w:lvl w:ilvl="0">
      <w:lvlJc w:val="left"/>
      <w:lvlText w:val="(%1)"/>
      <w:numFmt w:val="lowerLetter"/>
      <w:start w:val="3"/>
    </w:lvl>
  </w:abstractNum>
  <w:abstractNum w:abstractNumId="130">
    <w:nsid w:val="65CA235B"/>
    <w:multiLevelType w:val="hybridMultilevel"/>
    <w:lvl w:ilvl="0">
      <w:lvlJc w:val="left"/>
      <w:lvlText w:val="(%1)"/>
      <w:numFmt w:val="lowerLetter"/>
      <w:start w:val="1"/>
    </w:lvl>
    <w:lvl w:ilvl="1">
      <w:lvlJc w:val="left"/>
      <w:lvlText w:val="(%2)"/>
      <w:numFmt w:val="lowerRoman"/>
      <w:start w:val="1"/>
    </w:lvl>
  </w:abstractNum>
  <w:abstractNum w:abstractNumId="131">
    <w:nsid w:val="51CB0DA4"/>
    <w:multiLevelType w:val="hybridMultilevel"/>
    <w:lvl w:ilvl="0">
      <w:lvlJc w:val="left"/>
      <w:lvlText w:val="%1"/>
      <w:numFmt w:val="lowerLetter"/>
      <w:start w:val="1"/>
    </w:lvl>
    <w:lvl w:ilvl="1">
      <w:lvlJc w:val="left"/>
      <w:lvlText w:val="(%2)"/>
      <w:numFmt w:val="lowerRoman"/>
      <w:start w:val="4"/>
    </w:lvl>
  </w:abstractNum>
  <w:abstractNum w:abstractNumId="132">
    <w:nsid w:val="7B9B743C"/>
    <w:multiLevelType w:val="hybridMultilevel"/>
    <w:lvl w:ilvl="0">
      <w:lvlJc w:val="left"/>
      <w:lvlText w:val="(%1)"/>
      <w:numFmt w:val="lowerLetter"/>
      <w:start w:val="2"/>
    </w:lvl>
    <w:lvl w:ilvl="1">
      <w:lvlJc w:val="left"/>
      <w:lvlText w:val="%2"/>
      <w:numFmt w:val="lowerRoman"/>
      <w:start w:val="1"/>
    </w:lvl>
  </w:abstractNum>
  <w:abstractNum w:abstractNumId="133">
    <w:nsid w:val="13E21002"/>
    <w:multiLevelType w:val="hybridMultilevel"/>
    <w:lvl w:ilvl="0">
      <w:lvlJc w:val="left"/>
      <w:lvlText w:val="(%1)"/>
      <w:numFmt w:val="lowerLetter"/>
      <w:start w:val="4"/>
    </w:lvl>
  </w:abstractNum>
  <w:abstractNum w:abstractNumId="134">
    <w:nsid w:val="257D63F4"/>
    <w:multiLevelType w:val="hybridMultilevel"/>
    <w:lvl w:ilvl="0">
      <w:lvlJc w:val="left"/>
      <w:lvlText w:val="(%1)"/>
      <w:numFmt w:val="lowerRoman"/>
      <w:start w:val="1"/>
    </w:lvl>
  </w:abstractNum>
  <w:abstractNum w:abstractNumId="135">
    <w:nsid w:val="70EC11B2"/>
    <w:multiLevelType w:val="hybridMultilevel"/>
    <w:lvl w:ilvl="0">
      <w:lvlJc w:val="left"/>
      <w:lvlText w:val="(%1)"/>
      <w:numFmt w:val="lowerLetter"/>
      <w:start w:val="1"/>
    </w:lvl>
    <w:lvl w:ilvl="1">
      <w:lvlJc w:val="left"/>
      <w:lvlText w:val="(%2)"/>
      <w:numFmt w:val="lowerLetter"/>
      <w:start w:val="9"/>
    </w:lvl>
  </w:abstractNum>
  <w:abstractNum w:abstractNumId="136">
    <w:nsid w:val="2EDA00E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37">
    <w:nsid w:val="73209072"/>
    <w:multiLevelType w:val="hybridMultilevel"/>
    <w:lvl w:ilvl="0">
      <w:lvlJc w:val="left"/>
      <w:lvlText w:val="(%1)"/>
      <w:numFmt w:val="lowerRoman"/>
      <w:start w:val="2"/>
    </w:lvl>
    <w:lvl w:ilvl="1">
      <w:lvlJc w:val="left"/>
      <w:lvlText w:val="(%2)"/>
      <w:numFmt w:val="lowerLetter"/>
      <w:start w:val="24"/>
    </w:lvl>
    <w:lvl w:ilvl="2">
      <w:lvlJc w:val="left"/>
      <w:lvlText w:val="(%3)"/>
      <w:numFmt w:val="lowerLetter"/>
      <w:start w:val="61"/>
    </w:lvl>
    <w:lvl w:ilvl="3">
      <w:lvlJc w:val="left"/>
      <w:lvlText w:val="(%4)"/>
      <w:numFmt w:val="upperLetter"/>
      <w:start w:val="1"/>
    </w:lvl>
  </w:abstractNum>
  <w:abstractNum w:abstractNumId="138">
    <w:nsid w:val="5FB29816"/>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139">
    <w:nsid w:val="3CE732EC"/>
    <w:multiLevelType w:val="hybridMultilevel"/>
    <w:lvl w:ilvl="0">
      <w:lvlJc w:val="left"/>
      <w:lvlText w:val="%1"/>
      <w:numFmt w:val="lowerLetter"/>
      <w:start w:val="1"/>
    </w:lvl>
    <w:lvl w:ilvl="1">
      <w:lvlJc w:val="left"/>
      <w:lvlText w:val="(%2)"/>
      <w:numFmt w:val="lowerRoman"/>
      <w:start w:val="4"/>
    </w:lvl>
  </w:abstractNum>
  <w:abstractNum w:abstractNumId="140">
    <w:nsid w:val="22F13DF3"/>
    <w:multiLevelType w:val="hybridMultilevel"/>
    <w:lvl w:ilvl="0">
      <w:lvlJc w:val="left"/>
      <w:lvlText w:val="(%1)"/>
      <w:numFmt w:val="lowerLetter"/>
      <w:start w:val="3"/>
    </w:lvl>
    <w:lvl w:ilvl="1">
      <w:lvlJc w:val="left"/>
      <w:lvlText w:val="%2"/>
      <w:numFmt w:val="lowerRoman"/>
      <w:start w:val="1"/>
    </w:lvl>
  </w:abstractNum>
  <w:abstractNum w:abstractNumId="141">
    <w:nsid w:val="792B8401"/>
    <w:multiLevelType w:val="hybridMultilevel"/>
    <w:lvl w:ilvl="0">
      <w:lvlJc w:val="left"/>
      <w:lvlText w:val="(%1)"/>
      <w:numFmt w:val="lowerLetter"/>
      <w:start w:val="1"/>
    </w:lvl>
  </w:abstractNum>
  <w:abstractNum w:abstractNumId="142">
    <w:nsid w:val="FA85F4D"/>
    <w:multiLevelType w:val="hybridMultilevel"/>
    <w:lvl w:ilvl="0">
      <w:lvlJc w:val="left"/>
      <w:lvlText w:val="(%1)"/>
      <w:numFmt w:val="lowerLetter"/>
      <w:start w:val="1"/>
    </w:lvl>
  </w:abstractNum>
  <w:abstractNum w:abstractNumId="143">
    <w:nsid w:val="6ECE91F0"/>
    <w:multiLevelType w:val="hybridMultilevel"/>
    <w:lvl w:ilvl="0">
      <w:lvlJc w:val="left"/>
      <w:lvlText w:val="(%1)"/>
      <w:numFmt w:val="lowerLetter"/>
      <w:start w:val="1"/>
    </w:lvl>
  </w:abstractNum>
  <w:abstractNum w:abstractNumId="144">
    <w:nsid w:val="4FC4D600"/>
    <w:multiLevelType w:val="hybridMultilevel"/>
    <w:lvl w:ilvl="0">
      <w:lvlJc w:val="left"/>
      <w:lvlText w:val="(%1)"/>
      <w:numFmt w:val="lowerLetter"/>
      <w:start w:val="3"/>
    </w:lvl>
  </w:abstractNum>
  <w:abstractNum w:abstractNumId="145">
    <w:nsid w:val="5BFD4210"/>
    <w:multiLevelType w:val="hybridMultilevel"/>
    <w:lvl w:ilvl="0">
      <w:lvlJc w:val="left"/>
      <w:lvlText w:val="(%1)"/>
      <w:numFmt w:val="lowerLetter"/>
      <w:start w:val="1"/>
    </w:lvl>
  </w:abstractNum>
  <w:abstractNum w:abstractNumId="146">
    <w:nsid w:val="76574F8B"/>
    <w:multiLevelType w:val="hybridMultilevel"/>
    <w:lvl w:ilvl="0">
      <w:lvlJc w:val="left"/>
      <w:lvlText w:val="(%1)"/>
      <w:numFmt w:val="lowerRoman"/>
      <w:start w:val="4"/>
    </w:lvl>
  </w:abstractNum>
  <w:abstractNum w:abstractNumId="147">
    <w:nsid w:val="178F7B67"/>
    <w:multiLevelType w:val="hybridMultilevel"/>
    <w:lvl w:ilvl="0">
      <w:lvlJc w:val="left"/>
      <w:lvlText w:val="(%1)"/>
      <w:numFmt w:val="lowerLetter"/>
      <w:start w:val="1"/>
    </w:lvl>
  </w:abstractNum>
  <w:abstractNum w:abstractNumId="148">
    <w:nsid w:val="2421DFC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9">
    <w:nsid w:val="1565AC9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8"/>
    </w:lvl>
    <w:lvl w:ilvl="4">
      <w:lvlJc w:val="left"/>
      <w:lvlText w:val="%5"/>
      <w:numFmt w:val="decimal"/>
      <w:start w:val="1"/>
    </w:lvl>
  </w:abstractNum>
  <w:abstractNum w:abstractNumId="150">
    <w:nsid w:val="19FB265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lvl w:ilvl="4">
      <w:lvlJc w:val="left"/>
      <w:lvlText w:val="(%5)"/>
      <w:numFmt w:val="decimal"/>
      <w:start w:val="1"/>
    </w:lvl>
  </w:abstractNum>
  <w:abstractNum w:abstractNumId="151">
    <w:nsid w:val="5024DE5B"/>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upperLetter"/>
      <w:start w:val="1"/>
    </w:lvl>
    <w:lvl w:ilvl="4">
      <w:lvlJc w:val="left"/>
      <w:lvlText w:val="%5"/>
      <w:numFmt w:val="decimal"/>
      <w:start w:val="1"/>
    </w:lvl>
  </w:abstractNum>
  <w:abstractNum w:abstractNumId="152">
    <w:nsid w:val="168EFE17"/>
    <w:multiLevelType w:val="hybridMultilevel"/>
    <w:lvl w:ilvl="0">
      <w:lvlJc w:val="left"/>
      <w:lvlText w:val="(%1)"/>
      <w:numFmt w:val="lowerLetter"/>
      <w:start w:val="22"/>
    </w:lvl>
    <w:lvl w:ilvl="1">
      <w:lvlJc w:val="left"/>
      <w:lvlText w:val="(%2)"/>
      <w:numFmt w:val="lowerLetter"/>
      <w:start w:val="6"/>
    </w:lvl>
    <w:lvl w:ilvl="2">
      <w:lvlJc w:val="left"/>
      <w:lvlText w:val="%3"/>
      <w:numFmt w:val="lowerLetter"/>
      <w:start w:val="1"/>
    </w:lvl>
    <w:lvl w:ilvl="3">
      <w:lvlJc w:val="left"/>
      <w:lvlText w:val="%4"/>
      <w:numFmt w:val="upperLetter"/>
      <w:start w:val="1"/>
    </w:lvl>
    <w:lvl w:ilvl="4">
      <w:lvlJc w:val="left"/>
      <w:lvlText w:val="%5"/>
      <w:numFmt w:val="decimal"/>
      <w:start w:val="1"/>
    </w:lvl>
  </w:abstractNum>
  <w:abstractNum w:abstractNumId="153">
    <w:nsid w:val="1036B29F"/>
    <w:multiLevelType w:val="hybridMultilevel"/>
    <w:lvl w:ilvl="0">
      <w:lvlJc w:val="left"/>
      <w:lvlText w:val="(%1)"/>
      <w:numFmt w:val="lowerLetter"/>
      <w:start w:val="7"/>
    </w:lvl>
  </w:abstractNum>
  <w:abstractNum w:abstractNumId="154">
    <w:nsid w:val="1D206B8E"/>
    <w:multiLevelType w:val="hybridMultilevel"/>
    <w:lvl w:ilvl="0">
      <w:lvlJc w:val="left"/>
      <w:lvlText w:val="(%1)"/>
      <w:numFmt w:val="lowerLetter"/>
      <w:start w:val="1"/>
    </w:lvl>
  </w:abstractNum>
  <w:abstractNum w:abstractNumId="155">
    <w:nsid w:val="7934D3D4"/>
    <w:multiLevelType w:val="hybridMultilevel"/>
    <w:lvl w:ilvl="0">
      <w:lvlJc w:val="left"/>
      <w:lvlText w:val="(%1)"/>
      <w:numFmt w:val="lowerLetter"/>
      <w:start w:val="1"/>
    </w:lvl>
  </w:abstractNum>
  <w:abstractNum w:abstractNumId="156">
    <w:nsid w:val="1C65E98"/>
    <w:multiLevelType w:val="hybridMultilevel"/>
    <w:lvl w:ilvl="0">
      <w:lvlJc w:val="left"/>
      <w:lvlText w:val="(%1)"/>
      <w:numFmt w:val="lowerLetter"/>
      <w:start w:val="4"/>
    </w:lvl>
  </w:abstractNum>
  <w:abstractNum w:abstractNumId="157">
    <w:nsid w:val="1495E50A"/>
    <w:multiLevelType w:val="hybridMultilevel"/>
    <w:lvl w:ilvl="0">
      <w:lvlJc w:val="left"/>
      <w:lvlText w:val="(%1)"/>
      <w:numFmt w:val="lowerLetter"/>
      <w:start w:val="1"/>
    </w:lvl>
  </w:abstractNum>
  <w:abstractNum w:abstractNumId="158">
    <w:nsid w:val="F5BCF61"/>
    <w:multiLevelType w:val="hybridMultilevel"/>
    <w:lvl w:ilvl="0">
      <w:lvlJc w:val="left"/>
      <w:lvlText w:val="(%1)"/>
      <w:numFmt w:val="lowerLetter"/>
      <w:start w:val="1"/>
    </w:lvl>
  </w:abstractNum>
  <w:abstractNum w:abstractNumId="159">
    <w:nsid w:val="3B1DD403"/>
    <w:multiLevelType w:val="hybridMultilevel"/>
    <w:lvl w:ilvl="0">
      <w:lvlJc w:val="left"/>
      <w:lvlText w:val="(%1)"/>
      <w:numFmt w:val="lowerLetter"/>
      <w:start w:val="3"/>
    </w:lvl>
  </w:abstractNum>
  <w:abstractNum w:abstractNumId="160">
    <w:nsid w:val="530386D1"/>
    <w:multiLevelType w:val="hybridMultilevel"/>
    <w:lvl w:ilvl="0">
      <w:lvlJc w:val="left"/>
      <w:lvlText w:val="(%1)"/>
      <w:numFmt w:val="lowerLetter"/>
      <w:start w:val="6"/>
    </w:lvl>
  </w:abstractNum>
  <w:abstractNum w:abstractNumId="161">
    <w:nsid w:val="7525F2BC"/>
    <w:multiLevelType w:val="hybridMultilevel"/>
    <w:lvl w:ilvl="0">
      <w:lvlJc w:val="left"/>
      <w:lvlText w:val="(%1)"/>
      <w:numFmt w:val="lowerLetter"/>
      <w:start w:val="1"/>
    </w:lvl>
  </w:abstractNum>
  <w:abstractNum w:abstractNumId="162">
    <w:nsid w:val="CE8E1A7"/>
    <w:multiLevelType w:val="hybridMultilevel"/>
    <w:lvl w:ilvl="0">
      <w:lvlJc w:val="left"/>
      <w:lvlText w:val="%1"/>
      <w:numFmt w:val="lowerLetter"/>
      <w:start w:val="1"/>
    </w:lvl>
    <w:lvl w:ilvl="1">
      <w:lvlJc w:val="left"/>
      <w:lvlText w:val="(%2)"/>
      <w:numFmt w:val="lowerRoman"/>
      <w:start w:val="1"/>
    </w:lvl>
  </w:abstractNum>
  <w:abstractNum w:abstractNumId="163">
    <w:nsid w:val="4E9EFB0D"/>
    <w:multiLevelType w:val="hybridMultilevel"/>
    <w:lvl w:ilvl="0">
      <w:lvlJc w:val="left"/>
      <w:lvlText w:val="(%1)"/>
      <w:numFmt w:val="lowerLetter"/>
      <w:start w:val="2"/>
    </w:lvl>
    <w:lvl w:ilvl="1">
      <w:lvlJc w:val="left"/>
      <w:lvlText w:val="(%2)"/>
      <w:numFmt w:val="lowerRoman"/>
      <w:start w:val="1"/>
    </w:lvl>
  </w:abstractNum>
  <w:abstractNum w:abstractNumId="164">
    <w:nsid w:val="90802BE"/>
    <w:multiLevelType w:val="hybridMultilevel"/>
    <w:lvl w:ilvl="0">
      <w:lvlJc w:val="left"/>
      <w:lvlText w:val="(%1)"/>
      <w:numFmt w:val="lowerRoman"/>
      <w:start w:val="9"/>
    </w:lvl>
  </w:abstractNum>
  <w:abstractNum w:abstractNumId="165">
    <w:nsid w:val="3266459B"/>
    <w:multiLevelType w:val="hybridMultilevel"/>
    <w:lvl w:ilvl="0">
      <w:lvlJc w:val="left"/>
      <w:lvlText w:val="(%1)"/>
      <w:numFmt w:val="lowerRoman"/>
      <w:start w:val="19"/>
    </w:lvl>
  </w:abstractNum>
  <w:abstractNum w:abstractNumId="166">
    <w:nsid w:val="3F8B0CBF"/>
    <w:multiLevelType w:val="hybridMultilevel"/>
    <w:lvl w:ilvl="0">
      <w:lvlJc w:val="left"/>
      <w:lvlText w:val="(%1)"/>
      <w:numFmt w:val="lowerLetter"/>
      <w:start w:val="1"/>
    </w:lvl>
    <w:lvl w:ilvl="1">
      <w:lvlJc w:val="left"/>
      <w:lvlText w:val="(%2)"/>
      <w:numFmt w:val="lowerRoman"/>
      <w:start w:val="1"/>
    </w:lvl>
  </w:abstractNum>
  <w:abstractNum w:abstractNumId="167">
    <w:nsid w:val="37E203AB"/>
    <w:multiLevelType w:val="hybridMultilevel"/>
    <w:lvl w:ilvl="0">
      <w:lvlJc w:val="left"/>
      <w:lvlText w:val="(%1)"/>
      <w:numFmt w:val="lowerRoman"/>
      <w:start w:val="4"/>
    </w:lvl>
  </w:abstractNum>
  <w:abstractNum w:abstractNumId="168">
    <w:nsid w:val="2586D60E"/>
    <w:multiLevelType w:val="hybridMultilevel"/>
    <w:lvl w:ilvl="0">
      <w:lvlJc w:val="left"/>
      <w:lvlText w:val="(%1)"/>
      <w:numFmt w:val="lowerRoman"/>
      <w:start w:val="11"/>
    </w:lvl>
  </w:abstractNum>
  <w:abstractNum w:abstractNumId="169">
    <w:nsid w:val="1F3DA4D5"/>
    <w:multiLevelType w:val="hybridMultilevel"/>
    <w:lvl w:ilvl="0">
      <w:lvlJc w:val="left"/>
      <w:lvlText w:val="(%1)"/>
      <w:numFmt w:val="lowerRoman"/>
      <w:start w:val="19"/>
    </w:lvl>
  </w:abstractNum>
  <w:abstractNum w:abstractNumId="170">
    <w:nsid w:val="74C93698"/>
    <w:multiLevelType w:val="hybridMultilevel"/>
    <w:lvl w:ilvl="0">
      <w:lvlJc w:val="left"/>
      <w:lvlText w:val="(%1)"/>
      <w:numFmt w:val="lowerRoman"/>
      <w:start w:val="28"/>
    </w:lvl>
  </w:abstractNum>
  <w:abstractNum w:abstractNumId="171">
    <w:nsid w:val="48781401"/>
    <w:multiLevelType w:val="hybridMultilevel"/>
    <w:lvl w:ilvl="0">
      <w:lvlJc w:val="left"/>
      <w:lvlText w:val="(%1)"/>
      <w:numFmt w:val="lowerRoman"/>
      <w:start w:val="36"/>
    </w:lvl>
  </w:abstractNum>
  <w:abstractNum w:abstractNumId="172">
    <w:nsid w:val="186928D6"/>
    <w:multiLevelType w:val="hybridMultilevel"/>
    <w:lvl w:ilvl="0">
      <w:lvlJc w:val="left"/>
      <w:lvlText w:val="(%1)"/>
      <w:numFmt w:val="lowerLetter"/>
      <w:start w:val="3"/>
    </w:lvl>
  </w:abstractNum>
  <w:abstractNum w:abstractNumId="173">
    <w:nsid w:val="47195E5"/>
    <w:multiLevelType w:val="hybridMultilevel"/>
    <w:lvl w:ilvl="0">
      <w:lvlJc w:val="left"/>
      <w:lvlText w:val="(%1)"/>
      <w:numFmt w:val="lowerLetter"/>
      <w:start w:val="1"/>
    </w:lvl>
    <w:lvl w:ilvl="1">
      <w:lvlJc w:val="left"/>
      <w:lvlText w:val="(%2)"/>
      <w:numFmt w:val="lowerRoman"/>
      <w:start w:val="1"/>
    </w:lvl>
  </w:abstractNum>
  <w:abstractNum w:abstractNumId="174">
    <w:nsid w:val="3746A5F2"/>
    <w:multiLevelType w:val="hybridMultilevel"/>
    <w:lvl w:ilvl="0">
      <w:lvlJc w:val="left"/>
      <w:lvlText w:val="(%1)"/>
      <w:numFmt w:val="lowerLetter"/>
      <w:start w:val="1"/>
    </w:lvl>
  </w:abstractNum>
  <w:abstractNum w:abstractNumId="175">
    <w:nsid w:val="682DFED6"/>
    <w:multiLevelType w:val="hybridMultilevel"/>
    <w:lvl w:ilvl="0">
      <w:lvlJc w:val="left"/>
      <w:lvlText w:val="%1"/>
      <w:numFmt w:val="upperLetter"/>
      <w:start w:val="1"/>
    </w:lvl>
    <w:lvl w:ilvl="1">
      <w:lvlJc w:val="left"/>
      <w:lvlText w:val="(%2)"/>
      <w:numFmt w:val="lowerRoman"/>
      <w:start w:val="1"/>
    </w:lvl>
  </w:abstractNum>
  <w:abstractNum w:abstractNumId="176">
    <w:nsid w:val="606ED7F6"/>
    <w:multiLevelType w:val="hybridMultilevel"/>
    <w:lvl w:ilvl="0">
      <w:lvlJc w:val="left"/>
      <w:lvlText w:val="(%1)"/>
      <w:numFmt w:val="upperLetter"/>
      <w:start w:val="2"/>
    </w:lvl>
    <w:lvl w:ilvl="1">
      <w:lvlJc w:val="left"/>
      <w:lvlText w:val="%2"/>
      <w:numFmt w:val="lowerRoman"/>
      <w:start w:val="1"/>
    </w:lvl>
  </w:abstractNum>
  <w:abstractNum w:abstractNumId="177">
    <w:nsid w:val="2D9DF57D"/>
    <w:multiLevelType w:val="hybridMultilevel"/>
    <w:lvl w:ilvl="0">
      <w:lvlJc w:val="left"/>
      <w:lvlText w:val="(%1)"/>
      <w:numFmt w:val="lowerRoman"/>
      <w:start w:val="2"/>
    </w:lvl>
    <w:lvl w:ilvl="1">
      <w:lvlJc w:val="left"/>
      <w:lvlText w:val="(%2)"/>
      <w:numFmt w:val="upperLetter"/>
      <w:start w:val="1"/>
    </w:lvl>
  </w:abstractNum>
  <w:abstractNum w:abstractNumId="178">
    <w:nsid w:val="7FBD7A3E"/>
    <w:multiLevelType w:val="hybridMultilevel"/>
    <w:lvl w:ilvl="0">
      <w:lvlJc w:val="left"/>
      <w:lvlText w:val="(%1)"/>
      <w:numFmt w:val="upperLetter"/>
      <w:start w:val="7"/>
    </w:lvl>
  </w:abstractNum>
  <w:abstractNum w:abstractNumId="179">
    <w:nsid w:val="490B7C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0">
    <w:nsid w:val="4303A216"/>
    <w:multiLevelType w:val="hybridMultilevel"/>
    <w:lvl w:ilvl="0">
      <w:lvlJc w:val="left"/>
      <w:lvlText w:val="(%1)"/>
      <w:numFmt w:val="upperLetter"/>
      <w:start w:val="2"/>
    </w:lvl>
  </w:abstractNum>
  <w:abstractNum w:abstractNumId="181">
    <w:nsid w:val="19B8A08E"/>
    <w:multiLevelType w:val="hybridMultilevel"/>
    <w:lvl w:ilvl="0">
      <w:lvlJc w:val="left"/>
      <w:lvlText w:val="(%1)"/>
      <w:numFmt w:val="lowerRoman"/>
      <w:start w:val="5"/>
    </w:lvl>
  </w:abstractNum>
  <w:abstractNum w:abstractNumId="182">
    <w:nsid w:val="54B59621"/>
    <w:multiLevelType w:val="hybridMultilevel"/>
    <w:lvl w:ilvl="0">
      <w:lvlJc w:val="left"/>
      <w:lvlText w:val="(%1)"/>
      <w:numFmt w:val="lowerRoman"/>
      <w:start w:val="11"/>
    </w:lvl>
  </w:abstractNum>
  <w:abstractNum w:abstractNumId="183">
    <w:nsid w:val="5992A02E"/>
    <w:multiLevelType w:val="hybridMultilevel"/>
    <w:lvl w:ilvl="0">
      <w:lvlJc w:val="left"/>
      <w:lvlText w:val="(%1)"/>
      <w:numFmt w:val="lowerRoman"/>
      <w:start w:val="22"/>
    </w:lvl>
  </w:abstractNum>
  <w:abstractNum w:abstractNumId="184">
    <w:nsid w:val="29EF532D"/>
    <w:multiLevelType w:val="hybridMultilevel"/>
    <w:lvl w:ilvl="0">
      <w:lvlJc w:val="left"/>
      <w:lvlText w:val="(%1)"/>
      <w:numFmt w:val="lowerLetter"/>
      <w:start w:val="1"/>
    </w:lvl>
    <w:lvl w:ilvl="1">
      <w:lvlJc w:val="left"/>
      <w:lvlText w:val="(%2)"/>
      <w:numFmt w:val="lowerRoman"/>
      <w:start w:val="1"/>
    </w:lvl>
  </w:abstractNum>
  <w:abstractNum w:abstractNumId="185">
    <w:nsid w:val="71D601AF"/>
    <w:multiLevelType w:val="hybridMultilevel"/>
    <w:lvl w:ilvl="0">
      <w:lvlJc w:val="left"/>
      <w:lvlText w:val="(%1)"/>
      <w:numFmt w:val="lowerRoman"/>
      <w:start w:val="11"/>
    </w:lvl>
  </w:abstractNum>
  <w:abstractNum w:abstractNumId="186">
    <w:nsid w:val="52C774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7">
    <w:nsid w:val="2BB5B1C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8">
    <w:nsid w:val="66BE6B9"/>
    <w:multiLevelType w:val="hybridMultilevel"/>
    <w:lvl w:ilvl="0">
      <w:lvlJc w:val="left"/>
      <w:lvlText w:val="(%1)"/>
      <w:numFmt w:val="lowerLetter"/>
      <w:start w:val="1"/>
    </w:lvl>
  </w:abstractNum>
  <w:abstractNum w:abstractNumId="189">
    <w:nsid w:val="62234363"/>
    <w:multiLevelType w:val="hybridMultilevel"/>
    <w:lvl w:ilvl="0">
      <w:lvlJc w:val="left"/>
      <w:lvlText w:val="(%1)"/>
      <w:numFmt w:val="lowerLetter"/>
      <w:start w:val="2"/>
    </w:lvl>
  </w:abstractNum>
  <w:abstractNum w:abstractNumId="190">
    <w:nsid w:val="66D385C9"/>
    <w:multiLevelType w:val="hybridMultilevel"/>
    <w:lvl w:ilvl="0">
      <w:lvlJc w:val="left"/>
      <w:lvlText w:val="(%1)"/>
      <w:numFmt w:val="lowerLetter"/>
      <w:start w:val="1"/>
    </w:lvl>
  </w:abstractNum>
  <w:abstractNum w:abstractNumId="191">
    <w:nsid w:val="596F6D8A"/>
    <w:multiLevelType w:val="hybridMultilevel"/>
    <w:lvl w:ilvl="0">
      <w:lvlJc w:val="left"/>
      <w:lvlText w:val="%1"/>
      <w:numFmt w:val="decimal"/>
      <w:start w:val="1"/>
    </w:lvl>
    <w:lvl w:ilvl="1">
      <w:lvlJc w:val="left"/>
      <w:lvlText w:val="(%2)"/>
      <w:numFmt w:val="lowerLetter"/>
      <w:start w:val="5"/>
    </w:lvl>
  </w:abstractNum>
  <w:abstractNum w:abstractNumId="192">
    <w:nsid w:val="5749361F"/>
    <w:multiLevelType w:val="hybridMultilevel"/>
    <w:lvl w:ilvl="0">
      <w:lvlJc w:val="left"/>
      <w:lvlText w:val="(%1)"/>
      <w:numFmt w:val="decimal"/>
      <w:start w:val="30"/>
    </w:lvl>
    <w:lvl w:ilvl="1">
      <w:lvlJc w:val="left"/>
      <w:lvlText w:val="(%2)"/>
      <w:numFmt w:val="lowerLetter"/>
      <w:start w:val="6"/>
    </w:lvl>
  </w:abstractNum>
  <w:abstractNum w:abstractNumId="193">
    <w:nsid w:val="73BC6770"/>
    <w:multiLevelType w:val="hybridMultilevel"/>
    <w:lvl w:ilvl="0">
      <w:lvlJc w:val="left"/>
      <w:lvlText w:val="(%1)"/>
      <w:numFmt w:val="lowerLetter"/>
      <w:start w:val="10"/>
    </w:lvl>
  </w:abstractNum>
  <w:abstractNum w:abstractNumId="194">
    <w:nsid w:val="280E6897"/>
    <w:multiLevelType w:val="hybridMultilevel"/>
    <w:lvl w:ilvl="0">
      <w:lvlJc w:val="left"/>
      <w:lvlText w:val="(%1)"/>
      <w:numFmt w:val="upperLetter"/>
      <w:start w:val="61"/>
    </w:lvl>
  </w:abstractNum>
  <w:abstractNum w:abstractNumId="195">
    <w:nsid w:val="605138DE"/>
    <w:multiLevelType w:val="hybridMultilevel"/>
    <w:lvl w:ilvl="0">
      <w:lvlJc w:val="left"/>
      <w:lvlText w:val="(%1)"/>
      <w:numFmt w:val="lowerLetter"/>
      <w:start w:val="1"/>
    </w:lvl>
  </w:abstractNum>
  <w:abstractNum w:abstractNumId="196">
    <w:nsid w:val="2622AD0C"/>
    <w:multiLevelType w:val="hybridMultilevel"/>
    <w:lvl w:ilvl="0">
      <w:lvlJc w:val="left"/>
      <w:lvlText w:val="(%1)"/>
      <w:numFmt w:val="lowerLetter"/>
      <w:start w:val="3"/>
    </w:lvl>
  </w:abstractNum>
  <w:abstractNum w:abstractNumId="197">
    <w:nsid w:val="67997556"/>
    <w:multiLevelType w:val="hybridMultilevel"/>
    <w:lvl w:ilvl="0">
      <w:lvlJc w:val="left"/>
      <w:lvlText w:val="(%1)"/>
      <w:numFmt w:val="lowerLetter"/>
      <w:start w:val="1"/>
    </w:lvl>
    <w:lvl w:ilvl="1">
      <w:lvlJc w:val="left"/>
      <w:lvlText w:val="(%2)"/>
      <w:numFmt w:val="lowerRoman"/>
      <w:start w:val="1"/>
    </w:lvl>
  </w:abstractNum>
  <w:abstractNum w:abstractNumId="198">
    <w:nsid w:val="18333C89"/>
    <w:multiLevelType w:val="hybridMultilevel"/>
    <w:lvl w:ilvl="0">
      <w:lvlJc w:val="left"/>
      <w:lvlText w:val="(%1)"/>
      <w:numFmt w:val="lowerLetter"/>
      <w:start w:val="3"/>
    </w:lvl>
  </w:abstractNum>
  <w:abstractNum w:abstractNumId="199">
    <w:nsid w:val="4BA9831A"/>
    <w:multiLevelType w:val="hybridMultilevel"/>
    <w:lvl w:ilvl="0">
      <w:lvlJc w:val="left"/>
      <w:lvlText w:val="(%1)"/>
      <w:numFmt w:val="lowerLetter"/>
      <w:start w:val="6"/>
    </w:lvl>
  </w:abstractNum>
  <w:abstractNum w:abstractNumId="200">
    <w:nsid w:val="6D71A2B"/>
    <w:multiLevelType w:val="hybridMultilevel"/>
    <w:lvl w:ilvl="0">
      <w:lvlJc w:val="left"/>
      <w:lvlText w:val="%1"/>
      <w:numFmt w:val="lowerLetter"/>
      <w:start w:val="1"/>
    </w:lvl>
    <w:lvl w:ilvl="1">
      <w:lvlJc w:val="left"/>
      <w:lvlText w:val="(%2)"/>
      <w:numFmt w:val="lowerLetter"/>
      <w:start w:val="1"/>
    </w:lvl>
  </w:abstractNum>
  <w:abstractNum w:abstractNumId="201">
    <w:nsid w:val="CFC7321"/>
    <w:multiLevelType w:val="hybridMultilevel"/>
    <w:lvl w:ilvl="0">
      <w:lvlJc w:val="left"/>
      <w:lvlText w:val="(%1)"/>
      <w:numFmt w:val="lowerLetter"/>
      <w:start w:val="2"/>
    </w:lvl>
    <w:lvl w:ilvl="1">
      <w:lvlJc w:val="left"/>
      <w:lvlText w:val="%2"/>
      <w:numFmt w:val="lowerLetter"/>
      <w:start w:val="1"/>
    </w:lvl>
  </w:abstractNum>
  <w:abstractNum w:abstractNumId="202">
    <w:nsid w:val="1421971B"/>
    <w:multiLevelType w:val="hybridMultilevel"/>
    <w:lvl w:ilvl="0">
      <w:lvlJc w:val="left"/>
      <w:lvlText w:val="(%1)"/>
      <w:numFmt w:val="lowerRoman"/>
      <w:start w:val="1"/>
    </w:lvl>
  </w:abstractNum>
  <w:abstractNum w:abstractNumId="203">
    <w:nsid w:val="1F404301"/>
    <w:multiLevelType w:val="hybridMultilevel"/>
    <w:lvl w:ilvl="0">
      <w:lvlJc w:val="left"/>
      <w:lvlText w:val="(%1)"/>
      <w:numFmt w:val="lowerRoman"/>
      <w:start w:val="2"/>
    </w:lvl>
  </w:abstractNum>
  <w:abstractNum w:abstractNumId="204">
    <w:nsid w:val="116E0907"/>
    <w:multiLevelType w:val="hybridMultilevel"/>
    <w:lvl w:ilvl="0">
      <w:lvlJc w:val="left"/>
      <w:lvlText w:val="%1"/>
      <w:numFmt w:val="lowerLetter"/>
      <w:start w:val="1"/>
    </w:lvl>
    <w:lvl w:ilvl="1">
      <w:lvlJc w:val="left"/>
      <w:lvlText w:val="(%2)"/>
      <w:numFmt w:val="lowerRoman"/>
      <w:start w:val="3"/>
    </w:lvl>
  </w:abstractNum>
  <w:abstractNum w:abstractNumId="205">
    <w:nsid w:val="4B683D0D"/>
    <w:multiLevelType w:val="hybridMultilevel"/>
    <w:lvl w:ilvl="0">
      <w:lvlJc w:val="left"/>
      <w:lvlText w:val="(%1)"/>
      <w:numFmt w:val="lowerLetter"/>
      <w:start w:val="2"/>
    </w:lvl>
    <w:lvl w:ilvl="1">
      <w:lvlJc w:val="left"/>
      <w:lvlText w:val="%2"/>
      <w:numFmt w:val="lowerRoman"/>
      <w:start w:val="1"/>
    </w:lvl>
  </w:abstractNum>
  <w:abstractNum w:abstractNumId="206">
    <w:nsid w:val="76E41D8"/>
    <w:multiLevelType w:val="hybridMultilevel"/>
    <w:lvl w:ilvl="0">
      <w:lvlJc w:val="left"/>
      <w:lvlText w:val="(%1)"/>
      <w:numFmt w:val="lowerLetter"/>
      <w:start w:val="1"/>
    </w:lvl>
    <w:lvl w:ilvl="1">
      <w:lvlJc w:val="left"/>
      <w:lvlText w:val="(%2)"/>
      <w:numFmt w:val="lowerLetter"/>
      <w:start w:val="35"/>
    </w:lvl>
  </w:abstractNum>
  <w:abstractNum w:abstractNumId="207">
    <w:nsid w:val="71DCE0FD"/>
    <w:multiLevelType w:val="hybridMultilevel"/>
    <w:lvl w:ilvl="0">
      <w:lvlJc w:val="left"/>
      <w:lvlText w:val="(%1)"/>
      <w:numFmt w:val="lowerLetter"/>
      <w:start w:val="2"/>
    </w:lvl>
  </w:abstractNum>
  <w:abstractNum w:abstractNumId="208">
    <w:nsid w:val="7906328B"/>
    <w:multiLevelType w:val="hybridMultilevel"/>
    <w:lvl w:ilvl="0">
      <w:lvlJc w:val="left"/>
      <w:lvlText w:val="(%1)"/>
      <w:numFmt w:val="lowerLetter"/>
      <w:start w:val="3"/>
    </w:lvl>
  </w:abstractNum>
  <w:abstractNum w:abstractNumId="209">
    <w:nsid w:val="72BBC16"/>
    <w:multiLevelType w:val="hybridMultilevel"/>
    <w:lvl w:ilvl="0">
      <w:lvlJc w:val="left"/>
      <w:lvlText w:val="(%1)"/>
      <w:numFmt w:val="lowerLetter"/>
      <w:start w:val="6"/>
    </w:lvl>
  </w:abstractNum>
  <w:abstractNum w:abstractNumId="210">
    <w:nsid w:val="766D98C2"/>
    <w:multiLevelType w:val="hybridMultilevel"/>
    <w:lvl w:ilvl="0">
      <w:lvlJc w:val="left"/>
      <w:lvlText w:val="(%1)"/>
      <w:numFmt w:val="lowerLetter"/>
      <w:start w:val="1"/>
    </w:lvl>
  </w:abstractNum>
  <w:abstractNum w:abstractNumId="211">
    <w:nsid w:val="3C09D4A1"/>
    <w:multiLevelType w:val="hybridMultilevel"/>
    <w:lvl w:ilvl="0">
      <w:lvlJc w:val="left"/>
      <w:lvlText w:val="(%1)"/>
      <w:numFmt w:val="lowerLetter"/>
      <w:start w:val="2"/>
    </w:lvl>
  </w:abstractNum>
  <w:abstractNum w:abstractNumId="212">
    <w:nsid w:val="20E45C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3">
    <w:nsid w:val="4B232EE3"/>
    <w:multiLevelType w:val="hybridMultilevel"/>
    <w:lvl w:ilvl="0">
      <w:lvlJc w:val="left"/>
      <w:lvlText w:val="(%1)"/>
      <w:numFmt w:val="upperLetter"/>
      <w:start w:val="2"/>
    </w:lvl>
  </w:abstractNum>
  <w:abstractNum w:abstractNumId="214">
    <w:nsid w:val="159C74CF"/>
    <w:multiLevelType w:val="hybridMultilevel"/>
    <w:lvl w:ilvl="0">
      <w:lvlJc w:val="left"/>
      <w:lvlText w:val="(%1)"/>
      <w:numFmt w:val="lowerRoman"/>
      <w:start w:val="3"/>
    </w:lvl>
  </w:abstractNum>
  <w:abstractNum w:abstractNumId="215">
    <w:nsid w:val="4AD3AFD2"/>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16">
    <w:nsid w:val="3CF93092"/>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35"/>
    </w:lvl>
  </w:abstractNum>
  <w:abstractNum w:abstractNumId="217">
    <w:nsid w:val="6863E8D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218">
    <w:nsid w:val="768961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19">
    <w:nsid w:val="4365174B"/>
    <w:multiLevelType w:val="hybridMultilevel"/>
    <w:lvl w:ilvl="0">
      <w:lvlJc w:val="left"/>
      <w:lvlText w:val="(%1)"/>
      <w:numFmt w:val="decimal"/>
      <w:start w:val="3"/>
    </w:lvl>
    <w:lvl w:ilvl="1">
      <w:lvlJc w:val="left"/>
      <w:lvlText w:val="(%2)"/>
      <w:numFmt w:val="lowerLetter"/>
      <w:start w:val="24"/>
    </w:lvl>
    <w:lvl w:ilvl="2">
      <w:lvlJc w:val="left"/>
      <w:lvlText w:val="(%3)"/>
      <w:numFmt w:val="lowerLetter"/>
      <w:start w:val="7"/>
    </w:lvl>
    <w:lvl w:ilvl="3">
      <w:lvlJc w:val="left"/>
      <w:lvlText w:val="(%4)"/>
      <w:numFmt w:val="lowerLetter"/>
      <w:start w:val="9"/>
    </w:lvl>
  </w:abstractNum>
  <w:abstractNum w:abstractNumId="220">
    <w:nsid w:val="4A872C35"/>
    <w:multiLevelType w:val="hybridMultilevel"/>
    <w:lvl w:ilvl="0">
      <w:lvlJc w:val="left"/>
      <w:lvlText w:val="(%1)"/>
      <w:numFmt w:val="lowerRoman"/>
      <w:start w:val="2"/>
    </w:lvl>
  </w:abstractNum>
  <w:abstractNum w:abstractNumId="221">
    <w:nsid w:val="5D5CE761"/>
    <w:multiLevelType w:val="hybridMultilevel"/>
    <w:lvl w:ilvl="0">
      <w:lvlJc w:val="left"/>
      <w:lvlText w:val="(%1)"/>
      <w:numFmt w:val="lowerLetter"/>
      <w:start w:val="1"/>
    </w:lvl>
  </w:abstractNum>
  <w:abstractNum w:abstractNumId="222">
    <w:nsid w:val="1CD484D5"/>
    <w:multiLevelType w:val="hybridMultilevel"/>
    <w:lvl w:ilvl="0">
      <w:lvlJc w:val="left"/>
      <w:lvlText w:val="(%1)"/>
      <w:numFmt w:val="lowerLetter"/>
      <w:start w:val="4"/>
    </w:lvl>
  </w:abstractNum>
  <w:abstractNum w:abstractNumId="223">
    <w:nsid w:val="21D06255"/>
    <w:multiLevelType w:val="hybridMultilevel"/>
    <w:lvl w:ilvl="0">
      <w:lvlJc w:val="left"/>
      <w:lvlText w:val="(%1)"/>
      <w:numFmt w:val="lowerLetter"/>
      <w:start w:val="8"/>
    </w:lvl>
  </w:abstractNum>
  <w:abstractNum w:abstractNumId="224">
    <w:nsid w:val="51194ED1"/>
    <w:multiLevelType w:val="hybridMultilevel"/>
    <w:lvl w:ilvl="0">
      <w:lvlJc w:val="left"/>
      <w:lvlText w:val="(%1)"/>
      <w:numFmt w:val="lowerLetter"/>
      <w:start w:val="1"/>
    </w:lvl>
  </w:abstractNum>
  <w:abstractNum w:abstractNumId="225">
    <w:nsid w:val="44E2ED6C"/>
    <w:multiLevelType w:val="hybridMultilevel"/>
    <w:lvl w:ilvl="0">
      <w:lvlJc w:val="left"/>
      <w:lvlText w:val="%1"/>
      <w:numFmt w:val="lowerRoman"/>
      <w:start w:val="1"/>
    </w:lvl>
    <w:lvl w:ilvl="1">
      <w:lvlJc w:val="left"/>
      <w:lvlText w:val="(%2)"/>
      <w:numFmt w:val="lowerLetter"/>
      <w:start w:val="3"/>
    </w:lvl>
  </w:abstractNum>
  <w:abstractNum w:abstractNumId="226">
    <w:nsid w:val="2219B33"/>
    <w:multiLevelType w:val="hybridMultilevel"/>
    <w:lvl w:ilvl="0">
      <w:lvlJc w:val="left"/>
      <w:lvlText w:val="(%1)"/>
      <w:numFmt w:val="lowerRoman"/>
      <w:start w:val="4"/>
    </w:lvl>
    <w:lvl w:ilvl="1">
      <w:lvlJc w:val="left"/>
      <w:lvlText w:val="(%2)"/>
      <w:numFmt w:val="lowerLetter"/>
      <w:start w:val="4"/>
    </w:lvl>
  </w:abstractNum>
  <w:abstractNum w:abstractNumId="227">
    <w:nsid w:val="773BFBD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8">
    <w:nsid w:val="2C7C62C2"/>
    <w:multiLevelType w:val="hybridMultilevel"/>
    <w:lvl w:ilvl="0">
      <w:lvlJc w:val="left"/>
      <w:lvlText w:val="(%1)"/>
      <w:numFmt w:val="upperLetter"/>
      <w:start w:val="2"/>
    </w:lvl>
  </w:abstractNum>
  <w:abstractNum w:abstractNumId="229">
    <w:nsid w:val="1A54D7BC"/>
    <w:multiLevelType w:val="hybridMultilevel"/>
    <w:lvl w:ilvl="0">
      <w:lvlJc w:val="left"/>
      <w:lvlText w:val="(%1)"/>
      <w:numFmt w:val="lowerLetter"/>
      <w:start w:val="1"/>
    </w:lvl>
    <w:lvl w:ilvl="1">
      <w:lvlJc w:val="left"/>
      <w:lvlText w:val="(%2)"/>
      <w:numFmt w:val="lowerRoman"/>
      <w:start w:val="1"/>
    </w:lvl>
  </w:abstractNum>
  <w:abstractNum w:abstractNumId="230">
    <w:nsid w:val="42E57EF7"/>
    <w:multiLevelType w:val="hybridMultilevel"/>
    <w:lvl w:ilvl="0">
      <w:lvlJc w:val="left"/>
      <w:lvlText w:val="(%1)"/>
      <w:numFmt w:val="lowerLetter"/>
      <w:start w:val="2"/>
    </w:lvl>
  </w:abstractNum>
  <w:abstractNum w:abstractNumId="231">
    <w:nsid w:val="33537CED"/>
    <w:multiLevelType w:val="hybridMultilevel"/>
    <w:lvl w:ilvl="0">
      <w:lvlJc w:val="left"/>
      <w:lvlText w:val="(%1)"/>
      <w:numFmt w:val="lowerLetter"/>
      <w:start w:val="1"/>
    </w:lvl>
  </w:abstractNum>
  <w:abstractNum w:abstractNumId="232">
    <w:nsid w:val="27514ADE"/>
    <w:multiLevelType w:val="hybridMultilevel"/>
    <w:lvl w:ilvl="0">
      <w:lvlJc w:val="left"/>
      <w:lvlText w:val="(%1)"/>
      <w:numFmt w:val="lowerLetter"/>
      <w:start w:val="1"/>
    </w:lvl>
  </w:abstractNum>
  <w:abstractNum w:abstractNumId="233">
    <w:nsid w:val="57071613"/>
    <w:multiLevelType w:val="hybridMultilevel"/>
    <w:lvl w:ilvl="0">
      <w:lvlJc w:val="left"/>
      <w:lvlText w:val="(%1)"/>
      <w:numFmt w:val="lowerLetter"/>
      <w:start w:val="1"/>
    </w:lvl>
  </w:abstractNum>
  <w:abstractNum w:abstractNumId="234">
    <w:nsid w:val="5293BFEF"/>
    <w:multiLevelType w:val="hybridMultilevel"/>
    <w:lvl w:ilvl="0">
      <w:lvlJc w:val="left"/>
      <w:lvlText w:val="(%1)"/>
      <w:numFmt w:val="lowerLetter"/>
      <w:start w:val="1"/>
    </w:lvl>
  </w:abstractNum>
  <w:abstractNum w:abstractNumId="235">
    <w:nsid w:val="38BF53E5"/>
    <w:multiLevelType w:val="hybridMultilevel"/>
    <w:lvl w:ilvl="0">
      <w:lvlJc w:val="left"/>
      <w:lvlText w:val="(%1)"/>
      <w:numFmt w:val="decimal"/>
      <w:start w:val="1"/>
    </w:lvl>
  </w:abstractNum>
  <w:abstractNum w:abstractNumId="236">
    <w:nsid w:val="226F5320"/>
    <w:multiLevelType w:val="hybridMultilevel"/>
    <w:lvl w:ilvl="0">
      <w:lvlJc w:val="left"/>
      <w:lvlText w:val="(%1)"/>
      <w:numFmt w:val="decimal"/>
      <w:start w:val="1"/>
    </w:lvl>
  </w:abstractNum>
  <w:abstractNum w:abstractNumId="237">
    <w:nsid w:val="5A0201C7"/>
    <w:multiLevelType w:val="hybridMultilevel"/>
    <w:lvl w:ilvl="0">
      <w:lvlJc w:val="left"/>
      <w:lvlText w:val="(%1)"/>
      <w:numFmt w:val="lowerLetter"/>
      <w:start w:val="1"/>
    </w:lvl>
  </w:abstractNum>
  <w:abstractNum w:abstractNumId="238">
    <w:nsid w:val="2A9C34E2"/>
    <w:multiLevelType w:val="hybridMultilevel"/>
    <w:lvl w:ilvl="0">
      <w:lvlJc w:val="left"/>
      <w:lvlText w:val="(%1)"/>
      <w:numFmt w:val="lowerLetter"/>
      <w:start w:val="9"/>
    </w:lvl>
  </w:abstractNum>
  <w:abstractNum w:abstractNumId="239">
    <w:nsid w:val="1B7585AB"/>
    <w:multiLevelType w:val="hybridMultilevel"/>
    <w:lvl w:ilvl="0">
      <w:lvlJc w:val="left"/>
      <w:lvlText w:val="(%1)"/>
      <w:numFmt w:val="lowerLetter"/>
      <w:start w:val="22"/>
    </w:lvl>
  </w:abstractNum>
  <w:abstractNum w:abstractNumId="240">
    <w:nsid w:val="612DBDDD"/>
    <w:multiLevelType w:val="hybridMultilevel"/>
    <w:lvl w:ilvl="0">
      <w:lvlJc w:val="left"/>
      <w:lvlText w:val="(%1)"/>
      <w:numFmt w:val="lowerLetter"/>
      <w:start w:val="27"/>
    </w:lvl>
  </w:abstractNum>
  <w:abstractNum w:abstractNumId="241">
    <w:nsid w:val="2109CDA4"/>
    <w:multiLevelType w:val="hybridMultilevel"/>
    <w:lvl w:ilvl="0">
      <w:lvlJc w:val="left"/>
      <w:lvlText w:val="(%1)"/>
      <w:numFmt w:val="decimal"/>
      <w:start w:val="1"/>
    </w:lvl>
  </w:abstractNum>
  <w:abstractNum w:abstractNumId="242">
    <w:nsid w:val="577F5A4D"/>
    <w:multiLevelType w:val="hybridMultilevel"/>
    <w:lvl w:ilvl="0">
      <w:lvlJc w:val="left"/>
      <w:lvlText w:val="(%1)"/>
      <w:numFmt w:val="decimal"/>
      <w:start w:val="2"/>
    </w:lvl>
  </w:abstractNum>
  <w:abstractNum w:abstractNumId="243">
    <w:nsid w:val="2121A81"/>
    <w:multiLevelType w:val="hybridMultilevel"/>
    <w:lvl w:ilvl="0">
      <w:lvlJc w:val="left"/>
      <w:lvlText w:val="(%1)"/>
      <w:numFmt w:val="decimal"/>
      <w:start w:val="1"/>
    </w:lvl>
  </w:abstractNum>
  <w:abstractNum w:abstractNumId="244">
    <w:nsid w:val="6C2CFC88"/>
    <w:multiLevelType w:val="hybridMultilevel"/>
    <w:lvl w:ilvl="0">
      <w:lvlJc w:val="left"/>
      <w:lvlText w:val="(%1)"/>
      <w:numFmt w:val="decimal"/>
      <w:start w:val="3"/>
    </w:lvl>
  </w:abstractNum>
  <w:abstractNum w:abstractNumId="245">
    <w:nsid w:val="6D1BCF1C"/>
    <w:multiLevelType w:val="hybridMultilevel"/>
    <w:lvl w:ilvl="0">
      <w:lvlJc w:val="left"/>
      <w:lvlText w:val="(%1)"/>
      <w:numFmt w:val="decimal"/>
      <w:start w:val="1"/>
    </w:lvl>
  </w:abstractNum>
  <w:abstractNum w:abstractNumId="246">
    <w:nsid w:val="4CE5CA53"/>
    <w:multiLevelType w:val="hybridMultilevel"/>
    <w:lvl w:ilvl="0">
      <w:lvlJc w:val="left"/>
      <w:lvlText w:val="(%1)"/>
      <w:numFmt w:val="decimal"/>
      <w:start w:val="1"/>
    </w:lvl>
  </w:abstractNum>
  <w:abstractNum w:abstractNumId="247">
    <w:nsid w:val="29262D1A"/>
    <w:multiLevelType w:val="hybridMultilevel"/>
    <w:lvl w:ilvl="0">
      <w:lvlJc w:val="left"/>
      <w:lvlText w:val="%1"/>
      <w:numFmt w:val="decimal"/>
      <w:start w:val="1"/>
    </w:lvl>
    <w:lvl w:ilvl="1">
      <w:lvlJc w:val="left"/>
      <w:lvlText w:val="(%2)"/>
      <w:numFmt w:val="decimal"/>
      <w:start w:val="6"/>
    </w:lvl>
  </w:abstractNum>
  <w:abstractNum w:abstractNumId="248">
    <w:nsid w:val="557FB7EE"/>
    <w:multiLevelType w:val="hybridMultilevel"/>
    <w:lvl w:ilvl="0">
      <w:lvlJc w:val="left"/>
      <w:lvlText w:val="(%1)"/>
      <w:numFmt w:val="decimal"/>
      <w:start w:val="7"/>
    </w:lvl>
    <w:lvl w:ilvl="1">
      <w:lvlJc w:val="left"/>
      <w:lvlText w:val="(%2)"/>
      <w:numFmt w:val="decimal"/>
      <w:start w:val="8"/>
    </w:lvl>
  </w:abstractNum>
  <w:abstractNum w:abstractNumId="249">
    <w:nsid w:val="436F2BEB"/>
    <w:multiLevelType w:val="hybridMultilevel"/>
    <w:lvl w:ilvl="0">
      <w:lvlJc w:val="left"/>
      <w:lvlText w:val="(%1)"/>
      <w:numFmt w:val="decimal"/>
      <w:start w:val="13"/>
    </w:lvl>
  </w:abstractNum>
  <w:abstractNum w:abstractNumId="250">
    <w:nsid w:val="6C8B4466"/>
    <w:multiLevelType w:val="hybridMultilevel"/>
    <w:lvl w:ilvl="0">
      <w:lvlJc w:val="left"/>
      <w:lvlText w:val="(%1)"/>
      <w:numFmt w:val="decimal"/>
      <w:start w:val="19"/>
    </w:lvl>
  </w:abstractNum>
  <w:abstractNum w:abstractNumId="251">
    <w:nsid w:val="2006E424"/>
    <w:multiLevelType w:val="hybridMultilevel"/>
    <w:lvl w:ilvl="0">
      <w:lvlJc w:val="left"/>
      <w:lvlText w:val="(%1)"/>
      <w:numFmt w:val="decimal"/>
      <w:start w:val="1"/>
    </w:lvl>
  </w:abstractNum>
  <w:abstractNum w:abstractNumId="252">
    <w:nsid w:val="20CC134C"/>
    <w:multiLevelType w:val="hybridMultilevel"/>
    <w:lvl w:ilvl="0">
      <w:lvlJc w:val="left"/>
      <w:lvlText w:val="(%1)"/>
      <w:numFmt w:val="decimal"/>
      <w:start w:val="1"/>
    </w:lvl>
  </w:abstractNum>
  <w:abstractNum w:abstractNumId="253">
    <w:nsid w:val="95FC93B"/>
    <w:multiLevelType w:val="hybridMultilevel"/>
    <w:lvl w:ilvl="0">
      <w:lvlJc w:val="left"/>
      <w:lvlText w:val="(%1)"/>
      <w:numFmt w:val="decimal"/>
      <w:start w:val="1"/>
    </w:lvl>
  </w:abstractNum>
  <w:abstractNum w:abstractNumId="254">
    <w:nsid w:val="41D74679"/>
    <w:multiLevelType w:val="hybridMultilevel"/>
    <w:lvl w:ilvl="0">
      <w:lvlJc w:val="left"/>
      <w:lvlText w:val="(%1)"/>
      <w:numFmt w:val="decimal"/>
      <w:start w:val="3"/>
    </w:lvl>
  </w:abstractNum>
  <w:abstractNum w:abstractNumId="255">
    <w:nsid w:val="71E5621E"/>
    <w:multiLevelType w:val="hybridMultilevel"/>
    <w:lvl w:ilvl="0">
      <w:lvlJc w:val="left"/>
      <w:lvlText w:val="(%1)"/>
      <w:numFmt w:val="decimal"/>
      <w:start w:val="13"/>
    </w:lvl>
  </w:abstractNum>
  <w:abstractNum w:abstractNumId="256">
    <w:nsid w:val="4E42B6A8"/>
    <w:multiLevelType w:val="hybridMultilevel"/>
    <w:lvl w:ilvl="0">
      <w:lvlJc w:val="left"/>
      <w:lvlText w:val="(%1)"/>
      <w:numFmt w:val="decimal"/>
      <w:start w:val="1"/>
    </w:lvl>
  </w:abstractNum>
  <w:abstractNum w:abstractNumId="257">
    <w:nsid w:val="43F8E1AC"/>
    <w:multiLevelType w:val="hybridMultilevel"/>
    <w:lvl w:ilvl="0">
      <w:lvlJc w:val="left"/>
      <w:lvlText w:val="(%1)"/>
      <w:numFmt w:val="decimal"/>
      <w:start w:val="5"/>
    </w:lvl>
  </w:abstractNum>
  <w:abstractNum w:abstractNumId="258">
    <w:nsid w:val="69215DFB"/>
    <w:multiLevelType w:val="hybridMultilevel"/>
    <w:lvl w:ilvl="0">
      <w:lvlJc w:val="left"/>
      <w:lvlText w:val="(%1)"/>
      <w:numFmt w:val="lowerRoman"/>
      <w:start w:val="19"/>
    </w:lvl>
  </w:abstractNum>
  <w:abstractNum w:abstractNumId="259">
    <w:nsid w:val="7ABF196A"/>
    <w:multiLevelType w:val="hybridMultilevel"/>
    <w:lvl w:ilvl="0">
      <w:lvlJc w:val="left"/>
      <w:lvlText w:val="(%1)"/>
      <w:numFmt w:val="decimal"/>
      <w:start w:val="1"/>
    </w:lvl>
  </w:abstractNum>
  <w:abstractNum w:abstractNumId="260">
    <w:nsid w:val="5E4DB968"/>
    <w:multiLevelType w:val="hybridMultilevel"/>
    <w:lvl w:ilvl="0">
      <w:lvlJc w:val="left"/>
      <w:lvlText w:val="(%1)"/>
      <w:numFmt w:val="decimal"/>
      <w:start w:val="3"/>
    </w:lvl>
  </w:abstractNum>
  <w:abstractNum w:abstractNumId="261">
    <w:nsid w:val="2C06DCF3"/>
    <w:multiLevelType w:val="hybridMultilevel"/>
    <w:lvl w:ilvl="0">
      <w:lvlJc w:val="left"/>
      <w:lvlText w:val="(%1)"/>
      <w:numFmt w:val="decimal"/>
      <w:start w:val="1"/>
    </w:lvl>
  </w:abstractNum>
  <w:abstractNum w:abstractNumId="262">
    <w:nsid w:val="2E129658"/>
    <w:multiLevelType w:val="hybridMultilevel"/>
    <w:lvl w:ilvl="0">
      <w:lvlJc w:val="left"/>
      <w:lvlText w:val="(%1)"/>
      <w:numFmt w:val="decimal"/>
      <w:start w:val="1"/>
    </w:lvl>
  </w:abstractNum>
  <w:abstractNum w:abstractNumId="263">
    <w:nsid w:val="59F0446"/>
    <w:multiLevelType w:val="hybridMultilevel"/>
    <w:lvl w:ilvl="0">
      <w:lvlJc w:val="left"/>
      <w:lvlText w:val="(%1)"/>
      <w:numFmt w:val="upperLetter"/>
      <w:start w:val="1"/>
    </w:lvl>
  </w:abstractNum>
  <w:abstractNum w:abstractNumId="264">
    <w:nsid w:val="30DF306"/>
    <w:multiLevelType w:val="hybridMultilevel"/>
    <w:lvl w:ilvl="0">
      <w:lvlJc w:val="left"/>
      <w:lvlText w:val="(%1)"/>
      <w:numFmt w:val="decimal"/>
      <w:start w:val="1"/>
    </w:lvl>
  </w:abstractNum>
  <w:abstractNum w:abstractNumId="265">
    <w:nsid w:val="A65647"/>
    <w:multiLevelType w:val="hybridMultilevel"/>
    <w:lvl w:ilvl="0">
      <w:lvlJc w:val="left"/>
      <w:lvlText w:val="(%1)"/>
      <w:numFmt w:val="lowerLetter"/>
      <w:start w:val="1"/>
    </w:lvl>
  </w:abstractNum>
  <w:abstractNum w:abstractNumId="266">
    <w:nsid w:val="3E5E582B"/>
    <w:multiLevelType w:val="hybridMultilevel"/>
    <w:lvl w:ilvl="0">
      <w:lvlJc w:val="left"/>
      <w:lvlText w:val="(%1)"/>
      <w:numFmt w:val="lowerLetter"/>
      <w:start w:val="5"/>
    </w:lvl>
  </w:abstractNum>
  <w:abstractNum w:abstractNumId="267">
    <w:nsid w:val="257D4626"/>
    <w:multiLevelType w:val="hybridMultilevel"/>
    <w:lvl w:ilvl="0">
      <w:lvlJc w:val="left"/>
      <w:lvlText w:val="(%1)"/>
      <w:numFmt w:val="lowerLetter"/>
      <w:start w:val="4"/>
    </w:lvl>
  </w:abstractNum>
  <w:abstractNum w:abstractNumId="268">
    <w:nsid w:val="5AA8580E"/>
    <w:multiLevelType w:val="hybridMultilevel"/>
    <w:lvl w:ilvl="0">
      <w:lvlJc w:val="left"/>
      <w:lvlText w:val="(%1)"/>
      <w:numFmt w:val="lowerRoman"/>
      <w:start w:val="2"/>
    </w:lvl>
  </w:abstractNum>
  <w:abstractNum w:abstractNumId="269">
    <w:nsid w:val="68FA8D0D"/>
    <w:multiLevelType w:val="hybridMultilevel"/>
    <w:lvl w:ilvl="0">
      <w:lvlJc w:val="left"/>
      <w:lvlText w:val="(%1)"/>
      <w:numFmt w:val="decimal"/>
      <w:start w:val="1"/>
    </w:lvl>
  </w:abstractNum>
  <w:abstractNum w:abstractNumId="270">
    <w:nsid w:val="40F2CBD2"/>
    <w:multiLevelType w:val="hybridMultilevel"/>
    <w:lvl w:ilvl="0">
      <w:lvlJc w:val="left"/>
      <w:lvlText w:val="(%1)"/>
      <w:numFmt w:val="decimal"/>
      <w:start w:val="2"/>
    </w:lvl>
  </w:abstractNum>
  <w:abstractNum w:abstractNumId="271">
    <w:nsid w:val="3BD615EB"/>
    <w:multiLevelType w:val="hybridMultilevel"/>
    <w:lvl w:ilvl="0">
      <w:lvlJc w:val="left"/>
      <w:lvlText w:val="(%1)"/>
      <w:numFmt w:val="lowerRoman"/>
      <w:start w:val="1"/>
    </w:lvl>
  </w:abstractNum>
  <w:abstractNum w:abstractNumId="272">
    <w:nsid w:val="A045AB2"/>
    <w:multiLevelType w:val="hybridMultilevel"/>
    <w:lvl w:ilvl="0">
      <w:lvlJc w:val="left"/>
      <w:lvlText w:val="(%1)"/>
      <w:numFmt w:val="decimal"/>
      <w:start w:val="1"/>
    </w:lvl>
  </w:abstractNum>
  <w:abstractNum w:abstractNumId="273">
    <w:nsid w:val="1872261F"/>
    <w:multiLevelType w:val="hybridMultilevel"/>
    <w:lvl w:ilvl="0">
      <w:lvlJc w:val="left"/>
      <w:lvlText w:val="(%1)"/>
      <w:numFmt w:val="decimal"/>
      <w:start w:val="5"/>
    </w:lvl>
  </w:abstractNum>
  <w:abstractNum w:abstractNumId="274">
    <w:nsid w:val="3DE8306C"/>
    <w:multiLevelType w:val="hybridMultilevel"/>
    <w:lvl w:ilvl="0">
      <w:lvlJc w:val="left"/>
      <w:lvlText w:val="(%1)"/>
      <w:numFmt w:val="decimal"/>
      <w:start w:val="14"/>
    </w:lvl>
  </w:abstractNum>
  <w:abstractNum w:abstractNumId="275">
    <w:nsid w:val="7631573A"/>
    <w:multiLevelType w:val="hybridMultilevel"/>
    <w:lvl w:ilvl="0">
      <w:lvlJc w:val="left"/>
      <w:lvlText w:val="(%1)"/>
      <w:numFmt w:val="decimal"/>
      <w:start w:val="24"/>
    </w:lvl>
  </w:abstractNum>
  <w:abstractNum w:abstractNumId="276">
    <w:nsid w:val="58DF53B"/>
    <w:multiLevelType w:val="hybridMultilevel"/>
    <w:lvl w:ilvl="0">
      <w:lvlJc w:val="left"/>
      <w:lvlText w:val="(%1)"/>
      <w:numFmt w:val="decimal"/>
      <w:start w:val="32"/>
    </w:lvl>
  </w:abstractNum>
  <w:abstractNum w:abstractNumId="277">
    <w:nsid w:val="ACDFAC0"/>
    <w:multiLevelType w:val="hybridMultilevel"/>
    <w:lvl w:ilvl="0">
      <w:lvlJc w:val="left"/>
      <w:lvlText w:val="(%1)"/>
      <w:numFmt w:val="decimal"/>
      <w:start w:val="1"/>
    </w:lvl>
  </w:abstractNum>
  <w:abstractNum w:abstractNumId="278">
    <w:nsid w:val="1F578454"/>
    <w:multiLevelType w:val="hybridMultilevel"/>
    <w:lvl w:ilvl="0">
      <w:lvlJc w:val="left"/>
      <w:lvlText w:val="(%1)"/>
      <w:numFmt w:val="decimal"/>
      <w:start w:val="8"/>
    </w:lvl>
  </w:abstractNum>
  <w:abstractNum w:abstractNumId="279">
    <w:nsid w:val="5B0DAD2A"/>
    <w:multiLevelType w:val="hybridMultilevel"/>
    <w:lvl w:ilvl="0">
      <w:lvlJc w:val="left"/>
      <w:lvlText w:val="(%1)"/>
      <w:numFmt w:val="decimal"/>
      <w:start w:val="17"/>
    </w:lvl>
  </w:abstractNum>
  <w:abstractNum w:abstractNumId="280">
    <w:nsid w:val="4E3D26AB"/>
    <w:multiLevelType w:val="hybridMultilevel"/>
    <w:lvl w:ilvl="0">
      <w:lvlJc w:val="left"/>
      <w:lvlText w:val="(%1)"/>
      <w:numFmt w:val="decimal"/>
      <w:start w:val="28"/>
    </w:lvl>
  </w:abstractNum>
  <w:abstractNum w:abstractNumId="281">
    <w:nsid w:val="BE2C8BA"/>
    <w:multiLevelType w:val="hybridMultilevel"/>
    <w:lvl w:ilvl="0">
      <w:lvlJc w:val="left"/>
      <w:lvlText w:val="(%1)"/>
      <w:numFmt w:val="decimal"/>
      <w:start w:val="39"/>
    </w:lvl>
  </w:abstractNum>
  <w:abstractNum w:abstractNumId="282">
    <w:nsid w:val="7B14914E"/>
    <w:multiLevelType w:val="hybridMultilevel"/>
    <w:lvl w:ilvl="0">
      <w:lvlJc w:val="left"/>
      <w:lvlText w:val="%1"/>
      <w:numFmt w:val="lowerRoman"/>
      <w:start w:val="1"/>
    </w:lvl>
    <w:lvl w:ilvl="1">
      <w:lvlJc w:val="left"/>
      <w:lvlText w:val="(%2)"/>
      <w:numFmt w:val="decimal"/>
      <w:start w:val="1"/>
    </w:lvl>
  </w:abstractNum>
  <w:abstractNum w:abstractNumId="283">
    <w:nsid w:val="6F0939F8"/>
    <w:multiLevelType w:val="hybridMultilevel"/>
    <w:lvl w:ilvl="0">
      <w:lvlJc w:val="left"/>
      <w:lvlText w:val="(%1)"/>
      <w:numFmt w:val="lowerRoman"/>
      <w:start w:val="2"/>
    </w:lvl>
    <w:lvl w:ilvl="1">
      <w:lvlJc w:val="left"/>
      <w:lvlText w:val="(%2)"/>
      <w:numFmt w:val="decimal"/>
      <w:start w:val="3"/>
    </w:lvl>
  </w:abstractNum>
  <w:abstractNum w:abstractNumId="284">
    <w:nsid w:val="154291F6"/>
    <w:multiLevelType w:val="hybridMultilevel"/>
    <w:lvl w:ilvl="0">
      <w:lvlJc w:val="left"/>
      <w:lvlText w:val="(%1)"/>
      <w:numFmt w:val="lowerLetter"/>
      <w:start w:val="25"/>
    </w:lvl>
  </w:abstractNum>
  <w:abstractNum w:abstractNumId="285">
    <w:nsid w:val="3CEBD7C7"/>
    <w:multiLevelType w:val="hybridMultilevel"/>
    <w:lvl w:ilvl="0">
      <w:lvlJc w:val="left"/>
      <w:lvlText w:val="(%1)"/>
      <w:numFmt w:val="lowerLetter"/>
      <w:start w:val="3"/>
    </w:lvl>
  </w:abstractNum>
  <w:abstractNum w:abstractNumId="286">
    <w:nsid w:val="60EE9C16"/>
    <w:multiLevelType w:val="hybridMultilevel"/>
    <w:lvl w:ilvl="0">
      <w:lvlJc w:val="left"/>
      <w:lvlText w:val="(%1)"/>
      <w:numFmt w:val="decimal"/>
      <w:start w:val="1"/>
    </w:lvl>
  </w:abstractNum>
  <w:abstractNum w:abstractNumId="287">
    <w:nsid w:val="6385489E"/>
    <w:multiLevelType w:val="hybridMultilevel"/>
    <w:lvl w:ilvl="0">
      <w:lvlJc w:val="left"/>
      <w:lvlText w:val="(%1)"/>
      <w:numFmt w:val="lowerLetter"/>
      <w:start w:val="1"/>
    </w:lvl>
  </w:abstractNum>
  <w:abstractNum w:abstractNumId="288">
    <w:nsid w:val="E4B973"/>
    <w:multiLevelType w:val="hybridMultilevel"/>
    <w:lvl w:ilvl="0">
      <w:lvlJc w:val="left"/>
      <w:lvlText w:val="(%1)"/>
      <w:numFmt w:val="lowerLetter"/>
      <w:start w:val="1"/>
    </w:lvl>
  </w:abstractNum>
  <w:abstractNum w:abstractNumId="289">
    <w:nsid w:val="4A0FFA11"/>
    <w:multiLevelType w:val="hybridMultilevel"/>
    <w:lvl w:ilvl="0">
      <w:lvlJc w:val="left"/>
      <w:lvlText w:val="(%1)"/>
      <w:numFmt w:val="lowerLetter"/>
      <w:start w:val="1"/>
    </w:lvl>
  </w:abstractNum>
  <w:abstractNum w:abstractNumId="290">
    <w:nsid w:val="5E446208"/>
    <w:multiLevelType w:val="hybridMultilevel"/>
    <w:lvl w:ilvl="0">
      <w:lvlJc w:val="left"/>
      <w:lvlText w:val="(%1)"/>
      <w:numFmt w:val="lowerLetter"/>
      <w:start w:val="2"/>
    </w:lvl>
  </w:abstractNum>
  <w:abstractNum w:abstractNumId="291">
    <w:nsid w:val="5F3272DB"/>
    <w:multiLevelType w:val="hybridMultilevel"/>
    <w:lvl w:ilvl="0">
      <w:lvlJc w:val="left"/>
      <w:lvlText w:val="(%1)"/>
      <w:numFmt w:val="lowerLetter"/>
      <w:start w:val="1"/>
    </w:lvl>
    <w:lvl w:ilvl="1">
      <w:lvlJc w:val="left"/>
      <w:lvlText w:val="(%2)"/>
      <w:numFmt w:val="decimal"/>
      <w:start w:val="1"/>
    </w:lvl>
  </w:abstractNum>
  <w:abstractNum w:abstractNumId="292">
    <w:nsid w:val="7616D70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93">
    <w:nsid w:val="C56F860"/>
    <w:multiLevelType w:val="hybridMultilevel"/>
    <w:lvl w:ilvl="0">
      <w:lvlJc w:val="left"/>
      <w:lvlText w:val="(%1)"/>
      <w:numFmt w:val="decimal"/>
      <w:start w:val="3"/>
    </w:lvl>
    <w:lvl w:ilvl="1">
      <w:lvlJc w:val="left"/>
      <w:lvlText w:val="(%2)"/>
      <w:numFmt w:val="upperLetter"/>
      <w:start w:val="1"/>
    </w:lvl>
  </w:abstractNum>
  <w:abstractNum w:abstractNumId="294">
    <w:nsid w:val="64D17722"/>
    <w:multiLevelType w:val="hybridMultilevel"/>
    <w:lvl w:ilvl="0">
      <w:lvlJc w:val="left"/>
      <w:lvlText w:val="(%1)"/>
      <w:numFmt w:val="lowerLetter"/>
      <w:start w:val="3"/>
    </w:lvl>
    <w:lvl w:ilvl="1">
      <w:lvlJc w:val="left"/>
      <w:lvlText w:val="(%2)"/>
      <w:numFmt w:val="lowerLetter"/>
    </w:lvl>
    <w:lvl w:ilvl="2">
      <w:lvlJc w:val="left"/>
      <w:lvlText w:val="(%3)"/>
      <w:numFmt w:val="decimal"/>
      <w:start w:val="1"/>
    </w:lvl>
    <w:lvl w:ilvl="3">
      <w:lvlJc w:val="left"/>
      <w:lvlText w:val="(%4)"/>
      <w:numFmt w:val="upperLetter"/>
      <w:start w:val="1"/>
    </w:lvl>
  </w:abstractNum>
  <w:abstractNum w:abstractNumId="295">
    <w:nsid w:val="7924CA0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5"/>
    </w:lvl>
  </w:abstractNum>
  <w:abstractNum w:abstractNumId="296">
    <w:nsid w:val="CFD4EA7"/>
    <w:multiLevelType w:val="hybridMultilevel"/>
    <w:lvl w:ilvl="0">
      <w:lvlJc w:val="left"/>
      <w:lvlText w:val="%1"/>
      <w:numFmt w:val="decimal"/>
      <w:start w:val="1"/>
    </w:lvl>
    <w:lvl w:ilvl="1">
      <w:lvlJc w:val="left"/>
      <w:lvlText w:val="(%2)"/>
      <w:numFmt w:val="upperLetter"/>
      <w:start w:val="6"/>
    </w:lvl>
  </w:abstractNum>
  <w:abstractNum w:abstractNumId="297">
    <w:nsid w:val="232FCF4D"/>
    <w:multiLevelType w:val="hybridMultilevel"/>
    <w:lvl w:ilvl="0">
      <w:lvlJc w:val="left"/>
      <w:lvlText w:val="(%1)"/>
      <w:numFmt w:val="decimal"/>
      <w:start w:val="2"/>
    </w:lvl>
    <w:lvl w:ilvl="1">
      <w:lvlJc w:val="left"/>
      <w:lvlText w:val="(%2)"/>
      <w:numFmt w:val="upperLetter"/>
      <w:start w:val="1"/>
    </w:lvl>
  </w:abstractNum>
  <w:abstractNum w:abstractNumId="298">
    <w:nsid w:val="1EA21031"/>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299">
    <w:nsid w:val="67A5A6B5"/>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300">
    <w:nsid w:val="C2A5C5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301">
    <w:nsid w:val="5F94DC0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5"/>
    </w:lvl>
  </w:abstractNum>
  <w:abstractNum w:abstractNumId="302">
    <w:nsid w:val="237BBCA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03">
    <w:nsid w:val="162EB70D"/>
    <w:multiLevelType w:val="hybridMultilevel"/>
    <w:lvl w:ilvl="0">
      <w:lvlJc w:val="left"/>
      <w:lvlText w:val="(%1)"/>
      <w:numFmt w:val="decimal"/>
      <w:start w:val="3"/>
    </w:lvl>
  </w:abstractNum>
  <w:abstractNum w:abstractNumId="304">
    <w:nsid w:val="78070222"/>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305">
    <w:nsid w:val="6163ED0D"/>
    <w:multiLevelType w:val="hybridMultilevel"/>
    <w:lvl w:ilvl="0">
      <w:lvlJc w:val="left"/>
      <w:lvlText w:val="%1"/>
      <w:numFmt w:val="decimal"/>
      <w:start w:val="1"/>
    </w:lvl>
    <w:lvl w:ilvl="1">
      <w:lvlJc w:val="left"/>
      <w:lvlText w:val="(%2)"/>
      <w:numFmt w:val="upperLetter"/>
      <w:start w:val="3"/>
    </w:lvl>
  </w:abstractNum>
  <w:abstractNum w:abstractNumId="306">
    <w:nsid w:val="C600E47"/>
    <w:multiLevelType w:val="hybridMultilevel"/>
    <w:lvl w:ilvl="0">
      <w:lvlJc w:val="left"/>
      <w:lvlText w:val="(%1)"/>
      <w:numFmt w:val="decimal"/>
      <w:start w:val="2"/>
    </w:lvl>
    <w:lvl w:ilvl="1">
      <w:lvlJc w:val="left"/>
      <w:lvlText w:val="(%2)"/>
      <w:numFmt w:val="upperLetter"/>
      <w:start w:val="1"/>
    </w:lvl>
  </w:abstractNum>
  <w:abstractNum w:abstractNumId="307">
    <w:nsid w:val="7D94F75D"/>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308">
    <w:nsid w:val="6C31E7CD"/>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309">
    <w:nsid w:val="2BB7929B"/>
    <w:multiLevelType w:val="hybridMultilevel"/>
    <w:lvl w:ilvl="0">
      <w:lvlJc w:val="left"/>
      <w:lvlText w:val="(%1)"/>
      <w:numFmt w:val="upperLetter"/>
      <w:start w:val="2"/>
    </w:lvl>
  </w:abstractNum>
  <w:abstractNum w:abstractNumId="310">
    <w:nsid w:val="58A2A487"/>
    <w:multiLevelType w:val="hybridMultilevel"/>
    <w:lvl w:ilvl="0">
      <w:lvlJc w:val="left"/>
      <w:lvlText w:val="(%1)"/>
      <w:numFmt w:val="decimal"/>
      <w:start w:val="2"/>
    </w:lvl>
  </w:abstractNum>
  <w:abstractNum w:abstractNumId="311">
    <w:nsid w:val="3A6F0E78"/>
    <w:multiLevelType w:val="hybridMultilevel"/>
    <w:lvl w:ilvl="0">
      <w:lvlJc w:val="left"/>
      <w:lvlText w:val="(%1)"/>
      <w:numFmt w:val="decimal"/>
      <w:start w:val="3"/>
    </w:lvl>
  </w:abstractNum>
  <w:abstractNum w:abstractNumId="312">
    <w:nsid w:val="379A5B56"/>
    <w:multiLevelType w:val="hybridMultilevel"/>
    <w:lvl w:ilvl="0">
      <w:lvlJc w:val="left"/>
      <w:lvlText w:val="(%1)"/>
      <w:numFmt w:val="lowerLetter"/>
      <w:start w:val="7"/>
    </w:lvl>
    <w:lvl w:ilvl="1">
      <w:lvlJc w:val="left"/>
      <w:lvlText w:val="(%2)"/>
      <w:numFmt w:val="decimal"/>
      <w:start w:val="1"/>
    </w:lvl>
  </w:abstractNum>
  <w:abstractNum w:abstractNumId="313">
    <w:nsid w:val="53B735D5"/>
    <w:multiLevelType w:val="hybridMultilevel"/>
    <w:lvl w:ilvl="0">
      <w:lvlJc w:val="left"/>
      <w:lvlText w:val="(%1)"/>
      <w:numFmt w:val="decimal"/>
      <w:start w:val="5"/>
    </w:lvl>
    <w:lvl w:ilvl="1">
      <w:lvlJc w:val="left"/>
      <w:lvlText w:val="(%2)"/>
      <w:numFmt w:val="upperLetter"/>
      <w:start w:val="1"/>
    </w:lvl>
  </w:abstractNum>
  <w:abstractNum w:abstractNumId="314">
    <w:nsid w:val="29784870"/>
    <w:multiLevelType w:val="hybridMultilevel"/>
    <w:lvl w:ilvl="0">
      <w:lvlJc w:val="left"/>
      <w:lvlText w:val="(%1)"/>
      <w:numFmt w:val="lowerLetter"/>
      <w:start w:val="1"/>
    </w:lvl>
  </w:abstractNum>
  <w:abstractNum w:abstractNumId="315">
    <w:nsid w:val="4CDCED4C"/>
    <w:multiLevelType w:val="hybridMultilevel"/>
    <w:lvl w:ilvl="0">
      <w:lvlJc w:val="left"/>
      <w:lvlText w:val="(%1)"/>
      <w:numFmt w:val="lowerLetter"/>
      <w:start w:val="9"/>
    </w:lvl>
  </w:abstractNum>
  <w:abstractNum w:abstractNumId="316">
    <w:nsid w:val="10A30D9C"/>
    <w:multiLevelType w:val="hybridMultilevel"/>
    <w:lvl w:ilvl="0">
      <w:lvlJc w:val="left"/>
      <w:lvlText w:val="(%1)"/>
      <w:numFmt w:val="lowerLetter"/>
      <w:start w:val="1"/>
    </w:lvl>
  </w:abstractNum>
  <w:abstractNum w:abstractNumId="317">
    <w:nsid w:val="A66E486"/>
    <w:multiLevelType w:val="hybridMultilevel"/>
    <w:lvl w:ilvl="0">
      <w:lvlJc w:val="left"/>
      <w:lvlText w:val="(%1)"/>
      <w:numFmt w:val="lowerLetter"/>
      <w:start w:val="6"/>
    </w:lvl>
  </w:abstractNum>
  <w:abstractNum w:abstractNumId="318">
    <w:nsid w:val="306235EA"/>
    <w:multiLevelType w:val="hybridMultilevel"/>
    <w:lvl w:ilvl="0">
      <w:lvlJc w:val="left"/>
      <w:lvlText w:val="(%1)"/>
      <w:numFmt w:val="lowerLetter"/>
      <w:start w:val="1"/>
    </w:lvl>
  </w:abstractNum>
  <w:abstractNum w:abstractNumId="319">
    <w:nsid w:val="1187C70F"/>
    <w:multiLevelType w:val="hybridMultilevel"/>
    <w:lvl w:ilvl="0">
      <w:lvlJc w:val="left"/>
      <w:lvlText w:val="(%1)"/>
      <w:numFmt w:val="lowerLetter"/>
      <w:start w:val="4"/>
    </w:lvl>
    <w:lvl w:ilvl="1">
      <w:lvlJc w:val="left"/>
      <w:lvlText w:val="(%2)"/>
      <w:numFmt w:val="decimal"/>
      <w:start w:val="1"/>
    </w:lvl>
  </w:abstractNum>
  <w:abstractNum w:abstractNumId="320">
    <w:nsid w:val="5476DE98"/>
    <w:multiLevelType w:val="hybridMultilevel"/>
    <w:lvl w:ilvl="0">
      <w:lvlJc w:val="left"/>
      <w:lvlText w:val="%1"/>
      <w:numFmt w:val="lowerLetter"/>
      <w:start w:val="1"/>
    </w:lvl>
    <w:lvl w:ilvl="1">
      <w:lvlJc w:val="left"/>
      <w:lvlText w:val="(%2)"/>
      <w:numFmt w:val="decimal"/>
      <w:start w:val="2"/>
    </w:lvl>
  </w:abstractNum>
  <w:abstractNum w:abstractNumId="321">
    <w:nsid w:val="EA697F2"/>
    <w:multiLevelType w:val="hybridMultilevel"/>
    <w:lvl w:ilvl="0">
      <w:lvlJc w:val="left"/>
      <w:lvlText w:val="(%1)"/>
      <w:numFmt w:val="lowerLetter"/>
      <w:start w:val="5"/>
    </w:lvl>
    <w:lvl w:ilvl="1">
      <w:lvlJc w:val="left"/>
      <w:lvlText w:val="%2"/>
      <w:numFmt w:val="decimal"/>
      <w:start w:val="1"/>
    </w:lvl>
  </w:abstractNum>
  <w:abstractNum w:abstractNumId="322">
    <w:nsid w:val="70BA39EB"/>
    <w:multiLevelType w:val="hybridMultilevel"/>
    <w:lvl w:ilvl="0">
      <w:lvlJc w:val="left"/>
      <w:lvlText w:val="(%1)"/>
      <w:numFmt w:val="lowerLetter"/>
      <w:start w:val="1"/>
    </w:lvl>
  </w:abstractNum>
  <w:abstractNum w:abstractNumId="323">
    <w:nsid w:val="4A8DB59C"/>
    <w:multiLevelType w:val="hybridMultilevel"/>
    <w:lvl w:ilvl="0">
      <w:lvlJc w:val="left"/>
      <w:lvlText w:val="(%1)"/>
      <w:numFmt w:val="lowerLetter"/>
      <w:start w:val="6"/>
    </w:lvl>
  </w:abstractNum>
  <w:abstractNum w:abstractNumId="324">
    <w:nsid w:val="1AFD9053"/>
    <w:multiLevelType w:val="hybridMultilevel"/>
    <w:lvl w:ilvl="0">
      <w:lvlJc w:val="left"/>
      <w:lvlText w:val="(%1)"/>
      <w:numFmt w:val="decimal"/>
      <w:start w:val="1"/>
    </w:lvl>
  </w:abstractNum>
  <w:abstractNum w:abstractNumId="325">
    <w:nsid w:val="558BB10D"/>
    <w:multiLevelType w:val="hybridMultilevel"/>
    <w:lvl w:ilvl="0">
      <w:lvlJc w:val="left"/>
      <w:lvlText w:val="(%1)"/>
      <w:numFmt w:val="lowerLetter"/>
      <w:start w:val="1"/>
    </w:lvl>
  </w:abstractNum>
  <w:abstractNum w:abstractNumId="326">
    <w:nsid w:val="43B27FA7"/>
    <w:multiLevelType w:val="hybridMultilevel"/>
    <w:lvl w:ilvl="0">
      <w:lvlJc w:val="left"/>
      <w:lvlText w:val="(%1)"/>
      <w:numFmt w:val="lowerLetter"/>
      <w:start w:val="1"/>
    </w:lvl>
  </w:abstractNum>
  <w:abstractNum w:abstractNumId="327">
    <w:nsid w:val="27FADEFA"/>
    <w:multiLevelType w:val="hybridMultilevel"/>
    <w:lvl w:ilvl="0">
      <w:lvlJc w:val="left"/>
      <w:lvlText w:val="(%1)"/>
      <w:numFmt w:val="lowerLetter"/>
      <w:start w:val="1"/>
    </w:lvl>
  </w:abstractNum>
  <w:abstractNum w:abstractNumId="328">
    <w:nsid w:val="78BB805A"/>
    <w:multiLevelType w:val="hybridMultilevel"/>
    <w:lvl w:ilvl="0">
      <w:lvlJc w:val="left"/>
      <w:lvlText w:val="(%1)"/>
      <w:numFmt w:val="lowerLetter"/>
      <w:start w:val="1"/>
    </w:lvl>
    <w:lvl w:ilvl="1">
      <w:lvlJc w:val="left"/>
      <w:lvlText w:val="(%2)"/>
      <w:numFmt w:val="decimal"/>
      <w:start w:val="1"/>
    </w:lvl>
  </w:abstractNum>
  <w:abstractNum w:abstractNumId="329">
    <w:nsid w:val="62548FD8"/>
    <w:multiLevelType w:val="hybridMultilevel"/>
    <w:lvl w:ilvl="0">
      <w:lvlJc w:val="left"/>
      <w:lvlText w:val="(%1)"/>
      <w:numFmt w:val="decimal"/>
      <w:start w:val="2"/>
    </w:lvl>
  </w:abstractNum>
  <w:abstractNum w:abstractNumId="330">
    <w:nsid w:val="FA085B0"/>
    <w:multiLevelType w:val="hybridMultilevel"/>
    <w:lvl w:ilvl="0">
      <w:lvlJc w:val="left"/>
      <w:lvlText w:val="%1"/>
      <w:numFmt w:val="upperLetter"/>
      <w:start w:val="1"/>
    </w:lvl>
    <w:lvl w:ilvl="1">
      <w:lvlJc w:val="left"/>
      <w:lvlText w:val="(%2)"/>
      <w:numFmt w:val="lowerRoman"/>
      <w:start w:val="1"/>
    </w:lvl>
  </w:abstractNum>
  <w:abstractNum w:abstractNumId="331">
    <w:nsid w:val="4E5DCB5"/>
    <w:multiLevelType w:val="hybridMultilevel"/>
    <w:lvl w:ilvl="0">
      <w:lvlJc w:val="left"/>
      <w:lvlText w:val="(%1)"/>
      <w:numFmt w:val="upperLetter"/>
      <w:start w:val="1"/>
    </w:lvl>
    <w:lvl w:ilvl="1">
      <w:lvlJc w:val="left"/>
      <w:lvlText w:val="%2"/>
      <w:numFmt w:val="lowerRoman"/>
      <w:start w:val="1"/>
    </w:lvl>
  </w:abstractNum>
  <w:abstractNum w:abstractNumId="332">
    <w:nsid w:val="41E96BDB"/>
    <w:multiLevelType w:val="hybridMultilevel"/>
    <w:lvl w:ilvl="0">
      <w:lvlJc w:val="left"/>
      <w:lvlText w:val="(%1)"/>
      <w:numFmt w:val="upperLetter"/>
      <w:start w:val="2"/>
    </w:lvl>
  </w:abstractNum>
  <w:abstractNum w:abstractNumId="333">
    <w:nsid w:val="331C4250"/>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lvl w:ilvl="3">
      <w:lvlJc w:val="left"/>
      <w:lvlText w:val="(%4)"/>
      <w:numFmt w:val="decimal"/>
      <w:start w:val="1"/>
    </w:lvl>
  </w:abstractNum>
  <w:abstractNum w:abstractNumId="334">
    <w:nsid w:val="1B1493C2"/>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decimal"/>
      <w:start w:val="3"/>
    </w:lvl>
  </w:abstractNum>
  <w:abstractNum w:abstractNumId="335">
    <w:nsid w:val="39F06DFD"/>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decimal"/>
      <w:start w:val="1"/>
    </w:lvl>
  </w:abstractNum>
  <w:abstractNum w:abstractNumId="336">
    <w:nsid w:val="14802F5D"/>
    <w:multiLevelType w:val="hybridMultilevel"/>
    <w:lvl w:ilvl="0">
      <w:lvlJc w:val="left"/>
      <w:lvlText w:val="(%1)"/>
      <w:numFmt w:val="decimal"/>
      <w:start w:val="5"/>
    </w:lvl>
  </w:abstractNum>
  <w:abstractNum w:abstractNumId="337">
    <w:nsid w:val="2774A209"/>
    <w:multiLevelType w:val="hybridMultilevel"/>
    <w:lvl w:ilvl="0">
      <w:lvlJc w:val="left"/>
      <w:lvlText w:val="(%1)"/>
      <w:numFmt w:val="decimal"/>
      <w:start w:val="13"/>
    </w:lvl>
  </w:abstractNum>
  <w:abstractNum w:abstractNumId="338">
    <w:nsid w:val="3785655A"/>
    <w:multiLevelType w:val="hybridMultilevel"/>
    <w:lvl w:ilvl="0">
      <w:lvlJc w:val="left"/>
      <w:lvlText w:val="%1"/>
      <w:numFmt w:val="lowerLetter"/>
      <w:start w:val="1"/>
    </w:lvl>
    <w:lvl w:ilvl="1">
      <w:lvlJc w:val="left"/>
      <w:lvlText w:val="(%2)"/>
      <w:numFmt w:val="decimal"/>
      <w:start w:val="23"/>
    </w:lvl>
  </w:abstractNum>
  <w:abstractNum w:abstractNumId="339">
    <w:nsid w:val="B2172A"/>
    <w:multiLevelType w:val="hybridMultilevel"/>
    <w:lvl w:ilvl="0">
      <w:lvlJc w:val="left"/>
      <w:lvlText w:val="(%1)"/>
      <w:numFmt w:val="lowerLetter"/>
      <w:start w:val="3"/>
    </w:lvl>
    <w:lvl w:ilvl="1">
      <w:lvlJc w:val="left"/>
      <w:lvlText w:val="%2"/>
      <w:numFmt w:val="decimal"/>
      <w:start w:val="1"/>
    </w:lvl>
  </w:abstractNum>
  <w:abstractNum w:abstractNumId="340">
    <w:nsid w:val="532C34A5"/>
    <w:multiLevelType w:val="hybridMultilevel"/>
    <w:lvl w:ilvl="0">
      <w:lvlJc w:val="left"/>
      <w:lvlText w:val="(%1)"/>
      <w:numFmt w:val="lowerLetter"/>
      <w:start w:val="1"/>
    </w:lvl>
    <w:lvl w:ilvl="1">
      <w:lvlJc w:val="left"/>
      <w:lvlText w:val="(%2)"/>
      <w:numFmt w:val="decimal"/>
      <w:start w:val="1"/>
    </w:lvl>
  </w:abstractNum>
  <w:abstractNum w:abstractNumId="341">
    <w:nsid w:val="102809E2"/>
    <w:multiLevelType w:val="hybridMultilevel"/>
    <w:lvl w:ilvl="0">
      <w:lvlJc w:val="left"/>
      <w:lvlText w:val="(%1)"/>
      <w:numFmt w:val="decimal"/>
      <w:start w:val="7"/>
    </w:lvl>
  </w:abstractNum>
  <w:abstractNum w:abstractNumId="342">
    <w:nsid w:val="3B2125A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43">
    <w:nsid w:val="AC68FF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344">
    <w:nsid w:val="63DF3FB7"/>
    <w:multiLevelType w:val="hybridMultilevel"/>
    <w:lvl w:ilvl="0">
      <w:lvlJc w:val="left"/>
      <w:lvlText w:val="%1"/>
      <w:numFmt w:val="decimal"/>
      <w:start w:val="1"/>
    </w:lvl>
    <w:lvl w:ilvl="1">
      <w:lvlJc w:val="left"/>
      <w:lvlText w:val="(%2)"/>
      <w:numFmt w:val="decimal"/>
      <w:start w:val="5"/>
    </w:lvl>
  </w:abstractNum>
  <w:abstractNum w:abstractNumId="345">
    <w:nsid w:val="64996E13"/>
    <w:multiLevelType w:val="hybridMultilevel"/>
    <w:lvl w:ilvl="0">
      <w:lvlJc w:val="left"/>
      <w:lvlText w:val="(%1)"/>
      <w:numFmt w:val="decimal"/>
      <w:start w:val="5"/>
    </w:lvl>
    <w:lvl w:ilvl="1">
      <w:lvlJc w:val="left"/>
      <w:lvlText w:val="(%2)"/>
      <w:numFmt w:val="decimal"/>
      <w:start w:val="7"/>
    </w:lvl>
  </w:abstractNum>
  <w:abstractNum w:abstractNumId="346">
    <w:nsid w:val="57A37D47"/>
    <w:multiLevelType w:val="hybridMultilevel"/>
    <w:lvl w:ilvl="0">
      <w:lvlJc w:val="left"/>
      <w:lvlText w:val="%1"/>
      <w:numFmt w:val="decimal"/>
      <w:start w:val="1"/>
    </w:lvl>
    <w:lvl w:ilvl="1">
      <w:lvlJc w:val="left"/>
      <w:lvlText w:val="(%2)"/>
      <w:numFmt w:val="decimal"/>
      <w:start w:val="10"/>
    </w:lvl>
  </w:abstractNum>
  <w:abstractNum w:abstractNumId="347">
    <w:nsid w:val="74824D54"/>
    <w:multiLevelType w:val="hybridMultilevel"/>
    <w:lvl w:ilvl="0">
      <w:lvlJc w:val="left"/>
      <w:lvlText w:val="(%1)"/>
      <w:numFmt w:val="decimal"/>
      <w:start w:val="12"/>
    </w:lvl>
    <w:lvl w:ilvl="1">
      <w:lvlJc w:val="left"/>
      <w:lvlText w:val="(%2)"/>
      <w:numFmt w:val="decimal"/>
      <w:start w:val="13"/>
    </w:lvl>
  </w:abstractNum>
  <w:abstractNum w:abstractNumId="348">
    <w:nsid w:val="6F00529A"/>
    <w:multiLevelType w:val="hybridMultilevel"/>
    <w:lvl w:ilvl="0">
      <w:lvlJc w:val="left"/>
      <w:lvlText w:val="%1"/>
      <w:numFmt w:val="upperLetter"/>
      <w:start w:val="1"/>
    </w:lvl>
    <w:lvl w:ilvl="1">
      <w:lvlJc w:val="left"/>
      <w:lvlText w:val="(%2)"/>
      <w:numFmt w:val="decimal"/>
      <w:start w:val="17"/>
    </w:lvl>
  </w:abstractNum>
  <w:abstractNum w:abstractNumId="349">
    <w:nsid w:val="805B331"/>
    <w:multiLevelType w:val="hybridMultilevel"/>
    <w:lvl w:ilvl="0">
      <w:lvlJc w:val="left"/>
      <w:lvlText w:val="(%1)"/>
      <w:numFmt w:val="upperLetter"/>
      <w:start w:val="3"/>
    </w:lvl>
    <w:lvl w:ilvl="1">
      <w:lvlJc w:val="left"/>
      <w:lvlText w:val="%2"/>
      <w:numFmt w:val="decimal"/>
      <w:start w:val="1"/>
    </w:lvl>
  </w:abstractNum>
  <w:abstractNum w:abstractNumId="350">
    <w:nsid w:val="60A1463"/>
    <w:multiLevelType w:val="hybridMultilevel"/>
    <w:lvl w:ilvl="0">
      <w:lvlJc w:val="left"/>
      <w:lvlText w:val="(%1)"/>
      <w:numFmt w:val="decimal"/>
      <w:start w:val="24"/>
    </w:lvl>
  </w:abstractNum>
  <w:abstractNum w:abstractNumId="351">
    <w:nsid w:val="43773132"/>
    <w:multiLevelType w:val="hybridMultilevel"/>
    <w:lvl w:ilvl="0">
      <w:lvlJc w:val="left"/>
      <w:lvlText w:val="%1"/>
      <w:numFmt w:val="lowerLetter"/>
      <w:start w:val="1"/>
    </w:lvl>
    <w:lvl w:ilvl="1">
      <w:lvlJc w:val="left"/>
      <w:lvlText w:val="%2"/>
      <w:numFmt w:val="decimal"/>
      <w:start w:val="1"/>
    </w:lvl>
    <w:lvl w:ilvl="2">
      <w:lvlJc w:val="left"/>
      <w:lvlText w:val="(%3)"/>
      <w:numFmt w:val="decimal"/>
      <w:start w:val="35"/>
    </w:lvl>
  </w:abstractNum>
  <w:abstractNum w:abstractNumId="352">
    <w:nsid w:val="16AC4B23"/>
    <w:multiLevelType w:val="hybridMultilevel"/>
    <w:lvl w:ilvl="0">
      <w:lvlJc w:val="left"/>
      <w:lvlText w:val="(%1)"/>
      <w:numFmt w:val="lowerLetter"/>
      <w:start w:val="3"/>
    </w:lvl>
    <w:lvl w:ilvl="1">
      <w:lvlJc w:val="left"/>
      <w:lvlText w:val="(%2)"/>
      <w:numFmt w:val="decimal"/>
    </w:lvl>
    <w:lvl w:ilvl="2">
      <w:lvlJc w:val="left"/>
      <w:lvlText w:val="(%3)"/>
      <w:numFmt w:val="decimal"/>
      <w:start w:val="1"/>
    </w:lvl>
  </w:abstractNum>
  <w:abstractNum w:abstractNumId="353">
    <w:nsid w:val="76C44E4E"/>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abstractNum>
  <w:abstractNum w:abstractNumId="354">
    <w:nsid w:val="E04E6CE"/>
    <w:multiLevelType w:val="hybridMultilevel"/>
    <w:lvl w:ilvl="0">
      <w:lvlJc w:val="left"/>
      <w:lvlText w:val="(%1)"/>
      <w:numFmt w:val="lowerLetter"/>
      <w:start w:val="4"/>
    </w:lvl>
  </w:abstractNum>
  <w:abstractNum w:abstractNumId="355">
    <w:nsid w:val="31A9DB7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56">
    <w:nsid w:val="4C4FFF5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357">
    <w:nsid w:val="51B7667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58">
    <w:nsid w:val="59A4BA71"/>
    <w:multiLevelType w:val="hybridMultilevel"/>
    <w:lvl w:ilvl="0">
      <w:lvlJc w:val="left"/>
      <w:lvlText w:val="(%1)"/>
      <w:numFmt w:val="decimal"/>
      <w:start w:val="2"/>
    </w:lvl>
  </w:abstractNum>
  <w:abstractNum w:abstractNumId="359">
    <w:nsid w:val="450B7FB6"/>
    <w:multiLevelType w:val="hybridMultilevel"/>
    <w:lvl w:ilvl="0">
      <w:lvlJc w:val="left"/>
      <w:lvlText w:val="(%1)"/>
      <w:numFmt w:val="decimal"/>
      <w:start w:val="4"/>
    </w:lvl>
  </w:abstractNum>
  <w:abstractNum w:abstractNumId="360">
    <w:nsid w:val="340BF64D"/>
    <w:multiLevelType w:val="hybridMultilevel"/>
    <w:lvl w:ilvl="0">
      <w:lvlJc w:val="left"/>
      <w:lvlText w:val="(%1)"/>
      <w:numFmt w:val="lowerLetter"/>
      <w:start w:val="3"/>
    </w:lvl>
  </w:abstractNum>
  <w:abstractNum w:abstractNumId="361">
    <w:nsid w:val="69454021"/>
    <w:multiLevelType w:val="hybridMultilevel"/>
    <w:lvl w:ilvl="0">
      <w:lvlJc w:val="left"/>
      <w:lvlText w:val="(%1)"/>
      <w:numFmt w:val="lowerLetter"/>
      <w:start w:val="4"/>
    </w:lvl>
  </w:abstractNum>
  <w:abstractNum w:abstractNumId="362">
    <w:nsid w:val="49F15C6B"/>
    <w:multiLevelType w:val="hybridMultilevel"/>
    <w:lvl w:ilvl="0">
      <w:lvlJc w:val="left"/>
      <w:lvlText w:val="(%1)"/>
      <w:numFmt w:val="lowerLetter"/>
      <w:start w:val="6"/>
    </w:lvl>
  </w:abstractNum>
  <w:abstractNum w:abstractNumId="363">
    <w:nsid w:val="75F56228"/>
    <w:multiLevelType w:val="hybridMultilevel"/>
    <w:lvl w:ilvl="0">
      <w:lvlJc w:val="left"/>
      <w:lvlText w:val="(%1)"/>
      <w:numFmt w:val="lowerLetter"/>
      <w:start w:val="10"/>
    </w:lvl>
  </w:abstractNum>
  <w:abstractNum w:abstractNumId="364">
    <w:nsid w:val="1C618271"/>
    <w:multiLevelType w:val="hybridMultilevel"/>
    <w:lvl w:ilvl="0">
      <w:lvlJc w:val="left"/>
      <w:lvlText w:val="(%1)"/>
      <w:numFmt w:val="lowerLetter"/>
      <w:start w:val="1"/>
    </w:lvl>
    <w:lvl w:ilvl="1">
      <w:lvlJc w:val="left"/>
      <w:lvlText w:val="(%2)"/>
      <w:numFmt w:val="decimal"/>
      <w:start w:val="1"/>
    </w:lvl>
  </w:abstractNum>
  <w:abstractNum w:abstractNumId="365">
    <w:nsid w:val="6505F02E"/>
    <w:multiLevelType w:val="hybridMultilevel"/>
    <w:lvl w:ilvl="0">
      <w:lvlJc w:val="left"/>
      <w:lvlText w:val="%1"/>
      <w:numFmt w:val="decimal"/>
      <w:start w:val="1"/>
    </w:lvl>
    <w:lvl w:ilvl="1">
      <w:lvlJc w:val="left"/>
      <w:lvlText w:val="(%2)"/>
      <w:numFmt w:val="decimal"/>
      <w:start w:val="4"/>
    </w:lvl>
  </w:abstractNum>
  <w:abstractNum w:abstractNumId="366">
    <w:nsid w:val="2FE5D025"/>
    <w:multiLevelType w:val="hybridMultilevel"/>
    <w:lvl w:ilvl="0">
      <w:lvlJc w:val="left"/>
      <w:lvlText w:val="(%1)"/>
      <w:numFmt w:val="decimal"/>
      <w:start w:val="12"/>
    </w:lvl>
    <w:lvl w:ilvl="1">
      <w:lvlJc w:val="left"/>
      <w:lvlText w:val="%2"/>
      <w:numFmt w:val="decimal"/>
      <w:start w:val="1"/>
    </w:lvl>
  </w:abstractNum>
  <w:abstractNum w:abstractNumId="367">
    <w:nsid w:val="30E1B1CF"/>
    <w:multiLevelType w:val="hybridMultilevel"/>
    <w:lvl w:ilvl="0">
      <w:lvlJc w:val="left"/>
      <w:lvlText w:val="(%1)"/>
      <w:numFmt w:val="decimal"/>
      <w:start w:val="13"/>
    </w:lvl>
  </w:abstractNum>
  <w:abstractNum w:abstractNumId="368">
    <w:nsid w:val="C7A9237"/>
    <w:multiLevelType w:val="hybridMultilevel"/>
    <w:lvl w:ilvl="0">
      <w:lvlJc w:val="left"/>
      <w:lvlText w:val="(%1)"/>
      <w:numFmt w:val="lowerLetter"/>
      <w:start w:val="1"/>
    </w:lvl>
  </w:abstractNum>
  <w:abstractNum w:abstractNumId="369">
    <w:nsid w:val="676B3580"/>
    <w:multiLevelType w:val="hybridMultilevel"/>
    <w:lvl w:ilvl="0">
      <w:lvlJc w:val="left"/>
      <w:lvlText w:val="(%1)"/>
      <w:numFmt w:val="lowerLetter"/>
      <w:start w:val="2"/>
    </w:lvl>
  </w:abstractNum>
  <w:abstractNum w:abstractNumId="370">
    <w:nsid w:val="3193C8F9"/>
    <w:multiLevelType w:val="hybridMultilevel"/>
    <w:lvl w:ilvl="0">
      <w:lvlJc w:val="left"/>
      <w:lvlText w:val="(%1)"/>
      <w:numFmt w:val="lowerLetter"/>
      <w:start w:val="1"/>
    </w:lvl>
  </w:abstractNum>
  <w:abstractNum w:abstractNumId="371">
    <w:nsid w:val="5FA6C6DC"/>
    <w:multiLevelType w:val="hybridMultilevel"/>
    <w:lvl w:ilvl="0">
      <w:lvlJc w:val="left"/>
      <w:lvlText w:val="(%1)"/>
      <w:numFmt w:val="lowerLetter"/>
      <w:start w:val="2"/>
    </w:lvl>
  </w:abstractNum>
  <w:abstractNum w:abstractNumId="372">
    <w:nsid w:val="77933F62"/>
    <w:multiLevelType w:val="hybridMultilevel"/>
    <w:lvl w:ilvl="0">
      <w:lvlJc w:val="left"/>
      <w:lvlText w:val="(%1)"/>
      <w:numFmt w:val="lowerLetter"/>
      <w:start w:val="1"/>
    </w:lvl>
  </w:abstractNum>
  <w:abstractNum w:abstractNumId="373">
    <w:nsid w:val="6CB4EE9C"/>
    <w:multiLevelType w:val="hybridMultilevel"/>
    <w:lvl w:ilvl="0">
      <w:lvlJc w:val="left"/>
      <w:lvlText w:val="(%1)"/>
      <w:numFmt w:val="lowerLetter"/>
      <w:start w:val="4"/>
    </w:lvl>
  </w:abstractNum>
  <w:abstractNum w:abstractNumId="374">
    <w:nsid w:val="6A6D56D7"/>
    <w:multiLevelType w:val="hybridMultilevel"/>
    <w:lvl w:ilvl="0">
      <w:lvlJc w:val="left"/>
      <w:lvlText w:val="(%1)"/>
      <w:numFmt w:val="lowerLetter"/>
      <w:start w:val="1"/>
    </w:lvl>
  </w:abstractNum>
  <w:abstractNum w:abstractNumId="375">
    <w:nsid w:val="5B727F19"/>
    <w:multiLevelType w:val="hybridMultilevel"/>
    <w:lvl w:ilvl="0">
      <w:lvlJc w:val="left"/>
      <w:lvlText w:val="(%1)"/>
      <w:numFmt w:val="lowerLetter"/>
      <w:start w:val="4"/>
    </w:lvl>
  </w:abstractNum>
  <w:abstractNum w:abstractNumId="376">
    <w:nsid w:val="514E5CB0"/>
    <w:multiLevelType w:val="hybridMultilevel"/>
    <w:lvl w:ilvl="0">
      <w:lvlJc w:val="left"/>
      <w:lvlText w:val="(%1)"/>
      <w:numFmt w:val="lowerLetter"/>
      <w:start w:val="1"/>
    </w:lvl>
  </w:abstractNum>
  <w:abstractNum w:abstractNumId="377">
    <w:nsid w:val="4210D41E"/>
    <w:multiLevelType w:val="hybridMultilevel"/>
    <w:lvl w:ilvl="0">
      <w:lvlJc w:val="left"/>
      <w:lvlText w:val="(%1)"/>
      <w:numFmt w:val="lowerLetter"/>
      <w:start w:val="2"/>
    </w:lvl>
  </w:abstractNum>
  <w:abstractNum w:abstractNumId="378">
    <w:nsid w:val="4FF4CC6D"/>
    <w:multiLevelType w:val="hybridMultilevel"/>
    <w:lvl w:ilvl="0">
      <w:lvlJc w:val="left"/>
      <w:lvlText w:val="(%1)"/>
      <w:numFmt w:val="lowerLetter"/>
      <w:start w:val="11"/>
    </w:lvl>
  </w:abstractNum>
  <w:abstractNum w:abstractNumId="379">
    <w:nsid w:val="404EAF4A"/>
    <w:multiLevelType w:val="hybridMultilevel"/>
    <w:lvl w:ilvl="0">
      <w:lvlJc w:val="left"/>
      <w:lvlText w:val="(%1)"/>
      <w:numFmt w:val="lowerLetter"/>
      <w:start w:val="1"/>
    </w:lvl>
  </w:abstractNum>
  <w:abstractNum w:abstractNumId="380">
    <w:nsid w:val="4A16874F"/>
    <w:multiLevelType w:val="hybridMultilevel"/>
    <w:lvl w:ilvl="0">
      <w:lvlJc w:val="left"/>
      <w:lvlText w:val="(%1)"/>
      <w:numFmt w:val="lowerLetter"/>
      <w:start w:val="1"/>
    </w:lvl>
  </w:abstractNum>
  <w:abstractNum w:abstractNumId="381">
    <w:nsid w:val="55FEE0D1"/>
    <w:multiLevelType w:val="hybridMultilevel"/>
    <w:lvl w:ilvl="0">
      <w:lvlJc w:val="left"/>
      <w:lvlText w:val="(%1)"/>
      <w:numFmt w:val="lowerLetter"/>
      <w:start w:val="1"/>
    </w:lvl>
    <w:lvl w:ilvl="1">
      <w:lvlJc w:val="left"/>
      <w:lvlText w:val="(%2)"/>
      <w:numFmt w:val="lowerLetter"/>
    </w:lvl>
    <w:lvl w:ilvl="2">
      <w:lvlJc w:val="left"/>
      <w:lvlText w:val="(%3)"/>
      <w:numFmt w:val="decimal"/>
      <w:start w:val="1"/>
    </w:lvl>
  </w:abstractNum>
  <w:abstractNum w:abstractNumId="382">
    <w:nsid w:val="3C5E07C"/>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2"/>
    </w:lvl>
  </w:abstractNum>
  <w:abstractNum w:abstractNumId="383">
    <w:nsid w:val="60C2D273"/>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384">
    <w:nsid w:val="4CC32F1F"/>
    <w:multiLevelType w:val="hybridMultilevel"/>
    <w:lvl w:ilvl="0">
      <w:lvlJc w:val="left"/>
      <w:lvlText w:val="(%1)"/>
      <w:numFmt w:val="decimal"/>
      <w:start w:val="2"/>
    </w:lvl>
  </w:abstractNum>
  <w:abstractNum w:abstractNumId="385">
    <w:nsid w:val="11CAC74A"/>
    <w:multiLevelType w:val="hybridMultilevel"/>
    <w:lvl w:ilvl="0">
      <w:lvlJc w:val="left"/>
      <w:lvlText w:val="(%1)"/>
      <w:numFmt w:val="decimal"/>
      <w:start w:val="1"/>
    </w:lvl>
  </w:abstractNum>
  <w:abstractNum w:abstractNumId="386">
    <w:nsid w:val="126CADE9"/>
    <w:multiLevelType w:val="hybridMultilevel"/>
    <w:lvl w:ilvl="0">
      <w:lvlJc w:val="left"/>
      <w:lvlText w:val="%1"/>
      <w:numFmt w:val="lowerRoman"/>
      <w:start w:val="1"/>
    </w:lvl>
    <w:lvl w:ilvl="1">
      <w:lvlJc w:val="left"/>
      <w:lvlText w:val="(%2)"/>
      <w:numFmt w:val="decimal"/>
      <w:start w:val="3"/>
    </w:lvl>
  </w:abstractNum>
  <w:abstractNum w:abstractNumId="387">
    <w:nsid w:val="19132E7B"/>
    <w:multiLevelType w:val="hybridMultilevel"/>
    <w:lvl w:ilvl="0">
      <w:lvlJc w:val="left"/>
      <w:lvlText w:val="(%1)"/>
      <w:numFmt w:val="lowerRoman"/>
      <w:start w:val="4"/>
    </w:lvl>
    <w:lvl w:ilvl="1">
      <w:lvlJc w:val="left"/>
      <w:lvlText w:val="%2"/>
      <w:numFmt w:val="decimal"/>
      <w:start w:val="1"/>
    </w:lvl>
  </w:abstractNum>
  <w:abstractNum w:abstractNumId="388">
    <w:nsid w:val="63822DC0"/>
    <w:multiLevelType w:val="hybridMultilevel"/>
    <w:lvl w:ilvl="0">
      <w:lvlJc w:val="left"/>
      <w:lvlText w:val="(%1)"/>
      <w:numFmt w:val="decimal"/>
      <w:start w:val="5"/>
    </w:lvl>
    <w:lvl w:ilvl="1">
      <w:lvlJc w:val="left"/>
      <w:lvlText w:val="(%2)"/>
      <w:numFmt w:val="upperLetter"/>
      <w:start w:val="1"/>
    </w:lvl>
  </w:abstractNum>
  <w:abstractNum w:abstractNumId="389">
    <w:nsid w:val="6C11685A"/>
    <w:multiLevelType w:val="hybridMultilevel"/>
    <w:lvl w:ilvl="0">
      <w:lvlJc w:val="left"/>
      <w:lvlText w:val="(%1)"/>
      <w:numFmt w:val="decimal"/>
      <w:start w:val="8"/>
    </w:lvl>
    <w:lvl w:ilvl="1">
      <w:lvlJc w:val="left"/>
      <w:lvlText w:val="(%2)"/>
      <w:numFmt w:val="upperLetter"/>
      <w:start w:val="1"/>
    </w:lvl>
  </w:abstractNum>
  <w:abstractNum w:abstractNumId="390">
    <w:nsid w:val="5E1EAE31"/>
    <w:multiLevelType w:val="hybridMultilevel"/>
    <w:lvl w:ilvl="0">
      <w:lvlJc w:val="left"/>
      <w:lvlText w:val="(%1)"/>
      <w:numFmt w:val="decimal"/>
      <w:start w:val="9"/>
    </w:lvl>
  </w:abstractNum>
  <w:abstractNum w:abstractNumId="391">
    <w:nsid w:val="178E240D"/>
    <w:multiLevelType w:val="hybridMultilevel"/>
    <w:lvl w:ilvl="0">
      <w:lvlJc w:val="left"/>
      <w:lvlText w:val="(%1)"/>
      <w:numFmt w:val="lowerLetter"/>
      <w:start w:val="1"/>
    </w:lvl>
  </w:abstractNum>
  <w:abstractNum w:abstractNumId="392">
    <w:nsid w:val="5556A87B"/>
    <w:multiLevelType w:val="hybridMultilevel"/>
    <w:lvl w:ilvl="0">
      <w:lvlJc w:val="left"/>
      <w:lvlText w:val="(%1)"/>
      <w:numFmt w:val="lowerLetter"/>
      <w:start w:val="1"/>
    </w:lvl>
  </w:abstractNum>
  <w:abstractNum w:abstractNumId="393">
    <w:nsid w:val="28100A9C"/>
    <w:multiLevelType w:val="hybridMultilevel"/>
    <w:lvl w:ilvl="0">
      <w:lvlJc w:val="left"/>
      <w:lvlText w:val="(%1)"/>
      <w:numFmt w:val="lowerLetter"/>
      <w:start w:val="3"/>
    </w:lvl>
  </w:abstractNum>
  <w:abstractNum w:abstractNumId="394">
    <w:nsid w:val="D838636"/>
    <w:multiLevelType w:val="hybridMultilevel"/>
    <w:lvl w:ilvl="0">
      <w:lvlJc w:val="left"/>
      <w:lvlText w:val="(%1)"/>
      <w:numFmt w:val="lowerLetter"/>
      <w:start w:val="1"/>
    </w:lvl>
  </w:abstractNum>
  <w:abstractNum w:abstractNumId="395">
    <w:nsid w:val="71B82AED"/>
    <w:multiLevelType w:val="hybridMultilevel"/>
    <w:lvl w:ilvl="0">
      <w:lvlJc w:val="left"/>
      <w:lvlText w:val="(%1)"/>
      <w:numFmt w:val="lowerLetter"/>
      <w:start w:val="2"/>
    </w:lvl>
    <w:lvl w:ilvl="1">
      <w:lvlJc w:val="left"/>
      <w:lvlText w:val="(%2)"/>
      <w:numFmt w:val="decimal"/>
      <w:start w:val="1"/>
    </w:lvl>
  </w:abstractNum>
  <w:abstractNum w:abstractNumId="396">
    <w:nsid w:val="D15FACA"/>
    <w:multiLevelType w:val="hybridMultilevel"/>
    <w:lvl w:ilvl="0">
      <w:lvlJc w:val="left"/>
      <w:lvlText w:val="(%1)"/>
      <w:numFmt w:val="lowerLetter"/>
      <w:start w:val="1"/>
    </w:lvl>
  </w:abstractNum>
  <w:abstractNum w:abstractNumId="397">
    <w:nsid w:val="3D69565B"/>
    <w:multiLevelType w:val="hybridMultilevel"/>
    <w:lvl w:ilvl="0">
      <w:lvlJc w:val="left"/>
      <w:lvlText w:val="(%1)"/>
      <w:numFmt w:val="lowerLetter"/>
      <w:start w:val="3"/>
    </w:lvl>
  </w:abstractNum>
  <w:abstractNum w:abstractNumId="398">
    <w:nsid w:val="2299DCBC"/>
    <w:multiLevelType w:val="hybridMultilevel"/>
    <w:lvl w:ilvl="0">
      <w:lvlJc w:val="left"/>
      <w:lvlText w:val="(%1)"/>
      <w:numFmt w:val="lowerLetter"/>
      <w:start w:val="14"/>
    </w:lvl>
    <w:lvl w:ilvl="1">
      <w:lvlJc w:val="left"/>
      <w:lvlText w:val="(%2)"/>
      <w:numFmt w:val="decimal"/>
      <w:start w:val="1"/>
    </w:lvl>
  </w:abstractNum>
  <w:abstractNum w:abstractNumId="399">
    <w:nsid w:val="19908D02"/>
    <w:multiLevelType w:val="hybridMultilevel"/>
    <w:lvl w:ilvl="0">
      <w:lvlJc w:val="left"/>
      <w:lvlText w:val="(%1)"/>
      <w:numFmt w:val="lowerLetter"/>
      <w:start w:val="1"/>
    </w:lvl>
  </w:abstractNum>
  <w:abstractNum w:abstractNumId="400">
    <w:nsid w:val="24D48BDB"/>
    <w:multiLevelType w:val="hybridMultilevel"/>
    <w:lvl w:ilvl="0">
      <w:lvlJc w:val="left"/>
      <w:lvlText w:val="(%1)"/>
      <w:numFmt w:val="lowerLetter"/>
      <w:start w:val="3"/>
    </w:lvl>
  </w:abstractNum>
  <w:abstractNum w:abstractNumId="401">
    <w:nsid w:val="542DA5B5"/>
    <w:multiLevelType w:val="hybridMultilevel"/>
    <w:lvl w:ilvl="0">
      <w:lvlJc w:val="left"/>
      <w:lvlText w:val="(%1)"/>
      <w:numFmt w:val="lowerLetter"/>
      <w:start w:val="1"/>
    </w:lvl>
    <w:lvl w:ilvl="1">
      <w:lvlJc w:val="left"/>
      <w:lvlText w:val="(%2)"/>
      <w:numFmt w:val="decimal"/>
      <w:start w:val="1"/>
    </w:lvl>
  </w:abstractNum>
  <w:abstractNum w:abstractNumId="402">
    <w:nsid w:val="793753DE"/>
    <w:multiLevelType w:val="hybridMultilevel"/>
    <w:lvl w:ilvl="0">
      <w:lvlJc w:val="left"/>
      <w:lvlText w:val="%1"/>
      <w:numFmt w:val="lowerLetter"/>
      <w:start w:val="1"/>
    </w:lvl>
    <w:lvl w:ilvl="1">
      <w:lvlJc w:val="left"/>
      <w:lvlText w:val="(%2)"/>
      <w:numFmt w:val="decimal"/>
      <w:start w:val="4"/>
    </w:lvl>
  </w:abstractNum>
  <w:abstractNum w:abstractNumId="403">
    <w:nsid w:val="1C67CB3D"/>
    <w:multiLevelType w:val="hybridMultilevel"/>
    <w:lvl w:ilvl="0">
      <w:lvlJc w:val="left"/>
      <w:lvlText w:val="(%1)"/>
      <w:numFmt w:val="lowerLetter"/>
      <w:start w:val="3"/>
    </w:lvl>
    <w:lvl w:ilvl="1">
      <w:lvlJc w:val="left"/>
      <w:lvlText w:val="%2"/>
      <w:numFmt w:val="decimal"/>
      <w:start w:val="1"/>
    </w:lvl>
  </w:abstractNum>
  <w:abstractNum w:abstractNumId="404">
    <w:nsid w:val="40E29452"/>
    <w:multiLevelType w:val="hybridMultilevel"/>
    <w:lvl w:ilvl="0">
      <w:lvlJc w:val="left"/>
      <w:lvlText w:val="(%1)"/>
      <w:numFmt w:val="lowerLetter"/>
      <w:start w:val="1"/>
    </w:lvl>
  </w:abstractNum>
  <w:abstractNum w:abstractNumId="405">
    <w:nsid w:val="63A4AAB6"/>
    <w:multiLevelType w:val="hybridMultilevel"/>
    <w:lvl w:ilvl="0">
      <w:lvlJc w:val="left"/>
      <w:lvlText w:val="(%1)"/>
      <w:numFmt w:val="lowerLetter"/>
      <w:start w:val="1"/>
    </w:lvl>
  </w:abstractNum>
  <w:abstractNum w:abstractNumId="406">
    <w:nsid w:val="77DA4A57"/>
    <w:multiLevelType w:val="hybridMultilevel"/>
    <w:lvl w:ilvl="0">
      <w:lvlJc w:val="left"/>
      <w:lvlText w:val="(%1)"/>
      <w:numFmt w:val="lowerLetter"/>
      <w:start w:val="2"/>
    </w:lvl>
    <w:lvl w:ilvl="1">
      <w:lvlJc w:val="left"/>
      <w:lvlText w:val="(%2)"/>
      <w:numFmt w:val="decimal"/>
      <w:start w:val="1"/>
    </w:lvl>
  </w:abstractNum>
  <w:abstractNum w:abstractNumId="407">
    <w:nsid w:val="1230F102"/>
    <w:multiLevelType w:val="hybridMultilevel"/>
    <w:lvl w:ilvl="0">
      <w:lvlJc w:val="left"/>
      <w:lvlText w:val="(%1)"/>
      <w:numFmt w:val="lowerLetter"/>
      <w:start w:val="3"/>
    </w:lvl>
  </w:abstractNum>
  <w:abstractNum w:abstractNumId="408">
    <w:nsid w:val="25B57ED4"/>
    <w:multiLevelType w:val="hybridMultilevel"/>
    <w:lvl w:ilvl="0">
      <w:lvlJc w:val="left"/>
      <w:lvlText w:val="(%1)"/>
      <w:numFmt w:val="decimal"/>
      <w:start w:val="7"/>
    </w:lvl>
  </w:abstractNum>
  <w:abstractNum w:abstractNumId="409">
    <w:nsid w:val="47CF16C4"/>
    <w:multiLevelType w:val="hybridMultilevel"/>
    <w:lvl w:ilvl="0">
      <w:lvlJc w:val="left"/>
      <w:lvlText w:val="(%1)"/>
      <w:numFmt w:val="lowerLetter"/>
      <w:start w:val="1"/>
    </w:lvl>
  </w:abstractNum>
  <w:abstractNum w:abstractNumId="410">
    <w:nsid w:val="527FA04C"/>
    <w:multiLevelType w:val="hybridMultilevel"/>
    <w:lvl w:ilvl="0">
      <w:lvlJc w:val="left"/>
      <w:lvlText w:val="(%1)"/>
      <w:numFmt w:val="lowerLetter"/>
      <w:start w:val="7"/>
    </w:lvl>
  </w:abstractNum>
  <w:abstractNum w:abstractNumId="411">
    <w:nsid w:val="6FCC0624"/>
    <w:multiLevelType w:val="hybridMultilevel"/>
    <w:lvl w:ilvl="0">
      <w:lvlJc w:val="left"/>
      <w:lvlText w:val="(%1)"/>
      <w:numFmt w:val="lowerLetter"/>
      <w:start w:val="1"/>
    </w:lvl>
  </w:abstractNum>
  <w:abstractNum w:abstractNumId="412">
    <w:nsid w:val="1DCDF795"/>
    <w:multiLevelType w:val="hybridMultilevel"/>
    <w:lvl w:ilvl="0">
      <w:lvlJc w:val="left"/>
      <w:lvlText w:val="(%1)"/>
      <w:numFmt w:val="lowerLetter"/>
      <w:start w:val="1"/>
    </w:lvl>
  </w:abstractNum>
  <w:abstractNum w:abstractNumId="413">
    <w:nsid w:val="564580C8"/>
    <w:multiLevelType w:val="hybridMultilevel"/>
    <w:lvl w:ilvl="0">
      <w:lvlJc w:val="left"/>
      <w:lvlText w:val="(%1)"/>
      <w:numFmt w:val="decimal"/>
      <w:start w:val="1"/>
    </w:lvl>
  </w:abstractNum>
  <w:abstractNum w:abstractNumId="414">
    <w:nsid w:val="508ED897"/>
    <w:multiLevelType w:val="hybridMultilevel"/>
    <w:lvl w:ilvl="0">
      <w:lvlJc w:val="left"/>
      <w:lvlText w:val="(%1)"/>
      <w:numFmt w:val="lowerLetter"/>
      <w:start w:val="2"/>
    </w:lvl>
  </w:abstractNum>
  <w:abstractNum w:abstractNumId="415">
    <w:nsid w:val="6A9126B5"/>
    <w:multiLevelType w:val="hybridMultilevel"/>
    <w:lvl w:ilvl="0">
      <w:lvlJc w:val="left"/>
      <w:lvlText w:val="(%1)"/>
      <w:numFmt w:val="lowerLetter"/>
      <w:start w:val="1"/>
    </w:lvl>
  </w:abstractNum>
  <w:abstractNum w:abstractNumId="416">
    <w:nsid w:val="68104812"/>
    <w:multiLevelType w:val="hybridMultilevel"/>
    <w:lvl w:ilvl="0">
      <w:lvlJc w:val="left"/>
      <w:lvlText w:val="(%1)"/>
      <w:numFmt w:val="lowerLetter"/>
      <w:start w:val="1"/>
    </w:lvl>
  </w:abstractNum>
  <w:abstractNum w:abstractNumId="417">
    <w:nsid w:val="62FB8680"/>
    <w:multiLevelType w:val="hybridMultilevel"/>
    <w:lvl w:ilvl="0">
      <w:lvlJc w:val="left"/>
      <w:lvlText w:val="(%1)"/>
      <w:numFmt w:val="lowerLetter"/>
      <w:start w:val="1"/>
    </w:lvl>
    <w:lvl w:ilvl="1">
      <w:lvlJc w:val="left"/>
      <w:lvlText w:val="(%2)"/>
      <w:numFmt w:val="decimal"/>
      <w:start w:val="1"/>
    </w:lvl>
  </w:abstractNum>
  <w:abstractNum w:abstractNumId="418">
    <w:nsid w:val="3A45530"/>
    <w:multiLevelType w:val="hybridMultilevel"/>
    <w:lvl w:ilvl="0">
      <w:lvlJc w:val="left"/>
      <w:lvlText w:val="(%1)"/>
      <w:numFmt w:val="lowerLetter"/>
      <w:start w:val="1"/>
    </w:lvl>
    <w:lvl w:ilvl="1">
      <w:lvlJc w:val="left"/>
      <w:lvlText w:val="(%2)"/>
      <w:numFmt w:val="decimal"/>
      <w:start w:val="1"/>
    </w:lvl>
  </w:abstractNum>
  <w:abstractNum w:abstractNumId="419">
    <w:nsid w:val="4B9275D2"/>
    <w:multiLevelType w:val="hybridMultilevel"/>
    <w:lvl w:ilvl="0">
      <w:lvlJc w:val="left"/>
      <w:lvlText w:val="%1"/>
      <w:numFmt w:val="lowerLetter"/>
      <w:start w:val="1"/>
    </w:lvl>
    <w:lvl w:ilvl="1">
      <w:lvlJc w:val="left"/>
      <w:lvlText w:val="(%2)"/>
      <w:numFmt w:val="decimal"/>
      <w:start w:val="2"/>
    </w:lvl>
  </w:abstractNum>
  <w:abstractNum w:abstractNumId="420">
    <w:nsid w:val="4F0CEEDB"/>
    <w:multiLevelType w:val="hybridMultilevel"/>
    <w:lvl w:ilvl="0">
      <w:lvlJc w:val="left"/>
      <w:lvlText w:val="(%1)"/>
      <w:numFmt w:val="lowerLetter"/>
      <w:start w:val="2"/>
    </w:lvl>
    <w:lvl w:ilvl="1">
      <w:lvlJc w:val="left"/>
      <w:lvlText w:val="%2"/>
      <w:numFmt w:val="decimal"/>
      <w:start w:val="1"/>
    </w:lvl>
  </w:abstractNum>
  <w:abstractNum w:abstractNumId="421">
    <w:nsid w:val="61C30361"/>
    <w:multiLevelType w:val="hybridMultilevel"/>
    <w:lvl w:ilvl="0">
      <w:lvlJc w:val="left"/>
      <w:lvlText w:val="(%1)"/>
      <w:numFmt w:val="lowerLetter"/>
      <w:start w:val="1"/>
    </w:lvl>
  </w:abstractNum>
  <w:abstractNum w:abstractNumId="422">
    <w:nsid w:val="632099E0"/>
    <w:multiLevelType w:val="hybridMultilevel"/>
    <w:lvl w:ilvl="0">
      <w:lvlJc w:val="left"/>
      <w:lvlText w:val="(%1)"/>
      <w:numFmt w:val="lowerLetter"/>
      <w:start w:val="2"/>
    </w:lvl>
  </w:abstractNum>
  <w:abstractNum w:abstractNumId="423">
    <w:nsid w:val="24639756"/>
    <w:multiLevelType w:val="hybridMultilevel"/>
    <w:lvl w:ilvl="0">
      <w:lvlJc w:val="left"/>
      <w:lvlText w:val="(%1)"/>
      <w:numFmt w:val="lowerLetter"/>
      <w:start w:val="1"/>
    </w:lvl>
  </w:abstractNum>
  <w:abstractNum w:abstractNumId="424">
    <w:nsid w:val="9D30DFD"/>
    <w:multiLevelType w:val="hybridMultilevel"/>
    <w:lvl w:ilvl="0">
      <w:lvlJc w:val="left"/>
      <w:lvlText w:val="(%1)"/>
      <w:numFmt w:val="upperLetter"/>
      <w:start w:val="1"/>
    </w:lvl>
  </w:abstractNum>
  <w:abstractNum w:abstractNumId="425">
    <w:nsid w:val="70A42016"/>
    <w:multiLevelType w:val="hybridMultilevel"/>
    <w:lvl w:ilvl="0">
      <w:lvlJc w:val="left"/>
      <w:lvlText w:val="(%1)"/>
      <w:numFmt w:val="upperLetter"/>
      <w:start w:val="2"/>
    </w:lvl>
  </w:abstractNum>
  <w:abstractNum w:abstractNumId="426">
    <w:nsid w:val="161BC243"/>
    <w:multiLevelType w:val="hybridMultilevel"/>
    <w:lvl w:ilvl="0">
      <w:lvlJc w:val="left"/>
      <w:lvlText w:val="(%1)"/>
      <w:numFmt w:val="lowerRoman"/>
      <w:start w:val="2"/>
    </w:lvl>
  </w:abstractNum>
  <w:abstractNum w:abstractNumId="427">
    <w:nsid w:val="16E908C8"/>
    <w:multiLevelType w:val="hybridMultilevel"/>
    <w:lvl w:ilvl="0">
      <w:lvlJc w:val="left"/>
      <w:lvlText w:val="(%1)"/>
      <w:numFmt w:val="upperLetter"/>
      <w:start w:val="1"/>
    </w:lvl>
  </w:abstractNum>
  <w:abstractNum w:abstractNumId="428">
    <w:nsid w:val="2E0D7671"/>
    <w:multiLevelType w:val="hybridMultilevel"/>
    <w:lvl w:ilvl="0">
      <w:lvlJc w:val="left"/>
      <w:lvlText w:val="(%1)"/>
      <w:numFmt w:val="upperLetter"/>
      <w:start w:val="35"/>
    </w:lvl>
  </w:abstractNum>
  <w:abstractNum w:abstractNumId="429">
    <w:nsid w:val="38B59EFF"/>
    <w:multiLevelType w:val="hybridMultilevel"/>
    <w:lvl w:ilvl="0">
      <w:lvlJc w:val="left"/>
      <w:lvlText w:val="(%1)"/>
      <w:numFmt w:val="upperLetter"/>
      <w:start w:val="2"/>
    </w:lvl>
  </w:abstractNum>
  <w:abstractNum w:abstractNumId="430">
    <w:nsid w:val="307995CA"/>
    <w:multiLevelType w:val="hybridMultilevel"/>
    <w:lvl w:ilvl="0">
      <w:lvlJc w:val="left"/>
      <w:lvlText w:val="(%1)"/>
      <w:numFmt w:val="upperLetter"/>
      <w:start w:val="3"/>
    </w:lvl>
  </w:abstractNum>
  <w:abstractNum w:abstractNumId="431">
    <w:nsid w:val="52E2024D"/>
    <w:multiLevelType w:val="hybridMultilevel"/>
    <w:lvl w:ilvl="0">
      <w:lvlJc w:val="left"/>
      <w:lvlText w:val="(%1)"/>
      <w:numFmt w:val="upperLetter"/>
      <w:start w:val="4"/>
    </w:lvl>
  </w:abstractNum>
  <w:abstractNum w:abstractNumId="432">
    <w:nsid w:val="CE344B5"/>
    <w:multiLevelType w:val="hybridMultilevel"/>
    <w:lvl w:ilvl="0">
      <w:lvlJc w:val="left"/>
      <w:lvlText w:val="(%1)"/>
      <w:numFmt w:val="lowerLetter"/>
      <w:start w:val="2"/>
    </w:lvl>
  </w:abstractNum>
  <w:abstractNum w:abstractNumId="433">
    <w:nsid w:val="29B0E9A8"/>
    <w:multiLevelType w:val="hybridMultilevel"/>
    <w:lvl w:ilvl="0">
      <w:lvlJc w:val="left"/>
      <w:lvlText w:val="(%1)"/>
      <w:numFmt w:val="lowerLetter"/>
      <w:start w:val="1"/>
    </w:lvl>
  </w:abstractNum>
  <w:abstractNum w:abstractNumId="434">
    <w:nsid w:val="6F49CD8A"/>
    <w:multiLevelType w:val="hybridMultilevel"/>
    <w:lvl w:ilvl="0">
      <w:lvlJc w:val="left"/>
      <w:lvlText w:val="(%1)"/>
      <w:numFmt w:val="lowerLetter"/>
      <w:start w:val="1"/>
    </w:lvl>
  </w:abstractNum>
  <w:abstractNum w:abstractNumId="435">
    <w:nsid w:val="4DC5D907"/>
    <w:multiLevelType w:val="hybridMultilevel"/>
    <w:lvl w:ilvl="0">
      <w:lvlJc w:val="left"/>
      <w:lvlText w:val="(%1)"/>
      <w:numFmt w:val="lowerLetter"/>
      <w:start w:val="3"/>
    </w:lvl>
  </w:abstractNum>
  <w:abstractNum w:abstractNumId="436">
    <w:nsid w:val="D55945E"/>
    <w:multiLevelType w:val="hybridMultilevel"/>
    <w:lvl w:ilvl="0">
      <w:lvlJc w:val="left"/>
      <w:lvlText w:val="(%1)"/>
      <w:numFmt w:val="lowerLetter"/>
      <w:start w:val="5"/>
    </w:lvl>
  </w:abstractNum>
  <w:abstractNum w:abstractNumId="437">
    <w:nsid w:val="672417E1"/>
    <w:multiLevelType w:val="hybridMultilevel"/>
    <w:lvl w:ilvl="0">
      <w:lvlJc w:val="left"/>
      <w:lvlText w:val="(%1)"/>
      <w:numFmt w:val="lowerLetter"/>
      <w:start w:val="8"/>
    </w:lvl>
  </w:abstractNum>
  <w:abstractNum w:abstractNumId="438">
    <w:nsid w:val="5FF6CA09"/>
    <w:multiLevelType w:val="hybridMultilevel"/>
    <w:lvl w:ilvl="0">
      <w:lvlJc w:val="left"/>
      <w:lvlText w:val="%1"/>
      <w:numFmt w:val="lowerLetter"/>
      <w:start w:val="1"/>
    </w:lvl>
    <w:lvl w:ilvl="1">
      <w:lvlJc w:val="left"/>
      <w:lvlText w:val="(%2)"/>
      <w:numFmt w:val="lowerLetter"/>
      <w:start w:val="13"/>
    </w:lvl>
  </w:abstractNum>
  <w:abstractNum w:abstractNumId="439">
    <w:nsid w:val="330B1333"/>
    <w:multiLevelType w:val="hybridMultilevel"/>
    <w:lvl w:ilvl="0">
      <w:lvlJc w:val="left"/>
      <w:lvlText w:val="(%1)"/>
      <w:numFmt w:val="lowerLetter"/>
      <w:start w:val="35"/>
    </w:lvl>
    <w:lvl w:ilvl="1">
      <w:lvlJc w:val="left"/>
      <w:lvlText w:val="(%2)"/>
      <w:numFmt w:val="lowerLetter"/>
      <w:start w:val="14"/>
    </w:lvl>
  </w:abstractNum>
  <w:abstractNum w:abstractNumId="440">
    <w:nsid w:val="2EF32EA6"/>
    <w:multiLevelType w:val="hybridMultilevel"/>
    <w:lvl w:ilvl="0">
      <w:lvlJc w:val="left"/>
      <w:lvlText w:val="(%1)"/>
      <w:numFmt w:val="lowerLetter"/>
      <w:start w:val="16"/>
    </w:lvl>
  </w:abstractNum>
  <w:abstractNum w:abstractNumId="441">
    <w:nsid w:val="32766A55"/>
    <w:multiLevelType w:val="hybridMultilevel"/>
    <w:lvl w:ilvl="0">
      <w:lvlJc w:val="left"/>
      <w:lvlText w:val="(%1)"/>
      <w:numFmt w:val="lowerLetter"/>
      <w:start w:val="18"/>
    </w:lvl>
  </w:abstractNum>
  <w:abstractNum w:abstractNumId="442">
    <w:nsid w:val="22D71957"/>
    <w:multiLevelType w:val="hybridMultilevel"/>
    <w:lvl w:ilvl="0">
      <w:lvlJc w:val="left"/>
      <w:lvlText w:val="(%1)"/>
      <w:numFmt w:val="lowerLetter"/>
      <w:start w:val="22"/>
    </w:lvl>
  </w:abstractNum>
  <w:abstractNum w:abstractNumId="443">
    <w:nsid w:val="4CC1263B"/>
    <w:multiLevelType w:val="hybridMultilevel"/>
    <w:lvl w:ilvl="0">
      <w:lvlJc w:val="left"/>
      <w:lvlText w:val="(%1)"/>
      <w:numFmt w:val="lowerLetter"/>
      <w:start w:val="27"/>
    </w:lvl>
  </w:abstractNum>
  <w:abstractNum w:abstractNumId="444">
    <w:nsid w:val="8BBEB1D"/>
    <w:multiLevelType w:val="hybridMultilevel"/>
    <w:lvl w:ilvl="0">
      <w:lvlJc w:val="left"/>
      <w:lvlText w:val="(%1)"/>
      <w:numFmt w:val="lowerLetter"/>
      <w:start w:val="28"/>
    </w:lvl>
  </w:abstractNum>
  <w:abstractNum w:abstractNumId="445">
    <w:nsid w:val="7365F1EE"/>
    <w:multiLevelType w:val="hybridMultilevel"/>
    <w:lvl w:ilvl="0">
      <w:lvlJc w:val="left"/>
      <w:lvlText w:val="(%1)"/>
      <w:numFmt w:val="lowerLetter"/>
      <w:start w:val="1"/>
    </w:lvl>
  </w:abstractNum>
  <w:abstractNum w:abstractNumId="446">
    <w:nsid w:val="37524CF0"/>
    <w:multiLevelType w:val="hybridMultilevel"/>
    <w:lvl w:ilvl="0">
      <w:lvlJc w:val="left"/>
      <w:lvlText w:val="(%1)"/>
      <w:numFmt w:val="lowerLetter"/>
      <w:start w:val="1"/>
    </w:lvl>
  </w:abstractNum>
  <w:abstractNum w:abstractNumId="447">
    <w:nsid w:val="70CC332F"/>
    <w:multiLevelType w:val="hybridMultilevel"/>
    <w:lvl w:ilvl="0">
      <w:lvlJc w:val="left"/>
      <w:lvlText w:val="(%1)"/>
      <w:numFmt w:val="upperLetter"/>
      <w:start w:val="1"/>
    </w:lvl>
  </w:abstractNum>
  <w:abstractNum w:abstractNumId="448">
    <w:nsid w:val="5661786E"/>
    <w:multiLevelType w:val="hybridMultilevel"/>
    <w:lvl w:ilvl="0">
      <w:lvlJc w:val="left"/>
      <w:lvlText w:val="%1."/>
      <w:numFmt w:val="decimal"/>
      <w:start w:val="1"/>
    </w:lvl>
    <w:lvl w:ilvl="1">
      <w:lvlJc w:val="left"/>
      <w:lvlText w:val="(%2)"/>
      <w:numFmt w:val="lowerLetter"/>
      <w:start w:val="1"/>
    </w:lvl>
  </w:abstractNum>
  <w:abstractNum w:abstractNumId="449">
    <w:nsid w:val="3AF6A220"/>
    <w:multiLevelType w:val="hybridMultilevel"/>
    <w:lvl w:ilvl="0">
      <w:lvlJc w:val="left"/>
      <w:lvlText w:val="%1."/>
      <w:numFmt w:val="decimal"/>
      <w:start w:val="2"/>
    </w:lvl>
    <w:lvl w:ilvl="1">
      <w:lvlJc w:val="left"/>
      <w:lvlText w:val="(%2)"/>
      <w:numFmt w:val="lowerLetter"/>
      <w:start w:val="1"/>
    </w:lvl>
  </w:abstractNum>
  <w:abstractNum w:abstractNumId="450">
    <w:nsid w:val="3C5EA902"/>
    <w:multiLevelType w:val="hybridMultilevel"/>
    <w:lvl w:ilvl="0">
      <w:lvlJc w:val="left"/>
      <w:lvlText w:val="(%1)"/>
      <w:numFmt w:val="upperLetter"/>
      <w:start w:val="2"/>
    </w:lvl>
  </w:abstractNum>
  <w:abstractNum w:abstractNumId="451">
    <w:nsid w:val="256E6749"/>
    <w:multiLevelType w:val="hybridMultilevel"/>
    <w:lvl w:ilvl="0">
      <w:lvlJc w:val="left"/>
      <w:lvlText w:val="●"/>
      <w:numFmt w:val="bullet"/>
      <w:start w:val="1"/>
    </w:lvl>
  </w:abstractNum>
  <w:abstractNum w:abstractNumId="452">
    <w:nsid w:val="1CB9A581"/>
    <w:multiLevelType w:val="hybridMultilevel"/>
    <w:lvl w:ilvl="0">
      <w:lvlJc w:val="left"/>
      <w:lvlText w:val="(%1)"/>
      <w:numFmt w:val="upperLetter"/>
      <w:start w:val="3"/>
    </w:lvl>
  </w:abstractNum>
  <w:abstractNum w:abstractNumId="453">
    <w:nsid w:val="1F7F42E2"/>
    <w:multiLevelType w:val="hybridMultilevel"/>
    <w:lvl w:ilvl="0">
      <w:lvlJc w:val="left"/>
      <w:lvlText w:val="%1."/>
      <w:numFmt w:val="decimal"/>
      <w:start w:val="1"/>
    </w:lvl>
  </w:abstractNum>
  <w:abstractNum w:abstractNumId="454">
    <w:nsid w:val="49D1FEA0"/>
    <w:multiLevelType w:val="hybridMultilevel"/>
    <w:lvl w:ilvl="0">
      <w:lvlJc w:val="left"/>
      <w:lvlText w:val="%1."/>
      <w:numFmt w:val="decimal"/>
      <w:start w:val="3"/>
    </w:lvl>
  </w:abstractNum>
  <w:abstractNum w:abstractNumId="455">
    <w:nsid w:val="268CB37F"/>
    <w:multiLevelType w:val="hybridMultilevel"/>
    <w:lvl w:ilvl="0">
      <w:lvlJc w:val="left"/>
      <w:lvlText w:val="(%1)"/>
      <w:numFmt w:val="upperLetter"/>
      <w:start w:val="4"/>
    </w:lvl>
  </w:abstractNum>
  <w:abstractNum w:abstractNumId="456">
    <w:nsid w:val="102362F8"/>
    <w:multiLevelType w:val="hybridMultilevel"/>
    <w:lvl w:ilvl="0">
      <w:lvlJc w:val="left"/>
      <w:lvlText w:val="%1."/>
      <w:numFmt w:val="decimal"/>
      <w:start w:val="1"/>
    </w:lvl>
  </w:abstractNum>
  <w:abstractNum w:abstractNumId="457">
    <w:nsid w:val="5FEDC0E3"/>
    <w:multiLevelType w:val="hybridMultilevel"/>
    <w:lvl w:ilvl="0">
      <w:lvlJc w:val="left"/>
      <w:lvlText w:val="%1."/>
      <w:numFmt w:val="decimal"/>
      <w:start w:val="3"/>
    </w:lvl>
  </w:abstractNum>
  <w:abstractNum w:abstractNumId="458">
    <w:nsid w:val="3D75BC47"/>
    <w:multiLevelType w:val="hybridMultilevel"/>
    <w:lvl w:ilvl="0">
      <w:lvlJc w:val="left"/>
      <w:lvlText w:val="(%1)"/>
      <w:numFmt w:val="upperLetter"/>
      <w:start w:val="6"/>
    </w:lvl>
  </w:abstractNum>
  <w:abstractNum w:abstractNumId="459">
    <w:nsid w:val="3E30D969"/>
    <w:multiLevelType w:val="hybridMultilevel"/>
    <w:lvl w:ilvl="0">
      <w:lvlJc w:val="left"/>
      <w:lvlText w:val="%1."/>
      <w:numFmt w:val="decimal"/>
      <w:start w:val="1"/>
    </w:lvl>
  </w:abstractNum>
  <w:abstractNum w:abstractNumId="460">
    <w:nsid w:val="18A35FE3"/>
    <w:multiLevelType w:val="hybridMultilevel"/>
    <w:lvl w:ilvl="0">
      <w:lvlJc w:val="left"/>
      <w:lvlText w:val="(%1)"/>
      <w:numFmt w:val="upperLetter"/>
      <w:start w:val="7"/>
    </w:lvl>
  </w:abstractNum>
  <w:abstractNum w:abstractNumId="461">
    <w:nsid w:val="6DEF5211"/>
    <w:multiLevelType w:val="hybridMultilevel"/>
    <w:lvl w:ilvl="0">
      <w:lvlJc w:val="left"/>
      <w:lvlText w:val="%1."/>
      <w:numFmt w:val="decimal"/>
      <w:start w:val="1"/>
    </w:lvl>
  </w:abstractNum>
  <w:abstractNum w:abstractNumId="462">
    <w:nsid w:val="1112DBB6"/>
    <w:multiLevelType w:val="hybridMultilevel"/>
    <w:lvl w:ilvl="0">
      <w:lvlJc w:val="left"/>
      <w:lvlText w:val="%1."/>
      <w:numFmt w:val="decimal"/>
      <w:start w:val="2"/>
    </w:lvl>
  </w:abstractNum>
  <w:abstractNum w:abstractNumId="463">
    <w:nsid w:val="2586A498"/>
    <w:multiLevelType w:val="hybridMultilevel"/>
    <w:lvl w:ilvl="0">
      <w:lvlJc w:val="left"/>
      <w:lvlText w:val="(%1)"/>
      <w:numFmt w:val="upperLetter"/>
      <w:start w:val="8"/>
    </w:lvl>
  </w:abstractNum>
  <w:abstractNum w:abstractNumId="464">
    <w:nsid w:val="17A03BB9"/>
    <w:multiLevelType w:val="hybridMultilevel"/>
    <w:lvl w:ilvl="0">
      <w:lvlJc w:val="left"/>
      <w:lvlText w:val="%1."/>
      <w:numFmt w:val="decimal"/>
      <w:start w:val="1"/>
    </w:lvl>
  </w:abstractNum>
  <w:abstractNum w:abstractNumId="465">
    <w:nsid w:val="5CA941"/>
    <w:multiLevelType w:val="hybridMultilevel"/>
    <w:lvl w:ilvl="0">
      <w:lvlJc w:val="left"/>
      <w:lvlText w:val="(%1)"/>
      <w:numFmt w:val="upperLetter"/>
      <w:start w:val="9"/>
    </w:lvl>
  </w:abstractNum>
  <w:abstractNum w:abstractNumId="466">
    <w:nsid w:val="734C7D9F"/>
    <w:multiLevelType w:val="hybridMultilevel"/>
    <w:lvl w:ilvl="0">
      <w:lvlJc w:val="left"/>
      <w:lvlText w:val="%1."/>
      <w:numFmt w:val="decimal"/>
      <w:start w:val="1"/>
    </w:lvl>
  </w:abstractNum>
  <w:abstractNum w:abstractNumId="467">
    <w:nsid w:val="24F5D018"/>
    <w:multiLevelType w:val="hybridMultilevel"/>
    <w:lvl w:ilvl="0">
      <w:lvlJc w:val="left"/>
      <w:lvlText w:val="%1."/>
      <w:numFmt w:val="decimal"/>
      <w:start w:val="2"/>
    </w:lvl>
  </w:abstractNum>
  <w:abstractNum w:abstractNumId="468">
    <w:nsid w:val="6780C122"/>
    <w:multiLevelType w:val="hybridMultilevel"/>
    <w:lvl w:ilvl="0">
      <w:lvlJc w:val="left"/>
      <w:lvlText w:val="(%1)"/>
      <w:numFmt w:val="upperLetter"/>
      <w:start w:val="10"/>
    </w:lvl>
  </w:abstractNum>
  <w:abstractNum w:abstractNumId="469">
    <w:nsid w:val="534347A8"/>
    <w:multiLevelType w:val="hybridMultilevel"/>
    <w:lvl w:ilvl="0">
      <w:lvlJc w:val="left"/>
      <w:lvlText w:val="%1."/>
      <w:numFmt w:val="decimal"/>
      <w:start w:val="1"/>
    </w:lvl>
  </w:abstractNum>
  <w:abstractNum w:abstractNumId="470">
    <w:nsid w:val="5800E34B"/>
    <w:multiLevelType w:val="hybridMultilevel"/>
    <w:lvl w:ilvl="0">
      <w:lvlJc w:val="left"/>
      <w:lvlText w:val="(%1)"/>
      <w:numFmt w:val="upperLetter"/>
      <w:start w:val="11"/>
    </w:lvl>
  </w:abstractNum>
  <w:abstractNum w:abstractNumId="471">
    <w:nsid w:val="1673EFC8"/>
    <w:multiLevelType w:val="hybridMultilevel"/>
    <w:lvl w:ilvl="0">
      <w:lvlJc w:val="left"/>
      <w:lvlText w:val="%1."/>
      <w:numFmt w:val="decimal"/>
      <w:start w:val="1"/>
    </w:lvl>
  </w:abstractNum>
  <w:abstractNum w:abstractNumId="472">
    <w:nsid w:val="5B9B1FD"/>
    <w:multiLevelType w:val="hybridMultilevel"/>
    <w:lvl w:ilvl="0">
      <w:lvlJc w:val="left"/>
      <w:lvlText w:val="(%1)"/>
      <w:numFmt w:val="upperLetter"/>
      <w:start w:val="12"/>
    </w:lvl>
  </w:abstractNum>
  <w:abstractNum w:abstractNumId="473">
    <w:nsid w:val="7AD7FCA2"/>
    <w:multiLevelType w:val="hybridMultilevel"/>
    <w:lvl w:ilvl="0">
      <w:lvlJc w:val="left"/>
      <w:lvlText w:val="%1."/>
      <w:numFmt w:val="decimal"/>
      <w:start w:val="1"/>
    </w:lvl>
  </w:abstractNum>
  <w:abstractNum w:abstractNumId="474">
    <w:nsid w:val="63351604"/>
    <w:multiLevelType w:val="hybridMultilevel"/>
    <w:lvl w:ilvl="0">
      <w:lvlJc w:val="left"/>
      <w:lvlText w:val="%1."/>
      <w:numFmt w:val="decimal"/>
      <w:start w:val="2"/>
    </w:lvl>
  </w:abstractNum>
  <w:abstractNum w:abstractNumId="475">
    <w:nsid w:val="E759D1A"/>
    <w:multiLevelType w:val="hybridMultilevel"/>
    <w:lvl w:ilvl="0">
      <w:lvlJc w:val="left"/>
      <w:lvlText w:val="(%1)"/>
      <w:numFmt w:val="upperLetter"/>
      <w:start w:val="13"/>
    </w:lvl>
  </w:abstractNum>
  <w:abstractNum w:abstractNumId="476">
    <w:nsid w:val="6E3DEE90"/>
    <w:multiLevelType w:val="hybridMultilevel"/>
    <w:lvl w:ilvl="0">
      <w:lvlJc w:val="left"/>
      <w:lvlText w:val="1"/>
      <w:numFmt w:val="bullet"/>
      <w:start w:val="1"/>
    </w:lvl>
  </w:abstractNum>
  <w:abstractNum w:abstractNumId="477">
    <w:nsid w:val="1A8762F4"/>
    <w:multiLevelType w:val="hybridMultilevel"/>
    <w:lvl w:ilvl="0">
      <w:lvlJc w:val="left"/>
      <w:lvlText w:val="1"/>
      <w:numFmt w:val="bullet"/>
      <w:start w:val="1"/>
    </w:lvl>
  </w:abstractNum>
  <w:abstractNum w:abstractNumId="478">
    <w:nsid w:val="7F41D049"/>
    <w:multiLevelType w:val="hybridMultilevel"/>
    <w:lvl w:ilvl="0">
      <w:lvlJc w:val="left"/>
      <w:lvlText w:val="(%1)"/>
      <w:numFmt w:val="decimal"/>
      <w:start w:val="1"/>
    </w:lvl>
  </w:abstractNum>
  <w:abstractNum w:abstractNumId="479">
    <w:nsid w:val="449F66FE"/>
    <w:multiLevelType w:val="hybridMultilevel"/>
    <w:lvl w:ilvl="0">
      <w:lvlJc w:val="left"/>
      <w:lvlText w:val="(%1)"/>
      <w:numFmt w:val="decimal"/>
      <w:start w:val="2"/>
    </w:lvl>
  </w:abstractNum>
  <w:abstractNum w:abstractNumId="480">
    <w:nsid w:val="557E0515"/>
    <w:multiLevelType w:val="hybridMultilevel"/>
    <w:lvl w:ilvl="0">
      <w:lvlJc w:val="left"/>
      <w:lvlText w:val="(%1)"/>
      <w:numFmt w:val="decimal"/>
      <w:start w:val="4"/>
    </w:lvl>
    <w:lvl w:ilvl="1">
      <w:lvlJc w:val="left"/>
      <w:lvlText w:val="(%2)"/>
      <w:numFmt w:val="lowerLetter"/>
      <w:start w:val="1"/>
    </w:lvl>
  </w:abstractNum>
  <w:abstractNum w:abstractNumId="481">
    <w:nsid w:val="3BA0794B"/>
    <w:multiLevelType w:val="hybridMultilevel"/>
    <w:lvl w:ilvl="0">
      <w:lvlJc w:val="left"/>
      <w:lvlText w:val="(%1)"/>
      <w:numFmt w:val="lowerLetter"/>
      <w:start w:val="4"/>
    </w:lvl>
    <w:lvl w:ilvl="1">
      <w:lvlJc w:val="left"/>
      <w:lvlText w:val="(%2)"/>
      <w:numFmt w:val="decimal"/>
      <w:start w:val="1"/>
    </w:lvl>
  </w:abstractNum>
  <w:abstractNum w:abstractNumId="482">
    <w:nsid w:val="6A0DCE4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483">
    <w:nsid w:val="7237AA96"/>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484">
    <w:nsid w:val="5B1FBC2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85">
    <w:nsid w:val="33DFCCE8"/>
    <w:multiLevelType w:val="hybridMultilevel"/>
    <w:lvl w:ilvl="0">
      <w:lvlJc w:val="left"/>
      <w:lvlText w:val="(%1)"/>
      <w:numFmt w:val="decimal"/>
      <w:start w:val="7"/>
    </w:lvl>
    <w:lvl w:ilvl="1">
      <w:lvlJc w:val="left"/>
      <w:lvlText w:val="(%2)"/>
      <w:numFmt w:val="lowerLetter"/>
      <w:start w:val="1"/>
    </w:lvl>
  </w:abstractNum>
  <w:abstractNum w:abstractNumId="486">
    <w:nsid w:val="18C45E15"/>
    <w:multiLevelType w:val="hybridMultilevel"/>
    <w:lvl w:ilvl="0">
      <w:lvlJc w:val="left"/>
      <w:lvlText w:val="(%1)"/>
      <w:numFmt w:val="decimal"/>
      <w:start w:val="14"/>
    </w:lvl>
  </w:abstractNum>
  <w:abstractNum w:abstractNumId="487">
    <w:nsid w:val="6B431F25"/>
    <w:multiLevelType w:val="hybridMultilevel"/>
    <w:lvl w:ilvl="0">
      <w:lvlJc w:val="left"/>
      <w:lvlText w:val="(%1)"/>
      <w:numFmt w:val="decimal"/>
      <w:start w:val="20"/>
    </w:lvl>
  </w:abstractNum>
  <w:abstractNum w:abstractNumId="488">
    <w:nsid w:val="13CD8DCB"/>
    <w:multiLevelType w:val="hybridMultilevel"/>
    <w:lvl w:ilvl="0">
      <w:lvlJc w:val="left"/>
      <w:lvlText w:val="*"/>
      <w:numFmt w:val="bullet"/>
      <w:start w:val="1"/>
    </w:lvl>
  </w:abstractNum>
  <w:abstractNum w:abstractNumId="489">
    <w:nsid w:val="563A1A5C"/>
    <w:multiLevelType w:val="hybridMultilevel"/>
    <w:lvl w:ilvl="0">
      <w:lvlJc w:val="left"/>
      <w:lvlText w:val="☐"/>
      <w:numFmt w:val="bullet"/>
      <w:start w:val="1"/>
    </w:lvl>
  </w:abstractNum>
  <w:abstractNum w:abstractNumId="490">
    <w:nsid w:val="2973F88F"/>
    <w:multiLevelType w:val="hybridMultilevel"/>
    <w:lvl w:ilvl="0">
      <w:lvlJc w:val="left"/>
      <w:lvlText w:val="*"/>
      <w:numFmt w:val="bullet"/>
      <w:start w:val="1"/>
    </w:lvl>
  </w:abstractNum>
  <w:abstractNum w:abstractNumId="491">
    <w:nsid w:val="2C70EDAE"/>
    <w:multiLevelType w:val="hybridMultilevel"/>
    <w:lvl w:ilvl="0">
      <w:lvlJc w:val="left"/>
      <w:lvlText w:val="*"/>
      <w:numFmt w:val="bullet"/>
      <w:start w:val="1"/>
    </w:lvl>
  </w:abstractNum>
  <w:abstractNum w:abstractNumId="492">
    <w:nsid w:val="44296C6D"/>
    <w:multiLevelType w:val="hybridMultilevel"/>
    <w:lvl w:ilvl="0">
      <w:lvlJc w:val="left"/>
      <w:lvlText w:val=","/>
      <w:numFmt w:val="bullet"/>
      <w:start w:val="1"/>
    </w:lvl>
  </w:abstractNum>
  <w:abstractNum w:abstractNumId="493">
    <w:nsid w:val="3A86D445"/>
    <w:multiLevelType w:val="hybridMultilevel"/>
    <w:lvl w:ilvl="0">
      <w:lvlJc w:val="left"/>
      <w:lvlText w:val="%1."/>
      <w:numFmt w:val="decimal"/>
      <w:start w:val="1"/>
    </w:lvl>
  </w:abstractNum>
  <w:abstractNum w:abstractNumId="494">
    <w:nsid w:val="51F79246"/>
    <w:multiLevelType w:val="hybridMultilevel"/>
    <w:lvl w:ilvl="0">
      <w:lvlJc w:val="left"/>
      <w:lvlText w:val="%1."/>
      <w:numFmt w:val="decimal"/>
      <w:start w:val="2"/>
    </w:lvl>
    <w:lvl w:ilvl="1">
      <w:lvlJc w:val="left"/>
      <w:lvlText w:val="(%2)"/>
      <w:numFmt w:val="lowerLetter"/>
      <w:start w:val="1"/>
    </w:lvl>
  </w:abstractNum>
  <w:abstractNum w:abstractNumId="495">
    <w:nsid w:val="5BC9A827"/>
    <w:multiLevelType w:val="hybridMultilevel"/>
    <w:lvl w:ilvl="0">
      <w:lvlJc w:val="left"/>
      <w:lvlText w:val="%1"/>
      <w:numFmt w:val="decimal"/>
      <w:start w:val="1"/>
    </w:lvl>
    <w:lvl w:ilvl="1">
      <w:lvlJc w:val="left"/>
      <w:lvlText w:val="(%2)"/>
      <w:numFmt w:val="lowerLetter"/>
      <w:start w:val="4"/>
    </w:lvl>
  </w:abstractNum>
  <w:abstractNum w:abstractNumId="496">
    <w:nsid w:val="3AE37D86"/>
    <w:multiLevelType w:val="hybridMultilevel"/>
    <w:lvl w:ilvl="0">
      <w:lvlJc w:val="left"/>
      <w:lvlText w:val="%1."/>
      <w:numFmt w:val="decimal"/>
      <w:start w:val="4"/>
    </w:lvl>
    <w:lvl w:ilvl="1">
      <w:lvlJc w:val="left"/>
      <w:lvlText w:val="(%2)"/>
      <w:numFmt w:val="lowerLetter"/>
      <w:start w:val="1"/>
    </w:lvl>
  </w:abstractNum>
  <w:abstractNum w:abstractNumId="497">
    <w:nsid w:val="45440FE5"/>
    <w:multiLevelType w:val="hybridMultilevel"/>
    <w:lvl w:ilvl="0">
      <w:lvlJc w:val="left"/>
      <w:lvlText w:val="(%1)"/>
      <w:numFmt w:val="lowerLetter"/>
      <w:start w:val="3"/>
    </w:lvl>
  </w:abstractNum>
  <w:abstractNum w:abstractNumId="498">
    <w:nsid w:val="BF783F"/>
    <w:multiLevelType w:val="hybridMultilevel"/>
    <w:lvl w:ilvl="0">
      <w:lvlJc w:val="left"/>
      <w:lvlText w:val="%1."/>
      <w:numFmt w:val="decimal"/>
    </w:lvl>
    <w:lvl w:ilvl="1">
      <w:lvlJc w:val="left"/>
      <w:lvlText w:val=","/>
      <w:numFmt w:val="bullet"/>
      <w:start w:val="1"/>
    </w:lvl>
  </w:abstractNum>
  <w:abstractNum w:abstractNumId="499">
    <w:nsid w:val="22643EA9"/>
    <w:multiLevelType w:val="hybridMultilevel"/>
    <w:lvl w:ilvl="0">
      <w:lvlJc w:val="left"/>
      <w:lvlText w:val="(%1)"/>
      <w:numFmt w:val="lowerLetter"/>
      <w:start w:val="1"/>
    </w:lvl>
  </w:abstractNum>
  <w:abstractNum w:abstractNumId="500">
    <w:nsid w:val="1887578D"/>
    <w:multiLevelType w:val="hybridMultilevel"/>
    <w:lvl w:ilvl="0">
      <w:lvlJc w:val="left"/>
      <w:lvlText w:val="(%1)"/>
      <w:numFmt w:val="lowerLetter"/>
      <w:start w:val="2"/>
    </w:lvl>
    <w:lvl w:ilvl="1">
      <w:lvlJc w:val="left"/>
      <w:lvlText w:val="(%2)"/>
      <w:numFmt w:val="lowerLetter"/>
      <w:start w:val="9"/>
    </w:lvl>
  </w:abstractNum>
  <w:abstractNum w:abstractNumId="501">
    <w:nsid w:val="58C05B8A"/>
    <w:multiLevelType w:val="hybridMultilevel"/>
    <w:lvl w:ilvl="0">
      <w:lvlJc w:val="left"/>
      <w:lvlText w:val="%1."/>
      <w:numFmt w:val="decimal"/>
      <w:start w:val="2"/>
    </w:lvl>
    <w:lvl w:ilvl="1">
      <w:lvlJc w:val="left"/>
      <w:lvlText w:val="(%2)"/>
      <w:numFmt w:val="lowerLetter"/>
      <w:start w:val="1"/>
    </w:lvl>
  </w:abstractNum>
  <w:abstractNum w:abstractNumId="502">
    <w:nsid w:val="38D82E71"/>
    <w:multiLevelType w:val="hybridMultilevel"/>
    <w:lvl w:ilvl="0">
      <w:lvlJc w:val="left"/>
      <w:lvlText w:val="(%1)"/>
      <w:numFmt w:val="lowerLetter"/>
      <w:start w:val="1"/>
    </w:lvl>
  </w:abstractNum>
  <w:abstractNum w:abstractNumId="503">
    <w:nsid w:val="1E41098A"/>
    <w:multiLevelType w:val="hybridMultilevel"/>
    <w:lvl w:ilvl="0">
      <w:lvlJc w:val="left"/>
      <w:lvlText w:val="%1."/>
      <w:numFmt w:val="decimal"/>
      <w:start w:val="3"/>
    </w:lvl>
  </w:abstractNum>
  <w:abstractNum w:abstractNumId="504">
    <w:nsid w:val="5398582C"/>
    <w:multiLevelType w:val="hybridMultilevel"/>
    <w:lvl w:ilvl="0">
      <w:lvlJc w:val="left"/>
      <w:lvlText w:val="%1."/>
      <w:numFmt w:val="decimal"/>
      <w:start w:val="4"/>
    </w:lvl>
  </w:abstractNum>
  <w:abstractNum w:abstractNumId="505">
    <w:nsid w:val="1C0D4475"/>
    <w:multiLevelType w:val="hybridMultilevel"/>
    <w:lvl w:ilvl="0">
      <w:lvlJc w:val="left"/>
      <w:lvlText w:val="%1."/>
      <w:numFmt w:val="decimal"/>
      <w:start w:val="8"/>
    </w:lvl>
  </w:abstractNum>
  <w:abstractNum w:abstractNumId="506">
    <w:nsid w:val="2CB6A6A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2021-07-01T07:57:30Z</dcterms:created>
  <dcterms:modified xsi:type="dcterms:W3CDTF">2021-07-01T07:57:30Z</dcterms:modified>
</cp:coreProperties>
</file>