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2014</w:t>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October 22, 2014 - ICON Reports Third Quarter 2014 and Increases Earnings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October 22, 2014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2500" w:firstLine="2509"/>
        <w:spacing w:after="0" w:line="435" w:lineRule="auto"/>
        <w:rPr>
          <w:sz w:val="20"/>
          <w:szCs w:val="20"/>
          <w:color w:val="auto"/>
        </w:rPr>
      </w:pPr>
      <w:r>
        <w:rPr>
          <w:rFonts w:ascii="Arial" w:cs="Arial" w:eastAsia="Arial" w:hAnsi="Arial"/>
          <w:sz w:val="22"/>
          <w:szCs w:val="22"/>
          <w:b w:val="1"/>
          <w:bCs w:val="1"/>
          <w:color w:val="auto"/>
        </w:rPr>
        <w:t>ICON Reports Third Quarter 2014 and Increases Earnings Guidance Highlights – Third Quarter Fiscal 2014</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revenue increased 14.1% year on year to $388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was $59.4 million or 15.3%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were 79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280"/>
        <w:spacing w:after="0" w:line="256" w:lineRule="auto"/>
        <w:rPr>
          <w:sz w:val="20"/>
          <w:szCs w:val="20"/>
          <w:color w:val="auto"/>
        </w:rPr>
      </w:pPr>
      <w:r>
        <w:rPr>
          <w:rFonts w:ascii="Arial" w:cs="Arial" w:eastAsia="Arial" w:hAnsi="Arial"/>
          <w:sz w:val="22"/>
          <w:szCs w:val="22"/>
          <w:b w:val="1"/>
          <w:bCs w:val="1"/>
          <w:color w:val="auto"/>
        </w:rPr>
        <w:t>Gross business wins were $504 million, representing a gross book to bill of 1.3. Net business wins were $468 million, representing a net book to bill of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line="256" w:lineRule="auto"/>
        <w:rPr>
          <w:sz w:val="20"/>
          <w:szCs w:val="20"/>
          <w:color w:val="auto"/>
        </w:rPr>
      </w:pPr>
      <w:r>
        <w:rPr>
          <w:rFonts w:ascii="Arial" w:cs="Arial" w:eastAsia="Arial" w:hAnsi="Arial"/>
          <w:sz w:val="22"/>
          <w:szCs w:val="22"/>
          <w:b w:val="1"/>
          <w:bCs w:val="1"/>
          <w:color w:val="auto"/>
        </w:rPr>
        <w:t>Earnings guidance increased from a range of $2.62 - $2.68 to a range of $2.74 - $2.79 and revenue guidance updated to a range of $1,495 million - $1,515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right="40"/>
        <w:spacing w:after="0" w:line="243" w:lineRule="auto"/>
        <w:rPr>
          <w:sz w:val="20"/>
          <w:szCs w:val="20"/>
          <w:color w:val="auto"/>
        </w:rPr>
      </w:pPr>
      <w:r>
        <w:rPr>
          <w:rFonts w:ascii="Arial" w:cs="Arial" w:eastAsia="Arial" w:hAnsi="Arial"/>
          <w:sz w:val="22"/>
          <w:szCs w:val="22"/>
          <w:color w:val="auto"/>
        </w:rPr>
        <w:t>DUBLIN--(BUSINESS WIRE)--October 22, 2014--</w:t>
      </w:r>
      <w:r>
        <w:rPr>
          <w:rFonts w:ascii="Arial" w:cs="Arial" w:eastAsia="Arial" w:hAnsi="Arial"/>
          <w:sz w:val="22"/>
          <w:szCs w:val="22"/>
          <w:b w:val="1"/>
          <w:bCs w:val="1"/>
          <w:color w:val="auto"/>
        </w:rPr>
        <w:t>ICON plc</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(NASDAQ: ICLR),</w:t>
      </w:r>
      <w:r>
        <w:rPr>
          <w:rFonts w:ascii="Arial" w:cs="Arial" w:eastAsia="Arial" w:hAnsi="Arial"/>
          <w:sz w:val="22"/>
          <w:szCs w:val="22"/>
          <w:color w:val="auto"/>
        </w:rPr>
        <w:t xml:space="preserve"> a global provider of outsourced development services to the pharmaceutical, biotechnology and medical device industries, today reported its financial results for the third quarter ended September 30, 2014.</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Net revenue grew 14.1% year on year to $388 million from $339.8 million in Q3 2013.</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Income from operations, was $59.4 million or 15.3% of revenue, compared to $33.2 million or 9.8% for the same quarter last year.</w:t>
      </w:r>
    </w:p>
    <w:p>
      <w:pPr>
        <w:spacing w:after="0" w:line="241"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Net income, was $50.3 million or 79 cents per share on a diluted basis, compared with $27.8 million or 45 cents per share for the same quarter last year.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Year to date net revenues for 2014 increased 12.4% to $1,113 million from $991 million in 2013.</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Year to date income from operations was $150.7 million or 13.5% of revenue, compared with income from operations, excluding restructuring charges, of $91.5 million or 9.2% of revenue in the previous year.</w:t>
      </w:r>
    </w:p>
    <w:p>
      <w:pPr>
        <w:spacing w:after="0" w:line="173"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Year to date net income for 2014 was $127.3 million or $2.01 per share on a diluted basis, compared with net income, excluding restructuring charge, of $76.5 million or $1.23 per share on a diluted basis last year.</w:t>
      </w:r>
    </w:p>
    <w:p>
      <w:pPr>
        <w:spacing w:after="0" w:line="173" w:lineRule="exact"/>
        <w:rPr>
          <w:sz w:val="20"/>
          <w:szCs w:val="20"/>
          <w:color w:val="auto"/>
        </w:rPr>
      </w:pPr>
    </w:p>
    <w:p>
      <w:pPr>
        <w:jc w:val="both"/>
        <w:ind w:right="120"/>
        <w:spacing w:after="0" w:line="328" w:lineRule="auto"/>
        <w:rPr>
          <w:sz w:val="20"/>
          <w:szCs w:val="20"/>
          <w:color w:val="auto"/>
        </w:rPr>
      </w:pPr>
      <w:r>
        <w:rPr>
          <w:rFonts w:ascii="Arial" w:cs="Arial" w:eastAsia="Arial" w:hAnsi="Arial"/>
          <w:sz w:val="19"/>
          <w:szCs w:val="19"/>
          <w:color w:val="auto"/>
        </w:rPr>
        <w:t>Guidance for the full year 2014 has been updated, with EPS guidance increased from a range of $2.62 - $2.68 to a range of $2.74 - $2.79 and revenue guidance, updated for fx, from a range of $1,490 million - $1,530 to a range of $1,495 million - $1,515 million.</w:t>
      </w:r>
    </w:p>
    <w:p>
      <w:pPr>
        <w:spacing w:after="0" w:line="105"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38 days at September 30, 2014, compared with 40 days at the end of June 2014.</w:t>
      </w:r>
    </w:p>
    <w:p>
      <w:pPr>
        <w:spacing w:after="0" w:line="173"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For the quarter ended September 30, 2014, cash generated from operating activities was $111 million and capital expenditure was $9.6 million. In addition we completed $33m of share repurchases during the quarter. Consequently the company’s net cash amounted to $249 million at September 30, 2014, compared to net cash of $175 million at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60"/>
        <w:spacing w:after="0" w:line="235" w:lineRule="auto"/>
        <w:rPr>
          <w:sz w:val="20"/>
          <w:szCs w:val="20"/>
          <w:color w:val="auto"/>
        </w:rPr>
      </w:pPr>
      <w:r>
        <w:rPr>
          <w:rFonts w:ascii="Arial" w:cs="Arial" w:eastAsia="Arial" w:hAnsi="Arial"/>
          <w:sz w:val="22"/>
          <w:szCs w:val="22"/>
          <w:color w:val="auto"/>
        </w:rPr>
        <w:t xml:space="preserve">CEO Ciaran Murray commented, </w:t>
      </w:r>
      <w:r>
        <w:rPr>
          <w:rFonts w:ascii="Arial" w:cs="Arial" w:eastAsia="Arial" w:hAnsi="Arial"/>
          <w:sz w:val="22"/>
          <w:szCs w:val="22"/>
          <w:i w:val="1"/>
          <w:iCs w:val="1"/>
          <w:color w:val="auto"/>
        </w:rPr>
        <w:t>“Quarter three represented further progress in the execution of our strategic plan. Net new</w:t>
      </w:r>
      <w:r>
        <w:rPr>
          <w:rFonts w:ascii="Arial" w:cs="Arial" w:eastAsia="Arial" w:hAnsi="Arial"/>
          <w:sz w:val="22"/>
          <w:szCs w:val="22"/>
          <w:color w:val="auto"/>
        </w:rPr>
        <w:t xml:space="preserve"> </w:t>
      </w:r>
      <w:r>
        <w:rPr>
          <w:rFonts w:ascii="Arial" w:cs="Arial" w:eastAsia="Arial" w:hAnsi="Arial"/>
          <w:sz w:val="22"/>
          <w:szCs w:val="22"/>
          <w:i w:val="1"/>
          <w:iCs w:val="1"/>
          <w:color w:val="auto"/>
        </w:rPr>
        <w:t>business wins in the quarter of $468m delivered a book to bill of 1.21. We further expanded our gross and operating margins which reached 40.7% and 15.3% respectively and as a result earnings per share increased 76% year over year to 79c. Consequently we are increasing our full year EPS guidance from a range of $2.62 - $2.68 to a range of $2.74 - $2.79. In addition, given the recent strength of the dollar against the euro we are updating our revenue guidance from a range of $1.490 billion-$1.530 billion to a range of $1.495 billion - $1.515 billion.”</w:t>
      </w:r>
    </w:p>
    <w:p>
      <w:pPr>
        <w:spacing w:after="0" w:line="189"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 xml:space="preserve">ICON will hold its third quarter conference call today, October 22, 2014 at 9:00 EST [14:00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83 locations in 38 countries and has approximately 10,700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3520" w:type="dxa"/>
            <w:vAlign w:val="bottom"/>
            <w:gridSpan w:val="2"/>
          </w:tcPr>
          <w:p>
            <w:pPr>
              <w:jc w:val="center"/>
              <w:ind w:left="1008"/>
              <w:spacing w:after="0"/>
              <w:rPr>
                <w:sz w:val="20"/>
                <w:szCs w:val="20"/>
                <w:color w:val="auto"/>
              </w:rPr>
            </w:pPr>
            <w:r>
              <w:rPr>
                <w:rFonts w:ascii="Arial" w:cs="Arial" w:eastAsia="Arial" w:hAnsi="Arial"/>
                <w:sz w:val="14"/>
                <w:szCs w:val="14"/>
                <w:b w:val="1"/>
                <w:bCs w:val="1"/>
                <w:color w:val="auto"/>
              </w:rPr>
              <w:t>ICON plc</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400" w:type="dxa"/>
            <w:vAlign w:val="bottom"/>
          </w:tcPr>
          <w:p>
            <w:pPr>
              <w:spacing w:after="0"/>
              <w:rPr>
                <w:sz w:val="22"/>
                <w:szCs w:val="22"/>
                <w:color w:val="auto"/>
              </w:rPr>
            </w:pPr>
          </w:p>
        </w:tc>
        <w:tc>
          <w:tcPr>
            <w:tcW w:w="374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1"/>
              </w:rPr>
              <w:t>Consolidated Income Statements (Unaudited)</w:t>
            </w: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3520" w:type="dxa"/>
            <w:vAlign w:val="bottom"/>
            <w:gridSpan w:val="2"/>
          </w:tcPr>
          <w:p>
            <w:pPr>
              <w:jc w:val="center"/>
              <w:ind w:left="1028"/>
              <w:spacing w:after="0"/>
              <w:rPr>
                <w:sz w:val="20"/>
                <w:szCs w:val="20"/>
                <w:color w:val="auto"/>
              </w:rPr>
            </w:pPr>
            <w:r>
              <w:rPr>
                <w:rFonts w:ascii="Arial" w:cs="Arial" w:eastAsia="Arial" w:hAnsi="Arial"/>
                <w:sz w:val="14"/>
                <w:szCs w:val="14"/>
                <w:b w:val="1"/>
                <w:bCs w:val="1"/>
                <w:color w:val="auto"/>
                <w:w w:val="92"/>
              </w:rPr>
              <w:t>(Before restructuring and other items)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rPr>
                <w:sz w:val="24"/>
                <w:szCs w:val="24"/>
                <w:color w:val="auto"/>
              </w:rPr>
            </w:pPr>
          </w:p>
        </w:tc>
        <w:tc>
          <w:tcPr>
            <w:tcW w:w="486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w w:val="92"/>
              </w:rPr>
              <w:t>Three and Nine Months ended September 30, 2014 and September 30, 2013</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rPr>
                <w:sz w:val="24"/>
                <w:szCs w:val="24"/>
                <w:color w:val="auto"/>
              </w:rPr>
            </w:pPr>
          </w:p>
        </w:tc>
        <w:tc>
          <w:tcPr>
            <w:tcW w:w="486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40" w:type="dxa"/>
            <w:vAlign w:val="bottom"/>
            <w:gridSpan w:val="3"/>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4"/>
                <w:szCs w:val="24"/>
                <w:color w:val="auto"/>
              </w:rPr>
            </w:pPr>
          </w:p>
        </w:tc>
        <w:tc>
          <w:tcPr>
            <w:tcW w:w="2800" w:type="dxa"/>
            <w:vAlign w:val="bottom"/>
            <w:gridSpan w:val="3"/>
          </w:tcPr>
          <w:p>
            <w:pPr>
              <w:ind w:lef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340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2220" w:type="dxa"/>
            <w:vAlign w:val="bottom"/>
          </w:tcPr>
          <w:p>
            <w:pPr>
              <w:spacing w:after="0"/>
              <w:rPr>
                <w:sz w:val="16"/>
                <w:szCs w:val="16"/>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3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3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69"/>
        </w:trPr>
        <w:tc>
          <w:tcPr>
            <w:tcW w:w="340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4"/>
                <w:szCs w:val="14"/>
                <w:color w:val="auto"/>
              </w:rPr>
              <w:t>Gross revenue</w:t>
            </w:r>
          </w:p>
        </w:tc>
        <w:tc>
          <w:tcPr>
            <w:tcW w:w="22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center"/>
              <w:ind w:right="88"/>
              <w:spacing w:after="0"/>
              <w:rPr>
                <w:sz w:val="20"/>
                <w:szCs w:val="20"/>
                <w:color w:val="auto"/>
              </w:rPr>
            </w:pPr>
            <w:r>
              <w:rPr>
                <w:rFonts w:ascii="Arial" w:cs="Arial" w:eastAsia="Arial" w:hAnsi="Arial"/>
                <w:sz w:val="14"/>
                <w:szCs w:val="14"/>
                <w:color w:val="auto"/>
                <w:w w:val="90"/>
              </w:rPr>
              <w:t>519,127</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445,598</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1,502,075</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1,334,283</w:t>
            </w:r>
          </w:p>
        </w:tc>
        <w:tc>
          <w:tcPr>
            <w:tcW w:w="0" w:type="dxa"/>
            <w:vAlign w:val="bottom"/>
          </w:tcPr>
          <w:p>
            <w:pPr>
              <w:spacing w:after="0"/>
              <w:rPr>
                <w:sz w:val="1"/>
                <w:szCs w:val="1"/>
                <w:color w:val="auto"/>
              </w:rPr>
            </w:pPr>
          </w:p>
        </w:tc>
      </w:tr>
      <w:tr>
        <w:trPr>
          <w:trHeight w:val="18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2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3"/>
              </w:rPr>
              <w:t>(131,538)</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(105,788)</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(388,832)</w:t>
            </w: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(343,465)</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2220" w:type="dxa"/>
            <w:vAlign w:val="bottom"/>
          </w:tcPr>
          <w:p>
            <w:pPr>
              <w:spacing w:after="0"/>
              <w:rPr>
                <w:sz w:val="24"/>
                <w:szCs w:val="2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color w:val="auto"/>
                <w:w w:val="90"/>
              </w:rPr>
              <w:t>387,589</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339,810</w:t>
            </w:r>
          </w:p>
        </w:tc>
        <w:tc>
          <w:tcPr>
            <w:tcW w:w="3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1,113,243</w:t>
            </w:r>
          </w:p>
        </w:tc>
        <w:tc>
          <w:tcPr>
            <w:tcW w:w="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990,818</w:t>
            </w:r>
          </w:p>
        </w:tc>
        <w:tc>
          <w:tcPr>
            <w:tcW w:w="0" w:type="dxa"/>
            <w:vAlign w:val="bottom"/>
          </w:tcPr>
          <w:p>
            <w:pPr>
              <w:spacing w:after="0"/>
              <w:rPr>
                <w:sz w:val="1"/>
                <w:szCs w:val="1"/>
                <w:color w:val="auto"/>
              </w:rPr>
            </w:pPr>
          </w:p>
        </w:tc>
      </w:tr>
      <w:tr>
        <w:trPr>
          <w:trHeight w:val="344"/>
        </w:trPr>
        <w:tc>
          <w:tcPr>
            <w:tcW w:w="34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2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4"/>
                <w:szCs w:val="14"/>
                <w:color w:val="auto"/>
              </w:rPr>
              <w:t>Direct costs</w:t>
            </w:r>
          </w:p>
        </w:tc>
        <w:tc>
          <w:tcPr>
            <w:tcW w:w="2220" w:type="dxa"/>
            <w:vAlign w:val="bottom"/>
          </w:tcPr>
          <w:p>
            <w:pPr>
              <w:spacing w:after="0"/>
              <w:rPr>
                <w:sz w:val="15"/>
                <w:szCs w:val="15"/>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color w:val="auto"/>
                <w:w w:val="90"/>
              </w:rPr>
              <w:t>229,963</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213,666</w:t>
            </w:r>
          </w:p>
        </w:tc>
        <w:tc>
          <w:tcPr>
            <w:tcW w:w="3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673,291</w:t>
            </w:r>
          </w:p>
        </w:tc>
        <w:tc>
          <w:tcPr>
            <w:tcW w:w="3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630,258</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2220" w:type="dxa"/>
            <w:vAlign w:val="bottom"/>
          </w:tcPr>
          <w:p>
            <w:pPr>
              <w:spacing w:after="0"/>
              <w:rPr>
                <w:sz w:val="15"/>
                <w:szCs w:val="15"/>
                <w:color w:val="auto"/>
              </w:rPr>
            </w:pPr>
          </w:p>
        </w:tc>
        <w:tc>
          <w:tcPr>
            <w:tcW w:w="1300" w:type="dxa"/>
            <w:vAlign w:val="bottom"/>
          </w:tcPr>
          <w:p>
            <w:pPr>
              <w:jc w:val="center"/>
              <w:ind w:right="68"/>
              <w:spacing w:after="0"/>
              <w:rPr>
                <w:sz w:val="20"/>
                <w:szCs w:val="20"/>
                <w:color w:val="auto"/>
              </w:rPr>
            </w:pPr>
            <w:r>
              <w:rPr>
                <w:rFonts w:ascii="Arial" w:cs="Arial" w:eastAsia="Arial" w:hAnsi="Arial"/>
                <w:sz w:val="14"/>
                <w:szCs w:val="14"/>
                <w:color w:val="auto"/>
                <w:w w:val="93"/>
              </w:rPr>
              <w:t>84,466</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81,408</w:t>
            </w:r>
          </w:p>
        </w:tc>
        <w:tc>
          <w:tcPr>
            <w:tcW w:w="3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251,036</w:t>
            </w:r>
          </w:p>
        </w:tc>
        <w:tc>
          <w:tcPr>
            <w:tcW w:w="3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234,520</w:t>
            </w:r>
          </w:p>
        </w:tc>
        <w:tc>
          <w:tcPr>
            <w:tcW w:w="0" w:type="dxa"/>
            <w:vAlign w:val="bottom"/>
          </w:tcPr>
          <w:p>
            <w:pPr>
              <w:spacing w:after="0"/>
              <w:rPr>
                <w:sz w:val="1"/>
                <w:szCs w:val="1"/>
                <w:color w:val="auto"/>
              </w:rPr>
            </w:pPr>
          </w:p>
        </w:tc>
      </w:tr>
      <w:tr>
        <w:trPr>
          <w:trHeight w:val="18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2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3"/>
              </w:rPr>
              <w:t>13,737</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11,575</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38,207</w:t>
            </w: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34,551</w:t>
            </w:r>
          </w:p>
        </w:tc>
        <w:tc>
          <w:tcPr>
            <w:tcW w:w="0" w:type="dxa"/>
            <w:vAlign w:val="bottom"/>
          </w:tcPr>
          <w:p>
            <w:pPr>
              <w:spacing w:after="0"/>
              <w:rPr>
                <w:sz w:val="1"/>
                <w:szCs w:val="1"/>
                <w:color w:val="auto"/>
              </w:rPr>
            </w:pPr>
          </w:p>
        </w:tc>
      </w:tr>
      <w:tr>
        <w:trPr>
          <w:trHeight w:val="345"/>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2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0"/>
              </w:rPr>
              <w:t>328,166</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306,649</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962,534</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899,329</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220" w:type="dxa"/>
            <w:vAlign w:val="bottom"/>
          </w:tcPr>
          <w:p>
            <w:pPr>
              <w:spacing w:after="0"/>
              <w:rPr>
                <w:sz w:val="24"/>
                <w:szCs w:val="24"/>
                <w:color w:val="auto"/>
              </w:rPr>
            </w:pPr>
          </w:p>
        </w:tc>
        <w:tc>
          <w:tcPr>
            <w:tcW w:w="1300" w:type="dxa"/>
            <w:vAlign w:val="bottom"/>
          </w:tcPr>
          <w:p>
            <w:pPr>
              <w:jc w:val="center"/>
              <w:ind w:right="68"/>
              <w:spacing w:after="0"/>
              <w:rPr>
                <w:sz w:val="20"/>
                <w:szCs w:val="20"/>
                <w:color w:val="auto"/>
              </w:rPr>
            </w:pPr>
            <w:r>
              <w:rPr>
                <w:rFonts w:ascii="Arial" w:cs="Arial" w:eastAsia="Arial" w:hAnsi="Arial"/>
                <w:sz w:val="14"/>
                <w:szCs w:val="14"/>
                <w:color w:val="auto"/>
                <w:w w:val="93"/>
              </w:rPr>
              <w:t>59,423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33,161</w:t>
            </w:r>
          </w:p>
        </w:tc>
        <w:tc>
          <w:tcPr>
            <w:tcW w:w="3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150,709</w:t>
            </w:r>
          </w:p>
        </w:tc>
        <w:tc>
          <w:tcPr>
            <w:tcW w:w="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91,489</w:t>
            </w: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2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109</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(56)</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162</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(341)</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2220" w:type="dxa"/>
            <w:vAlign w:val="bottom"/>
          </w:tcPr>
          <w:p>
            <w:pPr>
              <w:spacing w:after="0"/>
              <w:rPr>
                <w:sz w:val="24"/>
                <w:szCs w:val="24"/>
                <w:color w:val="auto"/>
              </w:rPr>
            </w:pPr>
          </w:p>
        </w:tc>
        <w:tc>
          <w:tcPr>
            <w:tcW w:w="1300" w:type="dxa"/>
            <w:vAlign w:val="bottom"/>
          </w:tcPr>
          <w:p>
            <w:pPr>
              <w:jc w:val="center"/>
              <w:ind w:right="68"/>
              <w:spacing w:after="0"/>
              <w:rPr>
                <w:sz w:val="20"/>
                <w:szCs w:val="20"/>
                <w:color w:val="auto"/>
              </w:rPr>
            </w:pPr>
            <w:r>
              <w:rPr>
                <w:rFonts w:ascii="Arial" w:cs="Arial" w:eastAsia="Arial" w:hAnsi="Arial"/>
                <w:sz w:val="14"/>
                <w:szCs w:val="14"/>
                <w:color w:val="auto"/>
                <w:w w:val="93"/>
              </w:rPr>
              <w:t>59,532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33,105</w:t>
            </w:r>
          </w:p>
        </w:tc>
        <w:tc>
          <w:tcPr>
            <w:tcW w:w="3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150,871</w:t>
            </w:r>
          </w:p>
        </w:tc>
        <w:tc>
          <w:tcPr>
            <w:tcW w:w="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91,148</w:t>
            </w: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2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(9,216)</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(5,297)</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(23,577)</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(14,633)</w:t>
            </w:r>
          </w:p>
        </w:tc>
        <w:tc>
          <w:tcPr>
            <w:tcW w:w="0" w:type="dxa"/>
            <w:vAlign w:val="bottom"/>
          </w:tcPr>
          <w:p>
            <w:pPr>
              <w:spacing w:after="0"/>
              <w:rPr>
                <w:sz w:val="1"/>
                <w:szCs w:val="1"/>
                <w:color w:val="auto"/>
              </w:rPr>
            </w:pPr>
          </w:p>
        </w:tc>
      </w:tr>
      <w:tr>
        <w:trPr>
          <w:trHeight w:val="345"/>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3"/>
              </w:rPr>
              <w:t>50,316</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27,808</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127,294</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76,515</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2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5"/>
              </w:rPr>
              <w:t>0.81</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0.46</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2.06</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1.26</w:t>
            </w:r>
          </w:p>
        </w:tc>
        <w:tc>
          <w:tcPr>
            <w:tcW w:w="0" w:type="dxa"/>
            <w:vAlign w:val="bottom"/>
          </w:tcPr>
          <w:p>
            <w:pPr>
              <w:spacing w:after="0"/>
              <w:rPr>
                <w:sz w:val="1"/>
                <w:szCs w:val="1"/>
                <w:color w:val="auto"/>
              </w:rPr>
            </w:pPr>
          </w:p>
        </w:tc>
      </w:tr>
      <w:tr>
        <w:trPr>
          <w:trHeight w:val="345"/>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5"/>
              </w:rPr>
              <w:t>0.79</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0.45</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2.01</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1.23</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0"/>
                <w:szCs w:val="20"/>
                <w:color w:val="auto"/>
              </w:rPr>
            </w:pPr>
            <w:r>
              <w:rPr>
                <w:rFonts w:ascii="Arial" w:cs="Arial" w:eastAsia="Arial" w:hAnsi="Arial"/>
                <w:sz w:val="14"/>
                <w:szCs w:val="14"/>
                <w:color w:val="auto"/>
                <w:w w:val="92"/>
              </w:rPr>
              <w:t>Weighted average number of Ordinary Shares outstanding:</w:t>
            </w:r>
          </w:p>
        </w:tc>
        <w:tc>
          <w:tcPr>
            <w:tcW w:w="2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61,878,429</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61,069,260</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61,863,332</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60,732,605</w:t>
            </w:r>
          </w:p>
        </w:tc>
        <w:tc>
          <w:tcPr>
            <w:tcW w:w="0" w:type="dxa"/>
            <w:vAlign w:val="bottom"/>
          </w:tcPr>
          <w:p>
            <w:pPr>
              <w:spacing w:after="0"/>
              <w:rPr>
                <w:sz w:val="1"/>
                <w:szCs w:val="1"/>
                <w:color w:val="auto"/>
              </w:rPr>
            </w:pPr>
          </w:p>
        </w:tc>
      </w:tr>
      <w:tr>
        <w:trPr>
          <w:trHeight w:val="345"/>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63,442,607</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62,473,645</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63,434,260</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61,977,026</w:t>
            </w:r>
          </w:p>
        </w:tc>
        <w:tc>
          <w:tcPr>
            <w:tcW w:w="0" w:type="dxa"/>
            <w:vAlign w:val="bottom"/>
          </w:tcPr>
          <w:p>
            <w:pPr>
              <w:spacing w:after="0"/>
              <w:rPr>
                <w:sz w:val="1"/>
                <w:szCs w:val="1"/>
                <w:color w:val="auto"/>
              </w:rPr>
            </w:pPr>
          </w:p>
        </w:tc>
      </w:tr>
      <w:tr>
        <w:trPr>
          <w:trHeight w:val="304"/>
        </w:trPr>
        <w:tc>
          <w:tcPr>
            <w:tcW w:w="3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0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3360" w:type="dxa"/>
            <w:vAlign w:val="bottom"/>
            <w:gridSpan w:val="2"/>
          </w:tcPr>
          <w:p>
            <w:pPr>
              <w:jc w:val="center"/>
              <w:ind w:left="1168"/>
              <w:spacing w:after="0"/>
              <w:rPr>
                <w:sz w:val="20"/>
                <w:szCs w:val="20"/>
                <w:color w:val="auto"/>
              </w:rPr>
            </w:pPr>
            <w:r>
              <w:rPr>
                <w:rFonts w:ascii="Arial" w:cs="Arial" w:eastAsia="Arial" w:hAnsi="Arial"/>
                <w:sz w:val="14"/>
                <w:szCs w:val="14"/>
                <w:b w:val="1"/>
                <w:bCs w:val="1"/>
                <w:color w:val="auto"/>
              </w:rPr>
              <w:t>ICON plc</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400" w:type="dxa"/>
            <w:vAlign w:val="bottom"/>
          </w:tcPr>
          <w:p>
            <w:pPr>
              <w:spacing w:after="0"/>
              <w:rPr>
                <w:sz w:val="22"/>
                <w:szCs w:val="22"/>
                <w:color w:val="auto"/>
              </w:rPr>
            </w:pPr>
          </w:p>
        </w:tc>
        <w:tc>
          <w:tcPr>
            <w:tcW w:w="374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1"/>
              </w:rPr>
              <w:t>Consolidated Income Statements (Unaudited)</w:t>
            </w: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3360" w:type="dxa"/>
            <w:vAlign w:val="bottom"/>
            <w:gridSpan w:val="2"/>
          </w:tcPr>
          <w:p>
            <w:pPr>
              <w:jc w:val="center"/>
              <w:ind w:left="1168"/>
              <w:spacing w:after="0"/>
              <w:rPr>
                <w:sz w:val="20"/>
                <w:szCs w:val="20"/>
                <w:color w:val="auto"/>
              </w:rPr>
            </w:pPr>
            <w:r>
              <w:rPr>
                <w:rFonts w:ascii="Arial" w:cs="Arial" w:eastAsia="Arial" w:hAnsi="Arial"/>
                <w:sz w:val="14"/>
                <w:szCs w:val="14"/>
                <w:b w:val="1"/>
                <w:bCs w:val="1"/>
                <w:color w:val="auto"/>
                <w:w w:val="98"/>
              </w:rPr>
              <w:t>(US GAAP)</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rPr>
                <w:sz w:val="24"/>
                <w:szCs w:val="24"/>
                <w:color w:val="auto"/>
              </w:rPr>
            </w:pPr>
          </w:p>
        </w:tc>
        <w:tc>
          <w:tcPr>
            <w:tcW w:w="486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w w:val="92"/>
              </w:rPr>
              <w:t>Three and Nine Months ended September 30, 2014 and September 30, 2013</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rPr>
                <w:sz w:val="24"/>
                <w:szCs w:val="24"/>
                <w:color w:val="auto"/>
              </w:rPr>
            </w:pPr>
          </w:p>
        </w:tc>
        <w:tc>
          <w:tcPr>
            <w:tcW w:w="486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40" w:type="dxa"/>
            <w:vAlign w:val="bottom"/>
            <w:gridSpan w:val="3"/>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4"/>
                <w:szCs w:val="24"/>
                <w:color w:val="auto"/>
              </w:rPr>
            </w:pPr>
          </w:p>
        </w:tc>
        <w:tc>
          <w:tcPr>
            <w:tcW w:w="2800" w:type="dxa"/>
            <w:vAlign w:val="bottom"/>
            <w:gridSpan w:val="3"/>
          </w:tcPr>
          <w:p>
            <w:pPr>
              <w:ind w:lef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5"/>
                <w:szCs w:val="15"/>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340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2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3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3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69"/>
        </w:trPr>
        <w:tc>
          <w:tcPr>
            <w:tcW w:w="340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4"/>
                <w:szCs w:val="14"/>
                <w:color w:val="auto"/>
              </w:rPr>
              <w:t>Gross revenue</w:t>
            </w:r>
          </w:p>
        </w:tc>
        <w:tc>
          <w:tcPr>
            <w:tcW w:w="22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519,127</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445,598</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1,502,075</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1,334,283</w:t>
            </w:r>
          </w:p>
        </w:tc>
        <w:tc>
          <w:tcPr>
            <w:tcW w:w="0" w:type="dxa"/>
            <w:vAlign w:val="bottom"/>
          </w:tcPr>
          <w:p>
            <w:pPr>
              <w:spacing w:after="0"/>
              <w:rPr>
                <w:sz w:val="1"/>
                <w:szCs w:val="1"/>
                <w:color w:val="auto"/>
              </w:rPr>
            </w:pPr>
          </w:p>
        </w:tc>
      </w:tr>
      <w:tr>
        <w:trPr>
          <w:trHeight w:val="18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2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(131,538)</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(105,788)</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(388,832)</w:t>
            </w: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(343,465)</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2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387,589</w:t>
            </w:r>
          </w:p>
        </w:tc>
        <w:tc>
          <w:tcPr>
            <w:tcW w:w="3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339,810</w:t>
            </w:r>
          </w:p>
        </w:tc>
        <w:tc>
          <w:tcPr>
            <w:tcW w:w="3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1,113,243</w:t>
            </w:r>
          </w:p>
        </w:tc>
        <w:tc>
          <w:tcPr>
            <w:tcW w:w="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990,818</w:t>
            </w:r>
          </w:p>
        </w:tc>
        <w:tc>
          <w:tcPr>
            <w:tcW w:w="0" w:type="dxa"/>
            <w:vAlign w:val="bottom"/>
          </w:tcPr>
          <w:p>
            <w:pPr>
              <w:spacing w:after="0"/>
              <w:rPr>
                <w:sz w:val="1"/>
                <w:szCs w:val="1"/>
                <w:color w:val="auto"/>
              </w:rPr>
            </w:pPr>
          </w:p>
        </w:tc>
      </w:tr>
      <w:tr>
        <w:trPr>
          <w:trHeight w:val="344"/>
        </w:trPr>
        <w:tc>
          <w:tcPr>
            <w:tcW w:w="34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4"/>
                <w:szCs w:val="14"/>
                <w:color w:val="auto"/>
              </w:rPr>
              <w:t>Direct costs</w:t>
            </w:r>
          </w:p>
        </w:tc>
        <w:tc>
          <w:tcPr>
            <w:tcW w:w="2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229,963</w:t>
            </w:r>
          </w:p>
        </w:tc>
        <w:tc>
          <w:tcPr>
            <w:tcW w:w="3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213,666</w:t>
            </w:r>
          </w:p>
        </w:tc>
        <w:tc>
          <w:tcPr>
            <w:tcW w:w="3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673,291</w:t>
            </w:r>
          </w:p>
        </w:tc>
        <w:tc>
          <w:tcPr>
            <w:tcW w:w="3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630,258</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2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84,466</w:t>
            </w:r>
          </w:p>
        </w:tc>
        <w:tc>
          <w:tcPr>
            <w:tcW w:w="3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81,408</w:t>
            </w:r>
          </w:p>
        </w:tc>
        <w:tc>
          <w:tcPr>
            <w:tcW w:w="3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251,036</w:t>
            </w:r>
          </w:p>
        </w:tc>
        <w:tc>
          <w:tcPr>
            <w:tcW w:w="3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234,520</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13,737</w:t>
            </w:r>
          </w:p>
        </w:tc>
        <w:tc>
          <w:tcPr>
            <w:tcW w:w="3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8"/>
              </w:rPr>
              <w:t>11,575</w:t>
            </w:r>
          </w:p>
        </w:tc>
        <w:tc>
          <w:tcPr>
            <w:tcW w:w="3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38,207</w:t>
            </w:r>
          </w:p>
        </w:tc>
        <w:tc>
          <w:tcPr>
            <w:tcW w:w="3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34,551</w:t>
            </w:r>
          </w:p>
        </w:tc>
        <w:tc>
          <w:tcPr>
            <w:tcW w:w="0" w:type="dxa"/>
            <w:vAlign w:val="bottom"/>
          </w:tcPr>
          <w:p>
            <w:pPr>
              <w:spacing w:after="0"/>
              <w:rPr>
                <w:sz w:val="1"/>
                <w:szCs w:val="1"/>
                <w:color w:val="auto"/>
              </w:rPr>
            </w:pPr>
          </w:p>
        </w:tc>
      </w:tr>
      <w:tr>
        <w:trPr>
          <w:trHeight w:val="18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Restructuring and other items</w:t>
            </w:r>
          </w:p>
        </w:tc>
        <w:tc>
          <w:tcPr>
            <w:tcW w:w="2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9,033</w:t>
            </w:r>
          </w:p>
        </w:tc>
        <w:tc>
          <w:tcPr>
            <w:tcW w:w="0" w:type="dxa"/>
            <w:vAlign w:val="bottom"/>
          </w:tcPr>
          <w:p>
            <w:pPr>
              <w:spacing w:after="0"/>
              <w:rPr>
                <w:sz w:val="1"/>
                <w:szCs w:val="1"/>
                <w:color w:val="auto"/>
              </w:rPr>
            </w:pPr>
          </w:p>
        </w:tc>
      </w:tr>
      <w:tr>
        <w:trPr>
          <w:trHeight w:val="345"/>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2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328,166</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306,649</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962,534</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908,362</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59,423</w:t>
            </w:r>
          </w:p>
        </w:tc>
        <w:tc>
          <w:tcPr>
            <w:tcW w:w="3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33,161</w:t>
            </w:r>
          </w:p>
        </w:tc>
        <w:tc>
          <w:tcPr>
            <w:tcW w:w="3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150,709</w:t>
            </w:r>
          </w:p>
        </w:tc>
        <w:tc>
          <w:tcPr>
            <w:tcW w:w="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82,456</w:t>
            </w: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2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109</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(56)</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162</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(341)</w:t>
            </w:r>
          </w:p>
        </w:tc>
        <w:tc>
          <w:tcPr>
            <w:tcW w:w="0" w:type="dxa"/>
            <w:vAlign w:val="bottom"/>
          </w:tcPr>
          <w:p>
            <w:pPr>
              <w:spacing w:after="0"/>
              <w:rPr>
                <w:sz w:val="1"/>
                <w:szCs w:val="1"/>
                <w:color w:val="auto"/>
              </w:rPr>
            </w:pPr>
          </w:p>
        </w:tc>
      </w:tr>
      <w:tr>
        <w:trPr>
          <w:trHeight w:val="339"/>
        </w:trPr>
        <w:tc>
          <w:tcPr>
            <w:tcW w:w="340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2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59,532</w:t>
            </w:r>
          </w:p>
        </w:tc>
        <w:tc>
          <w:tcPr>
            <w:tcW w:w="3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33,105</w:t>
            </w:r>
          </w:p>
        </w:tc>
        <w:tc>
          <w:tcPr>
            <w:tcW w:w="3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150,871</w:t>
            </w:r>
          </w:p>
        </w:tc>
        <w:tc>
          <w:tcPr>
            <w:tcW w:w="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82,115</w:t>
            </w:r>
          </w:p>
        </w:tc>
        <w:tc>
          <w:tcPr>
            <w:tcW w:w="0" w:type="dxa"/>
            <w:vAlign w:val="bottom"/>
          </w:tcPr>
          <w:p>
            <w:pPr>
              <w:spacing w:after="0"/>
              <w:rPr>
                <w:sz w:val="1"/>
                <w:szCs w:val="1"/>
                <w:color w:val="auto"/>
              </w:rPr>
            </w:pPr>
          </w:p>
        </w:tc>
      </w:tr>
      <w:tr>
        <w:trPr>
          <w:trHeight w:val="18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2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(9,216)</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(5,297)</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(23,577)</w:t>
            </w: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(12,783)</w:t>
            </w:r>
          </w:p>
        </w:tc>
        <w:tc>
          <w:tcPr>
            <w:tcW w:w="0" w:type="dxa"/>
            <w:vAlign w:val="bottom"/>
          </w:tcPr>
          <w:p>
            <w:pPr>
              <w:spacing w:after="0"/>
              <w:rPr>
                <w:sz w:val="1"/>
                <w:szCs w:val="1"/>
                <w:color w:val="auto"/>
              </w:rPr>
            </w:pPr>
          </w:p>
        </w:tc>
      </w:tr>
      <w:tr>
        <w:trPr>
          <w:trHeight w:val="345"/>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50,316</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27,808</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127,294</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69,332</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0.81</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0.46</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2.06</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1.14</w:t>
            </w:r>
          </w:p>
        </w:tc>
        <w:tc>
          <w:tcPr>
            <w:tcW w:w="0" w:type="dxa"/>
            <w:vAlign w:val="bottom"/>
          </w:tcPr>
          <w:p>
            <w:pPr>
              <w:spacing w:after="0"/>
              <w:rPr>
                <w:sz w:val="1"/>
                <w:szCs w:val="1"/>
                <w:color w:val="auto"/>
              </w:rPr>
            </w:pPr>
          </w:p>
        </w:tc>
      </w:tr>
      <w:tr>
        <w:trPr>
          <w:trHeight w:val="345"/>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0.79</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0.45</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2.01</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1.12</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0"/>
                <w:szCs w:val="20"/>
                <w:color w:val="auto"/>
              </w:rPr>
            </w:pPr>
            <w:r>
              <w:rPr>
                <w:rFonts w:ascii="Arial" w:cs="Arial" w:eastAsia="Arial" w:hAnsi="Arial"/>
                <w:sz w:val="14"/>
                <w:szCs w:val="14"/>
                <w:color w:val="auto"/>
                <w:w w:val="92"/>
              </w:rPr>
              <w:t>Weighted average number of Ordinary Shares outstanding:</w:t>
            </w: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61,878,429</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61,069,260</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61,863,332</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60,732,605</w:t>
            </w:r>
          </w:p>
        </w:tc>
        <w:tc>
          <w:tcPr>
            <w:tcW w:w="0" w:type="dxa"/>
            <w:vAlign w:val="bottom"/>
          </w:tcPr>
          <w:p>
            <w:pPr>
              <w:spacing w:after="0"/>
              <w:rPr>
                <w:sz w:val="1"/>
                <w:szCs w:val="1"/>
                <w:color w:val="auto"/>
              </w:rPr>
            </w:pPr>
          </w:p>
        </w:tc>
      </w:tr>
      <w:tr>
        <w:trPr>
          <w:trHeight w:val="345"/>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63,442,607</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62,473,645</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63,434,260</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61,977,026</w:t>
            </w:r>
          </w:p>
        </w:tc>
        <w:tc>
          <w:tcPr>
            <w:tcW w:w="0" w:type="dxa"/>
            <w:vAlign w:val="bottom"/>
          </w:tcPr>
          <w:p>
            <w:pPr>
              <w:spacing w:after="0"/>
              <w:rPr>
                <w:sz w:val="1"/>
                <w:szCs w:val="1"/>
                <w:color w:val="auto"/>
              </w:rPr>
            </w:pPr>
          </w:p>
        </w:tc>
      </w:tr>
      <w:tr>
        <w:trPr>
          <w:trHeight w:val="304"/>
        </w:trPr>
        <w:tc>
          <w:tcPr>
            <w:tcW w:w="3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0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5680" w:type="dxa"/>
            <w:vAlign w:val="bottom"/>
          </w:tcPr>
          <w:p>
            <w:pPr>
              <w:jc w:val="center"/>
              <w:spacing w:after="0"/>
              <w:rPr>
                <w:sz w:val="20"/>
                <w:szCs w:val="20"/>
                <w:color w:val="auto"/>
              </w:rPr>
            </w:pPr>
            <w:r>
              <w:rPr>
                <w:rFonts w:ascii="Arial" w:cs="Arial" w:eastAsia="Arial" w:hAnsi="Arial"/>
                <w:sz w:val="14"/>
                <w:szCs w:val="14"/>
                <w:b w:val="1"/>
                <w:bCs w:val="1"/>
                <w:color w:val="auto"/>
              </w:rPr>
              <w:t>ICON plc</w:t>
            </w:r>
          </w:p>
        </w:tc>
        <w:tc>
          <w:tcPr>
            <w:tcW w:w="1900" w:type="dxa"/>
            <w:vAlign w:val="bottom"/>
          </w:tcPr>
          <w:p>
            <w:pPr>
              <w:spacing w:after="0"/>
              <w:rPr>
                <w:sz w:val="16"/>
                <w:szCs w:val="16"/>
                <w:color w:val="auto"/>
              </w:rPr>
            </w:pPr>
          </w:p>
        </w:tc>
      </w:tr>
      <w:tr>
        <w:trPr>
          <w:trHeight w:val="297"/>
        </w:trPr>
        <w:tc>
          <w:tcPr>
            <w:tcW w:w="2880" w:type="dxa"/>
            <w:vAlign w:val="bottom"/>
          </w:tcPr>
          <w:p>
            <w:pPr>
              <w:spacing w:after="0"/>
              <w:rPr>
                <w:sz w:val="24"/>
                <w:szCs w:val="24"/>
                <w:color w:val="auto"/>
              </w:rPr>
            </w:pPr>
          </w:p>
        </w:tc>
        <w:tc>
          <w:tcPr>
            <w:tcW w:w="5680" w:type="dxa"/>
            <w:vAlign w:val="bottom"/>
          </w:tcPr>
          <w:p>
            <w:pPr>
              <w:jc w:val="center"/>
              <w:spacing w:after="0"/>
              <w:rPr>
                <w:sz w:val="20"/>
                <w:szCs w:val="20"/>
                <w:color w:val="auto"/>
              </w:rPr>
            </w:pPr>
            <w:r>
              <w:rPr>
                <w:rFonts w:ascii="Arial" w:cs="Arial" w:eastAsia="Arial" w:hAnsi="Arial"/>
                <w:sz w:val="14"/>
                <w:szCs w:val="14"/>
                <w:b w:val="1"/>
                <w:bCs w:val="1"/>
                <w:color w:val="auto"/>
                <w:w w:val="92"/>
              </w:rPr>
              <w:t>Summary Balance Sheet Data</w:t>
            </w:r>
          </w:p>
        </w:tc>
        <w:tc>
          <w:tcPr>
            <w:tcW w:w="1900" w:type="dxa"/>
            <w:vAlign w:val="bottom"/>
          </w:tcPr>
          <w:p>
            <w:pPr>
              <w:spacing w:after="0"/>
              <w:rPr>
                <w:sz w:val="24"/>
                <w:szCs w:val="24"/>
                <w:color w:val="auto"/>
              </w:rPr>
            </w:pPr>
          </w:p>
        </w:tc>
      </w:tr>
      <w:tr>
        <w:trPr>
          <w:trHeight w:val="297"/>
        </w:trPr>
        <w:tc>
          <w:tcPr>
            <w:tcW w:w="2880" w:type="dxa"/>
            <w:vAlign w:val="bottom"/>
          </w:tcPr>
          <w:p>
            <w:pPr>
              <w:spacing w:after="0"/>
              <w:rPr>
                <w:sz w:val="24"/>
                <w:szCs w:val="24"/>
                <w:color w:val="auto"/>
              </w:rPr>
            </w:pPr>
          </w:p>
        </w:tc>
        <w:tc>
          <w:tcPr>
            <w:tcW w:w="568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2014 and June 30, 2014</w:t>
            </w:r>
          </w:p>
        </w:tc>
        <w:tc>
          <w:tcPr>
            <w:tcW w:w="1900" w:type="dxa"/>
            <w:vAlign w:val="bottom"/>
          </w:tcPr>
          <w:p>
            <w:pPr>
              <w:spacing w:after="0"/>
              <w:rPr>
                <w:sz w:val="24"/>
                <w:szCs w:val="24"/>
                <w:color w:val="auto"/>
              </w:rPr>
            </w:pPr>
          </w:p>
        </w:tc>
      </w:tr>
      <w:tr>
        <w:trPr>
          <w:trHeight w:val="297"/>
        </w:trPr>
        <w:tc>
          <w:tcPr>
            <w:tcW w:w="2880" w:type="dxa"/>
            <w:vAlign w:val="bottom"/>
          </w:tcPr>
          <w:p>
            <w:pPr>
              <w:spacing w:after="0"/>
              <w:rPr>
                <w:sz w:val="24"/>
                <w:szCs w:val="24"/>
                <w:color w:val="auto"/>
              </w:rPr>
            </w:pPr>
          </w:p>
        </w:tc>
        <w:tc>
          <w:tcPr>
            <w:tcW w:w="5680" w:type="dxa"/>
            <w:vAlign w:val="bottom"/>
          </w:tcPr>
          <w:p>
            <w:pPr>
              <w:jc w:val="center"/>
              <w:spacing w:after="0"/>
              <w:rPr>
                <w:sz w:val="20"/>
                <w:szCs w:val="20"/>
                <w:color w:val="auto"/>
              </w:rPr>
            </w:pPr>
            <w:r>
              <w:rPr>
                <w:rFonts w:ascii="Arial" w:cs="Arial" w:eastAsia="Arial" w:hAnsi="Arial"/>
                <w:sz w:val="14"/>
                <w:szCs w:val="14"/>
                <w:b w:val="1"/>
                <w:bCs w:val="1"/>
                <w:color w:val="auto"/>
                <w:w w:val="92"/>
              </w:rPr>
              <w:t>(Dollars, in thousands)</w:t>
            </w:r>
          </w:p>
        </w:tc>
        <w:tc>
          <w:tcPr>
            <w:tcW w:w="1900" w:type="dxa"/>
            <w:vAlign w:val="bottom"/>
          </w:tcPr>
          <w:p>
            <w:pPr>
              <w:spacing w:after="0"/>
              <w:rPr>
                <w:sz w:val="24"/>
                <w:szCs w:val="24"/>
                <w:color w:val="auto"/>
              </w:rPr>
            </w:pPr>
          </w:p>
        </w:tc>
      </w:tr>
      <w:tr>
        <w:trPr>
          <w:trHeight w:val="340"/>
        </w:trPr>
        <w:tc>
          <w:tcPr>
            <w:tcW w:w="2880" w:type="dxa"/>
            <w:vAlign w:val="bottom"/>
          </w:tcPr>
          <w:p>
            <w:pPr>
              <w:spacing w:after="0"/>
              <w:rPr>
                <w:sz w:val="24"/>
                <w:szCs w:val="24"/>
                <w:color w:val="auto"/>
              </w:rPr>
            </w:pPr>
          </w:p>
        </w:tc>
        <w:tc>
          <w:tcPr>
            <w:tcW w:w="5680" w:type="dxa"/>
            <w:vAlign w:val="bottom"/>
          </w:tcPr>
          <w:p>
            <w:pPr>
              <w:jc w:val="center"/>
              <w:ind w:left="2428"/>
              <w:spacing w:after="0"/>
              <w:rPr>
                <w:sz w:val="20"/>
                <w:szCs w:val="20"/>
                <w:color w:val="auto"/>
              </w:rPr>
            </w:pPr>
            <w:r>
              <w:rPr>
                <w:rFonts w:ascii="Arial" w:cs="Arial" w:eastAsia="Arial" w:hAnsi="Arial"/>
                <w:sz w:val="14"/>
                <w:szCs w:val="14"/>
                <w:b w:val="1"/>
                <w:bCs w:val="1"/>
                <w:color w:val="auto"/>
                <w:w w:val="89"/>
              </w:rPr>
              <w:t>September 30,</w:t>
            </w:r>
          </w:p>
        </w:tc>
        <w:tc>
          <w:tcPr>
            <w:tcW w:w="1900" w:type="dxa"/>
            <w:vAlign w:val="bottom"/>
          </w:tcPr>
          <w:p>
            <w:pPr>
              <w:jc w:val="center"/>
              <w:ind w:left="1068"/>
              <w:spacing w:after="0"/>
              <w:rPr>
                <w:sz w:val="20"/>
                <w:szCs w:val="20"/>
                <w:color w:val="auto"/>
              </w:rPr>
            </w:pPr>
            <w:r>
              <w:rPr>
                <w:rFonts w:ascii="Arial" w:cs="Arial" w:eastAsia="Arial" w:hAnsi="Arial"/>
                <w:sz w:val="14"/>
                <w:szCs w:val="14"/>
                <w:b w:val="1"/>
                <w:bCs w:val="1"/>
                <w:color w:val="auto"/>
                <w:w w:val="92"/>
              </w:rPr>
              <w:t>June 30,</w:t>
            </w:r>
          </w:p>
        </w:tc>
      </w:tr>
      <w:tr>
        <w:trPr>
          <w:trHeight w:val="176"/>
        </w:trPr>
        <w:tc>
          <w:tcPr>
            <w:tcW w:w="2880" w:type="dxa"/>
            <w:vAlign w:val="bottom"/>
          </w:tcPr>
          <w:p>
            <w:pPr>
              <w:spacing w:after="0"/>
              <w:rPr>
                <w:sz w:val="15"/>
                <w:szCs w:val="15"/>
                <w:color w:val="auto"/>
              </w:rPr>
            </w:pPr>
          </w:p>
        </w:tc>
        <w:tc>
          <w:tcPr>
            <w:tcW w:w="5680" w:type="dxa"/>
            <w:vAlign w:val="bottom"/>
          </w:tcPr>
          <w:p>
            <w:pPr>
              <w:jc w:val="center"/>
              <w:ind w:left="2448"/>
              <w:spacing w:after="0"/>
              <w:rPr>
                <w:sz w:val="20"/>
                <w:szCs w:val="20"/>
                <w:color w:val="auto"/>
              </w:rPr>
            </w:pPr>
            <w:r>
              <w:rPr>
                <w:rFonts w:ascii="Arial" w:cs="Arial" w:eastAsia="Arial" w:hAnsi="Arial"/>
                <w:sz w:val="14"/>
                <w:szCs w:val="14"/>
                <w:b w:val="1"/>
                <w:bCs w:val="1"/>
                <w:color w:val="auto"/>
                <w:w w:val="89"/>
              </w:rPr>
              <w:t>2014</w:t>
            </w:r>
          </w:p>
        </w:tc>
        <w:tc>
          <w:tcPr>
            <w:tcW w:w="1900" w:type="dxa"/>
            <w:vAlign w:val="bottom"/>
          </w:tcPr>
          <w:p>
            <w:pPr>
              <w:jc w:val="center"/>
              <w:ind w:left="1088"/>
              <w:spacing w:after="0"/>
              <w:rPr>
                <w:sz w:val="20"/>
                <w:szCs w:val="20"/>
                <w:color w:val="auto"/>
              </w:rPr>
            </w:pPr>
            <w:r>
              <w:rPr>
                <w:rFonts w:ascii="Arial" w:cs="Arial" w:eastAsia="Arial" w:hAnsi="Arial"/>
                <w:sz w:val="14"/>
                <w:szCs w:val="14"/>
                <w:b w:val="1"/>
                <w:bCs w:val="1"/>
                <w:color w:val="auto"/>
                <w:w w:val="96"/>
              </w:rPr>
              <w:t>2014</w:t>
            </w:r>
          </w:p>
        </w:tc>
      </w:tr>
      <w:tr>
        <w:trPr>
          <w:trHeight w:val="186"/>
        </w:trPr>
        <w:tc>
          <w:tcPr>
            <w:tcW w:w="2880" w:type="dxa"/>
            <w:vAlign w:val="bottom"/>
          </w:tcPr>
          <w:p>
            <w:pPr>
              <w:spacing w:after="0"/>
              <w:rPr>
                <w:sz w:val="16"/>
                <w:szCs w:val="16"/>
                <w:color w:val="auto"/>
              </w:rPr>
            </w:pPr>
          </w:p>
        </w:tc>
        <w:tc>
          <w:tcPr>
            <w:tcW w:w="5680" w:type="dxa"/>
            <w:vAlign w:val="bottom"/>
          </w:tcPr>
          <w:p>
            <w:pPr>
              <w:jc w:val="center"/>
              <w:ind w:left="2428"/>
              <w:spacing w:after="0"/>
              <w:rPr>
                <w:sz w:val="20"/>
                <w:szCs w:val="20"/>
                <w:color w:val="auto"/>
              </w:rPr>
            </w:pPr>
            <w:r>
              <w:rPr>
                <w:rFonts w:ascii="Arial" w:cs="Arial" w:eastAsia="Arial" w:hAnsi="Arial"/>
                <w:sz w:val="14"/>
                <w:szCs w:val="14"/>
                <w:b w:val="1"/>
                <w:bCs w:val="1"/>
                <w:color w:val="auto"/>
                <w:w w:val="95"/>
              </w:rPr>
              <w:t>(Unaudited)</w:t>
            </w:r>
          </w:p>
        </w:tc>
        <w:tc>
          <w:tcPr>
            <w:tcW w:w="1900" w:type="dxa"/>
            <w:vAlign w:val="bottom"/>
          </w:tcPr>
          <w:p>
            <w:pPr>
              <w:jc w:val="center"/>
              <w:ind w:left="1088"/>
              <w:spacing w:after="0"/>
              <w:rPr>
                <w:sz w:val="20"/>
                <w:szCs w:val="20"/>
                <w:color w:val="auto"/>
              </w:rPr>
            </w:pPr>
            <w:r>
              <w:rPr>
                <w:rFonts w:ascii="Arial" w:cs="Arial" w:eastAsia="Arial" w:hAnsi="Arial"/>
                <w:sz w:val="14"/>
                <w:szCs w:val="14"/>
                <w:b w:val="1"/>
                <w:bCs w:val="1"/>
                <w:color w:val="auto"/>
                <w:w w:val="95"/>
              </w:rPr>
              <w:t>(Unaudited)</w:t>
            </w:r>
          </w:p>
        </w:tc>
      </w:tr>
      <w:tr>
        <w:trPr>
          <w:trHeight w:val="527"/>
        </w:trPr>
        <w:tc>
          <w:tcPr>
            <w:tcW w:w="2880" w:type="dxa"/>
            <w:vAlign w:val="bottom"/>
          </w:tcPr>
          <w:p>
            <w:pPr>
              <w:spacing w:after="0"/>
              <w:rPr>
                <w:sz w:val="20"/>
                <w:szCs w:val="20"/>
                <w:color w:val="auto"/>
              </w:rPr>
            </w:pPr>
            <w:r>
              <w:rPr>
                <w:rFonts w:ascii="Arial" w:cs="Arial" w:eastAsia="Arial" w:hAnsi="Arial"/>
                <w:sz w:val="14"/>
                <w:szCs w:val="14"/>
                <w:color w:val="auto"/>
              </w:rPr>
              <w:t>Net cash</w:t>
            </w:r>
          </w:p>
        </w:tc>
        <w:tc>
          <w:tcPr>
            <w:tcW w:w="5680" w:type="dxa"/>
            <w:vAlign w:val="bottom"/>
          </w:tcPr>
          <w:p>
            <w:pPr>
              <w:jc w:val="center"/>
              <w:ind w:left="2448"/>
              <w:spacing w:after="0"/>
              <w:rPr>
                <w:sz w:val="20"/>
                <w:szCs w:val="20"/>
                <w:color w:val="auto"/>
              </w:rPr>
            </w:pPr>
            <w:r>
              <w:rPr>
                <w:rFonts w:ascii="Arial" w:cs="Arial" w:eastAsia="Arial" w:hAnsi="Arial"/>
                <w:sz w:val="14"/>
                <w:szCs w:val="14"/>
                <w:color w:val="auto"/>
                <w:w w:val="94"/>
              </w:rPr>
              <w:t>248,612</w:t>
            </w:r>
          </w:p>
        </w:tc>
        <w:tc>
          <w:tcPr>
            <w:tcW w:w="1900" w:type="dxa"/>
            <w:vAlign w:val="bottom"/>
          </w:tcPr>
          <w:p>
            <w:pPr>
              <w:jc w:val="center"/>
              <w:ind w:left="1088"/>
              <w:spacing w:after="0"/>
              <w:rPr>
                <w:sz w:val="20"/>
                <w:szCs w:val="20"/>
                <w:color w:val="auto"/>
              </w:rPr>
            </w:pPr>
            <w:r>
              <w:rPr>
                <w:rFonts w:ascii="Arial" w:cs="Arial" w:eastAsia="Arial" w:hAnsi="Arial"/>
                <w:sz w:val="14"/>
                <w:szCs w:val="14"/>
                <w:color w:val="auto"/>
                <w:w w:val="90"/>
              </w:rPr>
              <w:t>175,372</w:t>
            </w:r>
          </w:p>
        </w:tc>
      </w:tr>
      <w:tr>
        <w:trPr>
          <w:trHeight w:val="344"/>
        </w:trPr>
        <w:tc>
          <w:tcPr>
            <w:tcW w:w="2880" w:type="dxa"/>
            <w:vAlign w:val="bottom"/>
          </w:tcPr>
          <w:p>
            <w:pPr>
              <w:spacing w:after="0"/>
              <w:rPr>
                <w:sz w:val="20"/>
                <w:szCs w:val="20"/>
                <w:color w:val="auto"/>
              </w:rPr>
            </w:pPr>
            <w:r>
              <w:rPr>
                <w:rFonts w:ascii="Arial" w:cs="Arial" w:eastAsia="Arial" w:hAnsi="Arial"/>
                <w:sz w:val="14"/>
                <w:szCs w:val="14"/>
                <w:color w:val="auto"/>
              </w:rPr>
              <w:t>Accounts receivable</w:t>
            </w:r>
          </w:p>
        </w:tc>
        <w:tc>
          <w:tcPr>
            <w:tcW w:w="5680" w:type="dxa"/>
            <w:vAlign w:val="bottom"/>
          </w:tcPr>
          <w:p>
            <w:pPr>
              <w:jc w:val="center"/>
              <w:ind w:left="2448"/>
              <w:spacing w:after="0"/>
              <w:rPr>
                <w:sz w:val="20"/>
                <w:szCs w:val="20"/>
                <w:color w:val="auto"/>
              </w:rPr>
            </w:pPr>
            <w:r>
              <w:rPr>
                <w:rFonts w:ascii="Arial" w:cs="Arial" w:eastAsia="Arial" w:hAnsi="Arial"/>
                <w:sz w:val="14"/>
                <w:szCs w:val="14"/>
                <w:color w:val="auto"/>
                <w:w w:val="94"/>
              </w:rPr>
              <w:t>372,953</w:t>
            </w:r>
          </w:p>
        </w:tc>
        <w:tc>
          <w:tcPr>
            <w:tcW w:w="1900" w:type="dxa"/>
            <w:vAlign w:val="bottom"/>
          </w:tcPr>
          <w:p>
            <w:pPr>
              <w:jc w:val="center"/>
              <w:ind w:left="1088"/>
              <w:spacing w:after="0"/>
              <w:rPr>
                <w:sz w:val="20"/>
                <w:szCs w:val="20"/>
                <w:color w:val="auto"/>
              </w:rPr>
            </w:pPr>
            <w:r>
              <w:rPr>
                <w:rFonts w:ascii="Arial" w:cs="Arial" w:eastAsia="Arial" w:hAnsi="Arial"/>
                <w:sz w:val="14"/>
                <w:szCs w:val="14"/>
                <w:color w:val="auto"/>
                <w:w w:val="90"/>
              </w:rPr>
              <w:t>382,924</w:t>
            </w:r>
          </w:p>
        </w:tc>
      </w:tr>
      <w:tr>
        <w:trPr>
          <w:trHeight w:val="176"/>
        </w:trPr>
        <w:tc>
          <w:tcPr>
            <w:tcW w:w="2880" w:type="dxa"/>
            <w:vAlign w:val="bottom"/>
          </w:tcPr>
          <w:p>
            <w:pPr>
              <w:spacing w:after="0"/>
              <w:rPr>
                <w:sz w:val="20"/>
                <w:szCs w:val="20"/>
                <w:color w:val="auto"/>
              </w:rPr>
            </w:pPr>
            <w:r>
              <w:rPr>
                <w:rFonts w:ascii="Arial" w:cs="Arial" w:eastAsia="Arial" w:hAnsi="Arial"/>
                <w:sz w:val="14"/>
                <w:szCs w:val="14"/>
                <w:color w:val="auto"/>
              </w:rPr>
              <w:t>Unbilled revenue</w:t>
            </w:r>
          </w:p>
        </w:tc>
        <w:tc>
          <w:tcPr>
            <w:tcW w:w="5680" w:type="dxa"/>
            <w:vAlign w:val="bottom"/>
          </w:tcPr>
          <w:p>
            <w:pPr>
              <w:jc w:val="center"/>
              <w:ind w:left="2448"/>
              <w:spacing w:after="0"/>
              <w:rPr>
                <w:sz w:val="20"/>
                <w:szCs w:val="20"/>
                <w:color w:val="auto"/>
              </w:rPr>
            </w:pPr>
            <w:r>
              <w:rPr>
                <w:rFonts w:ascii="Arial" w:cs="Arial" w:eastAsia="Arial" w:hAnsi="Arial"/>
                <w:sz w:val="14"/>
                <w:szCs w:val="14"/>
                <w:color w:val="auto"/>
                <w:w w:val="94"/>
              </w:rPr>
              <w:t>140,429</w:t>
            </w:r>
          </w:p>
        </w:tc>
        <w:tc>
          <w:tcPr>
            <w:tcW w:w="1900" w:type="dxa"/>
            <w:vAlign w:val="bottom"/>
          </w:tcPr>
          <w:p>
            <w:pPr>
              <w:jc w:val="center"/>
              <w:ind w:left="1088"/>
              <w:spacing w:after="0"/>
              <w:rPr>
                <w:sz w:val="20"/>
                <w:szCs w:val="20"/>
                <w:color w:val="auto"/>
              </w:rPr>
            </w:pPr>
            <w:r>
              <w:rPr>
                <w:rFonts w:ascii="Arial" w:cs="Arial" w:eastAsia="Arial" w:hAnsi="Arial"/>
                <w:sz w:val="14"/>
                <w:szCs w:val="14"/>
                <w:color w:val="auto"/>
                <w:w w:val="90"/>
              </w:rPr>
              <w:t>139,739</w:t>
            </w:r>
          </w:p>
        </w:tc>
      </w:tr>
      <w:tr>
        <w:trPr>
          <w:trHeight w:val="176"/>
        </w:trPr>
        <w:tc>
          <w:tcPr>
            <w:tcW w:w="2880" w:type="dxa"/>
            <w:vAlign w:val="bottom"/>
          </w:tcPr>
          <w:p>
            <w:pPr>
              <w:spacing w:after="0"/>
              <w:rPr>
                <w:sz w:val="20"/>
                <w:szCs w:val="20"/>
                <w:color w:val="auto"/>
              </w:rPr>
            </w:pPr>
            <w:r>
              <w:rPr>
                <w:rFonts w:ascii="Arial" w:cs="Arial" w:eastAsia="Arial" w:hAnsi="Arial"/>
                <w:sz w:val="14"/>
                <w:szCs w:val="14"/>
                <w:color w:val="auto"/>
              </w:rPr>
              <w:t>Payments on account</w:t>
            </w:r>
          </w:p>
        </w:tc>
        <w:tc>
          <w:tcPr>
            <w:tcW w:w="5680" w:type="dxa"/>
            <w:vAlign w:val="bottom"/>
          </w:tcPr>
          <w:p>
            <w:pPr>
              <w:jc w:val="center"/>
              <w:ind w:left="2448"/>
              <w:spacing w:after="0"/>
              <w:rPr>
                <w:sz w:val="20"/>
                <w:szCs w:val="20"/>
                <w:color w:val="auto"/>
              </w:rPr>
            </w:pPr>
            <w:r>
              <w:rPr>
                <w:rFonts w:ascii="Arial" w:cs="Arial" w:eastAsia="Arial" w:hAnsi="Arial"/>
                <w:sz w:val="14"/>
                <w:szCs w:val="14"/>
                <w:color w:val="auto"/>
                <w:w w:val="93"/>
              </w:rPr>
              <w:t>(294,063)</w:t>
            </w:r>
          </w:p>
        </w:tc>
        <w:tc>
          <w:tcPr>
            <w:tcW w:w="1900" w:type="dxa"/>
            <w:vAlign w:val="bottom"/>
          </w:tcPr>
          <w:p>
            <w:pPr>
              <w:jc w:val="center"/>
              <w:ind w:left="1088"/>
              <w:spacing w:after="0"/>
              <w:rPr>
                <w:sz w:val="20"/>
                <w:szCs w:val="20"/>
                <w:color w:val="auto"/>
              </w:rPr>
            </w:pPr>
            <w:r>
              <w:rPr>
                <w:rFonts w:ascii="Arial" w:cs="Arial" w:eastAsia="Arial" w:hAnsi="Arial"/>
                <w:sz w:val="14"/>
                <w:szCs w:val="14"/>
                <w:color w:val="auto"/>
                <w:w w:val="96"/>
              </w:rPr>
              <w:t>(290,754)</w:t>
            </w:r>
          </w:p>
        </w:tc>
      </w:tr>
      <w:tr>
        <w:trPr>
          <w:trHeight w:val="182"/>
        </w:trPr>
        <w:tc>
          <w:tcPr>
            <w:tcW w:w="2880" w:type="dxa"/>
            <w:vAlign w:val="bottom"/>
          </w:tcPr>
          <w:p>
            <w:pPr>
              <w:spacing w:after="0"/>
              <w:rPr>
                <w:sz w:val="20"/>
                <w:szCs w:val="20"/>
                <w:color w:val="auto"/>
              </w:rPr>
            </w:pPr>
            <w:r>
              <w:rPr>
                <w:rFonts w:ascii="Arial" w:cs="Arial" w:eastAsia="Arial" w:hAnsi="Arial"/>
                <w:sz w:val="14"/>
                <w:szCs w:val="14"/>
                <w:color w:val="auto"/>
              </w:rPr>
              <w:t>Total</w:t>
            </w:r>
          </w:p>
        </w:tc>
        <w:tc>
          <w:tcPr>
            <w:tcW w:w="5680" w:type="dxa"/>
            <w:vAlign w:val="bottom"/>
          </w:tcPr>
          <w:p>
            <w:pPr>
              <w:jc w:val="center"/>
              <w:ind w:left="2448"/>
              <w:spacing w:after="0"/>
              <w:rPr>
                <w:sz w:val="20"/>
                <w:szCs w:val="20"/>
                <w:color w:val="auto"/>
              </w:rPr>
            </w:pPr>
            <w:r>
              <w:rPr>
                <w:rFonts w:ascii="Arial" w:cs="Arial" w:eastAsia="Arial" w:hAnsi="Arial"/>
                <w:sz w:val="14"/>
                <w:szCs w:val="14"/>
                <w:color w:val="auto"/>
                <w:w w:val="94"/>
              </w:rPr>
              <w:t>219,319</w:t>
            </w:r>
          </w:p>
        </w:tc>
        <w:tc>
          <w:tcPr>
            <w:tcW w:w="1900" w:type="dxa"/>
            <w:vAlign w:val="bottom"/>
          </w:tcPr>
          <w:p>
            <w:pPr>
              <w:jc w:val="center"/>
              <w:ind w:left="1088"/>
              <w:spacing w:after="0"/>
              <w:rPr>
                <w:sz w:val="20"/>
                <w:szCs w:val="20"/>
                <w:color w:val="auto"/>
              </w:rPr>
            </w:pPr>
            <w:r>
              <w:rPr>
                <w:rFonts w:ascii="Arial" w:cs="Arial" w:eastAsia="Arial" w:hAnsi="Arial"/>
                <w:sz w:val="14"/>
                <w:szCs w:val="14"/>
                <w:color w:val="auto"/>
                <w:w w:val="90"/>
              </w:rPr>
              <w:t>231,909</w:t>
            </w:r>
          </w:p>
        </w:tc>
      </w:tr>
      <w:tr>
        <w:trPr>
          <w:trHeight w:val="351"/>
        </w:trPr>
        <w:tc>
          <w:tcPr>
            <w:tcW w:w="2880" w:type="dxa"/>
            <w:vAlign w:val="bottom"/>
          </w:tcPr>
          <w:p>
            <w:pPr>
              <w:spacing w:after="0"/>
              <w:rPr>
                <w:sz w:val="20"/>
                <w:szCs w:val="20"/>
                <w:color w:val="auto"/>
              </w:rPr>
            </w:pPr>
            <w:r>
              <w:rPr>
                <w:rFonts w:ascii="Arial" w:cs="Arial" w:eastAsia="Arial" w:hAnsi="Arial"/>
                <w:sz w:val="14"/>
                <w:szCs w:val="14"/>
                <w:color w:val="auto"/>
              </w:rPr>
              <w:t>Working Capital</w:t>
            </w:r>
          </w:p>
        </w:tc>
        <w:tc>
          <w:tcPr>
            <w:tcW w:w="5680" w:type="dxa"/>
            <w:vAlign w:val="bottom"/>
          </w:tcPr>
          <w:p>
            <w:pPr>
              <w:jc w:val="center"/>
              <w:ind w:left="2448"/>
              <w:spacing w:after="0"/>
              <w:rPr>
                <w:sz w:val="20"/>
                <w:szCs w:val="20"/>
                <w:color w:val="auto"/>
              </w:rPr>
            </w:pPr>
            <w:r>
              <w:rPr>
                <w:rFonts w:ascii="Arial" w:cs="Arial" w:eastAsia="Arial" w:hAnsi="Arial"/>
                <w:sz w:val="14"/>
                <w:szCs w:val="14"/>
                <w:color w:val="auto"/>
                <w:w w:val="94"/>
              </w:rPr>
              <w:t>323,727</w:t>
            </w:r>
          </w:p>
        </w:tc>
        <w:tc>
          <w:tcPr>
            <w:tcW w:w="1900" w:type="dxa"/>
            <w:vAlign w:val="bottom"/>
          </w:tcPr>
          <w:p>
            <w:pPr>
              <w:jc w:val="center"/>
              <w:ind w:left="1088"/>
              <w:spacing w:after="0"/>
              <w:rPr>
                <w:sz w:val="20"/>
                <w:szCs w:val="20"/>
                <w:color w:val="auto"/>
              </w:rPr>
            </w:pPr>
            <w:r>
              <w:rPr>
                <w:rFonts w:ascii="Arial" w:cs="Arial" w:eastAsia="Arial" w:hAnsi="Arial"/>
                <w:sz w:val="14"/>
                <w:szCs w:val="14"/>
                <w:color w:val="auto"/>
                <w:w w:val="90"/>
              </w:rPr>
              <w:t>295,511</w:t>
            </w:r>
          </w:p>
        </w:tc>
      </w:tr>
      <w:tr>
        <w:trPr>
          <w:trHeight w:val="351"/>
        </w:trPr>
        <w:tc>
          <w:tcPr>
            <w:tcW w:w="2880" w:type="dxa"/>
            <w:vAlign w:val="bottom"/>
          </w:tcPr>
          <w:p>
            <w:pPr>
              <w:spacing w:after="0"/>
              <w:rPr>
                <w:sz w:val="20"/>
                <w:szCs w:val="20"/>
                <w:color w:val="auto"/>
              </w:rPr>
            </w:pPr>
            <w:r>
              <w:rPr>
                <w:rFonts w:ascii="Arial" w:cs="Arial" w:eastAsia="Arial" w:hAnsi="Arial"/>
                <w:sz w:val="14"/>
                <w:szCs w:val="14"/>
                <w:color w:val="auto"/>
              </w:rPr>
              <w:t>Total Assets</w:t>
            </w:r>
          </w:p>
        </w:tc>
        <w:tc>
          <w:tcPr>
            <w:tcW w:w="5680" w:type="dxa"/>
            <w:vAlign w:val="bottom"/>
          </w:tcPr>
          <w:p>
            <w:pPr>
              <w:jc w:val="center"/>
              <w:ind w:left="2428"/>
              <w:spacing w:after="0"/>
              <w:rPr>
                <w:sz w:val="20"/>
                <w:szCs w:val="20"/>
                <w:color w:val="auto"/>
              </w:rPr>
            </w:pPr>
            <w:r>
              <w:rPr>
                <w:rFonts w:ascii="Arial" w:cs="Arial" w:eastAsia="Arial" w:hAnsi="Arial"/>
                <w:sz w:val="14"/>
                <w:szCs w:val="14"/>
                <w:color w:val="auto"/>
                <w:w w:val="93"/>
              </w:rPr>
              <w:t>1,572,726</w:t>
            </w:r>
          </w:p>
        </w:tc>
        <w:tc>
          <w:tcPr>
            <w:tcW w:w="1900" w:type="dxa"/>
            <w:vAlign w:val="bottom"/>
          </w:tcPr>
          <w:p>
            <w:pPr>
              <w:jc w:val="center"/>
              <w:ind w:left="1088"/>
              <w:spacing w:after="0"/>
              <w:rPr>
                <w:sz w:val="20"/>
                <w:szCs w:val="20"/>
                <w:color w:val="auto"/>
              </w:rPr>
            </w:pPr>
            <w:r>
              <w:rPr>
                <w:rFonts w:ascii="Arial" w:cs="Arial" w:eastAsia="Arial" w:hAnsi="Arial"/>
                <w:sz w:val="14"/>
                <w:szCs w:val="14"/>
                <w:color w:val="auto"/>
                <w:w w:val="93"/>
              </w:rPr>
              <w:t>1,525,740</w:t>
            </w:r>
          </w:p>
        </w:tc>
      </w:tr>
      <w:tr>
        <w:trPr>
          <w:trHeight w:val="351"/>
        </w:trPr>
        <w:tc>
          <w:tcPr>
            <w:tcW w:w="2880" w:type="dxa"/>
            <w:vAlign w:val="bottom"/>
          </w:tcPr>
          <w:p>
            <w:pPr>
              <w:spacing w:after="0"/>
              <w:rPr>
                <w:sz w:val="20"/>
                <w:szCs w:val="20"/>
                <w:color w:val="auto"/>
              </w:rPr>
            </w:pPr>
            <w:r>
              <w:rPr>
                <w:rFonts w:ascii="Arial" w:cs="Arial" w:eastAsia="Arial" w:hAnsi="Arial"/>
                <w:sz w:val="14"/>
                <w:szCs w:val="14"/>
                <w:color w:val="auto"/>
              </w:rPr>
              <w:t>Shareholder's Equity</w:t>
            </w:r>
          </w:p>
        </w:tc>
        <w:tc>
          <w:tcPr>
            <w:tcW w:w="5680" w:type="dxa"/>
            <w:vAlign w:val="bottom"/>
          </w:tcPr>
          <w:p>
            <w:pPr>
              <w:jc w:val="center"/>
              <w:ind w:left="2448"/>
              <w:spacing w:after="0"/>
              <w:rPr>
                <w:sz w:val="20"/>
                <w:szCs w:val="20"/>
                <w:color w:val="auto"/>
              </w:rPr>
            </w:pPr>
            <w:r>
              <w:rPr>
                <w:rFonts w:ascii="Arial" w:cs="Arial" w:eastAsia="Arial" w:hAnsi="Arial"/>
                <w:sz w:val="14"/>
                <w:szCs w:val="14"/>
                <w:color w:val="auto"/>
                <w:w w:val="89"/>
              </w:rPr>
              <w:t>1,011,158</w:t>
            </w:r>
          </w:p>
        </w:tc>
        <w:tc>
          <w:tcPr>
            <w:tcW w:w="1900" w:type="dxa"/>
            <w:vAlign w:val="bottom"/>
          </w:tcPr>
          <w:p>
            <w:pPr>
              <w:jc w:val="center"/>
              <w:ind w:left="1088"/>
              <w:spacing w:after="0"/>
              <w:rPr>
                <w:sz w:val="20"/>
                <w:szCs w:val="20"/>
                <w:color w:val="auto"/>
              </w:rPr>
            </w:pPr>
            <w:r>
              <w:rPr>
                <w:rFonts w:ascii="Arial" w:cs="Arial" w:eastAsia="Arial" w:hAnsi="Arial"/>
                <w:sz w:val="14"/>
                <w:szCs w:val="14"/>
                <w:color w:val="auto"/>
                <w:w w:val="90"/>
              </w:rPr>
              <w:t>998,333</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 –1-291-2000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Simon Holmes, + 353 –1-291-2000</w:t>
      </w:r>
    </w:p>
    <w:p>
      <w:pPr>
        <w:spacing w:after="0" w:line="230" w:lineRule="auto"/>
        <w:rPr>
          <w:sz w:val="20"/>
          <w:szCs w:val="20"/>
          <w:color w:val="auto"/>
        </w:rPr>
      </w:pPr>
      <w:r>
        <w:rPr>
          <w:rFonts w:ascii="Arial" w:cs="Arial" w:eastAsia="Arial" w:hAnsi="Arial"/>
          <w:sz w:val="22"/>
          <w:szCs w:val="22"/>
          <w:color w:val="auto"/>
        </w:rPr>
        <w:t>EVP Investor Relations and Corporate Development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0460"/>
      </w:cols>
      <w:pgMar w:left="240" w:top="13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2019-12-06T19:51:46Z</dcterms:created>
  <dcterms:modified xsi:type="dcterms:W3CDTF">2019-12-06T19:51:46Z</dcterms:modified>
</cp:coreProperties>
</file>