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2"/>
          <w:szCs w:val="22"/>
          <w:b w:val="1"/>
          <w:bCs w:val="1"/>
          <w:color w:val="auto"/>
        </w:rPr>
        <w:t>FORM 6-K</w:t>
      </w:r>
    </w:p>
    <w:p>
      <w:pPr>
        <w:spacing w:after="0" w:line="233"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Pursuant to Rule 13a-16 under</w:t>
      </w:r>
    </w:p>
    <w:p>
      <w:pPr>
        <w:jc w:val="center"/>
        <w:ind w:right="-1100"/>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For the month of July 2023</w:t>
      </w:r>
    </w:p>
    <w:p>
      <w:pPr>
        <w:spacing w:after="0" w:line="200" w:lineRule="exact"/>
        <w:rPr>
          <w:sz w:val="24"/>
          <w:szCs w:val="24"/>
          <w:color w:val="auto"/>
        </w:rPr>
      </w:pPr>
    </w:p>
    <w:p>
      <w:pPr>
        <w:spacing w:after="0" w:line="27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(Translation of registrant's name into English)</w:t>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35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26, 2023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1" w:right="6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580" w:right="1980" w:hanging="7561"/>
        <w:spacing w:after="0" w:line="323" w:lineRule="auto"/>
        <w:tabs>
          <w:tab w:leader="none" w:pos="756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20"/>
          </w:cols>
          <w:pgMar w:left="320" w:top="11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Annual General Meeting</w:t>
      </w:r>
    </w:p>
    <w:p>
      <w:pPr>
        <w:spacing w:after="0" w:line="221"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DUBLIN--(BUSINESS WIRE)--July 26, 2023--</w:t>
      </w:r>
      <w:r>
        <w:rPr>
          <w:rFonts w:ascii="Arial" w:cs="Arial" w:eastAsia="Arial" w:hAnsi="Arial"/>
          <w:sz w:val="22"/>
          <w:szCs w:val="22"/>
          <w:b w:val="1"/>
          <w:bCs w:val="1"/>
          <w:color w:val="auto"/>
        </w:rPr>
        <w:t>ICON plc (NASDAQ: ICLR) (“ICON”),</w:t>
      </w:r>
      <w:r>
        <w:rPr>
          <w:rFonts w:ascii="Arial" w:cs="Arial" w:eastAsia="Arial" w:hAnsi="Arial"/>
          <w:sz w:val="22"/>
          <w:szCs w:val="22"/>
          <w:color w:val="auto"/>
        </w:rPr>
        <w:t xml:space="preserve"> a world-leading healthcare intelligence and clinical research organisation, today announced that all resolutions at the Annual General Meeting of the Company (AGM) held on July 25, 2023 (which resolutions had all been recommended by the Board) were all duly passed by shareholders. These resolutions were set out in the Notice of the AGM sent to shareholders dated June 12, 2023 and are available on the ICON plc website.</w:t>
      </w:r>
    </w:p>
    <w:p>
      <w:pPr>
        <w:spacing w:after="0" w:line="188"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Forms of Proxy were received by ICON plc before the meeting, appointing proxies and giving them the following voting instructions: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RESOLUTION</w:t>
            </w:r>
          </w:p>
        </w:tc>
        <w:tc>
          <w:tcPr>
            <w:tcW w:w="3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TOTAL NUMBER</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VOTE FOR</w:t>
            </w:r>
          </w:p>
        </w:tc>
        <w:tc>
          <w:tcPr>
            <w:tcW w:w="16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VOTE AGAINST</w:t>
            </w:r>
          </w:p>
        </w:tc>
        <w:tc>
          <w:tcPr>
            <w:tcW w:w="16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VOTE WITHHELD</w:t>
            </w: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332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OF VOTES</w:t>
            </w:r>
          </w:p>
        </w:tc>
        <w:tc>
          <w:tcPr>
            <w:tcW w:w="16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3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 re-elect Mr. Ciaran Murray</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70,257,312</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1,283,072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26,432</w:t>
            </w:r>
          </w:p>
        </w:tc>
        <w:tc>
          <w:tcPr>
            <w:tcW w:w="0" w:type="dxa"/>
            <w:vAlign w:val="bottom"/>
          </w:tcPr>
          <w:p>
            <w:pPr>
              <w:spacing w:after="0"/>
              <w:rPr>
                <w:sz w:val="1"/>
                <w:szCs w:val="1"/>
                <w:color w:val="auto"/>
              </w:rPr>
            </w:pPr>
          </w:p>
        </w:tc>
      </w:tr>
      <w:tr>
        <w:trPr>
          <w:trHeight w:val="235"/>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Dr. Steve Cutler</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70,903,974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632,917</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29,925</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 re-elect Mr. Rónán Murphy</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69,894,181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1,641,749</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30,886</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elect Dr. John Climax</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70,821,384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718,792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26,640</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1.5</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elect Mr. Eugene McCague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68,831,265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1,329,888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1,405,663</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1.6</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elect Ms. Joan Garahy</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70,288,846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1,254,430</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23,540</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1.7</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To elect Ms. Julie O’Neill</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69,926,700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1,616,658</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23,458</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elect Dr. Linda Grais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71,142,315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400,259</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24,242</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receive accounts and reports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71,313,021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37,082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216,713</w:t>
            </w:r>
          </w:p>
        </w:tc>
        <w:tc>
          <w:tcPr>
            <w:tcW w:w="0" w:type="dxa"/>
            <w:vAlign w:val="bottom"/>
          </w:tcPr>
          <w:p>
            <w:pPr>
              <w:spacing w:after="0"/>
              <w:rPr>
                <w:sz w:val="1"/>
                <w:szCs w:val="1"/>
                <w:color w:val="auto"/>
              </w:rPr>
            </w:pPr>
          </w:p>
        </w:tc>
      </w:tr>
      <w:tr>
        <w:trPr>
          <w:trHeight w:val="213"/>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3</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authorise the fixing of the auditors’</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65,266,861</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6,274,208</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25,747</w:t>
            </w:r>
          </w:p>
        </w:tc>
        <w:tc>
          <w:tcPr>
            <w:tcW w:w="0" w:type="dxa"/>
            <w:vAlign w:val="bottom"/>
          </w:tcPr>
          <w:p>
            <w:pPr>
              <w:spacing w:after="0"/>
              <w:rPr>
                <w:sz w:val="1"/>
                <w:szCs w:val="1"/>
                <w:color w:val="auto"/>
              </w:rPr>
            </w:pPr>
          </w:p>
        </w:tc>
      </w:tr>
      <w:tr>
        <w:trPr>
          <w:trHeight w:val="122"/>
        </w:trPr>
        <w:tc>
          <w:tcPr>
            <w:tcW w:w="126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remuneration</w:t>
            </w:r>
          </w:p>
        </w:tc>
        <w:tc>
          <w:tcPr>
            <w:tcW w:w="16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right w:val="single" w:sz="8" w:color="auto"/>
            </w:tcBorders>
          </w:tcPr>
          <w:p>
            <w:pPr>
              <w:spacing w:after="0"/>
              <w:rPr>
                <w:sz w:val="10"/>
                <w:szCs w:val="10"/>
                <w:color w:val="auto"/>
              </w:rPr>
            </w:pPr>
          </w:p>
        </w:tc>
        <w:tc>
          <w:tcPr>
            <w:tcW w:w="3320" w:type="dxa"/>
            <w:vAlign w:val="bottom"/>
            <w:tcBorders>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allot shares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70,341,037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1,193,501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32,278</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disapply pre-emption rights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69,227,283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2,262,331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77,202</w:t>
            </w:r>
          </w:p>
        </w:tc>
        <w:tc>
          <w:tcPr>
            <w:tcW w:w="0" w:type="dxa"/>
            <w:vAlign w:val="bottom"/>
          </w:tcPr>
          <w:p>
            <w:pPr>
              <w:spacing w:after="0"/>
              <w:rPr>
                <w:sz w:val="1"/>
                <w:szCs w:val="1"/>
                <w:color w:val="auto"/>
              </w:rPr>
            </w:pPr>
          </w:p>
        </w:tc>
      </w:tr>
      <w:tr>
        <w:trPr>
          <w:trHeight w:val="213"/>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make market</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70,734,103</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605,870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226,843</w:t>
            </w:r>
          </w:p>
        </w:tc>
        <w:tc>
          <w:tcPr>
            <w:tcW w:w="0" w:type="dxa"/>
            <w:vAlign w:val="bottom"/>
          </w:tcPr>
          <w:p>
            <w:pPr>
              <w:spacing w:after="0"/>
              <w:rPr>
                <w:sz w:val="1"/>
                <w:szCs w:val="1"/>
                <w:color w:val="auto"/>
              </w:rPr>
            </w:pPr>
          </w:p>
        </w:tc>
      </w:tr>
      <w:tr>
        <w:trPr>
          <w:trHeight w:val="122"/>
        </w:trPr>
        <w:tc>
          <w:tcPr>
            <w:tcW w:w="1260" w:type="dxa"/>
            <w:vAlign w:val="bottom"/>
            <w:tcBorders>
              <w:right w:val="single" w:sz="8" w:color="auto"/>
            </w:tcBorders>
            <w:vMerge w:val="continue"/>
          </w:tcPr>
          <w:p>
            <w:pPr>
              <w:spacing w:after="0"/>
              <w:rPr>
                <w:sz w:val="10"/>
                <w:szCs w:val="10"/>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purchases of shares</w:t>
            </w:r>
          </w:p>
        </w:tc>
        <w:tc>
          <w:tcPr>
            <w:tcW w:w="16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auto"/>
              <w:right w:val="single" w:sz="8" w:color="auto"/>
            </w:tcBorders>
          </w:tcPr>
          <w:p>
            <w:pPr>
              <w:spacing w:after="0"/>
              <w:rPr>
                <w:sz w:val="10"/>
                <w:szCs w:val="10"/>
                <w:color w:val="auto"/>
              </w:rPr>
            </w:pPr>
          </w:p>
        </w:tc>
        <w:tc>
          <w:tcPr>
            <w:tcW w:w="3320" w:type="dxa"/>
            <w:vAlign w:val="bottom"/>
            <w:tcBorders>
              <w:bottom w:val="single" w:sz="8" w:color="auto"/>
              <w:right w:val="single" w:sz="8" w:color="auto"/>
            </w:tcBorders>
            <w:vMerge w:val="continue"/>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7**</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To authorise the price range at which the</w:t>
            </w: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Borders>
              <w:right w:val="single" w:sz="8" w:color="auto"/>
            </w:tcBorders>
            <w:vMerge w:val="continue"/>
          </w:tcPr>
          <w:p>
            <w:pPr>
              <w:spacing w:after="0"/>
              <w:rPr>
                <w:sz w:val="18"/>
                <w:szCs w:val="18"/>
                <w:color w:val="auto"/>
              </w:rPr>
            </w:pP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Company can reissue shares it holds as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71,566,816</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70,966,963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534,802</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65,051</w:t>
            </w:r>
          </w:p>
        </w:tc>
        <w:tc>
          <w:tcPr>
            <w:tcW w:w="0" w:type="dxa"/>
            <w:vAlign w:val="bottom"/>
          </w:tcPr>
          <w:p>
            <w:pPr>
              <w:spacing w:after="0"/>
              <w:rPr>
                <w:sz w:val="1"/>
                <w:szCs w:val="1"/>
                <w:color w:val="auto"/>
              </w:rPr>
            </w:pPr>
          </w:p>
        </w:tc>
      </w:tr>
      <w:tr>
        <w:trPr>
          <w:trHeight w:val="237"/>
        </w:trPr>
        <w:tc>
          <w:tcPr>
            <w:tcW w:w="126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treasury shares</w:t>
            </w:r>
          </w:p>
        </w:tc>
        <w:tc>
          <w:tcPr>
            <w:tcW w:w="16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2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6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41,160 employees in 108 locations in 53 countries as at June 30, 2023. For further information about ICON, visit: www.iconplc.com.</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 +1888 381 7923 or</w:t>
      </w:r>
    </w:p>
    <w:p>
      <w:pPr>
        <w:spacing w:after="0" w:line="238" w:lineRule="auto"/>
        <w:rPr>
          <w:sz w:val="20"/>
          <w:szCs w:val="20"/>
          <w:color w:val="auto"/>
        </w:rPr>
      </w:pPr>
      <w:r>
        <w:rPr>
          <w:rFonts w:ascii="Arial" w:cs="Arial" w:eastAsia="Arial" w:hAnsi="Arial"/>
          <w:sz w:val="22"/>
          <w:szCs w:val="22"/>
          <w:color w:val="auto"/>
        </w:rPr>
        <w:t>Brendan Brennan Chief Financial Officer +353 1 291 2000</w:t>
      </w:r>
    </w:p>
    <w:p>
      <w:pPr>
        <w:spacing w:after="0" w:line="230" w:lineRule="auto"/>
        <w:rPr>
          <w:sz w:val="20"/>
          <w:szCs w:val="20"/>
          <w:color w:val="auto"/>
        </w:rPr>
      </w:pPr>
      <w:r>
        <w:rPr>
          <w:rFonts w:ascii="Arial" w:cs="Arial" w:eastAsia="Arial" w:hAnsi="Arial"/>
          <w:sz w:val="22"/>
          <w:szCs w:val="22"/>
          <w:color w:val="auto"/>
        </w:rPr>
        <w:t>Kate Haven Vice President Investor Relations +1888 381 7923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2023-07-26T16:00:40Z</dcterms:created>
  <dcterms:modified xsi:type="dcterms:W3CDTF">2023-07-26T16:00:40Z</dcterms:modified>
</cp:coreProperties>
</file>