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FORM 6-K</w:t>
      </w:r>
    </w:p>
    <w:p>
      <w:pPr>
        <w:spacing w:after="0" w:line="200" w:lineRule="exact"/>
        <w:rPr>
          <w:sz w:val="24"/>
          <w:szCs w:val="24"/>
          <w:color w:val="auto"/>
        </w:rPr>
      </w:pPr>
    </w:p>
    <w:p>
      <w:pPr>
        <w:spacing w:after="0" w:line="29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spacing w:after="0" w:line="26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Washington, D.C. 20549</w:t>
      </w:r>
    </w:p>
    <w:p>
      <w:pPr>
        <w:spacing w:after="0" w:line="2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Report of Foreign Private Issuer</w:t>
      </w:r>
    </w:p>
    <w:p>
      <w:pPr>
        <w:jc w:val="center"/>
        <w:ind w:right="-19"/>
        <w:spacing w:after="0" w:line="229" w:lineRule="auto"/>
        <w:rPr>
          <w:sz w:val="20"/>
          <w:szCs w:val="20"/>
          <w:color w:val="auto"/>
        </w:rPr>
      </w:pPr>
      <w:r>
        <w:rPr>
          <w:rFonts w:ascii="Times New Roman" w:cs="Times New Roman" w:eastAsia="Times New Roman" w:hAnsi="Times New Roman"/>
          <w:sz w:val="14"/>
          <w:szCs w:val="14"/>
          <w:b w:val="1"/>
          <w:bCs w:val="1"/>
          <w:color w:val="auto"/>
        </w:rPr>
        <w:t>Pursuant to Rule 13a - 16 under</w:t>
      </w:r>
    </w:p>
    <w:p>
      <w:pPr>
        <w:spacing w:after="0" w:line="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ICON 2008 Guidance</w:t>
      </w:r>
    </w:p>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ICON plc</w:t>
      </w:r>
    </w:p>
    <w:p>
      <w:pPr>
        <w:spacing w:after="0" w:line="3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4"/>
          <w:szCs w:val="14"/>
          <w:color w:val="auto"/>
        </w:rPr>
        <w:t>(Registrant’s name)</w:t>
      </w:r>
    </w:p>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0-29714</w:t>
      </w:r>
    </w:p>
    <w:p>
      <w:pPr>
        <w:spacing w:after="0" w:line="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South County Business Park, Leopardstown, Dublin 18, Ireland.</w:t>
      </w:r>
    </w:p>
    <w:p>
      <w:pPr>
        <w:spacing w:after="0" w:line="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files or will file annual reports under cover Form 20-F or Form 40-F.</w:t>
      </w:r>
    </w:p>
    <w:p>
      <w:pPr>
        <w:spacing w:after="0" w:line="229" w:lineRule="exact"/>
        <w:rPr>
          <w:sz w:val="24"/>
          <w:szCs w:val="24"/>
          <w:color w:val="auto"/>
        </w:rPr>
      </w:pPr>
    </w:p>
    <w:p>
      <w:pPr>
        <w:ind w:left="4140"/>
        <w:spacing w:after="0"/>
        <w:tabs>
          <w:tab w:leader="none" w:pos="6600" w:val="left"/>
        </w:tabs>
        <w:rPr>
          <w:sz w:val="20"/>
          <w:szCs w:val="20"/>
          <w:color w:val="auto"/>
        </w:rPr>
      </w:pPr>
      <w:r>
        <w:rPr>
          <w:rFonts w:ascii="Times New Roman" w:cs="Times New Roman" w:eastAsia="Times New Roman" w:hAnsi="Times New Roman"/>
          <w:sz w:val="14"/>
          <w:szCs w:val="14"/>
          <w:color w:val="auto"/>
        </w:rPr>
        <w:t>Yes___</w:t>
      </w:r>
      <w:r>
        <w:rPr>
          <w:rFonts w:ascii="Times New Roman" w:cs="Times New Roman" w:eastAsia="Times New Roman" w:hAnsi="Times New Roman"/>
          <w:sz w:val="14"/>
          <w:szCs w:val="14"/>
          <w:b w:val="1"/>
          <w:bCs w:val="1"/>
          <w:u w:val="single" w:color="auto"/>
          <w:color w:val="auto"/>
        </w:rPr>
        <w:t>X</w:t>
      </w:r>
      <w:r>
        <w:rPr>
          <w:rFonts w:ascii="Times New Roman" w:cs="Times New Roman" w:eastAsia="Times New Roman" w:hAnsi="Times New Roman"/>
          <w:sz w:val="14"/>
          <w:szCs w:val="14"/>
          <w:color w:val="auto"/>
        </w:rPr>
        <w:t>___</w:t>
      </w:r>
      <w:r>
        <w:rPr>
          <w:sz w:val="20"/>
          <w:szCs w:val="20"/>
          <w:color w:val="auto"/>
        </w:rPr>
        <w:tab/>
      </w:r>
      <w:r>
        <w:rPr>
          <w:rFonts w:ascii="Times New Roman" w:cs="Times New Roman" w:eastAsia="Times New Roman" w:hAnsi="Times New Roman"/>
          <w:sz w:val="13"/>
          <w:szCs w:val="13"/>
          <w:color w:val="auto"/>
        </w:rPr>
        <w:t>No___</w:t>
      </w:r>
      <w:r>
        <w:rPr>
          <w:rFonts w:ascii="Times New Roman" w:cs="Times New Roman" w:eastAsia="Times New Roman" w:hAnsi="Times New Roman"/>
          <w:sz w:val="13"/>
          <w:szCs w:val="13"/>
          <w:b w:val="1"/>
          <w:bCs w:val="1"/>
          <w:color w:val="auto"/>
        </w:rPr>
        <w:t>_</w:t>
      </w:r>
      <w:r>
        <w:rPr>
          <w:rFonts w:ascii="Times New Roman" w:cs="Times New Roman" w:eastAsia="Times New Roman" w:hAnsi="Times New Roman"/>
          <w:sz w:val="13"/>
          <w:szCs w:val="13"/>
          <w:color w:val="auto"/>
        </w:rPr>
        <w:t>___</w:t>
      </w:r>
    </w:p>
    <w:p>
      <w:pPr>
        <w:spacing w:after="0" w:line="200" w:lineRule="exact"/>
        <w:rPr>
          <w:sz w:val="24"/>
          <w:szCs w:val="24"/>
          <w:color w:val="auto"/>
        </w:rPr>
      </w:pP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submitting the Form 6-K in paper as permitted by Regulation S-T Rule 101(b)(1):</w:t>
      </w:r>
    </w:p>
    <w:p>
      <w:pPr>
        <w:spacing w:after="0" w:line="229" w:lineRule="exact"/>
        <w:rPr>
          <w:sz w:val="24"/>
          <w:szCs w:val="24"/>
          <w:color w:val="auto"/>
        </w:rPr>
      </w:pPr>
    </w:p>
    <w:p>
      <w:pPr>
        <w:ind w:left="4180"/>
        <w:spacing w:after="0"/>
        <w:tabs>
          <w:tab w:leader="none" w:pos="6520" w:val="left"/>
        </w:tabs>
        <w:rPr>
          <w:sz w:val="20"/>
          <w:szCs w:val="20"/>
          <w:color w:val="auto"/>
        </w:rPr>
      </w:pPr>
      <w:r>
        <w:rPr>
          <w:rFonts w:ascii="Times New Roman" w:cs="Times New Roman" w:eastAsia="Times New Roman" w:hAnsi="Times New Roman"/>
          <w:sz w:val="14"/>
          <w:szCs w:val="14"/>
          <w:color w:val="auto"/>
        </w:rPr>
        <w:t>Yes______</w:t>
      </w:r>
      <w:r>
        <w:rPr>
          <w:sz w:val="20"/>
          <w:szCs w:val="20"/>
          <w:color w:val="auto"/>
        </w:rPr>
        <w:tab/>
      </w:r>
      <w:r>
        <w:rPr>
          <w:rFonts w:ascii="Times New Roman" w:cs="Times New Roman" w:eastAsia="Times New Roman" w:hAnsi="Times New Roman"/>
          <w:sz w:val="14"/>
          <w:szCs w:val="14"/>
          <w:color w:val="auto"/>
        </w:rPr>
        <w:t>No___</w:t>
      </w:r>
      <w:r>
        <w:rPr>
          <w:rFonts w:ascii="Times New Roman" w:cs="Times New Roman" w:eastAsia="Times New Roman" w:hAnsi="Times New Roman"/>
          <w:sz w:val="14"/>
          <w:szCs w:val="14"/>
          <w:b w:val="1"/>
          <w:bCs w:val="1"/>
          <w:u w:val="single" w:color="auto"/>
          <w:color w:val="auto"/>
        </w:rPr>
        <w:t>X</w:t>
      </w:r>
      <w:r>
        <w:rPr>
          <w:rFonts w:ascii="Times New Roman" w:cs="Times New Roman" w:eastAsia="Times New Roman" w:hAnsi="Times New Roman"/>
          <w:sz w:val="14"/>
          <w:szCs w:val="14"/>
          <w:color w:val="auto"/>
        </w:rPr>
        <w:t>___</w:t>
      </w:r>
    </w:p>
    <w:p>
      <w:pPr>
        <w:spacing w:after="0" w:line="200" w:lineRule="exact"/>
        <w:rPr>
          <w:sz w:val="24"/>
          <w:szCs w:val="24"/>
          <w:color w:val="auto"/>
        </w:rPr>
      </w:pP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submitting the Form 6-K in paper as permitted by Regulation S-T Rule 101(b)(7):</w:t>
      </w:r>
    </w:p>
    <w:p>
      <w:pPr>
        <w:spacing w:after="0" w:line="229" w:lineRule="exact"/>
        <w:rPr>
          <w:sz w:val="24"/>
          <w:szCs w:val="24"/>
          <w:color w:val="auto"/>
        </w:rPr>
      </w:pPr>
    </w:p>
    <w:p>
      <w:pPr>
        <w:ind w:left="4180"/>
        <w:spacing w:after="0"/>
        <w:tabs>
          <w:tab w:leader="none" w:pos="6520" w:val="left"/>
        </w:tabs>
        <w:rPr>
          <w:sz w:val="20"/>
          <w:szCs w:val="20"/>
          <w:color w:val="auto"/>
        </w:rPr>
      </w:pPr>
      <w:r>
        <w:rPr>
          <w:rFonts w:ascii="Times New Roman" w:cs="Times New Roman" w:eastAsia="Times New Roman" w:hAnsi="Times New Roman"/>
          <w:sz w:val="14"/>
          <w:szCs w:val="14"/>
          <w:color w:val="auto"/>
        </w:rPr>
        <w:t>Yes______</w:t>
      </w:r>
      <w:r>
        <w:rPr>
          <w:sz w:val="20"/>
          <w:szCs w:val="20"/>
          <w:color w:val="auto"/>
        </w:rPr>
        <w:tab/>
      </w:r>
      <w:r>
        <w:rPr>
          <w:rFonts w:ascii="Times New Roman" w:cs="Times New Roman" w:eastAsia="Times New Roman" w:hAnsi="Times New Roman"/>
          <w:sz w:val="14"/>
          <w:szCs w:val="14"/>
          <w:color w:val="auto"/>
        </w:rPr>
        <w:t>No___</w:t>
      </w:r>
      <w:r>
        <w:rPr>
          <w:rFonts w:ascii="Times New Roman" w:cs="Times New Roman" w:eastAsia="Times New Roman" w:hAnsi="Times New Roman"/>
          <w:sz w:val="14"/>
          <w:szCs w:val="14"/>
          <w:b w:val="1"/>
          <w:bCs w:val="1"/>
          <w:u w:val="single" w:color="auto"/>
          <w:color w:val="auto"/>
        </w:rPr>
        <w:t>X</w:t>
      </w:r>
      <w:r>
        <w:rPr>
          <w:rFonts w:ascii="Times New Roman" w:cs="Times New Roman" w:eastAsia="Times New Roman" w:hAnsi="Times New Roman"/>
          <w:sz w:val="14"/>
          <w:szCs w:val="14"/>
          <w:color w:val="auto"/>
        </w:rPr>
        <w:t>___</w:t>
      </w:r>
    </w:p>
    <w:p>
      <w:pPr>
        <w:spacing w:after="0" w:line="200" w:lineRule="exact"/>
        <w:rPr>
          <w:sz w:val="24"/>
          <w:szCs w:val="24"/>
          <w:color w:val="auto"/>
        </w:rPr>
      </w:pPr>
    </w:p>
    <w:p>
      <w:pPr>
        <w:spacing w:after="0" w:line="276" w:lineRule="exact"/>
        <w:rPr>
          <w:sz w:val="24"/>
          <w:szCs w:val="24"/>
          <w:color w:val="auto"/>
        </w:rPr>
      </w:pPr>
    </w:p>
    <w:p>
      <w:pPr>
        <w:spacing w:after="0" w:line="262" w:lineRule="auto"/>
        <w:rPr>
          <w:sz w:val="20"/>
          <w:szCs w:val="20"/>
          <w:color w:val="auto"/>
        </w:rPr>
      </w:pPr>
      <w:r>
        <w:rPr>
          <w:rFonts w:ascii="Times New Roman" w:cs="Times New Roman" w:eastAsia="Times New Roman" w:hAnsi="Times New Roman"/>
          <w:sz w:val="14"/>
          <w:szCs w:val="14"/>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87" w:lineRule="exact"/>
        <w:rPr>
          <w:sz w:val="24"/>
          <w:szCs w:val="24"/>
          <w:color w:val="auto"/>
        </w:rPr>
      </w:pPr>
    </w:p>
    <w:p>
      <w:pPr>
        <w:ind w:left="4140"/>
        <w:spacing w:after="0"/>
        <w:tabs>
          <w:tab w:leader="none" w:pos="6560" w:val="left"/>
        </w:tabs>
        <w:rPr>
          <w:sz w:val="20"/>
          <w:szCs w:val="20"/>
          <w:color w:val="auto"/>
        </w:rPr>
      </w:pPr>
      <w:r>
        <w:rPr>
          <w:rFonts w:ascii="Times New Roman" w:cs="Times New Roman" w:eastAsia="Times New Roman" w:hAnsi="Times New Roman"/>
          <w:sz w:val="14"/>
          <w:szCs w:val="14"/>
          <w:color w:val="auto"/>
        </w:rPr>
        <w:t>Yes___</w:t>
      </w:r>
      <w:r>
        <w:rPr>
          <w:rFonts w:ascii="Times New Roman" w:cs="Times New Roman" w:eastAsia="Times New Roman" w:hAnsi="Times New Roman"/>
          <w:sz w:val="14"/>
          <w:szCs w:val="14"/>
          <w:b w:val="1"/>
          <w:bCs w:val="1"/>
          <w:color w:val="auto"/>
        </w:rPr>
        <w:t>_</w:t>
      </w:r>
      <w:r>
        <w:rPr>
          <w:rFonts w:ascii="Times New Roman" w:cs="Times New Roman" w:eastAsia="Times New Roman" w:hAnsi="Times New Roman"/>
          <w:sz w:val="14"/>
          <w:szCs w:val="14"/>
          <w:color w:val="auto"/>
        </w:rPr>
        <w:t>___</w:t>
      </w:r>
      <w:r>
        <w:rPr>
          <w:sz w:val="20"/>
          <w:szCs w:val="20"/>
          <w:color w:val="auto"/>
        </w:rPr>
        <w:tab/>
      </w:r>
      <w:r>
        <w:rPr>
          <w:rFonts w:ascii="Times New Roman" w:cs="Times New Roman" w:eastAsia="Times New Roman" w:hAnsi="Times New Roman"/>
          <w:sz w:val="14"/>
          <w:szCs w:val="14"/>
          <w:color w:val="auto"/>
        </w:rPr>
        <w:t>No___</w:t>
      </w:r>
      <w:r>
        <w:rPr>
          <w:rFonts w:ascii="Times New Roman" w:cs="Times New Roman" w:eastAsia="Times New Roman" w:hAnsi="Times New Roman"/>
          <w:sz w:val="14"/>
          <w:szCs w:val="14"/>
          <w:b w:val="1"/>
          <w:bCs w:val="1"/>
          <w:u w:val="single" w:color="auto"/>
          <w:color w:val="auto"/>
        </w:rPr>
        <w:t>X</w:t>
      </w:r>
      <w:r>
        <w:rPr>
          <w:rFonts w:ascii="Times New Roman" w:cs="Times New Roman" w:eastAsia="Times New Roman" w:hAnsi="Times New Roman"/>
          <w:sz w:val="14"/>
          <w:szCs w:val="14"/>
          <w:color w:val="auto"/>
        </w:rPr>
        <w:t>___</w:t>
      </w:r>
    </w:p>
    <w:p>
      <w:pPr>
        <w:spacing w:after="0" w:line="200" w:lineRule="exact"/>
        <w:rPr>
          <w:sz w:val="24"/>
          <w:szCs w:val="24"/>
          <w:color w:val="auto"/>
        </w:rPr>
      </w:pP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If “Yes” is marked, indicate below the file number assigned to the registrant in connection with Rule 12g3-2(b):82</w:t>
      </w:r>
    </w:p>
    <w:p>
      <w:pPr>
        <w:spacing w:after="0" w:line="4" w:lineRule="exact"/>
        <w:rPr>
          <w:sz w:val="24"/>
          <w:szCs w:val="24"/>
          <w:color w:val="auto"/>
        </w:rPr>
      </w:pPr>
    </w:p>
    <w:p>
      <w:pPr>
        <w:ind w:left="5600"/>
        <w:spacing w:after="0"/>
        <w:rPr>
          <w:sz w:val="20"/>
          <w:szCs w:val="20"/>
          <w:color w:val="auto"/>
        </w:rPr>
      </w:pPr>
      <w:r>
        <w:rPr>
          <w:rFonts w:ascii="Times New Roman" w:cs="Times New Roman" w:eastAsia="Times New Roman" w:hAnsi="Times New Roman"/>
          <w:sz w:val="14"/>
          <w:szCs w:val="14"/>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680085</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09" w:right="2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4"/>
          <w:szCs w:val="14"/>
          <w:b w:val="1"/>
          <w:bCs w:val="1"/>
          <w:color w:val="auto"/>
        </w:rPr>
        <w:t>ICON issues financial guidance for 2008 and reaffirms guidance for 2007.</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(NASDAQ:ICLR)</w:t>
      </w:r>
    </w:p>
    <w:p>
      <w:pPr>
        <w:spacing w:after="0" w:line="215" w:lineRule="exact"/>
        <w:rPr>
          <w:sz w:val="20"/>
          <w:szCs w:val="20"/>
          <w:color w:val="auto"/>
        </w:rPr>
      </w:pPr>
    </w:p>
    <w:p>
      <w:pPr>
        <w:ind w:right="200"/>
        <w:spacing w:after="0" w:line="262" w:lineRule="auto"/>
        <w:rPr>
          <w:sz w:val="20"/>
          <w:szCs w:val="20"/>
          <w:color w:val="auto"/>
        </w:rPr>
      </w:pPr>
      <w:r>
        <w:rPr>
          <w:rFonts w:ascii="Times New Roman" w:cs="Times New Roman" w:eastAsia="Times New Roman" w:hAnsi="Times New Roman"/>
          <w:sz w:val="14"/>
          <w:szCs w:val="14"/>
          <w:color w:val="auto"/>
        </w:rPr>
        <w:t>Dublin, Ireland, December 19, 2007 – ICON (NASDAQ: ICLR), a global provider of outsourced development services to the pharmaceutical, biotechnology and medical device industries, today announced financial guidance for 2008.</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2008 net revenue is expected to be in the range of $750 - $770 million, compared to a range of $615 - $625 million which has already been guided for 2007.</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2008 net income per diluted share is forecast to be in the range of $2.27 - $2.36 compared to $1.82 - $1.85 guided for 2007.</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company will hold a conference call today, December 19, 2007 at 09:00 EST [14:00 Ireland &amp; UK]. A question and answer session will follow.</w:t>
      </w:r>
    </w:p>
    <w:p>
      <w:pPr>
        <w:spacing w:after="0" w:line="231" w:lineRule="exact"/>
        <w:rPr>
          <w:sz w:val="20"/>
          <w:szCs w:val="20"/>
          <w:color w:val="auto"/>
        </w:rPr>
      </w:pPr>
    </w:p>
    <w:p>
      <w:pPr>
        <w:ind w:right="160"/>
        <w:spacing w:after="0" w:line="236" w:lineRule="auto"/>
        <w:rPr>
          <w:sz w:val="20"/>
          <w:szCs w:val="20"/>
          <w:color w:val="auto"/>
        </w:rPr>
      </w:pPr>
      <w:r>
        <w:rPr>
          <w:rFonts w:ascii="Times New Roman" w:cs="Times New Roman" w:eastAsia="Times New Roman" w:hAnsi="Times New Roman"/>
          <w:sz w:val="14"/>
          <w:szCs w:val="14"/>
          <w:color w:val="auto"/>
        </w:rPr>
        <w:t>The statements made in this Press Release may contain forward-looking statements that involve a number of risks and uncertainties. In addition to the matters described in this Press Release, the ability to maintain large client contracts or enter into new contracts, maintain client relationships and the ability to manage the opening of new offices, the integration of new business mergers and acquisitions, as well as other risks and uncertainties detailed from time to time in SEC reports filed by ICON, including its Form 20-F, F-1, S-8 and F-3, may affect the actual results achieved by ICON. ICON disclaims any intent or obligation to update these forward-looking statements.</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The financial information presented herein has been prepared in accordance with U.S. GAAP.</w:t>
      </w:r>
    </w:p>
    <w:p>
      <w:pPr>
        <w:spacing w:after="0" w:line="231"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14"/>
          <w:szCs w:val="14"/>
          <w:color w:val="auto"/>
        </w:rPr>
        <w:t xml:space="preserve">ICON plc is a global provider of outsourced development services to the pharmaceutical, biotechnology and medical device industries. The Company specializes in the strategic development, management and analysis of programs that support clinical development - from compound selection to Phase I-IV clinical studies. ICON teams have successfully conducted over 1,900 development projects and over 2,300 consultancy engagements across all major therapeutic areas. ICON currently has approximately 5,600 employees, operating from 67 locations in 35 countries. Further information is available at </w:t>
      </w:r>
      <w:r>
        <w:rPr>
          <w:rFonts w:ascii="Times New Roman" w:cs="Times New Roman" w:eastAsia="Times New Roman" w:hAnsi="Times New Roman"/>
          <w:sz w:val="14"/>
          <w:szCs w:val="14"/>
          <w:u w:val="single" w:color="auto"/>
          <w:color w:val="auto"/>
        </w:rPr>
        <w:t>www.iconplc.com</w:t>
      </w:r>
      <w:r>
        <w:rPr>
          <w:rFonts w:ascii="Times New Roman" w:cs="Times New Roman" w:eastAsia="Times New Roman" w:hAnsi="Times New Roman"/>
          <w:sz w:val="14"/>
          <w:szCs w:val="14"/>
          <w:color w:val="auto"/>
        </w:rPr>
        <w:t>.</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Source: ICON plc</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Contact : Investor Relations 1-888-381-7923 or</w:t>
      </w:r>
    </w:p>
    <w:p>
      <w:pPr>
        <w:spacing w:after="0" w:line="226" w:lineRule="auto"/>
        <w:rPr>
          <w:sz w:val="20"/>
          <w:szCs w:val="20"/>
          <w:color w:val="auto"/>
        </w:rPr>
      </w:pPr>
      <w:r>
        <w:rPr>
          <w:rFonts w:ascii="Times New Roman" w:cs="Times New Roman" w:eastAsia="Times New Roman" w:hAnsi="Times New Roman"/>
          <w:sz w:val="14"/>
          <w:szCs w:val="14"/>
          <w:color w:val="auto"/>
        </w:rPr>
        <w:t>Ciaran Murray CFO + 353 –1-291-2000</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Both at ICON.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989330</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601" w:right="279" w:bottom="1440" w:gutter="0" w:footer="0" w:header="0"/>
        </w:sectPr>
      </w:pPr>
    </w:p>
    <w:bookmarkStart w:id="2" w:name="page3"/>
    <w:bookmarkEnd w:id="2"/>
    <w:p>
      <w:pPr>
        <w:ind w:left="5260"/>
        <w:spacing w:after="0"/>
        <w:rPr>
          <w:sz w:val="20"/>
          <w:szCs w:val="20"/>
          <w:color w:val="auto"/>
        </w:rPr>
      </w:pPr>
      <w:r>
        <w:rPr>
          <w:rFonts w:ascii="Times New Roman" w:cs="Times New Roman" w:eastAsia="Times New Roman" w:hAnsi="Times New Roman"/>
          <w:sz w:val="14"/>
          <w:szCs w:val="14"/>
          <w:b w:val="1"/>
          <w:bCs w:val="1"/>
          <w:color w:val="auto"/>
        </w:rPr>
        <w:t>SIGNATURES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4"/>
          <w:szCs w:val="14"/>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2880" w:type="dxa"/>
            <w:vAlign w:val="bottom"/>
            <w:tcBorders>
              <w:top w:val="single" w:sz="8" w:color="auto"/>
            </w:tcBorders>
            <w:vMerge w:val="restart"/>
          </w:tcPr>
          <w:p>
            <w:pPr>
              <w:spacing w:after="0"/>
              <w:rPr>
                <w:sz w:val="20"/>
                <w:szCs w:val="20"/>
                <w:color w:val="auto"/>
              </w:rPr>
            </w:pPr>
            <w:r>
              <w:rPr>
                <w:rFonts w:ascii="Times New Roman" w:cs="Times New Roman" w:eastAsia="Times New Roman" w:hAnsi="Times New Roman"/>
                <w:sz w:val="14"/>
                <w:szCs w:val="14"/>
                <w:color w:val="auto"/>
              </w:rPr>
              <w:t>Date: December 19, 2007</w:t>
            </w:r>
          </w:p>
        </w:tc>
        <w:tc>
          <w:tcPr>
            <w:tcW w:w="2840" w:type="dxa"/>
            <w:vAlign w:val="bottom"/>
          </w:tcPr>
          <w:p>
            <w:pPr>
              <w:spacing w:after="0"/>
              <w:rPr>
                <w:sz w:val="13"/>
                <w:szCs w:val="13"/>
                <w:color w:val="auto"/>
              </w:rPr>
            </w:pPr>
          </w:p>
        </w:tc>
        <w:tc>
          <w:tcPr>
            <w:tcW w:w="2860" w:type="dxa"/>
            <w:vAlign w:val="bottom"/>
            <w:tcBorders>
              <w:top w:val="single" w:sz="8" w:color="auto"/>
            </w:tcBorders>
          </w:tcPr>
          <w:p>
            <w:pPr>
              <w:spacing w:after="0" w:line="153" w:lineRule="exact"/>
              <w:rPr>
                <w:sz w:val="20"/>
                <w:szCs w:val="20"/>
                <w:color w:val="auto"/>
              </w:rPr>
            </w:pPr>
            <w:r>
              <w:rPr>
                <w:rFonts w:ascii="Times New Roman" w:cs="Times New Roman" w:eastAsia="Times New Roman" w:hAnsi="Times New Roman"/>
                <w:sz w:val="14"/>
                <w:szCs w:val="14"/>
                <w:color w:val="auto"/>
              </w:rPr>
              <w:t>Ciaran Murray</w:t>
            </w:r>
          </w:p>
        </w:tc>
        <w:tc>
          <w:tcPr>
            <w:tcW w:w="0" w:type="dxa"/>
            <w:vAlign w:val="bottom"/>
          </w:tcPr>
          <w:p>
            <w:pPr>
              <w:spacing w:after="0"/>
              <w:rPr>
                <w:sz w:val="1"/>
                <w:szCs w:val="1"/>
                <w:color w:val="auto"/>
              </w:rPr>
            </w:pPr>
          </w:p>
        </w:tc>
      </w:tr>
      <w:tr>
        <w:trPr>
          <w:trHeight w:val="107"/>
        </w:trPr>
        <w:tc>
          <w:tcPr>
            <w:tcW w:w="2880" w:type="dxa"/>
            <w:vAlign w:val="bottom"/>
            <w:vMerge w:val="continue"/>
          </w:tcPr>
          <w:p>
            <w:pPr>
              <w:spacing w:after="0"/>
              <w:rPr>
                <w:sz w:val="9"/>
                <w:szCs w:val="9"/>
                <w:color w:val="auto"/>
              </w:rPr>
            </w:pPr>
          </w:p>
        </w:tc>
        <w:tc>
          <w:tcPr>
            <w:tcW w:w="2840" w:type="dxa"/>
            <w:vAlign w:val="bottom"/>
          </w:tcPr>
          <w:p>
            <w:pPr>
              <w:spacing w:after="0"/>
              <w:rPr>
                <w:sz w:val="9"/>
                <w:szCs w:val="9"/>
                <w:color w:val="auto"/>
              </w:rPr>
            </w:pPr>
          </w:p>
        </w:tc>
        <w:tc>
          <w:tcPr>
            <w:tcW w:w="286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Chief Financial Officer</w:t>
            </w:r>
          </w:p>
        </w:tc>
        <w:tc>
          <w:tcPr>
            <w:tcW w:w="0" w:type="dxa"/>
            <w:vAlign w:val="bottom"/>
          </w:tcPr>
          <w:p>
            <w:pPr>
              <w:spacing w:after="0"/>
              <w:rPr>
                <w:sz w:val="1"/>
                <w:szCs w:val="1"/>
                <w:color w:val="auto"/>
              </w:rPr>
            </w:pPr>
          </w:p>
        </w:tc>
      </w:tr>
      <w:tr>
        <w:trPr>
          <w:trHeight w:val="81"/>
        </w:trPr>
        <w:tc>
          <w:tcPr>
            <w:tcW w:w="2880" w:type="dxa"/>
            <w:vAlign w:val="bottom"/>
          </w:tcPr>
          <w:p>
            <w:pPr>
              <w:spacing w:after="0"/>
              <w:rPr>
                <w:sz w:val="7"/>
                <w:szCs w:val="7"/>
                <w:color w:val="auto"/>
              </w:rPr>
            </w:pPr>
          </w:p>
        </w:tc>
        <w:tc>
          <w:tcPr>
            <w:tcW w:w="2840" w:type="dxa"/>
            <w:vAlign w:val="bottom"/>
          </w:tcPr>
          <w:p>
            <w:pPr>
              <w:spacing w:after="0"/>
              <w:rPr>
                <w:sz w:val="7"/>
                <w:szCs w:val="7"/>
                <w:color w:val="auto"/>
              </w:rPr>
            </w:pPr>
          </w:p>
        </w:tc>
        <w:tc>
          <w:tcPr>
            <w:tcW w:w="28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560"/>
      </w:cols>
      <w:pgMar w:left="240" w:top="601" w:right="10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2019-12-14T20:51:42Z</dcterms:created>
  <dcterms:modified xsi:type="dcterms:W3CDTF">2019-12-14T20:51:42Z</dcterms:modified>
</cp:coreProperties>
</file>