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0" w:lineRule="exact"/>
        <w:rPr>
          <w:sz w:val="24"/>
          <w:szCs w:val="24"/>
          <w:color w:val="auto"/>
        </w:rPr>
      </w:pP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Pursuant to Rule 13a - 16 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ICON 2008 Guidance</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(Registrant’s name)</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0-29714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South County Business Park, Leopardstown, Dublin 18, Ireland.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20-F or Form 40-F.</w:t>
      </w:r>
    </w:p>
    <w:p>
      <w:pPr>
        <w:spacing w:after="0" w:line="229" w:lineRule="exact"/>
        <w:rPr>
          <w:sz w:val="24"/>
          <w:szCs w:val="24"/>
          <w:color w:val="auto"/>
        </w:rPr>
      </w:pPr>
    </w:p>
    <w:p>
      <w:pPr>
        <w:ind w:left="4140"/>
        <w:spacing w:after="0"/>
        <w:tabs>
          <w:tab w:leader="none" w:pos="6600" w:val="left"/>
        </w:tabs>
        <w:rPr>
          <w:sz w:val="20"/>
          <w:szCs w:val="20"/>
          <w:color w:val="auto"/>
        </w:rPr>
      </w:pPr>
      <w:r>
        <w:rPr>
          <w:rFonts w:ascii="Times New Roman" w:cs="Times New Roman" w:eastAsia="Times New Roman" w:hAnsi="Times New Roman"/>
          <w:sz w:val="14"/>
          <w:szCs w:val="14"/>
          <w:color w:val="auto"/>
        </w:rPr>
        <w:t>Yes___</w:t>
      </w:r>
      <w:r>
        <w:rPr>
          <w:rFonts w:ascii="Times New Roman" w:cs="Times New Roman" w:eastAsia="Times New Roman" w:hAnsi="Times New Roman"/>
          <w:sz w:val="14"/>
          <w:szCs w:val="14"/>
          <w:b w:val="1"/>
          <w:bCs w:val="1"/>
          <w:u w:val="single" w:color="auto"/>
          <w:color w:val="auto"/>
        </w:rPr>
        <w:t>X</w:t>
      </w:r>
      <w:r>
        <w:rPr>
          <w:rFonts w:ascii="Times New Roman" w:cs="Times New Roman" w:eastAsia="Times New Roman" w:hAnsi="Times New Roman"/>
          <w:sz w:val="14"/>
          <w:szCs w:val="14"/>
          <w:color w:val="auto"/>
        </w:rPr>
        <w:t>___</w:t>
      </w:r>
      <w:r>
        <w:rPr>
          <w:sz w:val="20"/>
          <w:szCs w:val="20"/>
          <w:color w:val="auto"/>
        </w:rPr>
        <w:tab/>
      </w:r>
      <w:r>
        <w:rPr>
          <w:rFonts w:ascii="Times New Roman" w:cs="Times New Roman" w:eastAsia="Times New Roman" w:hAnsi="Times New Roman"/>
          <w:sz w:val="13"/>
          <w:szCs w:val="13"/>
          <w:color w:val="auto"/>
        </w:rPr>
        <w:t>No___</w:t>
      </w:r>
      <w:r>
        <w:rPr>
          <w:rFonts w:ascii="Times New Roman" w:cs="Times New Roman" w:eastAsia="Times New Roman" w:hAnsi="Times New Roman"/>
          <w:sz w:val="13"/>
          <w:szCs w:val="13"/>
          <w:b w:val="1"/>
          <w:bCs w:val="1"/>
          <w:color w:val="auto"/>
        </w:rPr>
        <w:t>_</w:t>
      </w:r>
      <w:r>
        <w:rPr>
          <w:rFonts w:ascii="Times New Roman" w:cs="Times New Roman" w:eastAsia="Times New Roman" w:hAnsi="Times New Roman"/>
          <w:sz w:val="13"/>
          <w:szCs w:val="13"/>
          <w:color w:val="auto"/>
        </w:rPr>
        <w:t>___</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submitting the Form 6-K in paper as permitted by Regulation S-T Rule 101(b)(1):</w:t>
      </w:r>
    </w:p>
    <w:p>
      <w:pPr>
        <w:spacing w:after="0" w:line="229" w:lineRule="exact"/>
        <w:rPr>
          <w:sz w:val="24"/>
          <w:szCs w:val="24"/>
          <w:color w:val="auto"/>
        </w:rPr>
      </w:pPr>
    </w:p>
    <w:p>
      <w:pPr>
        <w:ind w:left="4180"/>
        <w:spacing w:after="0"/>
        <w:tabs>
          <w:tab w:leader="none" w:pos="6520" w:val="left"/>
        </w:tabs>
        <w:rPr>
          <w:sz w:val="20"/>
          <w:szCs w:val="20"/>
          <w:color w:val="auto"/>
        </w:rPr>
      </w:pPr>
      <w:r>
        <w:rPr>
          <w:rFonts w:ascii="Times New Roman" w:cs="Times New Roman" w:eastAsia="Times New Roman" w:hAnsi="Times New Roman"/>
          <w:sz w:val="14"/>
          <w:szCs w:val="14"/>
          <w:color w:val="auto"/>
        </w:rPr>
        <w:t>Yes______</w:t>
      </w:r>
      <w:r>
        <w:rPr>
          <w:sz w:val="20"/>
          <w:szCs w:val="20"/>
          <w:color w:val="auto"/>
        </w:rPr>
        <w:tab/>
      </w:r>
      <w:r>
        <w:rPr>
          <w:rFonts w:ascii="Times New Roman" w:cs="Times New Roman" w:eastAsia="Times New Roman" w:hAnsi="Times New Roman"/>
          <w:sz w:val="14"/>
          <w:szCs w:val="14"/>
          <w:color w:val="auto"/>
        </w:rPr>
        <w:t>No___</w:t>
      </w:r>
      <w:r>
        <w:rPr>
          <w:rFonts w:ascii="Times New Roman" w:cs="Times New Roman" w:eastAsia="Times New Roman" w:hAnsi="Times New Roman"/>
          <w:sz w:val="14"/>
          <w:szCs w:val="14"/>
          <w:b w:val="1"/>
          <w:bCs w:val="1"/>
          <w:u w:val="single" w:color="auto"/>
          <w:color w:val="auto"/>
        </w:rPr>
        <w:t>X</w:t>
      </w:r>
      <w:r>
        <w:rPr>
          <w:rFonts w:ascii="Times New Roman" w:cs="Times New Roman" w:eastAsia="Times New Roman" w:hAnsi="Times New Roman"/>
          <w:sz w:val="14"/>
          <w:szCs w:val="14"/>
          <w:color w:val="auto"/>
        </w:rPr>
        <w:t>___</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submitting the Form 6-K in paper as permitted by Regulation S-T Rule 101(b)(7):</w:t>
      </w:r>
    </w:p>
    <w:p>
      <w:pPr>
        <w:spacing w:after="0" w:line="229" w:lineRule="exact"/>
        <w:rPr>
          <w:sz w:val="24"/>
          <w:szCs w:val="24"/>
          <w:color w:val="auto"/>
        </w:rPr>
      </w:pPr>
    </w:p>
    <w:p>
      <w:pPr>
        <w:ind w:left="4180"/>
        <w:spacing w:after="0"/>
        <w:tabs>
          <w:tab w:leader="none" w:pos="6520" w:val="left"/>
        </w:tabs>
        <w:rPr>
          <w:sz w:val="20"/>
          <w:szCs w:val="20"/>
          <w:color w:val="auto"/>
        </w:rPr>
      </w:pPr>
      <w:r>
        <w:rPr>
          <w:rFonts w:ascii="Times New Roman" w:cs="Times New Roman" w:eastAsia="Times New Roman" w:hAnsi="Times New Roman"/>
          <w:sz w:val="14"/>
          <w:szCs w:val="14"/>
          <w:color w:val="auto"/>
        </w:rPr>
        <w:t>Yes______</w:t>
      </w:r>
      <w:r>
        <w:rPr>
          <w:sz w:val="20"/>
          <w:szCs w:val="20"/>
          <w:color w:val="auto"/>
        </w:rPr>
        <w:tab/>
      </w:r>
      <w:r>
        <w:rPr>
          <w:rFonts w:ascii="Times New Roman" w:cs="Times New Roman" w:eastAsia="Times New Roman" w:hAnsi="Times New Roman"/>
          <w:sz w:val="14"/>
          <w:szCs w:val="14"/>
          <w:color w:val="auto"/>
        </w:rPr>
        <w:t>No___</w:t>
      </w:r>
      <w:r>
        <w:rPr>
          <w:rFonts w:ascii="Times New Roman" w:cs="Times New Roman" w:eastAsia="Times New Roman" w:hAnsi="Times New Roman"/>
          <w:sz w:val="14"/>
          <w:szCs w:val="14"/>
          <w:b w:val="1"/>
          <w:bCs w:val="1"/>
          <w:u w:val="single" w:color="auto"/>
          <w:color w:val="auto"/>
        </w:rPr>
        <w:t>X</w:t>
      </w:r>
      <w:r>
        <w:rPr>
          <w:rFonts w:ascii="Times New Roman" w:cs="Times New Roman" w:eastAsia="Times New Roman" w:hAnsi="Times New Roman"/>
          <w:sz w:val="14"/>
          <w:szCs w:val="14"/>
          <w:color w:val="auto"/>
        </w:rPr>
        <w:t>___</w:t>
      </w:r>
    </w:p>
    <w:p>
      <w:pPr>
        <w:spacing w:after="0" w:line="200" w:lineRule="exact"/>
        <w:rPr>
          <w:sz w:val="24"/>
          <w:szCs w:val="24"/>
          <w:color w:val="auto"/>
        </w:rPr>
      </w:pPr>
    </w:p>
    <w:p>
      <w:pPr>
        <w:spacing w:after="0" w:line="276"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7" w:lineRule="exact"/>
        <w:rPr>
          <w:sz w:val="24"/>
          <w:szCs w:val="24"/>
          <w:color w:val="auto"/>
        </w:rPr>
      </w:pPr>
    </w:p>
    <w:p>
      <w:pPr>
        <w:ind w:left="4140"/>
        <w:spacing w:after="0"/>
        <w:tabs>
          <w:tab w:leader="none" w:pos="6560" w:val="left"/>
        </w:tabs>
        <w:rPr>
          <w:sz w:val="20"/>
          <w:szCs w:val="20"/>
          <w:color w:val="auto"/>
        </w:rPr>
      </w:pPr>
      <w:r>
        <w:rPr>
          <w:rFonts w:ascii="Times New Roman" w:cs="Times New Roman" w:eastAsia="Times New Roman" w:hAnsi="Times New Roman"/>
          <w:sz w:val="14"/>
          <w:szCs w:val="14"/>
          <w:color w:val="auto"/>
        </w:rPr>
        <w:t>Yes___</w:t>
      </w:r>
      <w:r>
        <w:rPr>
          <w:rFonts w:ascii="Times New Roman" w:cs="Times New Roman" w:eastAsia="Times New Roman" w:hAnsi="Times New Roman"/>
          <w:sz w:val="14"/>
          <w:szCs w:val="14"/>
          <w:b w:val="1"/>
          <w:bCs w:val="1"/>
          <w:color w:val="auto"/>
        </w:rPr>
        <w:t>_</w:t>
      </w:r>
      <w:r>
        <w:rPr>
          <w:rFonts w:ascii="Times New Roman" w:cs="Times New Roman" w:eastAsia="Times New Roman" w:hAnsi="Times New Roman"/>
          <w:sz w:val="14"/>
          <w:szCs w:val="14"/>
          <w:color w:val="auto"/>
        </w:rPr>
        <w:t>___</w:t>
      </w:r>
      <w:r>
        <w:rPr>
          <w:sz w:val="20"/>
          <w:szCs w:val="20"/>
          <w:color w:val="auto"/>
        </w:rPr>
        <w:tab/>
      </w:r>
      <w:r>
        <w:rPr>
          <w:rFonts w:ascii="Times New Roman" w:cs="Times New Roman" w:eastAsia="Times New Roman" w:hAnsi="Times New Roman"/>
          <w:sz w:val="14"/>
          <w:szCs w:val="14"/>
          <w:color w:val="auto"/>
        </w:rPr>
        <w:t>No___</w:t>
      </w:r>
      <w:r>
        <w:rPr>
          <w:rFonts w:ascii="Times New Roman" w:cs="Times New Roman" w:eastAsia="Times New Roman" w:hAnsi="Times New Roman"/>
          <w:sz w:val="14"/>
          <w:szCs w:val="14"/>
          <w:b w:val="1"/>
          <w:bCs w:val="1"/>
          <w:u w:val="single" w:color="auto"/>
          <w:color w:val="auto"/>
        </w:rPr>
        <w:t>X</w:t>
      </w:r>
      <w:r>
        <w:rPr>
          <w:rFonts w:ascii="Times New Roman" w:cs="Times New Roman" w:eastAsia="Times New Roman" w:hAnsi="Times New Roman"/>
          <w:sz w:val="14"/>
          <w:szCs w:val="14"/>
          <w:color w:val="auto"/>
        </w:rPr>
        <w:t>___</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“Yes” is marked, indicate below the file number assigned to the registrant in connection with Rule 12g3-2(b):82</w:t>
      </w:r>
    </w:p>
    <w:p>
      <w:pPr>
        <w:spacing w:after="0" w:line="4" w:lineRule="exact"/>
        <w:rPr>
          <w:sz w:val="24"/>
          <w:szCs w:val="24"/>
          <w:color w:val="auto"/>
        </w:rPr>
      </w:pPr>
    </w:p>
    <w:p>
      <w:pPr>
        <w:ind w:left="560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680085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0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ICON issues financial guidance for 2008 and reaffirms guidance for 2007.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(NASDAQ:ICLR)</w:t>
      </w:r>
    </w:p>
    <w:p>
      <w:pPr>
        <w:spacing w:after="0" w:line="21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color w:val="auto"/>
        </w:rPr>
        <w:t>Dublin, Ireland, December 19, 2007 – ICON (NASDAQ: ICLR), a global provider of outsourced development services to the pharmaceutical, biotechnology and medical device industries, today announced financial guidance for 2008.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2008 net revenue is expected to be in the range of $750 - $770 million, compared to a range of $615 - $625 million which has already been guided for 2007.</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2008 net income per diluted share is forecast to be in the range of $2.27 - $2.36 compared to $1.82 - $1.85 guided for 2007.</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will hold a conference call today, December 19, 2007 at 09:00 EST [14:00 Ireland &amp; UK]. A question and answer session will follow.</w:t>
      </w:r>
    </w:p>
    <w:p>
      <w:pPr>
        <w:spacing w:after="0" w:line="231"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4"/>
          <w:szCs w:val="14"/>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information presented herein has been prepared in accordance with U.S. GAAP.</w:t>
      </w:r>
    </w:p>
    <w:p>
      <w:pPr>
        <w:spacing w:after="0" w:line="23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 xml:space="preserve">ICON plc is a global provider of outsourced development services to the pharmaceutical, biotechnology and medical device industries. The Company specializes in the strategic development, management and analysis of programs that support clinical development - from compound selection to Phase I-IV clinical studies. ICON teams have successfully conducted over 1,900 development projects and over 2,300 consultancy engagements across all major therapeutic areas. ICON currently has approximately 5,600 employees, operating from 67 locations in 35 countries. Further information is available at </w:t>
      </w:r>
      <w:r>
        <w:rPr>
          <w:rFonts w:ascii="Times New Roman" w:cs="Times New Roman" w:eastAsia="Times New Roman" w:hAnsi="Times New Roman"/>
          <w:sz w:val="14"/>
          <w:szCs w:val="14"/>
          <w:u w:val="single" w:color="auto"/>
          <w:color w:val="auto"/>
        </w:rPr>
        <w:t>www.iconplc.com</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ICON plc</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Contact : Investor Relations 1-888-381-7923 or</w:t>
      </w:r>
    </w:p>
    <w:p>
      <w:pPr>
        <w:spacing w:after="0" w:line="226" w:lineRule="auto"/>
        <w:rPr>
          <w:sz w:val="20"/>
          <w:szCs w:val="20"/>
          <w:color w:val="auto"/>
        </w:rPr>
      </w:pPr>
      <w:r>
        <w:rPr>
          <w:rFonts w:ascii="Times New Roman" w:cs="Times New Roman" w:eastAsia="Times New Roman" w:hAnsi="Times New Roman"/>
          <w:sz w:val="14"/>
          <w:szCs w:val="14"/>
          <w:color w:val="auto"/>
        </w:rPr>
        <w:t>Ciaran Murray CFO + 353 –1-291-2000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Both at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989330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1" w:right="27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Date: December 19, 2007</w:t>
            </w:r>
          </w:p>
        </w:tc>
        <w:tc>
          <w:tcPr>
            <w:tcW w:w="2840" w:type="dxa"/>
            <w:vAlign w:val="bottom"/>
          </w:tcPr>
          <w:p>
            <w:pPr>
              <w:spacing w:after="0"/>
              <w:rPr>
                <w:sz w:val="13"/>
                <w:szCs w:val="13"/>
                <w:color w:val="auto"/>
              </w:rPr>
            </w:pPr>
          </w:p>
        </w:tc>
        <w:tc>
          <w:tcPr>
            <w:tcW w:w="286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Ciaran Murray</w:t>
            </w:r>
          </w:p>
        </w:tc>
        <w:tc>
          <w:tcPr>
            <w:tcW w:w="0" w:type="dxa"/>
            <w:vAlign w:val="bottom"/>
          </w:tcPr>
          <w:p>
            <w:pPr>
              <w:spacing w:after="0"/>
              <w:rPr>
                <w:sz w:val="1"/>
                <w:szCs w:val="1"/>
                <w:color w:val="auto"/>
              </w:rPr>
            </w:pPr>
          </w:p>
        </w:tc>
      </w:tr>
      <w:tr>
        <w:trPr>
          <w:trHeight w:val="107"/>
        </w:trPr>
        <w:tc>
          <w:tcPr>
            <w:tcW w:w="2880" w:type="dxa"/>
            <w:vAlign w:val="bottom"/>
            <w:vMerge w:val="continue"/>
          </w:tcPr>
          <w:p>
            <w:pPr>
              <w:spacing w:after="0"/>
              <w:rPr>
                <w:sz w:val="9"/>
                <w:szCs w:val="9"/>
                <w:color w:val="auto"/>
              </w:rPr>
            </w:pPr>
          </w:p>
        </w:tc>
        <w:tc>
          <w:tcPr>
            <w:tcW w:w="2840" w:type="dxa"/>
            <w:vAlign w:val="bottom"/>
          </w:tcPr>
          <w:p>
            <w:pPr>
              <w:spacing w:after="0"/>
              <w:rPr>
                <w:sz w:val="9"/>
                <w:szCs w:val="9"/>
                <w:color w:val="auto"/>
              </w:rPr>
            </w:pPr>
          </w:p>
        </w:tc>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284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560"/>
      </w:cols>
      <w:pgMar w:left="240" w:top="601"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2019-12-14T20:51:42Z</dcterms:created>
  <dcterms:modified xsi:type="dcterms:W3CDTF">2019-12-14T20:51:42Z</dcterms:modified>
</cp:coreProperties>
</file>