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ind w:left="2990"/>
        <w:spacing w:after="0"/>
        <w:rPr>
          <w:sz w:val="20"/>
          <w:szCs w:val="20"/>
          <w:color w:val="auto"/>
        </w:rPr>
      </w:pPr>
      <w:r>
        <w:rPr>
          <w:rFonts w:ascii="Courier New" w:cs="Courier New" w:eastAsia="Courier New" w:hAnsi="Courier New"/>
          <w:sz w:val="15"/>
          <w:szCs w:val="15"/>
          <w:color w:val="auto"/>
        </w:rPr>
        <w:t>United States</w:t>
      </w:r>
    </w:p>
    <w:p>
      <w:pPr>
        <w:ind w:left="2030"/>
        <w:spacing w:after="0"/>
        <w:rPr>
          <w:sz w:val="20"/>
          <w:szCs w:val="20"/>
          <w:color w:val="auto"/>
        </w:rPr>
      </w:pPr>
      <w:r>
        <w:rPr>
          <w:rFonts w:ascii="Courier New" w:cs="Courier New" w:eastAsia="Courier New" w:hAnsi="Courier New"/>
          <w:sz w:val="15"/>
          <w:szCs w:val="15"/>
          <w:color w:val="auto"/>
        </w:rPr>
        <w:t>Securities and Exchange Commission,</w:t>
      </w:r>
    </w:p>
    <w:p>
      <w:pPr>
        <w:ind w:left="2550"/>
        <w:spacing w:after="0"/>
        <w:rPr>
          <w:sz w:val="20"/>
          <w:szCs w:val="20"/>
          <w:color w:val="auto"/>
        </w:rPr>
      </w:pPr>
      <w:r>
        <w:rPr>
          <w:rFonts w:ascii="Courier New" w:cs="Courier New" w:eastAsia="Courier New" w:hAnsi="Courier New"/>
          <w:sz w:val="15"/>
          <w:szCs w:val="15"/>
          <w:color w:val="auto"/>
        </w:rPr>
        <w:t>Washington, D.C. 20549</w:t>
      </w:r>
    </w:p>
    <w:p>
      <w:pPr>
        <w:spacing w:after="0" w:line="33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20-F</w:t>
      </w: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ind w:left="450" w:right="3359"/>
        <w:spacing w:after="0" w:line="235" w:lineRule="auto"/>
        <w:rPr>
          <w:sz w:val="20"/>
          <w:szCs w:val="20"/>
          <w:color w:val="auto"/>
        </w:rPr>
      </w:pPr>
      <w:r>
        <w:rPr>
          <w:rFonts w:ascii="Courier New" w:cs="Courier New" w:eastAsia="Courier New" w:hAnsi="Courier New"/>
          <w:sz w:val="15"/>
          <w:szCs w:val="15"/>
          <w:color w:val="auto"/>
        </w:rPr>
        <w:t>REGISTRATION STATEMENT PURSUANT TO SECTION 12(b) OR (g) OF THE SECURITIES EXCHANGE ACT OF 1934</w:t>
      </w:r>
    </w:p>
    <w:p>
      <w:pPr>
        <w:spacing w:after="0" w:line="170" w:lineRule="exact"/>
        <w:rPr>
          <w:sz w:val="24"/>
          <w:szCs w:val="24"/>
          <w:color w:val="auto"/>
        </w:rPr>
      </w:pPr>
    </w:p>
    <w:p>
      <w:pPr>
        <w:ind w:left="45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450" w:right="3439"/>
        <w:spacing w:after="0" w:line="235" w:lineRule="auto"/>
        <w:rPr>
          <w:sz w:val="20"/>
          <w:szCs w:val="20"/>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0" w:lineRule="exact"/>
        <w:rPr>
          <w:sz w:val="24"/>
          <w:szCs w:val="24"/>
          <w:color w:val="auto"/>
        </w:rPr>
      </w:pPr>
    </w:p>
    <w:p>
      <w:pPr>
        <w:ind w:left="450"/>
        <w:spacing w:after="0"/>
        <w:rPr>
          <w:sz w:val="20"/>
          <w:szCs w:val="20"/>
          <w:color w:val="auto"/>
        </w:rPr>
      </w:pPr>
      <w:r>
        <w:rPr>
          <w:rFonts w:ascii="Courier New" w:cs="Courier New" w:eastAsia="Courier New" w:hAnsi="Courier New"/>
          <w:sz w:val="15"/>
          <w:szCs w:val="15"/>
          <w:color w:val="auto"/>
        </w:rPr>
        <w:t>For the fiscal period ended: May 31, 2003</w:t>
      </w:r>
    </w:p>
    <w:p>
      <w:pPr>
        <w:spacing w:after="0" w:line="169" w:lineRule="exact"/>
        <w:rPr>
          <w:sz w:val="24"/>
          <w:szCs w:val="24"/>
          <w:color w:val="auto"/>
        </w:rPr>
      </w:pPr>
    </w:p>
    <w:p>
      <w:pPr>
        <w:ind w:left="45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450" w:right="3879"/>
        <w:spacing w:after="0" w:line="235" w:lineRule="auto"/>
        <w:rPr>
          <w:sz w:val="20"/>
          <w:szCs w:val="20"/>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0"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Commission file number:</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ICON public limited company</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32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Ireland</w:t>
      </w:r>
    </w:p>
    <w:p>
      <w:pPr>
        <w:spacing w:after="0" w:line="169" w:lineRule="exact"/>
        <w:rPr>
          <w:sz w:val="24"/>
          <w:szCs w:val="24"/>
          <w:color w:val="auto"/>
        </w:rPr>
      </w:pPr>
    </w:p>
    <w:p>
      <w:pPr>
        <w:jc w:val="center"/>
        <w:ind w:right="3070"/>
        <w:spacing w:after="0"/>
        <w:rPr>
          <w:sz w:val="20"/>
          <w:szCs w:val="20"/>
          <w:color w:val="auto"/>
        </w:rPr>
      </w:pPr>
      <w:r>
        <w:rPr>
          <w:rFonts w:ascii="Courier New" w:cs="Courier New" w:eastAsia="Courier New" w:hAnsi="Courier New"/>
          <w:sz w:val="15"/>
          <w:szCs w:val="15"/>
          <w:color w:val="auto"/>
        </w:rPr>
        <w:t>(Jurisdiction of incorporation or organization)</w:t>
      </w:r>
    </w:p>
    <w:p>
      <w:pPr>
        <w:spacing w:after="0" w:line="169"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South County Business Park, Leopardstown, Dublin 18, Ireland.</w:t>
      </w:r>
    </w:p>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7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(Address of principal executive offices)</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Securities registered or to be registered pursuant to</w:t>
      </w:r>
    </w:p>
    <w:p>
      <w:pPr>
        <w:ind w:left="10"/>
        <w:spacing w:after="0"/>
        <w:rPr>
          <w:sz w:val="20"/>
          <w:szCs w:val="20"/>
          <w:color w:val="auto"/>
        </w:rPr>
      </w:pPr>
      <w:r>
        <w:rPr>
          <w:rFonts w:ascii="Courier New" w:cs="Courier New" w:eastAsia="Courier New" w:hAnsi="Courier New"/>
          <w:sz w:val="15"/>
          <w:szCs w:val="15"/>
          <w:color w:val="auto"/>
        </w:rPr>
        <w:t>Section 12(b) of the Act:</w:t>
      </w:r>
    </w:p>
    <w:p>
      <w:pPr>
        <w:spacing w:after="0" w:line="169" w:lineRule="exact"/>
        <w:rPr>
          <w:sz w:val="24"/>
          <w:szCs w:val="24"/>
          <w:color w:val="auto"/>
        </w:rPr>
      </w:pPr>
    </w:p>
    <w:p>
      <w:pPr>
        <w:ind w:left="5290"/>
        <w:spacing w:after="0"/>
        <w:rPr>
          <w:sz w:val="20"/>
          <w:szCs w:val="20"/>
          <w:color w:val="auto"/>
        </w:rPr>
      </w:pPr>
      <w:r>
        <w:rPr>
          <w:rFonts w:ascii="Courier New" w:cs="Courier New" w:eastAsia="Courier New" w:hAnsi="Courier New"/>
          <w:sz w:val="15"/>
          <w:szCs w:val="15"/>
          <w:color w:val="auto"/>
        </w:rPr>
        <w:t>Name of exchange</w:t>
      </w:r>
    </w:p>
    <w:p>
      <w:pPr>
        <w:ind w:left="10"/>
        <w:spacing w:after="0"/>
        <w:tabs>
          <w:tab w:leader="none" w:pos="5269" w:val="left"/>
        </w:tabs>
        <w:rPr>
          <w:sz w:val="20"/>
          <w:szCs w:val="20"/>
          <w:color w:val="auto"/>
        </w:rPr>
      </w:pPr>
      <w:r>
        <w:rPr>
          <w:rFonts w:ascii="Courier New" w:cs="Courier New" w:eastAsia="Courier New" w:hAnsi="Courier New"/>
          <w:sz w:val="15"/>
          <w:szCs w:val="15"/>
          <w:color w:val="auto"/>
        </w:rPr>
        <w:t>Title of each class</w:t>
      </w:r>
      <w:r>
        <w:rPr>
          <w:sz w:val="20"/>
          <w:szCs w:val="20"/>
          <w:color w:val="auto"/>
        </w:rPr>
        <w:tab/>
      </w:r>
      <w:r>
        <w:rPr>
          <w:rFonts w:ascii="Courier New" w:cs="Courier New" w:eastAsia="Courier New" w:hAnsi="Courier New"/>
          <w:sz w:val="14"/>
          <w:szCs w:val="14"/>
          <w:color w:val="auto"/>
        </w:rPr>
        <w:t>on which registered</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3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None</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Securities registered or to be registered pursuant to Section 12(g) of the Act:</w:t>
      </w:r>
    </w:p>
    <w:p>
      <w:pPr>
        <w:ind w:left="10"/>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American Depository Shares, representing Ordinary Shares, par value E0.06 each Ordinary Shares, par value E0.06 each</w:t>
      </w:r>
    </w:p>
    <w:p>
      <w:pPr>
        <w:spacing w:after="0" w:line="6"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Securities for which there is a reporting obligation pursuant to Section 15(d)</w:t>
      </w:r>
    </w:p>
    <w:p>
      <w:pPr>
        <w:ind w:left="10"/>
        <w:spacing w:after="0"/>
        <w:rPr>
          <w:sz w:val="20"/>
          <w:szCs w:val="20"/>
          <w:color w:val="auto"/>
        </w:rPr>
      </w:pPr>
      <w:r>
        <w:rPr>
          <w:rFonts w:ascii="Courier New" w:cs="Courier New" w:eastAsia="Courier New" w:hAnsi="Courier New"/>
          <w:sz w:val="15"/>
          <w:szCs w:val="15"/>
          <w:color w:val="auto"/>
        </w:rPr>
        <w:t>of the Act:</w:t>
      </w:r>
    </w:p>
    <w:p>
      <w:pPr>
        <w:ind w:left="3350"/>
        <w:spacing w:after="0"/>
        <w:rPr>
          <w:sz w:val="20"/>
          <w:szCs w:val="20"/>
          <w:color w:val="auto"/>
        </w:rPr>
      </w:pPr>
      <w:r>
        <w:rPr>
          <w:rFonts w:ascii="Courier New" w:cs="Courier New" w:eastAsia="Courier New" w:hAnsi="Courier New"/>
          <w:sz w:val="15"/>
          <w:szCs w:val="15"/>
          <w:color w:val="auto"/>
        </w:rPr>
        <w:t>None</w:t>
      </w:r>
    </w:p>
    <w:p>
      <w:pPr>
        <w:spacing w:after="0" w:line="4"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8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Indicate the number of outstanding shares of each of the issuer's classes of capital or common stock as of the close of the period covered by the annual report: 11,841,557 Ordinary Shares.</w:t>
      </w:r>
    </w:p>
    <w:p>
      <w:pPr>
        <w:spacing w:after="0" w:line="175"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w:t>
      </w:r>
    </w:p>
    <w:p>
      <w:pPr>
        <w:spacing w:after="0" w:line="173" w:lineRule="exact"/>
        <w:rPr>
          <w:sz w:val="24"/>
          <w:szCs w:val="24"/>
          <w:color w:val="auto"/>
        </w:rPr>
      </w:pPr>
    </w:p>
    <w:p>
      <w:pPr>
        <w:ind w:left="10"/>
        <w:spacing w:after="0"/>
        <w:tabs>
          <w:tab w:leader="none" w:pos="1829" w:val="left"/>
          <w:tab w:leader="none" w:pos="3769"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4"/>
          <w:szCs w:val="24"/>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Indicate by check mark which financial statement item the registrant has elected to follow:</w:t>
      </w:r>
    </w:p>
    <w:p>
      <w:pPr>
        <w:spacing w:after="0" w:line="170" w:lineRule="exact"/>
        <w:rPr>
          <w:sz w:val="24"/>
          <w:szCs w:val="24"/>
          <w:color w:val="auto"/>
        </w:rPr>
      </w:pPr>
    </w:p>
    <w:p>
      <w:pPr>
        <w:ind w:left="10"/>
        <w:spacing w:after="0"/>
        <w:tabs>
          <w:tab w:leader="none" w:pos="3769" w:val="left"/>
          <w:tab w:leader="none" w:pos="5889"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5"/>
          <w:szCs w:val="15"/>
          <w:color w:val="auto"/>
        </w:rPr>
        <w:t>Item 18</w:t>
      </w:r>
      <w:r>
        <w:rPr>
          <w:sz w:val="20"/>
          <w:szCs w:val="20"/>
          <w:color w:val="auto"/>
        </w:rPr>
        <w:tab/>
      </w:r>
      <w:r>
        <w:rPr>
          <w:rFonts w:ascii="Courier New" w:cs="Courier New" w:eastAsia="Courier New" w:hAnsi="Courier New"/>
          <w:sz w:val="13"/>
          <w:szCs w:val="13"/>
          <w:color w:val="auto"/>
        </w:rPr>
        <w:t>X</w:t>
      </w:r>
    </w:p>
    <w:p>
      <w:pPr>
        <w:spacing w:after="0" w:line="5" w:lineRule="exact"/>
        <w:rPr>
          <w:sz w:val="24"/>
          <w:szCs w:val="2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4"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286"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TABLE OF CONTENTS</w:t>
            </w:r>
          </w:p>
        </w:tc>
        <w:tc>
          <w:tcPr>
            <w:tcW w:w="5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09"/>
        </w:trPr>
        <w:tc>
          <w:tcPr>
            <w:tcW w:w="1580" w:type="dxa"/>
            <w:vAlign w:val="bottom"/>
          </w:tcPr>
          <w:p>
            <w:pPr>
              <w:spacing w:after="0"/>
              <w:rPr>
                <w:sz w:val="20"/>
                <w:szCs w:val="20"/>
                <w:color w:val="auto"/>
              </w:rPr>
            </w:pPr>
            <w:r>
              <w:rPr>
                <w:rFonts w:ascii="Courier New" w:cs="Courier New" w:eastAsia="Courier New" w:hAnsi="Courier New"/>
                <w:sz w:val="15"/>
                <w:szCs w:val="15"/>
                <w:color w:val="auto"/>
              </w:rPr>
              <w:t>General</w:t>
            </w:r>
          </w:p>
        </w:tc>
        <w:tc>
          <w:tcPr>
            <w:tcW w:w="50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39"/>
        </w:trPr>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Cautionary Statement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39"/>
        </w:trPr>
        <w:tc>
          <w:tcPr>
            <w:tcW w:w="1580" w:type="dxa"/>
            <w:vAlign w:val="bottom"/>
          </w:tcPr>
          <w:p>
            <w:pPr>
              <w:ind w:left="600"/>
              <w:spacing w:after="0"/>
              <w:rPr>
                <w:sz w:val="20"/>
                <w:szCs w:val="20"/>
                <w:color w:val="auto"/>
              </w:rPr>
            </w:pPr>
            <w:r>
              <w:rPr>
                <w:rFonts w:ascii="Courier New" w:cs="Courier New" w:eastAsia="Courier New" w:hAnsi="Courier New"/>
                <w:sz w:val="15"/>
                <w:szCs w:val="15"/>
                <w:color w:val="auto"/>
              </w:rPr>
              <w:t>Item 1.</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Identity of Directors, Senior Management and Advisors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bl>
    <w:p>
      <w:pPr>
        <w:sectPr>
          <w:pgSz w:w="11900" w:h="16847" w:orient="portrait"/>
          <w:cols w:equalWidth="0" w:num="1">
            <w:col w:w="10229"/>
          </w:cols>
          <w:pgMar w:left="230" w:top="39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2.</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Offer Statistics and Expected Timetable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3.</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Key Information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4.</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Information on the Company</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5.</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Operating and Financial Review and Prospects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6.</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Directors, Senior Management and Employees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7.</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Major Shareholders and Related Party Transactions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8.</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Financial Information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9.</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The Offer and the Listing</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10.</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Additional Information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11.</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Quantitative and Qualitative Disclosures about</w:t>
            </w:r>
          </w:p>
        </w:tc>
        <w:tc>
          <w:tcPr>
            <w:tcW w:w="580" w:type="dxa"/>
            <w:vAlign w:val="bottom"/>
          </w:tcPr>
          <w:p>
            <w:pPr>
              <w:spacing w:after="0"/>
              <w:rPr>
                <w:sz w:val="24"/>
                <w:szCs w:val="24"/>
                <w:color w:val="auto"/>
              </w:rPr>
            </w:pPr>
          </w:p>
        </w:tc>
      </w:tr>
      <w:tr>
        <w:trPr>
          <w:trHeight w:val="170"/>
        </w:trPr>
        <w:tc>
          <w:tcPr>
            <w:tcW w:w="1480" w:type="dxa"/>
            <w:vAlign w:val="bottom"/>
          </w:tcPr>
          <w:p>
            <w:pPr>
              <w:spacing w:after="0"/>
              <w:rPr>
                <w:sz w:val="14"/>
                <w:szCs w:val="14"/>
                <w:color w:val="auto"/>
              </w:rPr>
            </w:pPr>
          </w:p>
        </w:tc>
        <w:tc>
          <w:tcPr>
            <w:tcW w:w="4900" w:type="dxa"/>
            <w:vAlign w:val="bottom"/>
          </w:tcPr>
          <w:p>
            <w:pPr>
              <w:ind w:left="360"/>
              <w:spacing w:after="0"/>
              <w:rPr>
                <w:sz w:val="20"/>
                <w:szCs w:val="20"/>
                <w:color w:val="auto"/>
              </w:rPr>
            </w:pPr>
            <w:r>
              <w:rPr>
                <w:rFonts w:ascii="Courier New" w:cs="Courier New" w:eastAsia="Courier New" w:hAnsi="Courier New"/>
                <w:sz w:val="15"/>
                <w:szCs w:val="15"/>
                <w:color w:val="auto"/>
              </w:rPr>
              <w:t>Market Risk</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12.</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Description of Securities Other than Equity</w:t>
            </w:r>
          </w:p>
        </w:tc>
        <w:tc>
          <w:tcPr>
            <w:tcW w:w="580" w:type="dxa"/>
            <w:vAlign w:val="bottom"/>
          </w:tcPr>
          <w:p>
            <w:pPr>
              <w:spacing w:after="0"/>
              <w:rPr>
                <w:sz w:val="24"/>
                <w:szCs w:val="24"/>
                <w:color w:val="auto"/>
              </w:rPr>
            </w:pPr>
          </w:p>
        </w:tc>
      </w:tr>
      <w:tr>
        <w:trPr>
          <w:trHeight w:val="170"/>
        </w:trPr>
        <w:tc>
          <w:tcPr>
            <w:tcW w:w="1480" w:type="dxa"/>
            <w:vAlign w:val="bottom"/>
          </w:tcPr>
          <w:p>
            <w:pPr>
              <w:spacing w:after="0"/>
              <w:rPr>
                <w:sz w:val="14"/>
                <w:szCs w:val="14"/>
                <w:color w:val="auto"/>
              </w:rPr>
            </w:pPr>
          </w:p>
        </w:tc>
        <w:tc>
          <w:tcPr>
            <w:tcW w:w="4900" w:type="dxa"/>
            <w:vAlign w:val="bottom"/>
          </w:tcPr>
          <w:p>
            <w:pPr>
              <w:ind w:left="360"/>
              <w:spacing w:after="0"/>
              <w:rPr>
                <w:sz w:val="20"/>
                <w:szCs w:val="20"/>
                <w:color w:val="auto"/>
              </w:rPr>
            </w:pPr>
            <w:r>
              <w:rPr>
                <w:rFonts w:ascii="Courier New" w:cs="Courier New" w:eastAsia="Courier New" w:hAnsi="Courier New"/>
                <w:sz w:val="15"/>
                <w:szCs w:val="15"/>
                <w:color w:val="auto"/>
              </w:rPr>
              <w:t>Securities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39"/>
        </w:trPr>
        <w:tc>
          <w:tcPr>
            <w:tcW w:w="14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4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13.</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Defaults, Dividend Arrearages and Delinquencies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14.</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Material Modifications to the Rights of Security</w:t>
            </w:r>
          </w:p>
        </w:tc>
        <w:tc>
          <w:tcPr>
            <w:tcW w:w="580" w:type="dxa"/>
            <w:vAlign w:val="bottom"/>
          </w:tcPr>
          <w:p>
            <w:pPr>
              <w:spacing w:after="0"/>
              <w:rPr>
                <w:sz w:val="24"/>
                <w:szCs w:val="24"/>
                <w:color w:val="auto"/>
              </w:rPr>
            </w:pPr>
          </w:p>
        </w:tc>
      </w:tr>
      <w:tr>
        <w:trPr>
          <w:trHeight w:val="170"/>
        </w:trPr>
        <w:tc>
          <w:tcPr>
            <w:tcW w:w="1480" w:type="dxa"/>
            <w:vAlign w:val="bottom"/>
          </w:tcPr>
          <w:p>
            <w:pPr>
              <w:spacing w:after="0"/>
              <w:rPr>
                <w:sz w:val="14"/>
                <w:szCs w:val="14"/>
                <w:color w:val="auto"/>
              </w:rPr>
            </w:pPr>
          </w:p>
        </w:tc>
        <w:tc>
          <w:tcPr>
            <w:tcW w:w="4900" w:type="dxa"/>
            <w:vAlign w:val="bottom"/>
          </w:tcPr>
          <w:p>
            <w:pPr>
              <w:ind w:left="360"/>
              <w:spacing w:after="0"/>
              <w:rPr>
                <w:sz w:val="20"/>
                <w:szCs w:val="20"/>
                <w:color w:val="auto"/>
              </w:rPr>
            </w:pPr>
            <w:r>
              <w:rPr>
                <w:rFonts w:ascii="Courier New" w:cs="Courier New" w:eastAsia="Courier New" w:hAnsi="Courier New"/>
                <w:sz w:val="15"/>
                <w:szCs w:val="15"/>
                <w:color w:val="auto"/>
              </w:rPr>
              <w:t>Holders and Use of Proceeds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15.</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Reserved</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16.</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Reserved</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39"/>
        </w:trPr>
        <w:tc>
          <w:tcPr>
            <w:tcW w:w="1480" w:type="dxa"/>
            <w:vAlign w:val="bottom"/>
          </w:tcPr>
          <w:p>
            <w:pPr>
              <w:spacing w:after="0"/>
              <w:rPr>
                <w:sz w:val="20"/>
                <w:szCs w:val="20"/>
                <w:color w:val="auto"/>
              </w:rPr>
            </w:pPr>
            <w:r>
              <w:rPr>
                <w:rFonts w:ascii="Courier New" w:cs="Courier New" w:eastAsia="Courier New" w:hAnsi="Courier New"/>
                <w:sz w:val="15"/>
                <w:szCs w:val="15"/>
                <w:color w:val="auto"/>
              </w:rPr>
              <w:t>Part III</w:t>
            </w:r>
          </w:p>
        </w:tc>
        <w:tc>
          <w:tcPr>
            <w:tcW w:w="4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17.</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18.</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Item 19.</w:t>
            </w:r>
          </w:p>
        </w:tc>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 and Exhibits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509"/>
        </w:trPr>
        <w:tc>
          <w:tcPr>
            <w:tcW w:w="1480" w:type="dxa"/>
            <w:vAlign w:val="bottom"/>
          </w:tcPr>
          <w:p>
            <w:pPr>
              <w:spacing w:after="0"/>
              <w:rPr>
                <w:sz w:val="24"/>
                <w:szCs w:val="24"/>
                <w:color w:val="auto"/>
              </w:rPr>
            </w:pPr>
          </w:p>
        </w:tc>
        <w:tc>
          <w:tcPr>
            <w:tcW w:w="4900" w:type="dxa"/>
            <w:vAlign w:val="bottom"/>
          </w:tcPr>
          <w:p>
            <w:pPr>
              <w:ind w:left="1940"/>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spacing w:after="0"/>
              <w:rPr>
                <w:sz w:val="24"/>
                <w:szCs w:val="24"/>
                <w:color w:val="auto"/>
              </w:rPr>
            </w:pPr>
          </w:p>
        </w:tc>
      </w:tr>
    </w:tbl>
    <w:p>
      <w:pPr>
        <w:sectPr>
          <w:pgSz w:w="11900" w:h="16838" w:orient="portrait"/>
          <w:cols w:equalWidth="0" w:num="1">
            <w:col w:w="10219"/>
          </w:cols>
          <w:pgMar w:left="240" w:top="30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As used herein, "ICON plc" and the "Company" refer to ICON public limited company and its consolidated subsidiaries, unless the context requires otherwise.</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Unless otherwise indicated, ICON's financial statements and other financial data contained in this Form 20-F are presented in United States dollars ($) and are prepared in accordance with generally accepted accounting principles in the United States ("U.S. GAAP").</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this Form 20-F, references to "U.S. dollars," "U.S.$" or "$" are to the lawful currency of the United States, references to "pounds sterling", "sterling", "(pound)", "pence" or "p" are to the lawful currency of the United Kingdom, references to "Israeli Shekels" or "ILS" are to the lawful currency of Israel, references to "Euro" or "E" are to the European single currency adopted by twelve members of the European Union (including the Republic of Ireland, France, Germany &amp; the Netherlands). ICON publishes its consolidated financial statements in U.S. dollars.</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ICON prepares its consolidated financial statements on the basis of a fiscal year beginning on June 1 and ending on May 31. References to a fiscal year in this Form 20-F shall be references to the fiscal year ending on May 31 of that year. In this Form 20-F, financial results and operating statistics are, unless otherwise indicated, stated on the basis of such fiscal years.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Statements included herein which are not historical facts are forward looking statements. Such forward looking statements are made pursuant to the safe harbor provisions of the U.S. Private Securities Litigation Reform Act of 1995 (the "PSLRA"). The forward looking statements involve a number of risks and uncertainties and are subject to change at any time. In the event such risks or uncertainties materialize, our results could be materially affected. The risks and uncertainties include, but are not limited to, dependence on the pharmaceutical industry and certain clients, the need to regularly win projects and then to efficiently execute them, the challenges presented by rapid growth, competition and the continuing consolidation of the industry, the dependence on certain key executives and other factors identified in ICON's Securities and Exchange Commission filings. ICON has no obligation under the PSLRA to update any forward looking statements and does not intend to do so.</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Identity of Directors, Senior Management and Advisors.</w:t>
      </w:r>
    </w:p>
    <w:p>
      <w:pPr>
        <w:spacing w:after="0"/>
        <w:rPr>
          <w:sz w:val="20"/>
          <w:szCs w:val="20"/>
          <w:color w:val="auto"/>
        </w:rPr>
      </w:pPr>
      <w:r>
        <w:rPr>
          <w:rFonts w:ascii="Courier New" w:cs="Courier New" w:eastAsia="Courier New" w:hAnsi="Courier New"/>
          <w:sz w:val="15"/>
          <w:szCs w:val="15"/>
          <w:color w:val="auto"/>
        </w:rPr>
        <w:t>Not applicable.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Offer Statistics and Expected Timetable.</w:t>
      </w:r>
    </w:p>
    <w:p>
      <w:pPr>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1" w:right="1440"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Item 3. Key  Information.</w:t>
            </w:r>
          </w:p>
        </w:tc>
        <w:tc>
          <w:tcPr>
            <w:tcW w:w="2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rPr>
              <w:t>Selected Historical Consolidated Financial Data for ICON plc</w:t>
            </w: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rPr>
              <w:t>The following selected financial data set forth below are derived from ICON's</w:t>
            </w: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financial statements and should be read in conjunction with, and</w:t>
            </w: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rPr>
              <w:t>are qualified by reference to, "Operating and Financial Review and Prospects"</w:t>
            </w: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w w:val="98"/>
              </w:rPr>
              <w:t>and ICON's consolidated financial statements and related notes thereto included</w:t>
            </w: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elsewhere in this Form 20-F.</w:t>
            </w:r>
          </w:p>
        </w:tc>
        <w:tc>
          <w:tcPr>
            <w:tcW w:w="2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848"/>
        </w:trPr>
        <w:tc>
          <w:tcPr>
            <w:tcW w:w="4920" w:type="dxa"/>
            <w:vAlign w:val="bottom"/>
          </w:tcPr>
          <w:p>
            <w:pPr>
              <w:spacing w:after="0"/>
              <w:rPr>
                <w:sz w:val="24"/>
                <w:szCs w:val="24"/>
                <w:color w:val="auto"/>
              </w:rPr>
            </w:pPr>
          </w:p>
        </w:tc>
        <w:tc>
          <w:tcPr>
            <w:tcW w:w="3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Year Ended May 31,</w:t>
            </w: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4920" w:type="dxa"/>
            <w:vAlign w:val="bottom"/>
          </w:tcPr>
          <w:p>
            <w:pPr>
              <w:ind w:left="4480"/>
              <w:spacing w:after="0"/>
              <w:rPr>
                <w:sz w:val="20"/>
                <w:szCs w:val="20"/>
                <w:color w:val="auto"/>
              </w:rPr>
            </w:pPr>
            <w:r>
              <w:rPr>
                <w:rFonts w:ascii="Courier New" w:cs="Courier New" w:eastAsia="Courier New" w:hAnsi="Courier New"/>
                <w:sz w:val="15"/>
                <w:szCs w:val="15"/>
                <w:color w:val="auto"/>
              </w:rPr>
              <w:t>1999</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920" w:type="dxa"/>
            <w:vAlign w:val="bottom"/>
          </w:tcPr>
          <w:p>
            <w:pPr>
              <w:spacing w:after="0"/>
              <w:rPr>
                <w:sz w:val="14"/>
                <w:szCs w:val="14"/>
                <w:color w:val="auto"/>
              </w:rPr>
            </w:pPr>
          </w:p>
        </w:tc>
        <w:tc>
          <w:tcPr>
            <w:tcW w:w="446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w w:val="99"/>
              </w:rPr>
              <w:t>(in thousands, except share and per share data)</w:t>
            </w:r>
          </w:p>
        </w:tc>
        <w:tc>
          <w:tcPr>
            <w:tcW w:w="58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Statement of Operations</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Data:</w:t>
            </w: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Gross revenue</w:t>
            </w: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$98,910</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$115,087</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$151,832</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$218,842</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$340,971</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Subcontractor</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costs (1)</w:t>
            </w:r>
          </w:p>
        </w:tc>
        <w:tc>
          <w:tcPr>
            <w:tcW w:w="1320" w:type="dxa"/>
            <w:vAlign w:val="bottom"/>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(39,003)</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(34,320)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(35,669)</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(62,287)</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(115,246)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2060" w:type="dxa"/>
            <w:vAlign w:val="bottom"/>
          </w:tcPr>
          <w:p>
            <w:pPr>
              <w:spacing w:after="0"/>
              <w:rPr>
                <w:sz w:val="14"/>
                <w:szCs w:val="14"/>
                <w:color w:val="auto"/>
              </w:rPr>
            </w:pP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59,907</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80,767</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116,163</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156,555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225,725</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1800" w:type="dxa"/>
            <w:vAlign w:val="bottom"/>
          </w:tcPr>
          <w:p>
            <w:pPr>
              <w:ind w:left="340"/>
              <w:spacing w:after="0"/>
              <w:rPr>
                <w:sz w:val="20"/>
                <w:szCs w:val="20"/>
                <w:color w:val="auto"/>
              </w:rPr>
            </w:pPr>
            <w:r>
              <w:rPr>
                <w:rFonts w:ascii="Courier New" w:cs="Courier New" w:eastAsia="Courier New" w:hAnsi="Courier New"/>
                <w:sz w:val="15"/>
                <w:szCs w:val="15"/>
                <w:color w:val="auto"/>
              </w:rPr>
              <w:t>Direct costs</w:t>
            </w:r>
          </w:p>
        </w:tc>
        <w:tc>
          <w:tcPr>
            <w:tcW w:w="2060" w:type="dxa"/>
            <w:vAlign w:val="bottom"/>
          </w:tcPr>
          <w:p>
            <w:pPr>
              <w:spacing w:after="0"/>
              <w:rPr>
                <w:sz w:val="14"/>
                <w:szCs w:val="14"/>
                <w:color w:val="auto"/>
              </w:rPr>
            </w:pP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31,662</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42,007</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63,800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83,371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122,373</w:t>
            </w:r>
          </w:p>
        </w:tc>
      </w:tr>
      <w:tr>
        <w:trPr>
          <w:trHeight w:val="170"/>
        </w:trPr>
        <w:tc>
          <w:tcPr>
            <w:tcW w:w="1800" w:type="dxa"/>
            <w:vAlign w:val="bottom"/>
          </w:tcPr>
          <w:p>
            <w:pPr>
              <w:ind w:left="340"/>
              <w:spacing w:after="0"/>
              <w:rPr>
                <w:sz w:val="20"/>
                <w:szCs w:val="20"/>
                <w:color w:val="auto"/>
              </w:rPr>
            </w:pPr>
            <w:r>
              <w:rPr>
                <w:rFonts w:ascii="Courier New" w:cs="Courier New" w:eastAsia="Courier New" w:hAnsi="Courier New"/>
                <w:sz w:val="15"/>
                <w:szCs w:val="15"/>
                <w:color w:val="auto"/>
                <w:w w:val="99"/>
              </w:rPr>
              <w:t>Selling, general</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and administrative</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19,200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27,348</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36,312</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48,951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71,118</w:t>
            </w:r>
          </w:p>
        </w:tc>
      </w:tr>
      <w:tr>
        <w:trPr>
          <w:trHeight w:val="170"/>
        </w:trPr>
        <w:tc>
          <w:tcPr>
            <w:tcW w:w="1800" w:type="dxa"/>
            <w:vAlign w:val="bottom"/>
          </w:tcPr>
          <w:p>
            <w:pPr>
              <w:ind w:left="340"/>
              <w:spacing w:after="0"/>
              <w:rPr>
                <w:sz w:val="20"/>
                <w:szCs w:val="20"/>
                <w:color w:val="auto"/>
              </w:rPr>
            </w:pPr>
            <w:r>
              <w:rPr>
                <w:rFonts w:ascii="Courier New" w:cs="Courier New" w:eastAsia="Courier New" w:hAnsi="Courier New"/>
                <w:sz w:val="15"/>
                <w:szCs w:val="15"/>
                <w:color w:val="auto"/>
                <w:w w:val="99"/>
              </w:rPr>
              <w:t>Merger costs (3)</w:t>
            </w:r>
          </w:p>
        </w:tc>
        <w:tc>
          <w:tcPr>
            <w:tcW w:w="2060" w:type="dxa"/>
            <w:vAlign w:val="bottom"/>
          </w:tcPr>
          <w:p>
            <w:pPr>
              <w:spacing w:after="0"/>
              <w:rPr>
                <w:sz w:val="14"/>
                <w:szCs w:val="14"/>
                <w:color w:val="auto"/>
              </w:rPr>
            </w:pP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1,617</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800" w:type="dxa"/>
            <w:vAlign w:val="bottom"/>
          </w:tcPr>
          <w:p>
            <w:pPr>
              <w:ind w:left="340"/>
              <w:spacing w:after="0"/>
              <w:rPr>
                <w:sz w:val="20"/>
                <w:szCs w:val="20"/>
                <w:color w:val="auto"/>
              </w:rPr>
            </w:pPr>
            <w:r>
              <w:rPr>
                <w:rFonts w:ascii="Courier New" w:cs="Courier New" w:eastAsia="Courier New" w:hAnsi="Courier New"/>
                <w:sz w:val="15"/>
                <w:szCs w:val="15"/>
                <w:color w:val="auto"/>
                <w:w w:val="99"/>
              </w:rPr>
              <w:t>Depreciation and</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amortization</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2,066</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3,264</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4,975</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6,020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7,305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costs and expenses</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52,928</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74,236</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105,087</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138,342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200,796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6,979</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6,531</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11,076</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18,213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24,929</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2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2,631</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2,659</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2,519</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1,116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Income before</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provision for income taxes</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9,610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9,190</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13,595</w:t>
            </w:r>
          </w:p>
        </w:tc>
        <w:tc>
          <w:tcPr>
            <w:tcW w:w="1280" w:type="dxa"/>
            <w:vAlign w:val="bottom"/>
          </w:tcPr>
          <w:p>
            <w:pPr>
              <w:ind w:left="340"/>
              <w:spacing w:after="0"/>
              <w:rPr>
                <w:sz w:val="20"/>
                <w:szCs w:val="20"/>
                <w:color w:val="auto"/>
              </w:rPr>
            </w:pPr>
            <w:r>
              <w:rPr>
                <w:rFonts w:ascii="Courier New" w:cs="Courier New" w:eastAsia="Courier New" w:hAnsi="Courier New"/>
                <w:sz w:val="15"/>
                <w:szCs w:val="15"/>
                <w:color w:val="auto"/>
              </w:rPr>
              <w:t>19,329</w:t>
            </w: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25,283</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Provision for</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(1,557)</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(3,122)</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(2,617)</w:t>
            </w:r>
          </w:p>
        </w:tc>
        <w:tc>
          <w:tcPr>
            <w:tcW w:w="1280" w:type="dxa"/>
            <w:vAlign w:val="bottom"/>
          </w:tcPr>
          <w:p>
            <w:pPr>
              <w:ind w:left="340"/>
              <w:spacing w:after="0"/>
              <w:rPr>
                <w:sz w:val="20"/>
                <w:szCs w:val="20"/>
                <w:color w:val="auto"/>
              </w:rPr>
            </w:pPr>
            <w:r>
              <w:rPr>
                <w:rFonts w:ascii="Courier New" w:cs="Courier New" w:eastAsia="Courier New" w:hAnsi="Courier New"/>
                <w:sz w:val="15"/>
                <w:szCs w:val="15"/>
                <w:color w:val="auto"/>
              </w:rPr>
              <w:t>(5,129)</w:t>
            </w: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w w:val="95"/>
              </w:rPr>
              <w:t>(7,000)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income (4)</w:t>
            </w:r>
          </w:p>
        </w:tc>
        <w:tc>
          <w:tcPr>
            <w:tcW w:w="2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$8,053</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$6,068</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$10,978</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$14,200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$18,283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 per ordinary share (2):</w:t>
            </w: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Basic</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$0.74</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$0.55</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$0.97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$0.68</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$0.51</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$0.92</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Weighted</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average number of ordinary</w:t>
            </w: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shares</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2740" w:type="dxa"/>
            <w:vAlign w:val="bottom"/>
          </w:tcPr>
          <w:p>
            <w:pPr>
              <w:jc w:val="right"/>
              <w:ind w:right="2307"/>
              <w:spacing w:after="0"/>
              <w:rPr>
                <w:sz w:val="20"/>
                <w:szCs w:val="20"/>
                <w:color w:val="auto"/>
              </w:rPr>
            </w:pPr>
            <w:r>
              <w:rPr>
                <w:rFonts w:ascii="Courier New" w:cs="Courier New" w:eastAsia="Courier New" w:hAnsi="Courier New"/>
                <w:sz w:val="15"/>
                <w:szCs w:val="15"/>
                <w:color w:val="auto"/>
              </w:rPr>
              <w:t>(4)</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10,908,409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11,050,556</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11,292,610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11,656,153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11,813,788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6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(4)</w:t>
            </w:r>
          </w:p>
        </w:tc>
        <w:tc>
          <w:tcPr>
            <w:tcW w:w="2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11,917,605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11,824,359</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11,943,849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12,241,820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12,181,094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Pro forma information</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Adjustment for pro forma income taxes (3)</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(181)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2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7,872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6,605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income per ordinary share:</w:t>
            </w:r>
          </w:p>
        </w:tc>
        <w:tc>
          <w:tcPr>
            <w:tcW w:w="1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640" w:type="dxa"/>
            <w:vAlign w:val="bottom"/>
          </w:tcPr>
          <w:p>
            <w:pPr>
              <w:ind w:left="340"/>
              <w:spacing w:after="0"/>
              <w:rPr>
                <w:sz w:val="20"/>
                <w:szCs w:val="20"/>
                <w:color w:val="auto"/>
              </w:rPr>
            </w:pPr>
            <w:r>
              <w:rPr>
                <w:rFonts w:ascii="Courier New" w:cs="Courier New" w:eastAsia="Courier New" w:hAnsi="Courier New"/>
                <w:sz w:val="15"/>
                <w:szCs w:val="15"/>
                <w:color w:val="auto"/>
              </w:rPr>
              <w:t>Basic</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$0.60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$0.66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$0.56</w:t>
            </w:r>
          </w:p>
        </w:tc>
      </w:tr>
    </w:tbl>
    <w:p>
      <w:pPr>
        <w:spacing w:after="0" w:line="5" w:lineRule="exact"/>
        <w:rPr>
          <w:sz w:val="20"/>
          <w:szCs w:val="20"/>
          <w:color w:val="auto"/>
        </w:rPr>
      </w:pPr>
    </w:p>
    <w:p>
      <w:pPr>
        <w:ind w:left="170" w:hanging="170"/>
        <w:spacing w:after="0"/>
        <w:tabs>
          <w:tab w:leader="none" w:pos="17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2"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w:t>
      </w:r>
    </w:p>
    <w:p>
      <w:pPr>
        <w:sectPr>
          <w:pgSz w:w="11900" w:h="16838" w:orient="portrait"/>
          <w:cols w:equalWidth="0" w:num="1">
            <w:col w:w="10310"/>
          </w:cols>
          <w:pgMar w:left="230" w:top="1130" w:right="1359" w:bottom="1440" w:gutter="0" w:footer="0" w:header="0"/>
        </w:sectPr>
      </w:pPr>
    </w:p>
    <w:bookmarkStart w:id="4" w:name="page5"/>
    <w:bookmarkEnd w:id="4"/>
    <w:p>
      <w:pPr>
        <w:spacing w:after="0" w:line="30" w:lineRule="exact"/>
        <w:rPr>
          <w:sz w:val="20"/>
          <w:szCs w:val="20"/>
          <w:color w:val="auto"/>
        </w:rPr>
      </w:pPr>
    </w:p>
    <w:tbl>
      <w:tblPr>
        <w:tblLayout w:type="fixed"/>
        <w:tblInd w:w="448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of May 31,</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1999</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2001</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8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thousands)</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Balance Sheet</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Data:</w:t>
            </w:r>
          </w:p>
        </w:tc>
        <w:tc>
          <w:tcPr>
            <w:tcW w:w="2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Cash and cash</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equivalents</w:t>
            </w:r>
          </w:p>
        </w:tc>
        <w:tc>
          <w:tcPr>
            <w:tcW w:w="2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$12,353</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$26,552</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$11,179</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$36,291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$18,311</w:t>
            </w:r>
          </w:p>
        </w:tc>
      </w:t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Short term investments</w:t>
            </w:r>
          </w:p>
        </w:tc>
        <w:tc>
          <w:tcPr>
            <w:tcW w:w="2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35,936</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21,405</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35,941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Working capital</w:t>
            </w:r>
          </w:p>
        </w:tc>
        <w:tc>
          <w:tcPr>
            <w:tcW w:w="2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56,944</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57,962</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61,147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72,923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53,827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020" w:type="dxa"/>
            <w:vAlign w:val="bottom"/>
          </w:tcPr>
          <w:p>
            <w:pPr>
              <w:spacing w:after="0"/>
              <w:rPr>
                <w:sz w:val="14"/>
                <w:szCs w:val="14"/>
                <w:color w:val="auto"/>
              </w:rPr>
            </w:pPr>
          </w:p>
        </w:tc>
        <w:tc>
          <w:tcPr>
            <w:tcW w:w="2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95,758</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100,118</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128,967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165,794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2020" w:type="dxa"/>
            <w:vAlign w:val="bottom"/>
          </w:tcPr>
          <w:p>
            <w:pPr>
              <w:spacing w:after="0"/>
              <w:rPr>
                <w:sz w:val="14"/>
                <w:szCs w:val="14"/>
                <w:color w:val="auto"/>
              </w:rPr>
            </w:pPr>
          </w:p>
        </w:tc>
        <w:tc>
          <w:tcPr>
            <w:tcW w:w="2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3,514</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2,251</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11,518</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11,745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7,126</w:t>
            </w:r>
          </w:p>
        </w:tc>
      </w:t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Government grants</w:t>
            </w:r>
          </w:p>
        </w:tc>
        <w:tc>
          <w:tcPr>
            <w:tcW w:w="2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624</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533</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1,140</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Shareholders'</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equity</w:t>
            </w:r>
          </w:p>
        </w:tc>
        <w:tc>
          <w:tcPr>
            <w:tcW w:w="2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$71,633</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$77,053</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$86,580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$107,561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$136,910</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80" w:right="3440" w:hanging="449"/>
        <w:spacing w:after="0" w:line="260"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Subcontractor costs comprise investigator payments and certain other costs reimbursed by clients under terms specific to each of ICON's contracts. See Note 2(d) to the consolidated financial statements.</w:t>
      </w:r>
    </w:p>
    <w:p>
      <w:pPr>
        <w:spacing w:after="0" w:line="162" w:lineRule="exact"/>
        <w:rPr>
          <w:rFonts w:ascii="Courier New" w:cs="Courier New" w:eastAsia="Courier New" w:hAnsi="Courier New"/>
          <w:sz w:val="14"/>
          <w:szCs w:val="14"/>
          <w:color w:val="auto"/>
        </w:rPr>
      </w:pPr>
    </w:p>
    <w:p>
      <w:pPr>
        <w:ind w:left="880" w:right="3340" w:hanging="449"/>
        <w:spacing w:after="0" w:line="237"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ordinary share is based on the weighted average number of outstanding ordinary shares and in the case of diluted net income per share includes potential ordinary shares from the exercise of options.</w:t>
      </w:r>
    </w:p>
    <w:p>
      <w:pPr>
        <w:spacing w:after="0" w:line="176" w:lineRule="exact"/>
        <w:rPr>
          <w:rFonts w:ascii="Courier New" w:cs="Courier New" w:eastAsia="Courier New" w:hAnsi="Courier New"/>
          <w:sz w:val="15"/>
          <w:szCs w:val="15"/>
          <w:color w:val="auto"/>
        </w:rPr>
      </w:pPr>
    </w:p>
    <w:p>
      <w:pPr>
        <w:ind w:left="880" w:right="3440" w:hanging="449"/>
        <w:spacing w:after="0" w:line="238"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28, 2000, ICON completed a merger with Pacific Research Associates Inc. ("PRAI"), a company specializing in data management, statistical analysis, and medical and regulatory consulting based in Mountain View, USA. The merger with PRAI was accounted for as a pooling-of-interests transaction and accordingly, the historical financial information contained within this Form 20-F reflects the combined results of ICON and PRAI.</w:t>
      </w:r>
    </w:p>
    <w:p>
      <w:pPr>
        <w:spacing w:after="0" w:line="176" w:lineRule="exact"/>
        <w:rPr>
          <w:rFonts w:ascii="Courier New" w:cs="Courier New" w:eastAsia="Courier New" w:hAnsi="Courier New"/>
          <w:sz w:val="15"/>
          <w:szCs w:val="15"/>
          <w:color w:val="auto"/>
        </w:rPr>
      </w:pPr>
    </w:p>
    <w:p>
      <w:pPr>
        <w:ind w:left="880" w:right="35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adjustment for pro forma income taxes is to normalize the tax charge in relation to PRAI. As PRAI was treated as an S-Corporation (with no corporate tax therefore charged to income) prior to the merger with ICON.</w:t>
      </w:r>
    </w:p>
    <w:p>
      <w:pPr>
        <w:spacing w:after="0" w:line="176" w:lineRule="exact"/>
        <w:rPr>
          <w:rFonts w:ascii="Courier New" w:cs="Courier New" w:eastAsia="Courier New" w:hAnsi="Courier New"/>
          <w:sz w:val="15"/>
          <w:szCs w:val="15"/>
          <w:color w:val="auto"/>
        </w:rPr>
      </w:pPr>
    </w:p>
    <w:p>
      <w:pPr>
        <w:ind w:left="880" w:right="3260" w:hanging="449"/>
        <w:spacing w:after="0" w:line="238"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explained in Note 17 to our Audited Consolidated Financial Statements, ICON adopted Statement of Financial Accounting Standards ("SFAS") No.142 effective June 1, 2001. Under SFAS No.142, goodwill and intangible assets with indefinite lives are no longer amortized, but instead are tested for impairment at least annually. The following table provides a reconciliation of reported net income to adjusted net income and earnings per ordinary share excluding amortization expense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48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Year ended May</w:t>
            </w:r>
          </w:p>
        </w:tc>
        <w:tc>
          <w:tcPr>
            <w:tcW w:w="17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spacing w:after="0"/>
              <w:rPr>
                <w:sz w:val="14"/>
                <w:szCs w:val="14"/>
                <w:color w:val="auto"/>
              </w:rPr>
            </w:pPr>
          </w:p>
        </w:tc>
      </w:tr>
      <w:tr>
        <w:trPr>
          <w:trHeight w:val="170"/>
        </w:trPr>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rPr>
              <w:t>(in thousands)</w:t>
            </w:r>
          </w:p>
        </w:tc>
        <w:tc>
          <w:tcPr>
            <w:tcW w:w="8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Reported</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net income</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$8,053</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$6,068</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$10,978</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$14,200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$18,283</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Add back</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goodwill amortization</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$8,053</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$6,106</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$11,188</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$14,200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$18,283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 dollars)</w:t>
            </w: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net income per ordinary share reported</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$0.55</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$0.97</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Add back goodwill amortization</w:t>
            </w: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$0.02</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Adjusted basic</w:t>
            </w:r>
          </w:p>
        </w:tc>
        <w:tc>
          <w:tcPr>
            <w:tcW w:w="4280" w:type="dxa"/>
            <w:vAlign w:val="bottom"/>
          </w:tcPr>
          <w:p>
            <w:pPr>
              <w:jc w:val="right"/>
              <w:ind w:right="2127"/>
              <w:spacing w:after="0"/>
              <w:rPr>
                <w:sz w:val="20"/>
                <w:szCs w:val="20"/>
                <w:color w:val="auto"/>
              </w:rPr>
            </w:pPr>
            <w:r>
              <w:rPr>
                <w:rFonts w:ascii="Courier New" w:cs="Courier New" w:eastAsia="Courier New" w:hAnsi="Courier New"/>
                <w:sz w:val="15"/>
                <w:szCs w:val="15"/>
                <w:color w:val="auto"/>
                <w:w w:val="99"/>
              </w:rPr>
              <w:t>net income per ordinary</w:t>
            </w: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share reported</w:t>
            </w:r>
          </w:p>
        </w:tc>
        <w:tc>
          <w:tcPr>
            <w:tcW w:w="4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$0.74</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$0.55</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$0.99</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 dollars)</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Diluted net income per ordinary share reported</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$0.68</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$0.51</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$0.92</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Add back goodwill amortization</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$0.02</w:t>
            </w: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Adjusted diluted net income per ordinary</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share reported</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$0.68</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$0.51</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$0.94</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300"/>
          </w:cols>
          <w:pgMar w:left="240" w:top="1440" w:right="1359" w:bottom="571" w:gutter="0" w:footer="0" w:header="0"/>
        </w:sectPr>
      </w:pPr>
    </w:p>
    <w:bookmarkStart w:id="5" w:name="page6"/>
    <w:bookmarkEnd w:id="5"/>
    <w:p>
      <w:pPr>
        <w:ind w:left="2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30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Risk Factors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You should carefully consider the following factors and any other information in this document before deciding to purchase our American Depository Shares ("ADSs").</w:t>
      </w:r>
    </w:p>
    <w:p>
      <w:pPr>
        <w:spacing w:after="0" w:line="34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are dependent on the continued outsourcing of research and development by the pharmaceutical and biotechnology industries. We are dependent upon the ability and willingness of the pharmaceutical and biotechnology companies to continue to spend on research and development and to outsource the services that we provide. We are therefore subject to risks, uncertainties and trends that affect companies in these industries. We have benefited to date from the tendency of pharmaceutical and biotechnology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200" w:lineRule="exact"/>
        <w:rPr>
          <w:sz w:val="20"/>
          <w:szCs w:val="20"/>
          <w:color w:val="auto"/>
        </w:rPr>
      </w:pPr>
    </w:p>
    <w:p>
      <w:pPr>
        <w:spacing w:after="0" w:line="30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depend on a limited number of clients and a loss of or significant decrease in business from them could affect our business. We have in the past and may in the future derive a significant portion of our net revenue from a relatively limited number of clients. During the fiscal year ended May 31, 2003, 51% of our net revenue was derived from our top five clients. In fiscal 2003, 21% of our net revenue was from Astra Zeneca, 11% from Sanofi and 10% from Pfizer. During the fiscal year ended May 31, 2002, 60% of our net revenue was derived from our top five clients. In fiscal 2002, 16% of our net revenue was from Astra Zeneca, 14% from Pfizer and 12% from Bristol Myers Squibb. During the fiscal year ended May 31, 2001, we derived 58% of our net revenue from our top five clients. In fiscal 2001, 19% of our net revenue was from Pfizer and 15% from GlaxoSmithKline. The loss of, or a significant decrease in business from, one or more of these clients could have a material adverse effect on our business.</w:t>
      </w:r>
    </w:p>
    <w:p>
      <w:pPr>
        <w:spacing w:after="0" w:line="16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If our clients discontinue using our services, or cancel or discontinue projects, our revenue will be adversely affected and we may not receive their business in the future or may not be able to attract new clients.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176" w:lineRule="exact"/>
        <w:rPr>
          <w:sz w:val="20"/>
          <w:szCs w:val="20"/>
          <w:color w:val="auto"/>
        </w:rPr>
      </w:pPr>
    </w:p>
    <w:p>
      <w:pPr>
        <w:ind w:left="880" w:right="3539" w:hanging="449"/>
        <w:spacing w:after="0" w:line="235"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products being tested to satisfy safety or efficacy requirements;</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or undesired clinical results of the product;</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decision that a particular study is no longer necessary;</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insufficient patient enrollment or investigator recruitment; or</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problems resulting in shortages of the drug.</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If we lose clients, we may not be able to attract new ones, and if we lose individual projects, we may not be able to replace them.</w:t>
      </w:r>
    </w:p>
    <w:p>
      <w:pPr>
        <w:spacing w:after="0" w:line="34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market for CROs is highly competitive. We primarily compete against in-house departments of pharmaceutical companies and other CROs including Quintiles Transnational Corporation, Covance Inc., PAREXEL International Corp., Kendle International Inc., Ingenix Inc. (United Health), Omnicare Inc., PRA Inc., MDS Inc., Inveresk Research Group, Inc. and Pharmaceutical Product Development, Inc.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w:t>
      </w:r>
    </w:p>
    <w:p>
      <w:pPr>
        <w:spacing w:after="0" w:line="200" w:lineRule="exact"/>
        <w:rPr>
          <w:sz w:val="20"/>
          <w:szCs w:val="20"/>
          <w:color w:val="auto"/>
        </w:rPr>
      </w:pPr>
    </w:p>
    <w:p>
      <w:pPr>
        <w:spacing w:after="0" w:line="319"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4"/>
          <w:szCs w:val="14"/>
          <w:color w:val="auto"/>
        </w:rPr>
        <w:t>Any of these factors may prevent us from getting the opportunity to bid on new projects or prevent us from being competitive in bidding on new contracts.</w:t>
      </w:r>
    </w:p>
    <w:p>
      <w:pPr>
        <w:spacing w:after="0" w:line="328"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Our quarterly results are dependent upon a number of factors and can fluctuate from quarter to quarter.</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1" w:right="1440" w:bottom="57" w:gutter="0" w:footer="0" w:header="0"/>
        </w:sectPr>
      </w:pPr>
    </w:p>
    <w:bookmarkStart w:id="7" w:name="page8"/>
    <w:bookmarkEnd w:id="7"/>
    <w:p>
      <w:pPr>
        <w:ind w:right="3179"/>
        <w:spacing w:after="0" w:line="257" w:lineRule="auto"/>
        <w:rPr>
          <w:sz w:val="20"/>
          <w:szCs w:val="20"/>
          <w:color w:val="auto"/>
        </w:rPr>
      </w:pPr>
      <w:r>
        <w:rPr>
          <w:rFonts w:ascii="Courier New" w:cs="Courier New" w:eastAsia="Courier New" w:hAnsi="Courier New"/>
          <w:sz w:val="14"/>
          <w:szCs w:val="14"/>
          <w:color w:val="auto"/>
        </w:rPr>
        <w:t>Our results of operations in any quarter can fluctuate depending upon, among other things, the number and scope of ongoing client projects, the commencement, postponement, variation and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200" w:lineRule="exact"/>
        <w:rPr>
          <w:sz w:val="20"/>
          <w:szCs w:val="20"/>
          <w:color w:val="auto"/>
        </w:rPr>
      </w:pPr>
    </w:p>
    <w:p>
      <w:pPr>
        <w:spacing w:after="0" w:line="30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Approximately 80% of our net revenue is earned from long-term fixed-fee contracts. We would lose money in performing these contracts if the costs of performance exceed the fixed fees for these projects. Approximately 80%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200" w:lineRule="exact"/>
        <w:rPr>
          <w:sz w:val="20"/>
          <w:szCs w:val="20"/>
          <w:color w:val="auto"/>
        </w:rPr>
      </w:pPr>
    </w:p>
    <w:p>
      <w:pPr>
        <w:spacing w:after="0" w:line="31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If we fail to attract or retain qualified staff, our performance may suffer. 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and biotechnology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200" w:lineRule="exact"/>
        <w:rPr>
          <w:sz w:val="20"/>
          <w:szCs w:val="20"/>
          <w:color w:val="auto"/>
        </w:rPr>
      </w:pPr>
    </w:p>
    <w:p>
      <w:pPr>
        <w:spacing w:after="0" w:line="31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Failure to comply with the regulations of the U.S. Food and Drug Administration and other regulatory authorities could result in substantial penalties and/or loss of business. 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161" w:lineRule="exact"/>
        <w:rPr>
          <w:sz w:val="20"/>
          <w:szCs w:val="20"/>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research;</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disqualification of data;</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denial of the right to conduct business;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criminal penalties;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enforcement actions.</w:t>
      </w:r>
    </w:p>
    <w:p>
      <w:pPr>
        <w:spacing w:after="0" w:line="200" w:lineRule="exact"/>
        <w:rPr>
          <w:sz w:val="20"/>
          <w:szCs w:val="20"/>
          <w:color w:val="auto"/>
        </w:rPr>
      </w:pPr>
    </w:p>
    <w:p>
      <w:pPr>
        <w:spacing w:after="0" w:line="31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Our exposure to exchange rate fluctuations could adversely affect our results of operations.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derived approximately 29.7% of our consolidated net revenue in 2003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8" w:name="page9"/>
    <w:bookmarkEnd w:id="8"/>
    <w:p>
      <w:pPr>
        <w:ind w:right="3179"/>
        <w:spacing w:after="0" w:line="238" w:lineRule="auto"/>
        <w:rPr>
          <w:sz w:val="20"/>
          <w:szCs w:val="20"/>
          <w:color w:val="auto"/>
        </w:rPr>
      </w:pPr>
      <w:r>
        <w:rPr>
          <w:rFonts w:ascii="Courier New" w:cs="Courier New" w:eastAsia="Courier New" w:hAnsi="Courier New"/>
          <w:sz w:val="15"/>
          <w:szCs w:val="15"/>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 In fiscal 2003, we purchased $6.0 million of foreign exchange contracts to hedge against U.S. dollar net revenue arising in non-U.S. operations.</w:t>
      </w:r>
    </w:p>
    <w:p>
      <w:pPr>
        <w:spacing w:after="0" w:line="200" w:lineRule="exact"/>
        <w:rPr>
          <w:sz w:val="20"/>
          <w:szCs w:val="20"/>
          <w:color w:val="auto"/>
        </w:rPr>
      </w:pPr>
    </w:p>
    <w:p>
      <w:pPr>
        <w:spacing w:after="0" w:line="318"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Liability claims brought against us could result in payment of substantial damages to plaintiffs and decrease our profitability.</w:t>
      </w:r>
    </w:p>
    <w:p>
      <w:pPr>
        <w:spacing w:after="0" w:line="17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addition, we maintain approximately $20.0 million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Information on the Company.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We are a Clinical Research Organization ("CRO") providing clinical research and development services on a global basis to the pharmaceutical and biotechnology industries. We specialize in the management, execution and analysis of complex, multinational clinical trials in most major therapeutic areas. We believe that we are one of a select group of CROs with the capability and expertise to conduct clinical trials on a global basis. As of May 31, 2003, we had approximately 2,300 employees and operations in 29 locations in 17 countries, including the United States and major markets in Europe and Rest of World and have managed clinical trials in 55 countries. For the fiscal year ended May 31, 2003, we derived approximately 70.3%, 27.0% and 2.7% of our net revenue in the United States, Europe and Rest of World, respectively.</w:t>
      </w:r>
    </w:p>
    <w:p>
      <w:pPr>
        <w:spacing w:after="0" w:line="16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the fiscal year ended May 31, 2003, we commenced operations in Montreal, Canada, Tampa, Florida, Raleigh, North Carolina and Moscow, Russia. We also merged two existing California based operations into one office in Redwood City, California.</w:t>
      </w:r>
    </w:p>
    <w:p>
      <w:pPr>
        <w:spacing w:after="0" w:line="176"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On October 9, 2002, we acquired Barton &amp; Polansky Associates, Inc. ("BPA") and its sister company, Managed Clinical Solutions, Inc ("MCS"), contract research organizations in New York.</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On January 24, 2003, we acquired Medeval Group Limited, ("Medeval"), a UK based specialist provider of Phase I clinical trials to the pharmaceutical and biotechnology industries.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On July 3, 2003, we entered into a creditline facility for a total of U.S.$60 million. This facility was entered into jointly with Bank of Ireland plc and Ulster Bank Ireland Ltd, and replaces both the existing Allied Irish Banks plc and the PNC facilities.</w:t>
      </w:r>
    </w:p>
    <w:p>
      <w:pPr>
        <w:spacing w:after="0" w:line="176"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On August 6, 2003, we completed a secondary offering on the NASDAQ exchange raising approximately $44.3 million after the deduction of costs through the issuance of an additional 1.5 million shares at $32.25 per share.</w:t>
      </w:r>
    </w:p>
    <w:p>
      <w:pPr>
        <w:spacing w:after="0" w:line="16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On September 9, 2003 we completed the acquisition of Globomax LLC, a leading US drug development company which provides a range of development and consulting services to the pharmaceutical and biotechnology industries.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ICON plc's principal executive office is located at: South County Business Park, Leopardstown, Dublin 18, Republic of Ireland. The contact telephone number of this office is 353 (1) 291 2000.</w:t>
      </w:r>
    </w:p>
    <w:p>
      <w:pPr>
        <w:sectPr>
          <w:pgSz w:w="11900" w:h="16838" w:orient="portrait"/>
          <w:cols w:equalWidth="0" w:num="1">
            <w:col w:w="10219"/>
          </w:cols>
          <w:pgMar w:left="240" w:top="966" w:right="1440" w:bottom="226" w:gutter="0" w:footer="0" w:header="0"/>
        </w:sectPr>
      </w:pPr>
    </w:p>
    <w:bookmarkStart w:id="9" w:name="page10"/>
    <w:bookmarkEnd w:id="9"/>
    <w:p>
      <w:pPr>
        <w:ind w:left="2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47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Industry Overview</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CRO industry provides independent product development services for the pharmaceutical and biotechnology industries. Companies in these industries outsource product development services to CROs in order to manage the drug development process more efficiently and cost-effectively to maximize the profit potential of patent-protected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central laboratory and regulatory affairs services. CROs are required to provide these services in accordance with good clinical and laboratory practices, as governed by the applicable regulatory authorities.</w:t>
      </w:r>
    </w:p>
    <w:p>
      <w:pPr>
        <w:spacing w:after="0" w:line="166"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 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and biotechnology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Trends Affecting the CRO Industry</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CROs derive substantially all of their revenue from the research and development expenditures of pharmaceutical and biotechnology companies. Based on industry surveys and investment analyst research, we estimate that clinical development expenditures outsourced by pharmaceutical and biotechnology companies worldwide in 2002 was in excess of $10 billion. We believe that the following trends create further growth opportunities for global CROs, although there is no assurance that growth will materialize.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Increasing Drug Development Activity.</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Recent improvements in drug discovery and screening technology, biotechnology and disease pathology have reduced the time to develop new drug candidates. These improvements, combined with the threat of patent expirations on existing drugs, have led drug developers to increase the rate at which they are creating new drug candidates for clinical trials. As the number of trials that need to be performed increases, we believe that drug developers will increasingly rely on CROs to manage these trials in order to continue to focus on drug discovery. In addition, as many biotechnology companies do not have a clinical development infrastructure, we believe that the services offered by CROs will continue to be in demand from such companies.</w:t>
      </w:r>
    </w:p>
    <w:p>
      <w:pPr>
        <w:spacing w:after="0" w:line="200" w:lineRule="exact"/>
        <w:rPr>
          <w:sz w:val="20"/>
          <w:szCs w:val="20"/>
          <w:color w:val="auto"/>
        </w:rPr>
      </w:pPr>
    </w:p>
    <w:p>
      <w:pPr>
        <w:spacing w:after="0" w:line="31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Pressure to Accelerate Time to Markets; Globalization of the Marketplace. 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Containment Pressures.</w:t>
      </w:r>
    </w:p>
    <w:p>
      <w:pPr>
        <w:spacing w:after="0" w:line="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Over the last several years, drug companies have sought more efficient ways of conducting business due to margin pressures stemming from patent expirations, greater acceptance of generic drugs, pricing pressures caused by the impact of managed care,</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2" w:right="1440" w:bottom="565" w:gutter="0" w:footer="0" w:header="0"/>
        </w:sectPr>
      </w:pPr>
    </w:p>
    <w:bookmarkStart w:id="11" w:name="page12"/>
    <w:bookmarkEnd w:id="11"/>
    <w:p>
      <w:pPr>
        <w:ind w:right="3179"/>
        <w:spacing w:after="0" w:line="238" w:lineRule="auto"/>
        <w:rPr>
          <w:sz w:val="20"/>
          <w:szCs w:val="20"/>
          <w:color w:val="auto"/>
        </w:rPr>
      </w:pPr>
      <w:r>
        <w:rPr>
          <w:rFonts w:ascii="Courier New" w:cs="Courier New" w:eastAsia="Courier New" w:hAnsi="Courier New"/>
          <w:sz w:val="15"/>
          <w:szCs w:val="15"/>
          <w:color w:val="auto"/>
        </w:rPr>
        <w:t>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Increasing Number of Large Long-Term Post-Marketing Studies.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believe that to establish competitive claims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Increasing Regulatory Demands.</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Operating Procedures</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have developed a unique operating model for clinical trial projects based on a "dedicated team approach" in which a team of full time professionals, operating out of centralized offices, is assigned exclusively to each project. This contrasts with the approach of many competitors whose staff typically work on multiple projects at once, sometimes operating from non-office bases in remote locations and some of whom may be part-time. We believe that this operating model offers the following advantages:</w:t>
      </w:r>
    </w:p>
    <w:p>
      <w:pPr>
        <w:spacing w:after="0" w:line="177" w:lineRule="exact"/>
        <w:rPr>
          <w:sz w:val="20"/>
          <w:szCs w:val="20"/>
          <w:color w:val="auto"/>
        </w:rPr>
      </w:pPr>
    </w:p>
    <w:p>
      <w:pPr>
        <w:ind w:left="880" w:right="3539" w:hanging="449"/>
        <w:spacing w:after="0" w:line="265" w:lineRule="auto"/>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client's project receives undivided attention and is executed efficiently as team members do not have conflicting demands;</w:t>
      </w:r>
    </w:p>
    <w:p>
      <w:pPr>
        <w:spacing w:after="0" w:line="158" w:lineRule="exact"/>
        <w:rPr>
          <w:rFonts w:ascii="Courier New" w:cs="Courier New" w:eastAsia="Courier New" w:hAnsi="Courier New"/>
          <w:sz w:val="14"/>
          <w:szCs w:val="14"/>
          <w:color w:val="auto"/>
        </w:rPr>
      </w:pPr>
    </w:p>
    <w:p>
      <w:pPr>
        <w:ind w:left="880" w:right="3259" w:hanging="449"/>
        <w:spacing w:after="0" w:line="235"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conflicting demands on the project team also ensures a high quality service;</w:t>
      </w:r>
    </w:p>
    <w:p>
      <w:pPr>
        <w:spacing w:after="0" w:line="175" w:lineRule="exact"/>
        <w:rPr>
          <w:rFonts w:ascii="Courier New" w:cs="Courier New" w:eastAsia="Courier New" w:hAnsi="Courier New"/>
          <w:sz w:val="15"/>
          <w:szCs w:val="15"/>
          <w:color w:val="auto"/>
        </w:rPr>
      </w:pPr>
    </w:p>
    <w:p>
      <w:pPr>
        <w:ind w:left="880" w:right="3259" w:hanging="449"/>
        <w:spacing w:after="0" w:line="265" w:lineRule="auto"/>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dedicated team approach allows us to develop strong relationships with our clients and to be more responsive to our clients' needs;</w:t>
      </w:r>
    </w:p>
    <w:p>
      <w:pPr>
        <w:spacing w:after="0" w:line="158" w:lineRule="exact"/>
        <w:rPr>
          <w:rFonts w:ascii="Courier New" w:cs="Courier New" w:eastAsia="Courier New" w:hAnsi="Courier New"/>
          <w:sz w:val="14"/>
          <w:szCs w:val="14"/>
          <w:color w:val="auto"/>
        </w:rPr>
      </w:pPr>
    </w:p>
    <w:p>
      <w:pPr>
        <w:ind w:left="880" w:right="3179" w:hanging="449"/>
        <w:spacing w:after="0" w:line="235"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focused project teams facilitate efficient supervision of the project, enhance productivity and improve cost control; and</w:t>
      </w:r>
    </w:p>
    <w:p>
      <w:pPr>
        <w:spacing w:after="0" w:line="17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administration is required to co-ordinate assignments, leading to a more streamlined corporate management structure.</w:t>
      </w:r>
    </w:p>
    <w:p>
      <w:pPr>
        <w:spacing w:after="0" w:line="17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We believe our dedicated team approach has led to repeat business and an expanding client base.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believe that our operating model based on dedicated teams differentiates us from our competition in the CRO industry and enables us to deliver high quality services to our clients. Our strategy is to continue to grow by applying this model to penetrate further our existing client base and add new clients. We intend to implement our strategy by continuing to deliver high quality services, by increasing our geographic presence and by expanding the scale and range of our services. We intend to supplement our internal growth with strategic acquisitions.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12" w:name="page13"/>
    <w:bookmarkEnd w:id="12"/>
    <w:p>
      <w:pPr>
        <w:ind w:right="3179"/>
        <w:spacing w:after="0" w:line="238" w:lineRule="auto"/>
        <w:rPr>
          <w:sz w:val="20"/>
          <w:szCs w:val="20"/>
          <w:color w:val="auto"/>
        </w:rPr>
      </w:pPr>
      <w:r>
        <w:rPr>
          <w:rFonts w:ascii="Courier New" w:cs="Courier New" w:eastAsia="Courier New" w:hAnsi="Courier New"/>
          <w:sz w:val="15"/>
          <w:szCs w:val="15"/>
          <w:color w:val="auto"/>
        </w:rPr>
        <w:t>Continue to Deliver High Quality Services and Customer Satisfaction. We believe that our dedicated team approach allows us to provide high quality, timely and cost effective services that are designed to be highly responsive to our clients' needs. We believe that the resulting customer satisfaction and enhanced reputation in the industry will continue to enable us to penetrate our existing client base and add new clients. In the fiscal year ended May 31, 2003, approximately 95% of our net revenue was derived from second or subsequent projects with clients. The remaining 5% of the net revenue was derived from 89 initial projects with new clients.</w:t>
      </w:r>
    </w:p>
    <w:p>
      <w:pPr>
        <w:spacing w:after="0" w:line="179"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Expand Geographic Presence. We believe that the capability to provide our services on a global basis in most major and developing pharmaceutical markets enhances our ability to compete for new business from large multinational pharmaceutical and biotechnology companies. We have expanded geographically through the establishment of 29 offices in 17 countries and intend to continue expanding into regions that have the potential to increase our client base or increase our investigator and patient populations.</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Increase Scale and Range of Services. We seek to enhance our competitive position by increasing the scale and range of our services. We intend to expand our clinical trials, central laboratory, IVRS (interactive voice recognition system), data management, statistical and consulting operations in order to capitalize further on the outsourcing opportunities currently available from our clients.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Consistent high quality performance is what ICON has come to stand for with our Clients and a large part of our continued success is due to the high quality standards we have set and delivered on projects to date. The achievement of these quality goals is made possible by the implementation and maintenance of an effective quality management system, which not only ensures that our business and quality objectives are achieved, but which is sufficiently dynamic to rapidly respond to changes in the clinical research and regulatory environments. The quality management system at ICON is based on the requirements of ISO 9000 international standards and includes over 700 standard operating procedures (SOPs), which are implemented on a global basis. In addition, our independent quality assurance division has the responsibility for assuring that processes conform to pre-determined quality, ethical and regulatory standards.</w:t>
      </w:r>
    </w:p>
    <w:p>
      <w:pPr>
        <w:spacing w:after="0" w:line="166"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One of the driving forces behind ICON's quality performance is management commitment to ISO 9000. In 1994, ICON became the first multinational CRO to become ISO 9002 registered and remains the only CRO to have ISO registration across all offices and operational functions. To maintain continuing registration it is necessary to successfully undergo several quality systems surveillance audits each year.</w:t>
      </w:r>
    </w:p>
    <w:p>
      <w:pPr>
        <w:spacing w:after="0" w:line="176"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In keeping with this commitment, following ten successful global audits in 2003, ICON transitioned to the new ISO 9001: 2000 standard. This standard integrates the business process with the principles of Total Quality Management. Achieving registration was a 12 month project which included the implementation of new and the updating of existing procedures and is evidence of the dedication to quality and continuous improvement that is in place throughout the organization.</w:t>
      </w:r>
    </w:p>
    <w:p>
      <w:pPr>
        <w:spacing w:after="0" w:line="16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Also in 2003, the Dublin laboratory became CAP (College of American Pathology) certified which added to our existing US certification and both ICON laboratories achieved ISO 17025 accreditation. This ISO standard is a specific standard for Calibration and Testing Laboratories, which in addition to the ISO quality system requirements, includes the principles of Good Laboratory Practice.</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Our recently acquired Phase I facility holds GLP and UKAS certifications for its bioanalytical and clinical pathology laboratories and plans to adopt ISO in the coming year.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6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Country of incorporation</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w w:val="96"/>
              </w:rPr>
              <w:t>Group ownership</w:t>
            </w:r>
          </w:p>
        </w:tc>
      </w:tr>
      <w:tr>
        <w:trPr>
          <w:trHeight w:val="50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ICON Clinical</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Research (UK)</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Limited</w:t>
            </w: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United Kingdom</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ICON Clinical</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Research Inc.</w:t>
            </w:r>
          </w:p>
        </w:tc>
        <w:tc>
          <w:tcPr>
            <w:tcW w:w="1760" w:type="dxa"/>
            <w:vAlign w:val="bottom"/>
          </w:tcPr>
          <w:p>
            <w:pPr>
              <w:spacing w:after="0"/>
              <w:rPr>
                <w:sz w:val="24"/>
                <w:szCs w:val="24"/>
                <w:color w:val="auto"/>
              </w:rPr>
            </w:pP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USA</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ICON Clinical</w:t>
            </w:r>
          </w:p>
        </w:tc>
        <w:tc>
          <w:tcPr>
            <w:tcW w:w="3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Research Limited</w:t>
            </w: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Republic of Ireland</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r>
      <w:tr>
        <w:trPr>
          <w:trHeight w:val="339"/>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ICON Japan K.K.</w:t>
            </w:r>
          </w:p>
        </w:tc>
        <w:tc>
          <w:tcPr>
            <w:tcW w:w="1760" w:type="dxa"/>
            <w:vAlign w:val="bottom"/>
          </w:tcPr>
          <w:p>
            <w:pPr>
              <w:spacing w:after="0"/>
              <w:rPr>
                <w:sz w:val="24"/>
                <w:szCs w:val="24"/>
                <w:color w:val="auto"/>
              </w:rPr>
            </w:pP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Japan</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ICON Clinical</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Research GmbH</w:t>
            </w:r>
          </w:p>
        </w:tc>
        <w:tc>
          <w:tcPr>
            <w:tcW w:w="1760" w:type="dxa"/>
            <w:vAlign w:val="bottom"/>
          </w:tcPr>
          <w:p>
            <w:pPr>
              <w:spacing w:after="0"/>
              <w:rPr>
                <w:sz w:val="24"/>
                <w:szCs w:val="24"/>
                <w:color w:val="auto"/>
              </w:rPr>
            </w:pP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Germany</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ICON Clinical</w:t>
            </w:r>
          </w:p>
        </w:tc>
        <w:tc>
          <w:tcPr>
            <w:tcW w:w="3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Research Pty Limited</w:t>
            </w: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Australia</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ICON Clinical</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Research S.A.</w:t>
            </w:r>
          </w:p>
        </w:tc>
        <w:tc>
          <w:tcPr>
            <w:tcW w:w="1760" w:type="dxa"/>
            <w:vAlign w:val="bottom"/>
          </w:tcPr>
          <w:p>
            <w:pPr>
              <w:spacing w:after="0"/>
              <w:rPr>
                <w:sz w:val="24"/>
                <w:szCs w:val="24"/>
                <w:color w:val="auto"/>
              </w:rPr>
            </w:pP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Argentina</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ICON Clinical</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Research SARL</w:t>
            </w:r>
          </w:p>
        </w:tc>
        <w:tc>
          <w:tcPr>
            <w:tcW w:w="1760" w:type="dxa"/>
            <w:vAlign w:val="bottom"/>
          </w:tcPr>
          <w:p>
            <w:pPr>
              <w:spacing w:after="0"/>
              <w:rPr>
                <w:sz w:val="24"/>
                <w:szCs w:val="24"/>
                <w:color w:val="auto"/>
              </w:rPr>
            </w:pP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France</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ICON Clinical</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Research Pte</w:t>
            </w:r>
          </w:p>
        </w:tc>
        <w:tc>
          <w:tcPr>
            <w:tcW w:w="1760" w:type="dxa"/>
            <w:vAlign w:val="bottom"/>
          </w:tcPr>
          <w:p>
            <w:pPr>
              <w:spacing w:after="0"/>
              <w:rPr>
                <w:sz w:val="24"/>
                <w:szCs w:val="24"/>
                <w:color w:val="auto"/>
              </w:rPr>
            </w:pP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Singapore</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ICON Clinical</w:t>
            </w:r>
          </w:p>
        </w:tc>
        <w:tc>
          <w:tcPr>
            <w:tcW w:w="3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Research Israel Limited</w:t>
            </w: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Israel</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Medeval Group</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Limited</w:t>
            </w:r>
          </w:p>
        </w:tc>
        <w:tc>
          <w:tcPr>
            <w:tcW w:w="1760" w:type="dxa"/>
            <w:vAlign w:val="bottom"/>
          </w:tcPr>
          <w:p>
            <w:pPr>
              <w:spacing w:after="0"/>
              <w:rPr>
                <w:sz w:val="24"/>
                <w:szCs w:val="24"/>
                <w:color w:val="auto"/>
              </w:rPr>
            </w:pP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UK</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r>
      <w:tr>
        <w:trPr>
          <w:trHeight w:val="339"/>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ICON Laboratories, Inc.</w:t>
            </w:r>
          </w:p>
        </w:tc>
        <w:tc>
          <w:tcPr>
            <w:tcW w:w="1760" w:type="dxa"/>
            <w:vAlign w:val="bottom"/>
          </w:tcPr>
          <w:p>
            <w:pPr>
              <w:spacing w:after="0"/>
              <w:rPr>
                <w:sz w:val="24"/>
                <w:szCs w:val="24"/>
                <w:color w:val="auto"/>
              </w:rPr>
            </w:pP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USA</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r>
      <w:tr>
        <w:trPr>
          <w:trHeight w:val="339"/>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8"/>
              </w:rPr>
              <w:t>Managed Clinical Solutions,</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USA</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ICON Clinical</w:t>
            </w:r>
          </w:p>
        </w:tc>
        <w:tc>
          <w:tcPr>
            <w:tcW w:w="3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Research (Canada) Inc.</w:t>
            </w:r>
          </w:p>
        </w:tc>
        <w:tc>
          <w:tcPr>
            <w:tcW w:w="3040" w:type="dxa"/>
            <w:vAlign w:val="bottom"/>
          </w:tcPr>
          <w:p>
            <w:pPr>
              <w:ind w:left="400"/>
              <w:spacing w:after="0"/>
              <w:rPr>
                <w:sz w:val="20"/>
                <w:szCs w:val="20"/>
                <w:color w:val="auto"/>
              </w:rPr>
            </w:pPr>
            <w:r>
              <w:rPr>
                <w:rFonts w:ascii="Courier New" w:cs="Courier New" w:eastAsia="Courier New" w:hAnsi="Courier New"/>
                <w:sz w:val="15"/>
                <w:szCs w:val="15"/>
                <w:color w:val="auto"/>
              </w:rPr>
              <w:t>Canada</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r>
      <w:tr>
        <w:trPr>
          <w:trHeight w:val="678"/>
        </w:trPr>
        <w:tc>
          <w:tcPr>
            <w:tcW w:w="4180" w:type="dxa"/>
            <w:vAlign w:val="bottom"/>
            <w:gridSpan w:val="3"/>
          </w:tcPr>
          <w:p>
            <w:pPr>
              <w:spacing w:after="0"/>
              <w:rPr>
                <w:sz w:val="20"/>
                <w:szCs w:val="20"/>
                <w:color w:val="auto"/>
              </w:rPr>
            </w:pPr>
            <w:r>
              <w:rPr>
                <w:rFonts w:ascii="Courier New" w:cs="Courier New" w:eastAsia="Courier New" w:hAnsi="Courier New"/>
                <w:sz w:val="15"/>
                <w:szCs w:val="15"/>
                <w:color w:val="auto"/>
              </w:rPr>
              <w:t>All shareholdings comprise ordinary shares.</w:t>
            </w:r>
          </w:p>
        </w:tc>
        <w:tc>
          <w:tcPr>
            <w:tcW w:w="30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39"/>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8"/>
              </w:rPr>
              <w:t>All subsidiary undertakings</w:t>
            </w:r>
          </w:p>
        </w:tc>
        <w:tc>
          <w:tcPr>
            <w:tcW w:w="4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are involved in the provision of contract research</w:t>
            </w:r>
          </w:p>
        </w:tc>
        <w:tc>
          <w:tcPr>
            <w:tcW w:w="1680" w:type="dxa"/>
            <w:vAlign w:val="bottom"/>
          </w:tcPr>
          <w:p>
            <w:pPr>
              <w:spacing w:after="0"/>
              <w:rPr>
                <w:sz w:val="24"/>
                <w:szCs w:val="24"/>
                <w:color w:val="auto"/>
              </w:rPr>
            </w:pPr>
          </w:p>
        </w:tc>
      </w:tr>
      <w:tr>
        <w:trPr>
          <w:trHeight w:val="170"/>
        </w:trPr>
        <w:tc>
          <w:tcPr>
            <w:tcW w:w="7220" w:type="dxa"/>
            <w:vAlign w:val="bottom"/>
            <w:gridSpan w:val="4"/>
          </w:tcPr>
          <w:p>
            <w:pPr>
              <w:spacing w:after="0"/>
              <w:rPr>
                <w:sz w:val="20"/>
                <w:szCs w:val="20"/>
                <w:color w:val="auto"/>
              </w:rPr>
            </w:pPr>
            <w:r>
              <w:rPr>
                <w:rFonts w:ascii="Courier New" w:cs="Courier New" w:eastAsia="Courier New" w:hAnsi="Courier New"/>
                <w:sz w:val="15"/>
                <w:szCs w:val="15"/>
                <w:color w:val="auto"/>
              </w:rPr>
              <w:t>services to the pharmaceutical and biotechnology industries.</w:t>
            </w:r>
          </w:p>
        </w:tc>
        <w:tc>
          <w:tcPr>
            <w:tcW w:w="16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961" w:right="1440" w:bottom="1440" w:gutter="0" w:footer="0" w:header="0"/>
        </w:sectPr>
      </w:pPr>
    </w:p>
    <w:bookmarkStart w:id="14" w:name="page15"/>
    <w:bookmarkEnd w:id="14"/>
    <w:p>
      <w:pPr>
        <w:ind w:left="10" w:right="3359"/>
        <w:spacing w:after="0" w:line="237" w:lineRule="auto"/>
        <w:rPr>
          <w:sz w:val="20"/>
          <w:szCs w:val="20"/>
          <w:color w:val="auto"/>
        </w:rPr>
      </w:pPr>
      <w:r>
        <w:rPr>
          <w:rFonts w:ascii="Courier New" w:cs="Courier New" w:eastAsia="Courier New" w:hAnsi="Courier New"/>
          <w:sz w:val="15"/>
          <w:szCs w:val="15"/>
          <w:color w:val="auto"/>
        </w:rPr>
        <w:t>The range of clinical research services we provide facilitates the collection, analysis and reporting of clinical trials data, which will ultimately become part of a client's drug registration submission. The range of services is outlined below:</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Study Protocol Preparation</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This study protocol is the critical document provided to the investigator which defines the study and details the procedures which must be followed for the proper conduct of the trial. ICON has extensive experience in preparing study protocols in a broad range of therapeutic areas.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Case Report Form ("CRF") Preparation</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CRF is a study specific document in which the investigator records all relevant information on a trial patient in accordance with the requirements of the protocol. ICON has the capability of producing CRFs for a wide variety of therapeutic indications and in all required languages.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Clinical Trial Approvals</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Prior to start-up, all clinical trials must be approved by the relevant government agencies, by institutional review boards and ethics committees and by certain other bodies in accordance with local requirements. ICON has extensive experience in obtaining such approvals on a multinational basis.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Investigator Recruitment</w:t>
      </w:r>
    </w:p>
    <w:p>
      <w:pPr>
        <w:spacing w:after="0" w:line="175" w:lineRule="exact"/>
        <w:rPr>
          <w:sz w:val="20"/>
          <w:szCs w:val="20"/>
          <w:color w:val="auto"/>
        </w:rPr>
      </w:pPr>
    </w:p>
    <w:p>
      <w:pPr>
        <w:ind w:left="10" w:right="3359"/>
        <w:spacing w:after="0" w:line="258" w:lineRule="auto"/>
        <w:rPr>
          <w:sz w:val="20"/>
          <w:szCs w:val="20"/>
          <w:color w:val="auto"/>
        </w:rPr>
      </w:pPr>
      <w:r>
        <w:rPr>
          <w:rFonts w:ascii="Courier New" w:cs="Courier New" w:eastAsia="Courier New" w:hAnsi="Courier New"/>
          <w:sz w:val="14"/>
          <w:szCs w:val="14"/>
          <w:color w:val="auto"/>
        </w:rPr>
        <w:t>The success of a clinical trial is dependent upon finding experienced investigators who are capable of performing clinical trials in accordance with the highest ethical and scientific standards. We have a database of several thousand such investigators who are experienced in numerous therapeutic areas and who have successfully completed many clinical trials for us.</w:t>
      </w:r>
    </w:p>
    <w:p>
      <w:pPr>
        <w:spacing w:after="0" w:line="15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Laboratory Services</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An important element in monitoring patient safety during a clinical trial is the conduct of various laboratory tests on the patient's blood, urine and other bodily fluids at appropriate intervals during the trial. The analysis of these samples must be standardized and the results must be promptly transmitted to the investigator. Our central laboratory operation provides:</w:t>
      </w:r>
    </w:p>
    <w:p>
      <w:pPr>
        <w:spacing w:after="0" w:line="173" w:lineRule="exact"/>
        <w:rPr>
          <w:sz w:val="20"/>
          <w:szCs w:val="20"/>
          <w:color w:val="auto"/>
        </w:rPr>
      </w:pPr>
    </w:p>
    <w:p>
      <w:pPr>
        <w:ind w:left="450" w:hanging="450"/>
        <w:spacing w:after="0"/>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broad range of sample analyses.</w:t>
      </w:r>
    </w:p>
    <w:p>
      <w:pPr>
        <w:spacing w:after="0" w:line="174" w:lineRule="exact"/>
        <w:rPr>
          <w:rFonts w:ascii="Courier New" w:cs="Courier New" w:eastAsia="Courier New" w:hAnsi="Courier New"/>
          <w:sz w:val="15"/>
          <w:szCs w:val="15"/>
          <w:color w:val="auto"/>
        </w:rPr>
      </w:pPr>
    </w:p>
    <w:p>
      <w:pPr>
        <w:ind w:left="450" w:right="3359" w:hanging="450"/>
        <w:spacing w:after="0" w:line="235"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efficient logistics system to ensure rapid receipt of samples from the investigator.</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of the art analytical technology.</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transmission of test results to the investigator.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Study Monitoring and Data Collection</w:t>
      </w:r>
    </w:p>
    <w:p>
      <w:pPr>
        <w:spacing w:after="0" w:line="175" w:lineRule="exact"/>
        <w:rPr>
          <w:sz w:val="20"/>
          <w:szCs w:val="20"/>
          <w:color w:val="auto"/>
        </w:rPr>
      </w:pPr>
    </w:p>
    <w:p>
      <w:pPr>
        <w:jc w:val="both"/>
        <w:ind w:left="10" w:right="3879"/>
        <w:spacing w:after="0" w:line="260" w:lineRule="auto"/>
        <w:rPr>
          <w:sz w:val="20"/>
          <w:szCs w:val="20"/>
          <w:color w:val="auto"/>
        </w:rPr>
      </w:pPr>
      <w:r>
        <w:rPr>
          <w:rFonts w:ascii="Courier New" w:cs="Courier New" w:eastAsia="Courier New" w:hAnsi="Courier New"/>
          <w:sz w:val="14"/>
          <w:szCs w:val="14"/>
          <w:color w:val="auto"/>
        </w:rPr>
        <w:t>As patients in a clinical trial are examined and tests are conducted in accordance with the study protocol, patient data is recorded on CRFs and laboratory reports. In order to ensure accurate results, we provide:</w:t>
      </w:r>
    </w:p>
    <w:p>
      <w:pPr>
        <w:spacing w:after="0" w:line="163" w:lineRule="exact"/>
        <w:rPr>
          <w:sz w:val="20"/>
          <w:szCs w:val="20"/>
          <w:color w:val="auto"/>
        </w:rPr>
      </w:pPr>
    </w:p>
    <w:p>
      <w:pPr>
        <w:ind w:left="450" w:right="3439" w:hanging="450"/>
        <w:spacing w:after="0" w:line="237"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Specially trained monitors who visit sites regularly to ensure that the CRFs are completed correctly and that all data specified in the protocol are collected.</w:t>
      </w:r>
    </w:p>
    <w:p>
      <w:pPr>
        <w:spacing w:after="0" w:line="174" w:lineRule="exact"/>
        <w:rPr>
          <w:rFonts w:ascii="Courier New" w:cs="Courier New" w:eastAsia="Courier New" w:hAnsi="Courier New"/>
          <w:sz w:val="15"/>
          <w:szCs w:val="15"/>
          <w:color w:val="auto"/>
        </w:rPr>
      </w:pPr>
    </w:p>
    <w:p>
      <w:pPr>
        <w:ind w:left="450" w:right="3359" w:hanging="450"/>
        <w:spacing w:after="0" w:line="235"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who review CRFs for consistency and accuracy before the data is entered into an electronic database.</w:t>
      </w:r>
    </w:p>
    <w:p>
      <w:pPr>
        <w:spacing w:after="0" w:line="175" w:lineRule="exact"/>
        <w:rPr>
          <w:rFonts w:ascii="Courier New" w:cs="Courier New" w:eastAsia="Courier New" w:hAnsi="Courier New"/>
          <w:sz w:val="15"/>
          <w:szCs w:val="15"/>
          <w:color w:val="auto"/>
        </w:rPr>
      </w:pPr>
    </w:p>
    <w:p>
      <w:pPr>
        <w:ind w:left="450" w:right="3359" w:hanging="450"/>
        <w:spacing w:after="0" w:line="237"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Study monitoring and data collection services which comply with the FDA's good clinical practice guidelines and other relevant regulatory requirements.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Patient Safety Monitoring</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 a clinical trial, patient safety is paramount. We have teams of trained physicians and paramedical staff who review any serious adverse events which may occur during a trial and prepare detailed reports of these events on a timely basis for the pharmaceutical company and regulatory bodies as required.</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Clinical Data Management</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As the study progresses, the data from the CRFs is entered into databases that are designed in accordance with the specifications of the project and the particular needs of the client. We provide:</w:t>
      </w:r>
    </w:p>
    <w:p>
      <w:pPr>
        <w:spacing w:after="0" w:line="175" w:lineRule="exact"/>
        <w:rPr>
          <w:sz w:val="20"/>
          <w:szCs w:val="20"/>
          <w:color w:val="auto"/>
        </w:rPr>
      </w:pPr>
    </w:p>
    <w:p>
      <w:pPr>
        <w:ind w:left="450" w:right="3979" w:hanging="450"/>
        <w:spacing w:after="0" w:line="235" w:lineRule="auto"/>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who screen the data to detect errors, omissions or other deficiencies prior to data entry.</w:t>
      </w:r>
    </w:p>
    <w:p>
      <w:pPr>
        <w:spacing w:after="0" w:line="175"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Study specific computer programs which are written in order to validate the data.</w:t>
      </w:r>
    </w:p>
    <w:p>
      <w:pPr>
        <w:spacing w:after="0" w:line="175" w:lineRule="exact"/>
        <w:rPr>
          <w:rFonts w:ascii="Courier New" w:cs="Courier New" w:eastAsia="Courier New" w:hAnsi="Courier New"/>
          <w:sz w:val="15"/>
          <w:szCs w:val="15"/>
          <w:color w:val="auto"/>
        </w:rPr>
      </w:pPr>
    </w:p>
    <w:p>
      <w:pPr>
        <w:ind w:left="450" w:right="3439" w:hanging="450"/>
        <w:spacing w:after="0" w:line="235" w:lineRule="auto"/>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creation of a final database that is electronically transferred to a biostatistical group for subsequent analysis.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Biostatistical Services</w:t>
      </w:r>
    </w:p>
    <w:p>
      <w:pPr>
        <w:sectPr>
          <w:pgSz w:w="11900" w:h="16838" w:orient="portrait"/>
          <w:cols w:equalWidth="0" w:num="1">
            <w:col w:w="10229"/>
          </w:cols>
          <w:pgMar w:left="230" w:top="966" w:right="1440" w:bottom="0" w:gutter="0" w:footer="0" w:header="0"/>
        </w:sectPr>
      </w:pPr>
    </w:p>
    <w:bookmarkStart w:id="15" w:name="page16"/>
    <w:bookmarkEnd w:id="15"/>
    <w:p>
      <w:pPr>
        <w:ind w:right="3179"/>
        <w:spacing w:after="0" w:line="237" w:lineRule="auto"/>
        <w:rPr>
          <w:sz w:val="20"/>
          <w:szCs w:val="20"/>
          <w:color w:val="auto"/>
        </w:rPr>
      </w:pPr>
      <w:r>
        <w:rPr>
          <w:rFonts w:ascii="Courier New" w:cs="Courier New" w:eastAsia="Courier New" w:hAnsi="Courier New"/>
          <w:sz w:val="15"/>
          <w:szCs w:val="15"/>
          <w:color w:val="auto"/>
        </w:rPr>
        <w:t>Our biostatistical group primarily provides detailed analyses of data generated from clinical trials. In addition to providing this in-house statistical support, our biostatisticians assist clients with all phases of drug development through biostatistical consulting, database design, data analysis and statistical reporting.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Medical Reporting</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results of the statistical analysis of the data collected during the trial, together with other clinical data are included in a final clinical trial report, which may then become part of the drug registration submission. ICON's medical reporting team prepare this report and may assist in the presentation of the data in different formats, including for journal publication or for presentation to international symposia.</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Animal Health</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Animal Health division of ICON has broad capabilities in clinical research for the development of drugs, vaccines, and devices for the global animal health industry. The combination of expertise and geographical reach puts ICON in the top tier of animal CROs globally. This group has been dedicated to animal health clinical research for over 10 years and has experience in all target species and all major pharmacological classes. Capabilities include: Complete clinical project management, contract monitoring, data management, statistical analysis, quality assurance services, final study reports, development consulting and post-marketing survey management.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Consultancy</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Medicinal products are subject to strict regulatory requirements throughout their development, testing and marketing. Authorization by drug regulatory authorities is necessary prior to any product being marketed. The regulatory processes and requirements are lengthy and complex. ICON's regulatory consultancy division provides consultancy on global regulatory requirements during development, advises on suitability of client's documentation for regulatory approvals, prepares and submits applications for regulatory approvals and provides post licensing regulatory support services.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14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Information Systems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Our information technology strategy is to build our systems around open standards and leading commercial hardware and software. All critical business systems are formally validated following a documented approach in accordance with the latest FDA regulations.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Recognizing that each client has its own requirements and systems, we seek to ensure an entirely flexible approach to client needs. An example of this flexibility includes linking directly to client systems if this is required or for a client to have access to designated ICON systems. Frequently, we have established wide area network, or WAN, links to the client's data systems, have trained our staff in those systems and have delivered data on-line to the client's database. We also provide secure remote access to our systems for clients to review their study information.</w:t>
      </w:r>
    </w:p>
    <w:p>
      <w:pPr>
        <w:spacing w:after="0" w:line="178"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We have internally developed a suite of proprietary software applications that assists in the management of our activities, including a clinical trials management application that tracks all relevant data in a trial and automates all management and reporting processes and an investigator grants management application which utilizes this tracking data to trigger payments when they become due to investigators.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WAP enabled device.</w:t>
      </w:r>
    </w:p>
    <w:p>
      <w:pPr>
        <w:spacing w:after="0" w:line="181"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In our central laboratory, we utilize a comprehensive suite of software, including a laboratory information management system, a kit/sample management system and a web interface system to allow clients to review results online.</w:t>
      </w:r>
    </w:p>
    <w:p>
      <w:pPr>
        <w:spacing w:after="0" w:line="16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have implemented externally developed critical business systems that are highly integrated into our business processes. These include systems to manage, validate and analyze clinical data, systems to record, track and report safety issues, systems to manage regulatory submissions, systems to control documents and to review and record training and systems to record activity and manage resources.</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Our IT systems are operated from hubs in Philadelphia and Dublin. Other offices are linked to these hubs through dedicated lines, frame relay networks or virtual private networks, or VPNs. Travelling staff can also access all systems via VPN facilities. A global corporate portal provides access to all authorized data and applications for our staff.</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Sales and</w:t>
            </w:r>
          </w:p>
        </w:tc>
        <w:tc>
          <w:tcPr>
            <w:tcW w:w="3100" w:type="dxa"/>
            <w:vAlign w:val="bottom"/>
          </w:tcPr>
          <w:p>
            <w:pPr>
              <w:ind w:left="60"/>
              <w:spacing w:after="0"/>
              <w:rPr>
                <w:sz w:val="20"/>
                <w:szCs w:val="20"/>
                <w:color w:val="auto"/>
              </w:rPr>
            </w:pPr>
            <w:r>
              <w:rPr>
                <w:rFonts w:ascii="Courier New" w:cs="Courier New" w:eastAsia="Courier New" w:hAnsi="Courier New"/>
                <w:sz w:val="15"/>
                <w:szCs w:val="15"/>
                <w:color w:val="auto"/>
              </w:rPr>
              <w:t>Marketing</w:t>
            </w:r>
          </w:p>
        </w:tc>
        <w:tc>
          <w:tcPr>
            <w:tcW w:w="3120" w:type="dxa"/>
            <w:vAlign w:val="bottom"/>
          </w:tcPr>
          <w:p>
            <w:pPr>
              <w:spacing w:after="0"/>
              <w:rPr>
                <w:sz w:val="14"/>
                <w:szCs w:val="14"/>
                <w:color w:val="auto"/>
              </w:rPr>
            </w:pP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Our sales</w:t>
            </w:r>
          </w:p>
        </w:tc>
        <w:tc>
          <w:tcPr>
            <w:tcW w:w="3100" w:type="dxa"/>
            <w:vAlign w:val="bottom"/>
          </w:tcPr>
          <w:p>
            <w:pPr>
              <w:ind w:left="60"/>
              <w:spacing w:after="0"/>
              <w:rPr>
                <w:sz w:val="20"/>
                <w:szCs w:val="20"/>
                <w:color w:val="auto"/>
              </w:rPr>
            </w:pPr>
            <w:r>
              <w:rPr>
                <w:rFonts w:ascii="Courier New" w:cs="Courier New" w:eastAsia="Courier New" w:hAnsi="Courier New"/>
                <w:sz w:val="15"/>
                <w:szCs w:val="15"/>
                <w:color w:val="auto"/>
                <w:w w:val="98"/>
              </w:rPr>
              <w:t>and marketing strategy is to focus</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w w:val="97"/>
              </w:rPr>
              <w:t>our business development efforts on</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pharmaceutical and biotechnology companies whose development projects are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advancing</w:t>
            </w:r>
          </w:p>
        </w:tc>
        <w:tc>
          <w:tcPr>
            <w:tcW w:w="3100" w:type="dxa"/>
            <w:vAlign w:val="bottom"/>
          </w:tcPr>
          <w:p>
            <w:pPr>
              <w:ind w:left="60"/>
              <w:spacing w:after="0"/>
              <w:rPr>
                <w:sz w:val="20"/>
                <w:szCs w:val="20"/>
                <w:color w:val="auto"/>
              </w:rPr>
            </w:pPr>
            <w:r>
              <w:rPr>
                <w:rFonts w:ascii="Courier New" w:cs="Courier New" w:eastAsia="Courier New" w:hAnsi="Courier New"/>
                <w:sz w:val="15"/>
                <w:szCs w:val="15"/>
                <w:color w:val="auto"/>
                <w:w w:val="98"/>
              </w:rPr>
              <w:t>and to develop close relationships</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w w:val="97"/>
              </w:rPr>
              <w:t>with such companies. By maintaining</w:t>
            </w:r>
          </w:p>
        </w:tc>
      </w:tr>
      <w:tr>
        <w:trPr>
          <w:trHeight w:val="170"/>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w w:val="98"/>
              </w:rPr>
              <w:t>such relationships with our clients, we gain</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w w:val="97"/>
              </w:rPr>
              <w:t>repeat business and achieve lateral</w:t>
            </w:r>
          </w:p>
        </w:tc>
      </w:tr>
      <w:tr>
        <w:trPr>
          <w:trHeight w:val="170"/>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w w:val="98"/>
              </w:rPr>
              <w:t>penetration into other therapeutic divisions</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where applicable.</w:t>
            </w:r>
          </w:p>
        </w:tc>
      </w:tr>
    </w:tbl>
    <w:p>
      <w:pPr>
        <w:spacing w:after="0" w:line="17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While our sales and marketing activities are carried out locally by executives in each of our major locations, the sales and marketing process is coordinated centrally. In addition, all of our business development professionals, senior executives and project team leaders share responsibility for the maintenance of key client relationships and business development activities.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Clients</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In 2003 revenue was earned from over 280 clients, including 19 of the top 20 pharmaceutical companies as ranked by 2002 revenues. We believe that our operating model positions us well to increase the penetration of our existing client base and to add new clients.</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ICON has expanded geographically in order to pursue larger multi-national clinical trials in markets worldwide and has expanded through acquisition to offer a broader range of services. In the fiscal year ended May 31, 2003, 70.3% of our net revenue was generated in the United States, 27.0% in Europe and 2.7% in Rest of World.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961" w:right="1440" w:bottom="1440" w:gutter="0" w:footer="0" w:header="0"/>
        </w:sectPr>
      </w:pPr>
    </w:p>
    <w:bookmarkStart w:id="17" w:name="page18"/>
    <w:bookmarkEnd w:id="17"/>
    <w:p>
      <w:pPr>
        <w:ind w:right="3179"/>
        <w:spacing w:after="0" w:line="238" w:lineRule="auto"/>
        <w:rPr>
          <w:sz w:val="20"/>
          <w:szCs w:val="20"/>
          <w:color w:val="auto"/>
        </w:rPr>
      </w:pPr>
      <w:r>
        <w:rPr>
          <w:rFonts w:ascii="Courier New" w:cs="Courier New" w:eastAsia="Courier New" w:hAnsi="Courier New"/>
          <w:sz w:val="15"/>
          <w:szCs w:val="15"/>
          <w:color w:val="auto"/>
        </w:rPr>
        <w:t>ICON has in the past and may in the future derive a significant portion of its net revenue from a relatively limited number of major projects or clients. In fiscal 2001, we received 19% of our net revenue from Pfizer and 15% from Glaxo Wellcome, respectively. During the fiscal year ended May 31, 2002, we received 16% of our net revenue from Astra Zeneca, 14% from Pfizer and 12% from Bristol Myers Squibb. In fiscal 2003, we received 21% of our net revenue from Astra Zeneca, 11% from Sanofi and 10% from Pfizer. We believe that the importance of certain clients reflects our success in penetrating our client base. The loss of, or a significant decrease in business from, one or more of these key clients could result in a material adverse effect.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Contractual Arrangements</w:t>
      </w:r>
    </w:p>
    <w:p>
      <w:pPr>
        <w:spacing w:after="0" w:line="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We are generally awarded contracts based upon our response to requests for proposals received from pharmaceutical and biotechnology companies.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Most of our revenues are earned from contracts which are fixed price, based on certain activity and performance specifications. Consequently, although we typically bear the cost of overruns, with certain exceptions, we benefit if our costs are lower than anticipated. Payment terms usually provide either for payments based on the achievement of certain identified milestones or activity levels or monthly payments according to a fixed payment schedule over the life of the contract. Where clients request changes in the scope of a trial or in the services to be provided by us, we deal with these by a change order, often resulting in additional revenue to us. We also contract on a "fee-for-service," "days worked" or "time and materials" basis but this accounts for approximately 20% of revenues.</w:t>
      </w:r>
    </w:p>
    <w:p>
      <w:pPr>
        <w:spacing w:after="0" w:line="18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Contract terms may range from one year to several years depending on the nature of the work to be performed. In most cases, a portion of the contract fee, typically 10% to 20%, is paid at the time the study or trial is started.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for patients enrolled in trials, travel and accommodation costs and various other direct costs incurred in the course of the clinical trial which are fully reimbursable by the client.</w:t>
      </w:r>
    </w:p>
    <w:p>
      <w:pPr>
        <w:spacing w:after="0" w:line="16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Most of our contracts are terminable immediately by the client with cause in certain circumstances and on 30-60 days notice without cause. In the event of termination, we are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ICON's backlog consists of potential net revenue yet to be earned from projects awarded by clients. Due to their varied durations, we believe that the most meaningful measure of backlog is the amount that we estimate will be earned from such projects in the following twelve months.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At May 31, 2003, we estimate that we had backlog to be earned in the following twelve months of $221 million, compared with approximately $144 million at May 31, 2002.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96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Competition</w:t>
      </w:r>
    </w:p>
    <w:p>
      <w:pPr>
        <w:spacing w:after="0" w:line="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Quintiles Transnational Corporation, Covance Inc., PAREXEL International Corp., Kendle International Inc., Ingenix Inc. (United Health), Omnicare, Inc., PRA Inc., MDS Inc, Inveresk Research Group, Inc. and Pharmaceutical Product Development, Inc. The trend toward CRO industry consolidation has resulted in heightened competition among the larger CROs for clients and acquisition candidates.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of Clinical Trials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 While good clinical practice has not been formally adopted by the FDA or, with certain exceptions, by similar regulatory authorities in other countries, some provisions of good clinical practice have been included in regulations adopted by the FDA. Furthermore, in practice, the FDA and many other regulatory authorities require that study results submitted to such authorities be based on studies conducted in accordance with good clinical practice.</w:t>
      </w:r>
    </w:p>
    <w:p>
      <w:pPr>
        <w:spacing w:after="0" w:line="18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 We believe that many pharmaceutical companies do not have the resources to comply with all of these regulations and standards and that this has contributed and will continue to contribute to the growth of third-party service providers.</w:t>
      </w:r>
    </w:p>
    <w:p>
      <w:pPr>
        <w:spacing w:after="0" w:line="16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providing our services in the United States, we are obligated to comply with FDA requirements governing such activities. These include obtaining patient informed consents, verifying qualifications of investigators, reporting patients' adverse reactions to drugs and maintaining thorough and accurate records. We must maintain source documents for each study for specified periods, and such documents may be reviewed by the study sponsor and the FDA during audits.</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services we provide outside the United States are ultimately subject to similar regulation by the relevant regulatory authority, including the Medicines Control Agency in the United Kingdom and the Bundesinstitut fur Arzneimittel und Medizinprodukte in Germany. In addition, our activities in Europe are affected by the Committee for Proprietary Medicinal Products of the European Union, and its successor, the European Medicines Evaluation Agency, which is based in London, England.</w:t>
      </w:r>
    </w:p>
    <w:p>
      <w:pPr>
        <w:spacing w:after="0" w:line="177"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We must also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96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New Drug Development - An Overview</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178"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Preclinical Research (1 to 3.5 years). "In vitro" (test tube) and animal studies are conducted to establish the relative toxicity of the drug over a wide range of doses and to detect any potential to cause birth defects or cancer. If results warrant continuing development of the drug, the manufacturer will file for an Investigational New Drug Application, or IND, upon which the FDA may grant permission to begin human trials.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Clinical Trials (3.5 to 6 years)</w:t>
      </w:r>
    </w:p>
    <w:p>
      <w:pPr>
        <w:spacing w:after="0" w:line="175" w:lineRule="exact"/>
        <w:rPr>
          <w:sz w:val="20"/>
          <w:szCs w:val="20"/>
          <w:color w:val="auto"/>
        </w:rPr>
      </w:pPr>
    </w:p>
    <w:p>
      <w:pPr>
        <w:ind w:left="880" w:right="3179"/>
        <w:spacing w:after="0" w:line="258" w:lineRule="auto"/>
        <w:rPr>
          <w:sz w:val="20"/>
          <w:szCs w:val="20"/>
          <w:color w:val="auto"/>
        </w:rPr>
      </w:pPr>
      <w:r>
        <w:rPr>
          <w:rFonts w:ascii="Courier New" w:cs="Courier New" w:eastAsia="Courier New" w:hAnsi="Courier New"/>
          <w:sz w:val="14"/>
          <w:szCs w:val="14"/>
          <w:color w:val="auto"/>
        </w:rPr>
        <w:t>Phase I (6 months to 1 year). Basic safety and pharmacology testing in 20 to 80 human subjects, usually healthy volunteers, includes studies to determine how the drug works, if it is safe, how it is affected by other drugs, where it goes in the body, how long it remains active and how it is broken down and eliminated from the body.</w:t>
      </w:r>
    </w:p>
    <w:p>
      <w:pPr>
        <w:spacing w:after="0" w:line="165" w:lineRule="exact"/>
        <w:rPr>
          <w:sz w:val="20"/>
          <w:szCs w:val="20"/>
          <w:color w:val="auto"/>
        </w:rPr>
      </w:pPr>
    </w:p>
    <w:p>
      <w:pPr>
        <w:ind w:left="880" w:right="3179"/>
        <w:spacing w:after="0" w:line="237" w:lineRule="auto"/>
        <w:rPr>
          <w:sz w:val="20"/>
          <w:szCs w:val="20"/>
          <w:color w:val="auto"/>
        </w:rPr>
      </w:pPr>
      <w:r>
        <w:rPr>
          <w:rFonts w:ascii="Courier New" w:cs="Courier New" w:eastAsia="Courier New" w:hAnsi="Courier New"/>
          <w:sz w:val="15"/>
          <w:szCs w:val="15"/>
          <w:color w:val="auto"/>
        </w:rPr>
        <w:t>Phase II (1 to 2 years). Basic efficacy (effectiveness) and dose-range testing in 100 to 200 patients to help determine the best effective dose, confirm that the drug works as expected, and provide additional safety data.</w:t>
      </w:r>
    </w:p>
    <w:p>
      <w:pPr>
        <w:spacing w:after="0" w:line="176" w:lineRule="exact"/>
        <w:rPr>
          <w:sz w:val="20"/>
          <w:szCs w:val="20"/>
          <w:color w:val="auto"/>
        </w:rPr>
      </w:pPr>
    </w:p>
    <w:p>
      <w:pPr>
        <w:ind w:left="880" w:right="3179"/>
        <w:spacing w:after="0" w:line="238" w:lineRule="auto"/>
        <w:rPr>
          <w:sz w:val="20"/>
          <w:szCs w:val="20"/>
          <w:color w:val="auto"/>
        </w:rPr>
      </w:pPr>
      <w:r>
        <w:rPr>
          <w:rFonts w:ascii="Courier New" w:cs="Courier New" w:eastAsia="Courier New" w:hAnsi="Courier New"/>
          <w:sz w:val="15"/>
          <w:szCs w:val="15"/>
          <w:color w:val="auto"/>
        </w:rPr>
        <w:t>Phase III (2 to 3 years). Efficacy and safety studies in hundreds or thousands of patients at many investigational sites (hospitals and clinics). These studies can be placebo-controlled trials, in which the new drug is compared with a "sugar pill", or studies comparing the new drug with one or more drugs with established safety and efficacy profiles in the same therapeutic category.</w:t>
      </w:r>
    </w:p>
    <w:p>
      <w:pPr>
        <w:spacing w:after="0" w:line="176" w:lineRule="exact"/>
        <w:rPr>
          <w:sz w:val="20"/>
          <w:szCs w:val="20"/>
          <w:color w:val="auto"/>
        </w:rPr>
      </w:pPr>
    </w:p>
    <w:p>
      <w:pPr>
        <w:ind w:left="440" w:right="3179"/>
        <w:spacing w:after="0" w:line="257" w:lineRule="auto"/>
        <w:rPr>
          <w:sz w:val="20"/>
          <w:szCs w:val="20"/>
          <w:color w:val="auto"/>
        </w:rPr>
      </w:pPr>
      <w:r>
        <w:rPr>
          <w:rFonts w:ascii="Courier New" w:cs="Courier New" w:eastAsia="Courier New" w:hAnsi="Courier New"/>
          <w:sz w:val="14"/>
          <w:szCs w:val="14"/>
          <w:color w:val="auto"/>
        </w:rPr>
        <w:t>TIND (May span late Phase II, Phase III, and FDA review). When results from Phase II or Phase III show special promise in the treatment of a serious condition for which existing therapeutic 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167" w:lineRule="exact"/>
        <w:rPr>
          <w:sz w:val="20"/>
          <w:szCs w:val="20"/>
          <w:color w:val="auto"/>
        </w:rPr>
      </w:pPr>
    </w:p>
    <w:p>
      <w:pPr>
        <w:jc w:val="both"/>
        <w:ind w:left="440" w:right="3359"/>
        <w:spacing w:after="0" w:line="259" w:lineRule="auto"/>
        <w:rPr>
          <w:sz w:val="20"/>
          <w:szCs w:val="20"/>
          <w:color w:val="auto"/>
        </w:rPr>
      </w:pPr>
      <w:r>
        <w:rPr>
          <w:rFonts w:ascii="Courier New" w:cs="Courier New" w:eastAsia="Courier New" w:hAnsi="Courier New"/>
          <w:sz w:val="14"/>
          <w:szCs w:val="14"/>
          <w:color w:val="auto"/>
        </w:rPr>
        <w:t>NDA Preparation and Submission. Upon completion of Phase III trials, the manufacturer assembles the statistically analyzed data from all phases of development into a single large submission, the New Drug Application, or NDA, which today comprises, on average, roughly 100,000 pages.</w:t>
      </w:r>
    </w:p>
    <w:p>
      <w:pPr>
        <w:spacing w:after="0" w:line="163" w:lineRule="exact"/>
        <w:rPr>
          <w:sz w:val="20"/>
          <w:szCs w:val="20"/>
          <w:color w:val="auto"/>
        </w:rPr>
      </w:pPr>
    </w:p>
    <w:p>
      <w:pPr>
        <w:ind w:left="440" w:right="3179"/>
        <w:spacing w:after="0" w:line="237" w:lineRule="auto"/>
        <w:rPr>
          <w:sz w:val="20"/>
          <w:szCs w:val="20"/>
          <w:color w:val="auto"/>
        </w:rPr>
      </w:pPr>
      <w:r>
        <w:rPr>
          <w:rFonts w:ascii="Courier New" w:cs="Courier New" w:eastAsia="Courier New" w:hAnsi="Courier New"/>
          <w:sz w:val="15"/>
          <w:szCs w:val="15"/>
          <w:color w:val="auto"/>
        </w:rPr>
        <w:t>FDA Review &amp; Approval (1 to 1.5 years). Data from all phases of development (including a TIND) is scrutinized to confirm that the manufacturer has complied with regulations and that the drug is safe and effective for the specific use (or "indication") under study.</w:t>
      </w:r>
    </w:p>
    <w:p>
      <w:pPr>
        <w:spacing w:after="0" w:line="176"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Post-Marketing Surveillance and Phase IV Studies. Federal regulation requires the manufacturer to collect and periodically report to the FDA additional safety and efficacy data on the drug for as 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Liability and Insurance</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200" w:lineRule="exact"/>
        <w:rPr>
          <w:sz w:val="20"/>
          <w:szCs w:val="20"/>
          <w:color w:val="auto"/>
        </w:rPr>
      </w:pPr>
    </w:p>
    <w:p>
      <w:pPr>
        <w:spacing w:after="0" w:line="31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961" w:right="1440" w:bottom="226" w:gutter="0" w:footer="0" w:header="0"/>
        </w:sectPr>
      </w:pPr>
    </w:p>
    <w:bookmarkStart w:id="20" w:name="page21"/>
    <w:bookmarkEnd w:id="20"/>
    <w:p>
      <w:pPr>
        <w:ind w:right="3259"/>
        <w:spacing w:after="0" w:line="237" w:lineRule="auto"/>
        <w:rPr>
          <w:sz w:val="20"/>
          <w:szCs w:val="20"/>
          <w:color w:val="auto"/>
        </w:rPr>
      </w:pPr>
      <w:r>
        <w:rPr>
          <w:rFonts w:ascii="Courier New" w:cs="Courier New" w:eastAsia="Courier New" w:hAnsi="Courier New"/>
          <w:sz w:val="15"/>
          <w:szCs w:val="15"/>
          <w:color w:val="auto"/>
        </w:rPr>
        <w:t>committee that includes both 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we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Property</w:t>
      </w:r>
    </w:p>
    <w:p>
      <w:pPr>
        <w:spacing w:after="0"/>
        <w:rPr>
          <w:sz w:val="20"/>
          <w:szCs w:val="20"/>
          <w:color w:val="auto"/>
        </w:rPr>
      </w:pPr>
      <w:r>
        <w:rPr>
          <w:rFonts w:ascii="Courier New" w:cs="Courier New" w:eastAsia="Courier New" w:hAnsi="Courier New"/>
          <w:sz w:val="15"/>
          <w:szCs w:val="15"/>
          <w:color w:val="auto"/>
        </w:rPr>
        <w:t>We lease all but one of our facilities under operating leases.</w:t>
      </w:r>
    </w:p>
    <w:p>
      <w:pPr>
        <w:spacing w:after="0" w:line="174"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Our principal executive offices are located in South County Business Park, Leopardstown, Dublin, Republic of Ireland, where we own an office facility of approximately 42,000 square feet on approximately two acres which includes an extension completed in August 1999. We have also leased an additional office facility of approximately 25,000 square feet in the same business park.</w:t>
      </w:r>
    </w:p>
    <w:p>
      <w:pPr>
        <w:spacing w:after="0" w:line="16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We also maintain U.S. offices in Chicago, Philadelphia, Nashville, Irvine, San Francisco, Houston, Wilmington, Raleigh, Tampa and two offices in New York. Our European subsidiaries maintain offices in Southampton, Frankfurt, Paris, Moscow, Amsterdam, Marlow, Manchester, Tel Aviv, Stockholm and Riga. Our Rest of World offices are located in Tokyo, Japan, Singapore, Sydney, Australia, Bangalore, India, Buenos Aires, Argentina, Johannesburg, South Africa and Montreal, Canada.</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Operating and Financial Review and Prospects.</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accounting principles generally accepted in the United States.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ICON plc is a contract research organization, providing clinical research and development services on a global basis to the pharmaceutical and biotechnology industries. We specialize in the management, execution and analysis of complex multi-national clinical trials. Headquartered in Dublin, Ireland, we began operations in 1990 and, to date, have expanded our business through internal growth and strategic bolt-on acquisitions. As of May 31, 2003, we had approximately 2,300 employees and operations in 29 locations in 17 countries, including the United States and major markets in Europe and Rest of World. In fiscal 2003, 70.3%, 27.0% and 2.7% of our net revenue was derived in the United States, Europe and Rest of World, respectively. See Note 16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7" w:right="1440" w:bottom="1440" w:gutter="0" w:footer="0" w:header="0"/>
        </w:sectPr>
      </w:pPr>
    </w:p>
    <w:bookmarkStart w:id="21" w:name="page22"/>
    <w:bookmarkEnd w:id="21"/>
    <w:p>
      <w:pPr>
        <w:ind w:right="3179"/>
        <w:spacing w:after="0" w:line="238" w:lineRule="auto"/>
        <w:rPr>
          <w:sz w:val="20"/>
          <w:szCs w:val="20"/>
          <w:color w:val="auto"/>
        </w:rPr>
      </w:pPr>
      <w:r>
        <w:rPr>
          <w:rFonts w:ascii="Courier New" w:cs="Courier New" w:eastAsia="Courier New" w:hAnsi="Courier New"/>
          <w:sz w:val="15"/>
          <w:szCs w:val="15"/>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the basis of the relationship between time incurred and the total estimated duration of the trial or on a fee-for service basis according to the particular circumstances of the contract.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184"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backlog consists of potential net revenue yet to be earned from projects awarded by clients. Due to their varied durations, we believe that the most meaningful measure of backlog is the amount that we estimate will be earned from such projects in the following twelve months. At May 31, 2003, we estimate that we had backlog to be earned in the following twelve months of $221 million, compared with approximately $144 million at May 31, 2002.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7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ICON, although domiciled in Ireland, reports its results in U.S. dollars. As a consequence, the results of our non-U.S. based operations, when translated into U.S. dollars, could be materially affected by fluctuations in exchange rates between the U.S. dollar and the currencies of those operations.</w:t>
      </w:r>
    </w:p>
    <w:p>
      <w:pPr>
        <w:spacing w:after="0" w:line="176"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In addition to translation exposures, we are also subject to transaction exposures because the currency in which contracts are priced can be different from the currencies in which costs relating to those contracts are incurred. We have eleven operations trading in U.S. dollars, four trading in Euro, three in pounds Sterling, and one each in Australian dollars, Singapore dollars, Yen, Israeli New Shekels, Latvian Lats, Swedish Krona, Argentine Peso, South African Rand, Indian Rupee, Russian Rouble and Canadian dollar.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ICON's results of operations. We regularly review our currency exposures and hedge a portion of these, using forward exchange contracts, where they are not covered by natural hedges. The introduction of the Euro on January 1, 1999, also reduced the exposures of ICON as four of its offices, and many of the countries where it is carrying out projects are within the Euro zone.</w:t>
      </w:r>
    </w:p>
    <w:p>
      <w:pPr>
        <w:spacing w:after="0" w:line="34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have received capital and revenue grants from Forbairt,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ICON or failing to comply in other respects with the grant agreements. The operating expenditure grant agreements provide for repayment in the event of a downsizing calculated by reference to any reduction in employee numbers. We have not recognized any loss contingency having assessed as remote the likelihood of these events arising. Up to May 31, 2003, we have received $1,475,375 and $1,796,824 under capital grants and operating grants, respectively. Pursuant to the terms of the grant agreements we are restricted from distributing some of these amounts by way of dividend or otherwise.</w:t>
      </w:r>
    </w:p>
    <w:p>
      <w:pPr>
        <w:spacing w:after="0" w:line="200" w:lineRule="exact"/>
        <w:rPr>
          <w:sz w:val="20"/>
          <w:szCs w:val="20"/>
          <w:color w:val="auto"/>
        </w:rPr>
      </w:pPr>
    </w:p>
    <w:p>
      <w:pPr>
        <w:spacing w:after="0" w:line="32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As we conduct operations on a global basis, our effective tax rate has depended and will depend on the geographic distribution of our revenue and earnings among locations with varying tax rates. ICON's results of operations therefore may be affected by</w:t>
      </w:r>
    </w:p>
    <w:p>
      <w:pPr>
        <w:sectPr>
          <w:pgSz w:w="11900" w:h="16838" w:orient="portrait"/>
          <w:cols w:equalWidth="0" w:num="1">
            <w:col w:w="10219"/>
          </w:cols>
          <w:pgMar w:left="240" w:top="966" w:right="1440" w:bottom="0" w:gutter="0" w:footer="0" w:header="0"/>
        </w:sectPr>
      </w:pPr>
    </w:p>
    <w:bookmarkStart w:id="22" w:name="page23"/>
    <w:bookmarkEnd w:id="22"/>
    <w:p>
      <w:pPr>
        <w:ind w:left="22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019"/>
          </w:cols>
          <w:pgMar w:left="1440" w:top="475" w:right="1440" w:bottom="1440" w:gutter="0" w:footer="0" w:header="0"/>
        </w:sectPr>
      </w:pPr>
    </w:p>
    <w:bookmarkStart w:id="23" w:name="page24"/>
    <w:bookmarkEnd w:id="23"/>
    <w:p>
      <w:pPr>
        <w:ind w:right="880"/>
        <w:spacing w:after="0" w:line="260" w:lineRule="auto"/>
        <w:rPr>
          <w:sz w:val="20"/>
          <w:szCs w:val="20"/>
          <w:color w:val="auto"/>
        </w:rPr>
      </w:pPr>
      <w:r>
        <w:rPr>
          <w:rFonts w:ascii="Courier New" w:cs="Courier New" w:eastAsia="Courier New" w:hAnsi="Courier New"/>
          <w:sz w:val="14"/>
          <w:szCs w:val="14"/>
          <w:color w:val="auto"/>
        </w:rPr>
        <w:t>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w:t>
      </w:r>
    </w:p>
    <w:p>
      <w:pPr>
        <w:spacing w:after="0" w:line="5" w:lineRule="exact"/>
        <w:rPr>
          <w:sz w:val="20"/>
          <w:szCs w:val="20"/>
          <w:color w:val="auto"/>
        </w:rPr>
      </w:pPr>
    </w:p>
    <w:p>
      <w:pPr>
        <w:ind w:right="620"/>
        <w:spacing w:after="0" w:line="237"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2003</w:t>
            </w:r>
          </w:p>
        </w:tc>
      </w:tr>
      <w:tr>
        <w:trPr>
          <w:trHeight w:val="339"/>
        </w:trPr>
        <w:tc>
          <w:tcPr>
            <w:tcW w:w="3780" w:type="dxa"/>
            <w:vAlign w:val="bottom"/>
          </w:tcPr>
          <w:p>
            <w:pPr>
              <w:spacing w:after="0"/>
              <w:rPr>
                <w:sz w:val="24"/>
                <w:szCs w:val="2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Percentage of Net Revenue</w:t>
            </w:r>
          </w:p>
        </w:tc>
        <w:tc>
          <w:tcPr>
            <w:tcW w:w="620" w:type="dxa"/>
            <w:vAlign w:val="bottom"/>
          </w:tcPr>
          <w:p>
            <w:pPr>
              <w:spacing w:after="0"/>
              <w:rPr>
                <w:sz w:val="24"/>
                <w:szCs w:val="24"/>
                <w:color w:val="auto"/>
              </w:rPr>
            </w:pPr>
          </w:p>
        </w:tc>
      </w:tr>
      <w:tr>
        <w:trPr>
          <w:trHeight w:val="509"/>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54.9%</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53.3%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54.2%</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31.3%</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31.3%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May 31, 2003 Compared to Fiscal Year Ended May 31, 2002</w:t>
      </w:r>
    </w:p>
    <w:p>
      <w:pPr>
        <w:spacing w:after="0" w:line="5" w:lineRule="exact"/>
        <w:rPr>
          <w:sz w:val="20"/>
          <w:szCs w:val="20"/>
          <w:color w:val="auto"/>
        </w:rPr>
      </w:pPr>
    </w:p>
    <w:p>
      <w:pPr>
        <w:ind w:right="620"/>
        <w:spacing w:after="0" w:line="257" w:lineRule="auto"/>
        <w:rPr>
          <w:sz w:val="20"/>
          <w:szCs w:val="20"/>
          <w:color w:val="auto"/>
        </w:rPr>
      </w:pPr>
      <w:r>
        <w:rPr>
          <w:rFonts w:ascii="Courier New" w:cs="Courier New" w:eastAsia="Courier New" w:hAnsi="Courier New"/>
          <w:sz w:val="14"/>
          <w:szCs w:val="14"/>
          <w:color w:val="auto"/>
        </w:rPr>
        <w:t>Net revenue increased by $69.1 million, or 44.2%, from $156.6 million to $225.7 million. This improvement arose through a combination of increased business from existing clients, business won from new clients and revenues from acquisitions not included in the comparative period. The additional revenues from these acquisitions (BPA, MCS and Medeval) amounted to $18.1 million for the fiscal year ended May 31, 2003. Including the impact of acquisitions, revenues in the United States and Europe/Rest of World grew by 47.6% and 36.7%, respectively. In the twelve months to May 31, 2003, net revenue from our central laboratory business grew by 1.1% from $25.9 million to $26.2 million while our clinical research segment grew by 52.7% from $130.7 million to $199.6 million over the comparable period. The growth in net revenue in our clinical research segment and central laboratory is due to the expansion of our services to both existing and new clients, increased use of outsourcing by the Pharmaceutical and Biotechnology industries, an underlying increase in research and development spending and consolidation in the CRO industry.</w:t>
      </w:r>
    </w:p>
    <w:p>
      <w:pPr>
        <w:spacing w:after="0" w:line="165" w:lineRule="exact"/>
        <w:rPr>
          <w:sz w:val="20"/>
          <w:szCs w:val="20"/>
          <w:color w:val="auto"/>
        </w:rPr>
      </w:pPr>
    </w:p>
    <w:p>
      <w:pPr>
        <w:ind w:right="620"/>
        <w:spacing w:after="0" w:line="258" w:lineRule="auto"/>
        <w:rPr>
          <w:sz w:val="20"/>
          <w:szCs w:val="20"/>
          <w:color w:val="auto"/>
        </w:rPr>
      </w:pPr>
      <w:r>
        <w:rPr>
          <w:rFonts w:ascii="Courier New" w:cs="Courier New" w:eastAsia="Courier New" w:hAnsi="Courier New"/>
          <w:sz w:val="14"/>
          <w:szCs w:val="14"/>
          <w:color w:val="auto"/>
        </w:rPr>
        <w:t>Direct costs increased by $39.0 million, or 46.8%, from $83.4 million to $122.4 million, primarily due to increased staff numbers needed to support increased project related activity and increased costs arising from the acquisitions amounting to $11.1 million. Direct costs as a percentage of net revenue increased from 53.3% in the twelve months to May 31, 2002 to 54.2% in the fiscal 2003 and increased to 53.5% when the effects of acquisitions have been excluded.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 increased by $22.2 million, or</w:t>
      </w:r>
    </w:p>
    <w:p>
      <w:pPr>
        <w:spacing w:after="0" w:line="5" w:lineRule="exact"/>
        <w:rPr>
          <w:sz w:val="20"/>
          <w:szCs w:val="20"/>
          <w:color w:val="auto"/>
        </w:rPr>
      </w:pPr>
    </w:p>
    <w:p>
      <w:pPr>
        <w:ind w:right="700"/>
        <w:spacing w:after="0" w:line="238" w:lineRule="auto"/>
        <w:rPr>
          <w:sz w:val="20"/>
          <w:szCs w:val="20"/>
          <w:color w:val="auto"/>
        </w:rPr>
      </w:pPr>
      <w:r>
        <w:rPr>
          <w:rFonts w:ascii="Courier New" w:cs="Courier New" w:eastAsia="Courier New" w:hAnsi="Courier New"/>
          <w:sz w:val="15"/>
          <w:szCs w:val="15"/>
          <w:color w:val="auto"/>
        </w:rPr>
        <w:t>45.3%, from $48.9 million to $71.1 million. The increase in costs is due to the continued expansion of our operations and additional selling, general and administrative costs from acquisitions of $5.4 million not included in the comparative period. As a percentage of net revenue, selling, general and administrative expenses, increased from 31.3% in the twelve months to May 31, 2002 to 31.5% for the fiscal year ended May 31, 2003 or 31.7% when the effects of acquisitions have been excluded.</w:t>
      </w:r>
    </w:p>
    <w:p>
      <w:pPr>
        <w:spacing w:after="0" w:line="177" w:lineRule="exact"/>
        <w:rPr>
          <w:sz w:val="20"/>
          <w:szCs w:val="20"/>
          <w:color w:val="auto"/>
        </w:rPr>
      </w:pPr>
    </w:p>
    <w:p>
      <w:pPr>
        <w:ind w:right="620"/>
        <w:spacing w:after="0" w:line="238" w:lineRule="auto"/>
        <w:rPr>
          <w:sz w:val="20"/>
          <w:szCs w:val="20"/>
          <w:color w:val="auto"/>
        </w:rPr>
      </w:pPr>
      <w:r>
        <w:rPr>
          <w:rFonts w:ascii="Courier New" w:cs="Courier New" w:eastAsia="Courier New" w:hAnsi="Courier New"/>
          <w:sz w:val="15"/>
          <w:szCs w:val="15"/>
          <w:color w:val="auto"/>
        </w:rPr>
        <w:t>Depreciation and amortization expense increased by $1.3 million, or 21.3%, from $6.0 million to $7.3 million. This increase is due to the continued investment in facilities and information technology to support the growth in activity and in providing for future capacity and increased cost arising from acquisitions of $0.2 million. As a percentage of net revenue, depreciation and amortization decreased from 3.8% of net revenues in the twelve months to May 31, 2002 to 3.3% for the fiscal year ended May 31, 2003 or 3.4% when the effects of acquisitions have been excluded.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to 2002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to 2003</w:t>
            </w:r>
          </w:p>
        </w:tc>
      </w:tr>
    </w:tbl>
    <w:p>
      <w:pPr>
        <w:spacing w:after="0" w:line="5" w:lineRule="exact"/>
        <w:rPr>
          <w:sz w:val="20"/>
          <w:szCs w:val="20"/>
          <w:color w:val="auto"/>
        </w:rPr>
      </w:pPr>
    </w:p>
    <w:p>
      <w:pPr>
        <w:ind w:left="700" w:right="360" w:hanging="704"/>
        <w:spacing w:after="0" w:line="265" w:lineRule="auto"/>
        <w:rPr>
          <w:sz w:val="20"/>
          <w:szCs w:val="20"/>
          <w:color w:val="auto"/>
        </w:rPr>
      </w:pPr>
      <w:r>
        <w:rPr>
          <w:rFonts w:ascii="Courier New" w:cs="Courier New" w:eastAsia="Courier New" w:hAnsi="Courier New"/>
          <w:sz w:val="14"/>
          <w:szCs w:val="14"/>
          <w:color w:val="auto"/>
        </w:rPr>
        <w:t>Percentage Increase/ (Decrease)</w:t>
      </w:r>
    </w:p>
    <w:p>
      <w:pPr>
        <w:spacing w:after="0" w:line="153" w:lineRule="exact"/>
        <w:rPr>
          <w:sz w:val="20"/>
          <w:szCs w:val="20"/>
          <w:color w:val="auto"/>
        </w:rPr>
      </w:pPr>
    </w:p>
    <w:p>
      <w:pPr>
        <w:jc w:val="right"/>
        <w:spacing w:after="0"/>
        <w:tabs>
          <w:tab w:leader="none" w:pos="420" w:val="left"/>
        </w:tabs>
        <w:rPr>
          <w:sz w:val="20"/>
          <w:szCs w:val="20"/>
          <w:color w:val="auto"/>
        </w:rPr>
      </w:pPr>
      <w:r>
        <w:rPr>
          <w:rFonts w:ascii="Courier New" w:cs="Courier New" w:eastAsia="Courier New" w:hAnsi="Courier New"/>
          <w:sz w:val="15"/>
          <w:szCs w:val="15"/>
          <w:color w:val="auto"/>
        </w:rPr>
        <w:t>34.8%</w:t>
      </w:r>
      <w:r>
        <w:rPr>
          <w:sz w:val="20"/>
          <w:szCs w:val="20"/>
          <w:color w:val="auto"/>
        </w:rPr>
        <w:tab/>
      </w:r>
      <w:r>
        <w:rPr>
          <w:rFonts w:ascii="Courier New" w:cs="Courier New" w:eastAsia="Courier New" w:hAnsi="Courier New"/>
          <w:sz w:val="14"/>
          <w:szCs w:val="14"/>
          <w:color w:val="auto"/>
        </w:rPr>
        <w:t>44.2%</w:t>
      </w:r>
    </w:p>
    <w:p>
      <w:pPr>
        <w:spacing w:after="0" w:line="169" w:lineRule="exact"/>
        <w:rPr>
          <w:sz w:val="20"/>
          <w:szCs w:val="20"/>
          <w:color w:val="auto"/>
        </w:rPr>
      </w:pPr>
    </w:p>
    <w:p>
      <w:pPr>
        <w:jc w:val="right"/>
        <w:spacing w:after="0"/>
        <w:tabs>
          <w:tab w:leader="none" w:pos="420" w:val="left"/>
        </w:tabs>
        <w:rPr>
          <w:sz w:val="20"/>
          <w:szCs w:val="20"/>
          <w:color w:val="auto"/>
        </w:rPr>
      </w:pPr>
      <w:r>
        <w:rPr>
          <w:rFonts w:ascii="Courier New" w:cs="Courier New" w:eastAsia="Courier New" w:hAnsi="Courier New"/>
          <w:sz w:val="15"/>
          <w:szCs w:val="15"/>
          <w:color w:val="auto"/>
        </w:rPr>
        <w:t>30.7%</w:t>
      </w:r>
      <w:r>
        <w:rPr>
          <w:sz w:val="20"/>
          <w:szCs w:val="20"/>
          <w:color w:val="auto"/>
        </w:rPr>
        <w:tab/>
      </w:r>
      <w:r>
        <w:rPr>
          <w:rFonts w:ascii="Courier New" w:cs="Courier New" w:eastAsia="Courier New" w:hAnsi="Courier New"/>
          <w:sz w:val="14"/>
          <w:szCs w:val="14"/>
          <w:color w:val="auto"/>
        </w:rPr>
        <w:t>46.8%</w:t>
      </w:r>
    </w:p>
    <w:p>
      <w:pPr>
        <w:jc w:val="right"/>
        <w:spacing w:after="0"/>
        <w:tabs>
          <w:tab w:leader="none" w:pos="420" w:val="left"/>
        </w:tabs>
        <w:rPr>
          <w:sz w:val="20"/>
          <w:szCs w:val="20"/>
          <w:color w:val="auto"/>
        </w:rPr>
      </w:pPr>
      <w:r>
        <w:rPr>
          <w:rFonts w:ascii="Courier New" w:cs="Courier New" w:eastAsia="Courier New" w:hAnsi="Courier New"/>
          <w:sz w:val="15"/>
          <w:szCs w:val="15"/>
          <w:color w:val="auto"/>
        </w:rPr>
        <w:t>34.8%</w:t>
      </w:r>
      <w:r>
        <w:rPr>
          <w:sz w:val="20"/>
          <w:szCs w:val="20"/>
          <w:color w:val="auto"/>
        </w:rPr>
        <w:tab/>
      </w:r>
      <w:r>
        <w:rPr>
          <w:rFonts w:ascii="Courier New" w:cs="Courier New" w:eastAsia="Courier New" w:hAnsi="Courier New"/>
          <w:sz w:val="14"/>
          <w:szCs w:val="14"/>
          <w:color w:val="auto"/>
        </w:rPr>
        <w:t>45.3%</w:t>
      </w:r>
    </w:p>
    <w:p>
      <w:pPr>
        <w:jc w:val="right"/>
        <w:spacing w:after="0"/>
        <w:tabs>
          <w:tab w:leader="none" w:pos="42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4"/>
          <w:szCs w:val="14"/>
          <w:color w:val="auto"/>
        </w:rPr>
        <w:t>21.3%</w:t>
      </w:r>
    </w:p>
    <w:p>
      <w:pPr>
        <w:jc w:val="right"/>
        <w:spacing w:after="0"/>
        <w:tabs>
          <w:tab w:leader="none" w:pos="420" w:val="left"/>
        </w:tabs>
        <w:rPr>
          <w:sz w:val="20"/>
          <w:szCs w:val="20"/>
          <w:color w:val="auto"/>
        </w:rPr>
      </w:pPr>
      <w:r>
        <w:rPr>
          <w:rFonts w:ascii="Courier New" w:cs="Courier New" w:eastAsia="Courier New" w:hAnsi="Courier New"/>
          <w:sz w:val="15"/>
          <w:szCs w:val="15"/>
          <w:color w:val="auto"/>
        </w:rPr>
        <w:t>64.4%</w:t>
      </w:r>
      <w:r>
        <w:rPr>
          <w:sz w:val="20"/>
          <w:szCs w:val="20"/>
          <w:color w:val="auto"/>
        </w:rPr>
        <w:tab/>
      </w:r>
      <w:r>
        <w:rPr>
          <w:rFonts w:ascii="Courier New" w:cs="Courier New" w:eastAsia="Courier New" w:hAnsi="Courier New"/>
          <w:sz w:val="14"/>
          <w:szCs w:val="14"/>
          <w:color w:val="auto"/>
        </w:rPr>
        <w:t>36.9%</w:t>
      </w:r>
    </w:p>
    <w:p>
      <w:pPr>
        <w:sectPr>
          <w:pgSz w:w="11900" w:h="16838" w:orient="portrait"/>
          <w:cols w:equalWidth="0" w:num="2">
            <w:col w:w="7660" w:space="440"/>
            <w:col w:w="2120"/>
          </w:cols>
          <w:pgMar w:left="240" w:top="627" w:right="1439" w:bottom="1440" w:gutter="0" w:footer="0" w:header="0"/>
        </w:sectPr>
      </w:pPr>
    </w:p>
    <w:bookmarkStart w:id="24" w:name="page25"/>
    <w:bookmarkEnd w:id="24"/>
    <w:p>
      <w:pPr>
        <w:ind w:right="3179"/>
        <w:spacing w:after="0" w:line="256" w:lineRule="auto"/>
        <w:rPr>
          <w:sz w:val="20"/>
          <w:szCs w:val="20"/>
          <w:color w:val="auto"/>
        </w:rPr>
      </w:pPr>
      <w:r>
        <w:rPr>
          <w:rFonts w:ascii="Courier New" w:cs="Courier New" w:eastAsia="Courier New" w:hAnsi="Courier New"/>
          <w:sz w:val="14"/>
          <w:szCs w:val="14"/>
          <w:color w:val="auto"/>
        </w:rPr>
        <w:t>Income from operations increased by $6.7 million, or 36.9%, from $18.2 million to $24.9 million, including acquisitions. This improvement is due to increased levels of activity carried out across the Company together with the acquisition of BPA, MCS and Medeval. As a percentage of net revenue, income from operations decreased from 11.6% for the twelve months to May 31, 2002 to 11.0% of net revenues for the fiscal year ended May 31, 2003, and decreased to 11.4% when the effect of acquisitions have been excluded. For the fiscal year 2003, income from operations, as a percentage of net revenue for the central laboratory fell to</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0.4% from 14.1% in fiscal 2002, due principally to a higher than normal level of project cancellations in the first quarter of fiscal 2003. Operating margins for our clinical research segment increased from 11.1% in the twelve months to May 31, 2002, to 12.4% for the fiscal year ended May 31, 2003 due principally to improved staff utilization.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Net interest income for the year ended May 31, 2003, was $0.4 million, a decrease of $0.8 million on the equivalent period last year due primarily to reduced cash on deposit and lower interest rates during the current fiscal year as cash was used to fund expansion and acquisition.</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ICON's effective tax rate for the year ended May 31, 2003, was 27.7% compared with 26.5% for the comparable period last year. The increase in the effective rate was primarily due to a change in the geographic distribution of pre-tax earnings.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May 31, 2002 Compared to Fiscal Year Ended May 31, 2001</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Net revenue increased by $40.4 million, or 34.8%, from $116.2 million to $156.6 million. This increase arose through a combination of increased business from existing clients and business won from new clients. Of the total increase, revenues in the United States and Europe/Rest of World grew by 31.3% and 43.2%, respectively.</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Direct costs increased by $19.6 million, or 30.7%, from $63.8 million to $83.4 million, primarily due to increased staff numbers needed to support increased project related activity. Direct costs as a percentage of net revenue decreased from 54.9% in the twelve months to May 31, 2001 to 53.3% in the equivalent period in fiscal 2002 due to increased recovery of our staff on project-related activity.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 increased by $12.6 million, or</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34.8%, from $36.3 million to $48.9 million. The increase in costs is due to the continued expansion of ICON's operations. As a percentage of net revenue, selling, general and administrative expenses remained at 31.3% in fiscal 2002, the same level as fiscal 2001.</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Depreciation and amortization expense increased by $1.0 million, or 21.0%, from $5.0 million to $6.0 million. Excluding goodwill amortization of $0.2 million in fiscal 2001 (in order to be comparative to fiscal 2002 which reflects the adoption of SFAS No.142), the increase in fiscal 2002 over fiscal 2001 was $1.2 million or 26.5%. This increase is due to the continued investment in facilities and information technology to support the growth in activity and in providing for future capacity. As a percentage of net revenue, depreciation and amortization expenses decreased from 4.3% in the twelve months to May 31, 2001 to 3.8% in the equivalent period in fiscal 2002. Excluding goodwill amortization in 2001, depreciation and amortization represented 4.1% of net revenues.</w:t>
      </w:r>
    </w:p>
    <w:p>
      <w:pPr>
        <w:spacing w:after="0" w:line="16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Income from operations increased by $7.1 million, or 64.4%, from $11.1 million to $18.2 million. As a percentage of net revenue, income from operations increased from 9.5% for the year ended May 31, 2001 to 11.6% of net revenues for fiscal 2002.</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Net interest income for the year ended May 31, 2002, was $1.1 million a decrease of $1.4 million on the equivalent period last year due primarily to reduced cash on deposit and lower interest rates during the current fiscal year. Net cash invested decreased from $35.9 million at May 31, 2001 to $18.6 million at the end of May 2002.</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ICON's effective tax rate for the year ended May 31, 2002, was 26.5% compared with 19.2% for the comparable period last year. The increase in the effective rate was primarily due to a change in the geographic distribution of pre-tax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96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CRO industry generally is not capital intensive. Since our inception, we have financed our operations and growth primarily with cash flow from operations and the $49.1 million of net proceeds received from our initial public offering in 1998. Our principal cash needs are payment of salaries, office rents, travel expenditures and payments to investigators. The aggregate amount of employee compensation, excluding stock compensation expense, paid by us and our subsidiaries in the three fiscal years ended May 31, 2001, 2002 and 2003, amounted to $68.6 million, $88.2 million, and $135.2 million, respectively. Investing activities primarily reflect capital expenditures for facilities, information systems enhancements, the sale and purchase of short-term investments and acquisitions.</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180"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As of May 31, 2003, our working capital was $53.8 million, compared to $72.9 million at May 31, 2002.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64 days at May 31, 2003, 67 days at May 31, 2002 and 93 days at May 31, 2001. The decrease from May 31, 2002 to May 31, 2003, was due primarily to increased cash collections, as a result of a more stringent application of our trading terms with respect to our accounts receivable.</w:t>
      </w:r>
    </w:p>
    <w:p>
      <w:pPr>
        <w:spacing w:after="0" w:line="181"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Net cash provided by operating activities was $21.5 million in the year ended May 31, 2003, compared with $17.3 million in fiscal 2002 and net cash used of $1.6 million in the fiscal year ended May 31, 2001. The increase in cash provided in fiscal 2003 was due primarily to improved cash collections.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cash used in investing activities was $35.3 million in the year ended May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2003, compared to net cash provided by investing activities of $4.8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year ended May 31, 2002 and net cash used in investing activities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$22.6 million in the year ended May 31, 2001. This increase in net cash used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principally to acquisition activity in the current fiscal year.</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Net cash used in financing activities was $4.6 million in the year ended May 31, 2003, compared with net cash provided by financing activities of $2.7 million in fiscal 2002 and net cash provided by financing activities of $9.6 million in the fiscal year ended May 31, 2001. This was due principally to repayment of bank facilities in the current fiscal year.</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As a result of these cash flows, cash and cash equivalents decreased by $18.0 million in the year ended May 31, 2003, compared to a net increase of $25.1 million in the year ended May 31, 2002 and a net decrease of $15.4 million in the year ended May 31, 2001.</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November 17, 1998, the Company entered into an overdraft facility, (the A.I.B. facility) for E2.5million (U.S.$2.9 million) with Allied Irish Banks plc, ("A.I.B"). This facility bears interest at an annual rate equal to A.I.B. Bank's Prime rate. The full amount of the unpaid principal and interest is due and repayable on demand. This A.I.B. facility expired on June 30, 2003 and we expect it will be renewed. As of May 31, 2003, the full amount of this facility was available to be drawn down (see recent developments section).</w:t>
      </w:r>
    </w:p>
    <w:p>
      <w:pPr>
        <w:spacing w:after="0" w:line="17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On July 29, 2002, we entered into an additional A.I.B. facility for sterling (pound)50,000 (U.S.$81,746). This facility bears interest at an annual rate equal to A.I.B. Bank's Prime Rate plus two percent. The full amount of the unpaid principal and interest is due and repayable on demand. This A.I.B. facility expired on June 30, 2003 and we expect it will be renewed. As of May 31, 2003, Sterling (pound)8,816 (U.S.$14,413) of this facility was available to be drawn down.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1300" w:right="1440" w:bottom="1440" w:gutter="0" w:footer="0" w:header="0"/>
        </w:sectPr>
      </w:pPr>
    </w:p>
    <w:bookmarkStart w:id="26" w:name="page27"/>
    <w:bookmarkEnd w:id="26"/>
    <w:p>
      <w:pPr>
        <w:ind w:left="10" w:right="3260"/>
        <w:spacing w:after="0" w:line="238" w:lineRule="auto"/>
        <w:rPr>
          <w:sz w:val="20"/>
          <w:szCs w:val="20"/>
          <w:color w:val="auto"/>
        </w:rPr>
      </w:pPr>
      <w:r>
        <w:rPr>
          <w:rFonts w:ascii="Courier New" w:cs="Courier New" w:eastAsia="Courier New" w:hAnsi="Courier New"/>
          <w:sz w:val="15"/>
          <w:szCs w:val="15"/>
          <w:color w:val="auto"/>
        </w:rPr>
        <w:t>The Company's U.S. subsidiary ICON Clinical Research, Inc.(the "borrower") has a $12 million secured line of credit (the "PNC facility") with PNC Bank N.A ("PNC"). Borrowings under the PNC Facility must be the lesser of (a) U.S.$12 million and (b) the sum of (i) 80% of the borrower's gross accounts receivable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 an annual rate equal to PNC's Prime Rate plus one quarter percent. The full sum of the unpaid principal and interest is due and payable on demand. The PNC Facility is secured by a first priority security interest in certain assets of the borrower. As of May 31, 2003, U.S.$5.1 million of this facility was available to be drawn down. This facility was terminated on July 3, 2003 (see recent developments section).</w:t>
      </w:r>
    </w:p>
    <w:p>
      <w:pPr>
        <w:spacing w:after="0" w:line="184" w:lineRule="exact"/>
        <w:rPr>
          <w:sz w:val="20"/>
          <w:szCs w:val="20"/>
          <w:color w:val="auto"/>
        </w:rPr>
      </w:pPr>
    </w:p>
    <w:p>
      <w:pPr>
        <w:ind w:left="10" w:right="3340"/>
        <w:spacing w:after="0" w:line="237" w:lineRule="auto"/>
        <w:rPr>
          <w:sz w:val="20"/>
          <w:szCs w:val="20"/>
          <w:color w:val="auto"/>
        </w:rPr>
      </w:pPr>
      <w:r>
        <w:rPr>
          <w:rFonts w:ascii="Courier New" w:cs="Courier New" w:eastAsia="Courier New" w:hAnsi="Courier New"/>
          <w:sz w:val="15"/>
          <w:szCs w:val="15"/>
          <w:color w:val="auto"/>
        </w:rPr>
        <w:t>We entered into an overdraft agreement with A.I.B., whereby the company guarantees any overdrafts of the subsidiaries ICON Clinical Research GmbH and ICON Clinical Research Israel Ltd. up to an amount E120,000 (U.S.$141,396) and U.S.$250,000 (ILS 1,100,013), respectively. As of May 31, 2003, the full German facility and Israeli facility were available to be drawn down.</w:t>
      </w:r>
    </w:p>
    <w:p>
      <w:pPr>
        <w:spacing w:after="0" w:line="178" w:lineRule="exact"/>
        <w:rPr>
          <w:sz w:val="20"/>
          <w:szCs w:val="20"/>
          <w:color w:val="auto"/>
        </w:rPr>
      </w:pPr>
    </w:p>
    <w:p>
      <w:pPr>
        <w:ind w:left="10" w:right="3440"/>
        <w:spacing w:after="0" w:line="237" w:lineRule="auto"/>
        <w:rPr>
          <w:sz w:val="20"/>
          <w:szCs w:val="20"/>
          <w:color w:val="auto"/>
        </w:rPr>
      </w:pPr>
      <w:r>
        <w:rPr>
          <w:rFonts w:ascii="Courier New" w:cs="Courier New" w:eastAsia="Courier New" w:hAnsi="Courier New"/>
          <w:sz w:val="15"/>
          <w:szCs w:val="15"/>
          <w:color w:val="auto"/>
        </w:rPr>
        <w:t>On October 9, 2002, we completed the acquisitions of Barton &amp; Polansky Associates, Inc. and its sister company, Managed Clinical Solutions, Inc., contract research organizations in New York, for an initial cash consideration of $15.7 million and further earn-out payments on December 20, 2002 and April 15, 2003 of $3.7 million and $0.3 million respectively.</w:t>
      </w:r>
    </w:p>
    <w:p>
      <w:pPr>
        <w:spacing w:after="0" w:line="178" w:lineRule="exact"/>
        <w:rPr>
          <w:sz w:val="20"/>
          <w:szCs w:val="20"/>
          <w:color w:val="auto"/>
        </w:rPr>
      </w:pPr>
    </w:p>
    <w:p>
      <w:pPr>
        <w:ind w:left="10" w:right="3520"/>
        <w:spacing w:after="0" w:line="237" w:lineRule="auto"/>
        <w:rPr>
          <w:sz w:val="20"/>
          <w:szCs w:val="20"/>
          <w:color w:val="auto"/>
        </w:rPr>
      </w:pPr>
      <w:r>
        <w:rPr>
          <w:rFonts w:ascii="Courier New" w:cs="Courier New" w:eastAsia="Courier New" w:hAnsi="Courier New"/>
          <w:sz w:val="15"/>
          <w:szCs w:val="15"/>
          <w:color w:val="auto"/>
        </w:rPr>
        <w:t>On January 24, 2003, we completed the acquisition of Medeval Group Limited, a specialist provider of Phase I clinical trials to the pharmaceutical and biotechnology industries, for an initial cash consideration of sterling (pound)9.5 million (U.S.$15.5 million).</w:t>
      </w:r>
    </w:p>
    <w:p>
      <w:pPr>
        <w:spacing w:after="0" w:line="200" w:lineRule="exact"/>
        <w:rPr>
          <w:sz w:val="20"/>
          <w:szCs w:val="20"/>
          <w:color w:val="auto"/>
        </w:rPr>
      </w:pPr>
    </w:p>
    <w:p>
      <w:pPr>
        <w:spacing w:after="0" w:line="31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Contractual obligations table</w:t>
      </w:r>
    </w:p>
    <w:p>
      <w:pPr>
        <w:spacing w:after="0" w:line="5" w:lineRule="exact"/>
        <w:rPr>
          <w:sz w:val="20"/>
          <w:szCs w:val="20"/>
          <w:color w:val="auto"/>
        </w:rPr>
      </w:pPr>
    </w:p>
    <w:p>
      <w:pPr>
        <w:ind w:left="10" w:right="3880"/>
        <w:spacing w:after="0" w:line="235" w:lineRule="auto"/>
        <w:rPr>
          <w:sz w:val="20"/>
          <w:szCs w:val="20"/>
          <w:color w:val="auto"/>
        </w:rPr>
      </w:pPr>
      <w:r>
        <w:rPr>
          <w:rFonts w:ascii="Courier New" w:cs="Courier New" w:eastAsia="Courier New" w:hAnsi="Courier New"/>
          <w:sz w:val="15"/>
          <w:szCs w:val="15"/>
          <w:color w:val="auto"/>
        </w:rPr>
        <w:t>The following table represents the contractual obligations and commercial commitments of ICON plc as of May 31, 2003: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Contractual obligations and commercial commitments</w:t>
            </w:r>
          </w:p>
        </w:tc>
        <w:tc>
          <w:tcPr>
            <w:tcW w:w="1020" w:type="dxa"/>
            <w:vAlign w:val="bottom"/>
          </w:tcPr>
          <w:p>
            <w:pPr>
              <w:spacing w:after="0"/>
              <w:rPr>
                <w:sz w:val="14"/>
                <w:szCs w:val="14"/>
                <w:color w:val="auto"/>
              </w:rPr>
            </w:pPr>
          </w:p>
        </w:tc>
        <w:tc>
          <w:tcPr>
            <w:tcW w:w="2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Payments due by period</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6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Total</w:t>
            </w:r>
          </w:p>
        </w:tc>
        <w:tc>
          <w:tcPr>
            <w:tcW w:w="22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Less than</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 to 5</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After 5</w:t>
            </w:r>
          </w:p>
        </w:tc>
      </w:tr>
      <w:tr>
        <w:trPr>
          <w:trHeight w:val="170"/>
        </w:trPr>
        <w:tc>
          <w:tcPr>
            <w:tcW w:w="4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ind w:left="1180"/>
              <w:spacing w:after="0"/>
              <w:rPr>
                <w:sz w:val="20"/>
                <w:szCs w:val="20"/>
                <w:color w:val="auto"/>
              </w:rPr>
            </w:pPr>
            <w:r>
              <w:rPr>
                <w:rFonts w:ascii="Courier New" w:cs="Courier New" w:eastAsia="Courier New" w:hAnsi="Courier New"/>
                <w:sz w:val="15"/>
                <w:szCs w:val="15"/>
                <w:color w:val="auto"/>
              </w:rPr>
              <w:t>1 year</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years</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4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4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(U.S.$ in millions)</w:t>
            </w:r>
          </w:p>
        </w:tc>
        <w:tc>
          <w:tcPr>
            <w:tcW w:w="1000" w:type="dxa"/>
            <w:vAlign w:val="bottom"/>
          </w:tcPr>
          <w:p>
            <w:pPr>
              <w:spacing w:after="0"/>
              <w:rPr>
                <w:sz w:val="14"/>
                <w:szCs w:val="14"/>
                <w:color w:val="auto"/>
              </w:rPr>
            </w:pP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Finance leases</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w:t>
            </w:r>
          </w:p>
        </w:tc>
        <w:tc>
          <w:tcPr>
            <w:tcW w:w="22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$0.2</w:t>
            </w: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$0.3</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Operating leases</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129.1</w:t>
            </w:r>
          </w:p>
        </w:tc>
        <w:tc>
          <w:tcPr>
            <w:tcW w:w="22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17.0</w:t>
            </w: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53.8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58.3</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Credit facility</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w:t>
            </w:r>
          </w:p>
        </w:tc>
        <w:tc>
          <w:tcPr>
            <w:tcW w:w="22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7.0</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Earn out payments committed for contingent</w:t>
            </w: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consideration (1)</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w:t>
            </w:r>
          </w:p>
        </w:tc>
        <w:tc>
          <w:tcPr>
            <w:tcW w:w="22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w:t>
            </w: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6.9</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5030"/>
        <w:spacing w:after="0"/>
        <w:tabs>
          <w:tab w:leader="none" w:pos="6669" w:val="left"/>
          <w:tab w:leader="none" w:pos="8169" w:val="left"/>
          <w:tab w:leader="none" w:pos="9669" w:val="left"/>
        </w:tabs>
        <w:rPr>
          <w:sz w:val="20"/>
          <w:szCs w:val="20"/>
          <w:color w:val="auto"/>
        </w:rPr>
      </w:pPr>
      <w:r>
        <w:rPr>
          <w:rFonts w:ascii="Courier New" w:cs="Courier New" w:eastAsia="Courier New" w:hAnsi="Courier New"/>
          <w:sz w:val="15"/>
          <w:szCs w:val="15"/>
          <w:color w:val="auto"/>
        </w:rPr>
        <w:t>$145.5</w:t>
      </w:r>
      <w:r>
        <w:rPr>
          <w:sz w:val="20"/>
          <w:szCs w:val="20"/>
          <w:color w:val="auto"/>
        </w:rPr>
        <w:tab/>
      </w:r>
      <w:r>
        <w:rPr>
          <w:rFonts w:ascii="Courier New" w:cs="Courier New" w:eastAsia="Courier New" w:hAnsi="Courier New"/>
          <w:sz w:val="15"/>
          <w:szCs w:val="15"/>
          <w:color w:val="auto"/>
        </w:rPr>
        <w:t>$26.2</w:t>
      </w:r>
      <w:r>
        <w:rPr>
          <w:sz w:val="20"/>
          <w:szCs w:val="20"/>
          <w:color w:val="auto"/>
        </w:rPr>
        <w:tab/>
      </w:r>
      <w:r>
        <w:rPr>
          <w:rFonts w:ascii="Courier New" w:cs="Courier New" w:eastAsia="Courier New" w:hAnsi="Courier New"/>
          <w:sz w:val="15"/>
          <w:szCs w:val="15"/>
          <w:color w:val="auto"/>
        </w:rPr>
        <w:t>$61.0</w:t>
      </w:r>
      <w:r>
        <w:rPr>
          <w:sz w:val="20"/>
          <w:szCs w:val="20"/>
          <w:color w:val="auto"/>
        </w:rPr>
        <w:tab/>
      </w:r>
      <w:r>
        <w:rPr>
          <w:rFonts w:ascii="Courier New" w:cs="Courier New" w:eastAsia="Courier New" w:hAnsi="Courier New"/>
          <w:sz w:val="14"/>
          <w:szCs w:val="14"/>
          <w:color w:val="auto"/>
        </w:rPr>
        <w:t>$58.3</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450" w:right="3440" w:hanging="450"/>
        <w:spacing w:after="0" w:line="237" w:lineRule="auto"/>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cash is payable under earn out clauses included in acquisitions undertaken in fiscal 2003. At May 31, 2003, there are no outstanding earn out commitments from prior year acquisitions. Of the $8.9 million, $2 million of the earn out targets have been reached at May 31, 2003 and has been recorded in other liabilities.</w:t>
      </w:r>
    </w:p>
    <w:p>
      <w:pPr>
        <w:spacing w:after="0" w:line="178" w:lineRule="exact"/>
        <w:rPr>
          <w:sz w:val="20"/>
          <w:szCs w:val="20"/>
          <w:color w:val="auto"/>
        </w:rPr>
      </w:pPr>
    </w:p>
    <w:p>
      <w:pPr>
        <w:ind w:left="10" w:right="3260"/>
        <w:spacing w:after="0" w:line="238" w:lineRule="auto"/>
        <w:rPr>
          <w:sz w:val="20"/>
          <w:szCs w:val="20"/>
          <w:color w:val="auto"/>
        </w:rPr>
      </w:pPr>
      <w:r>
        <w:rPr>
          <w:rFonts w:ascii="Courier New" w:cs="Courier New" w:eastAsia="Courier New" w:hAnsi="Courier New"/>
          <w:sz w:val="15"/>
          <w:szCs w:val="15"/>
          <w:color w:val="auto"/>
        </w:rPr>
        <w:t>We expect to spend approximately $15 million in the next twelve months on further investments in information technology, the expansion of existing facilities and the addition of new offices and expect to increase this level of spending in subsequent years.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may require additional external financing and we may from time to time seek to obtain funds from public or private issues of equity or debt securities. There can be no assurance that such financing will be available on terms acceptable to ICON.</w:t>
      </w:r>
    </w:p>
    <w:p>
      <w:pPr>
        <w:spacing w:after="0" w:line="200" w:lineRule="exact"/>
        <w:rPr>
          <w:sz w:val="20"/>
          <w:szCs w:val="20"/>
          <w:color w:val="auto"/>
        </w:r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Critical Accounting Policies</w:t>
      </w:r>
    </w:p>
    <w:p>
      <w:pPr>
        <w:spacing w:after="0" w:line="5" w:lineRule="exact"/>
        <w:rPr>
          <w:sz w:val="20"/>
          <w:szCs w:val="20"/>
          <w:color w:val="auto"/>
        </w:rPr>
      </w:pPr>
    </w:p>
    <w:p>
      <w:pPr>
        <w:ind w:left="10" w:right="3260"/>
        <w:spacing w:after="0" w:line="237" w:lineRule="auto"/>
        <w:rPr>
          <w:sz w:val="20"/>
          <w:szCs w:val="20"/>
          <w:color w:val="auto"/>
        </w:rPr>
      </w:pPr>
      <w:r>
        <w:rPr>
          <w:rFonts w:ascii="Courier New" w:cs="Courier New" w:eastAsia="Courier New" w:hAnsi="Courier New"/>
          <w:sz w:val="15"/>
          <w:szCs w:val="15"/>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348" w:lineRule="exact"/>
        <w:rPr>
          <w:sz w:val="20"/>
          <w:szCs w:val="20"/>
          <w:color w:val="auto"/>
        </w:rPr>
      </w:pPr>
    </w:p>
    <w:p>
      <w:pPr>
        <w:ind w:left="10" w:right="3520"/>
        <w:spacing w:after="0" w:line="237" w:lineRule="auto"/>
        <w:rPr>
          <w:sz w:val="20"/>
          <w:szCs w:val="20"/>
          <w:color w:val="auto"/>
        </w:rPr>
      </w:pPr>
      <w:r>
        <w:rPr>
          <w:rFonts w:ascii="Courier New" w:cs="Courier New" w:eastAsia="Courier New" w:hAnsi="Courier New"/>
          <w:sz w:val="15"/>
          <w:szCs w:val="15"/>
          <w:color w:val="auto"/>
        </w:rPr>
        <w:t>We base our estimates and judgments on historical experience and on the other factors that we believe are reasonable under current circumstances. Actual results may differ from these estimates if these assumptions prove to be incorrect or if conditions</w:t>
      </w:r>
    </w:p>
    <w:p>
      <w:pPr>
        <w:sectPr>
          <w:pgSz w:w="11900" w:h="16838" w:orient="portrait"/>
          <w:cols w:equalWidth="0" w:num="1">
            <w:col w:w="10310"/>
          </w:cols>
          <w:pgMar w:left="230" w:top="966" w:right="1359" w:bottom="228" w:gutter="0" w:footer="0" w:header="0"/>
        </w:sectPr>
      </w:pPr>
    </w:p>
    <w:bookmarkStart w:id="27" w:name="page28"/>
    <w:bookmarkEnd w:id="27"/>
    <w:p>
      <w:pPr>
        <w:ind w:left="22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019"/>
          </w:cols>
          <w:pgMar w:left="1440" w:top="305" w:right="1440" w:bottom="1440" w:gutter="0" w:footer="0" w:header="0"/>
        </w:sectPr>
      </w:pPr>
    </w:p>
    <w:bookmarkStart w:id="28" w:name="page29"/>
    <w:bookmarkEnd w:id="28"/>
    <w:p>
      <w:pPr>
        <w:ind w:right="3259"/>
        <w:spacing w:after="0" w:line="260" w:lineRule="auto"/>
        <w:rPr>
          <w:sz w:val="20"/>
          <w:szCs w:val="20"/>
          <w:color w:val="auto"/>
        </w:rPr>
      </w:pPr>
      <w:r>
        <w:rPr>
          <w:rFonts w:ascii="Courier New" w:cs="Courier New" w:eastAsia="Courier New" w:hAnsi="Courier New"/>
          <w:sz w:val="14"/>
          <w:szCs w:val="14"/>
          <w:color w:val="auto"/>
        </w:rPr>
        <w:t>develop other than as assumed for the purposes of such estimates. The following is a discussion of the accounting policies used by us, which we believe are critical in that they require estimates and judgments by management.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16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18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principal judgements and uncertainties affecting our accounting for goodwill relate to carrying values. The carrying values of purchased goodwill are assessed annually, using discounted cash flows and net realisable values. The estimates and judgements used to assess carrying values include those relating to commercial risk, revenue and cost projections, our intention with respect to the acquired goodwill, the impact of competition, the impact of any reorganisation or change of our business focus, the level of third party interest in our operations and market conditions.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If the carrying value of goodwill exceeds the recoverable amount, the carrying value of goodwill would be written down to the recoverable amount. If we were to use different estimates or judgements, particularly with respect to expected revenue and cost projections or the impact of any reorganisation or change of business focus, a material impairment charge to the statement of operations could arise. We believe that we have used reasonable estimates and judgements in assessing the carrying value of our goodwill.</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We believe that the effects of inflation generally do not have a material adverse impact on our operations or financial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July 2001, the FASB issued SFAS No. 143, "Accounting for Asset Retirement Obligations". SFAS No. 143, which is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Adoption of this standard on June 1, 2002 did not have a material impact on our results of operations and financial position.</w:t>
      </w:r>
    </w:p>
    <w:p>
      <w:pPr>
        <w:spacing w:after="0" w:line="182"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August 2001, the FASB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 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We adopted SFAS No. 144 on June 1, 2002. Adoption of SFAS No. 144 did not have a material impact on our results of operations and financial position.</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November 2001, the Emerging Issues Task Force, or EITF, released EITF Issue 01-14, "Income Statement Characterization of Reimbursements Received for `Out of Pocket' Expenses Incurred", requiring companies to report reimbursed costs as part of gross revenues. Our reimbursed costs include such items as payments to investigators and travel costs for our clinical research staff. We do not earn a profit on these costs. We have always included such reimbursed costs within our measure of gross revenues and adoption of EITF Issue 01-14 had no effect on our reported results.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April 2002, the FASB issued SFAS No. 145, "Rescission of FASB Statements No. 4, 44 and 64, Amendment of FASB Statement No. 13, and Technical Corrections". SFAS No. 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our results of operations and financial position.</w:t>
      </w:r>
    </w:p>
    <w:p>
      <w:pPr>
        <w:spacing w:after="0" w:line="180" w:lineRule="exact"/>
        <w:rPr>
          <w:sz w:val="20"/>
          <w:szCs w:val="20"/>
          <w:color w:val="auto"/>
        </w:rPr>
      </w:pPr>
    </w:p>
    <w:p>
      <w:pPr>
        <w:ind w:right="3439"/>
        <w:spacing w:after="0" w:line="256" w:lineRule="auto"/>
        <w:rPr>
          <w:sz w:val="20"/>
          <w:szCs w:val="20"/>
          <w:color w:val="auto"/>
        </w:rPr>
      </w:pPr>
      <w:r>
        <w:rPr>
          <w:rFonts w:ascii="Courier New" w:cs="Courier New" w:eastAsia="Courier New" w:hAnsi="Courier New"/>
          <w:sz w:val="14"/>
          <w:szCs w:val="14"/>
          <w:color w:val="auto"/>
        </w:rPr>
        <w:t>In June 2002, the FASB issued SFAS No. 146, "Accounting for Costs Associated with Exit or Disposal Activities" ("SFAS No. 146"). SFAS No. 146 addresses financial accounting reporting for costs associated with exit or disposal activities and nullifies EITF Issue 94-3, "Liability Recognition for Certain Employee Termination Benefits and Other Costs to Exit and Activity". SFAS No.</w:t>
      </w:r>
    </w:p>
    <w:p>
      <w:pPr>
        <w:spacing w:after="0" w:line="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146 requires that a liability for a cost associated with an exit or disposal activity be recognized and measured initially at fair value only when the liability is incurred. SFAS No. 146 is effective for exit or disposal activities initiated after December 31, 2002 and was effective in our third quarter ending February 28, 2003. Adoption of SFAS No. 146 did not have a material impact on our results of operations and financial postion.</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November 2002, the FASB issued Interpretation No. 45, Guarantor's Accounting and Disclosure Requirements for Guarantees, Including Indirect Guarantees of Indebtedness of Others ("FIN 45"), this interpretation addresses the disclosure to be made by a guarantor in its financial statements about its obligation under guarantees. FIN 45 also requires the guarantor to recognize a liability for the non-contingent component of the guarantee, that is the obligation to stand ready to perform in the event that specified triggering events or conditions occur. The initial measurement of this liability is the fair value of the guarantee at inception. The disclosure requirements in this Interpretation are effective for financial statements of interim and annual periods ending after December 15, 2002. The recognition and measurement provisions are applicable on a prospective basis to guarantees issued or modified after December 31, 2002, irrespective of the guarantors fiscal year-end. Adoption of FIN 45 did not have a significant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1300" w:right="1440" w:bottom="1074" w:gutter="0" w:footer="0" w:header="0"/>
        </w:sectPr>
      </w:pPr>
    </w:p>
    <w:bookmarkStart w:id="30" w:name="page31"/>
    <w:bookmarkEnd w:id="30"/>
    <w:p>
      <w:pPr>
        <w:ind w:right="3179"/>
        <w:spacing w:after="0" w:line="238" w:lineRule="auto"/>
        <w:rPr>
          <w:sz w:val="20"/>
          <w:szCs w:val="20"/>
          <w:color w:val="auto"/>
        </w:rPr>
      </w:pPr>
      <w:r>
        <w:rPr>
          <w:rFonts w:ascii="Courier New" w:cs="Courier New" w:eastAsia="Courier New" w:hAnsi="Courier New"/>
          <w:sz w:val="15"/>
          <w:szCs w:val="15"/>
          <w:color w:val="auto"/>
        </w:rPr>
        <w:t>In December 2002, the FASB issued SFAS No. 148, "Accounting for Stock Based Compensation - Transition and Disclosure - an amendment of FASB statement No. 123" ("SFAS No. 148"). SFAS No. 148 provides alternative methods of transition for a voluntary change to the fair value based method of accounting for stock-based employee compensation. In addition, this statement amends the disclosure requirements of SFAS No. 123 to require prominent disclosures in both annual and interim financial statements about the method of accounting for stock-based employee compensation and the effect of the method used on reported results. The transition provisions of SFAS No. 148 are generally effective for fiscal years ending after December 15, 2002. The enhanced disclosure requirements are included in our financial statements. We have decided to continue to account for stock options in accordance with the provisions of APB No. 25.</w:t>
      </w:r>
    </w:p>
    <w:p>
      <w:pPr>
        <w:spacing w:after="0" w:line="18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January 2003, the FASB issued FASB Interpretation No. 46, Consolidation of Variable Interest Entities ("FIN 46"), which interprets Accounting Research Bulletin ("ARB") No. 51, Consolidated Financial Statements. FIN 46 clarifies the application of ARB No. 51 with respect to the consolidation of certain entities (variable interest entities - "VIE's") to which the usual condition for consolidation described in ARB No. 51 does not apply because the controlling financial interest in VIE's may be achieved through arrangements that do not involve voting interests. In addition, FIN 46 requires the primary beneficiary of VIE's and the holder of a significant variable interest in VIE's to disclose certain information relating to their involvement with the VIE's. The provisions of FIN 46 apply immediately to VIE's created after January 31, 2003, and to VIE's in which an enterprise obtains an interest after that date. FIN 46 applies in the first fiscal year beginning after June 15, 2003, to VIE's in which an enterprise holds a variable interest that it acquired before February 1, 2003. We did not create or obtain an interest in a VIE after January 31, 2003 and we do not expect the impact of fully adopting FIN 46 to have a significant impact on our financial statements.</w:t>
      </w:r>
    </w:p>
    <w:p>
      <w:pPr>
        <w:spacing w:after="0" w:line="18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April 30, 2003, the FASB issued FASB Statement No. 149, "Amendment of Statement 133 on Derivative Instruments and Hedging Activities" ("SFAS No. 149"), which amends FASB Statement No. 133, Accounting for Derivative Instruments and Hedging Activities, to address (1) decisions reached by the Derivatives Implementation Group, (2) developments in other Board projects that address financial instruments, and (3) implementation issues related to the definition of a derivative. SFAS No. 149 has multiple effective date provisions depending on the nature of the amendment to Statement 133. Under SFAS No. 133, our foreign exchange contracts do not qualify for hedge accounting treatment. We do not expect the impact of adopting SFAS No. 149 to have a significant impact on our financial statements.</w:t>
      </w:r>
    </w:p>
    <w:p>
      <w:pPr>
        <w:spacing w:after="0" w:line="18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On May 15, 2003, the FASB issued FASB Statement No. 150, "Accounting for Certain Financial Instruments with Characteristics of both Liabilities and Equity" ("SFAS No. 150"). This Statement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This Statement is effective for financial instruments entered into or modified after May 31, 2003, and otherwise is effective at the beginning of the first interim period beginning after June 15, 2003, except for mandatorily redeemable financial instruments of nonpublic entities. It is to be implemented by reporting the cumulative effect of a change in an accounting principle for financial instruments created before the issuance date of the Statement and still existing at the beginning of the interim period of adoption. Restatement is not permitted. We do not expect the impact of adopting SFAS No. 150 to have a significant impact on our financial statements.</w:t>
      </w:r>
    </w:p>
    <w:p>
      <w:pPr>
        <w:spacing w:after="0" w:line="33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Emerging Issues Task Force (EITF) has reached a final consensus on EITF Issue No. 00-21, "Revenue Arrangements with Multiple Deliverables". This Issue addresses certain aspects of the accounting by a vendor for arrangements under which it will perform multiple revenue-generating activities, specifically how to determine whether an arrangement involving multiple deliverables contains more than one unit of accounting. The Issue also addresses how arrangement consideration should be measured and allocated to the separate units of accounting in the arrangement. The guidance in this Issue is effective for revenue arrangements entered into in fiscal periods beginning after June 15, 2003, with a possible alternative means of adoption by applying the new rules to existing contracts and recording the effect of adoption as a cumulative effect of a change in accounting principle. Early adoption is permitted. We will adopt EITF Issue No. 00-21 on June 1, 2003 and do not expect this will have a significant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966" w:right="1440" w:bottom="1440" w:gutter="0" w:footer="0" w:header="0"/>
        </w:sectPr>
      </w:pPr>
    </w:p>
    <w:bookmarkStart w:id="31" w:name="page32"/>
    <w:bookmarkEnd w:id="31"/>
    <w:p>
      <w:pPr>
        <w:ind w:left="10"/>
        <w:spacing w:after="0"/>
        <w:rPr>
          <w:sz w:val="20"/>
          <w:szCs w:val="20"/>
          <w:color w:val="auto"/>
        </w:rPr>
      </w:pPr>
      <w:r>
        <w:rPr>
          <w:rFonts w:ascii="Courier New" w:cs="Courier New" w:eastAsia="Courier New" w:hAnsi="Courier New"/>
          <w:sz w:val="15"/>
          <w:szCs w:val="15"/>
          <w:color w:val="auto"/>
        </w:rPr>
        <w:t>Item 6. Directors, Senior Management and Employees.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Directors and Senior Management</w:t>
      </w:r>
    </w:p>
    <w:p>
      <w:pPr>
        <w:spacing w:after="0" w:line="5" w:lineRule="exact"/>
        <w:rPr>
          <w:sz w:val="20"/>
          <w:szCs w:val="20"/>
          <w:color w:val="auto"/>
        </w:rPr>
      </w:pPr>
    </w:p>
    <w:p>
      <w:pPr>
        <w:jc w:val="both"/>
        <w:ind w:left="10" w:right="3440"/>
        <w:spacing w:after="0" w:line="237" w:lineRule="auto"/>
        <w:rPr>
          <w:sz w:val="20"/>
          <w:szCs w:val="20"/>
          <w:color w:val="auto"/>
        </w:rPr>
      </w:pPr>
      <w:r>
        <w:rPr>
          <w:rFonts w:ascii="Courier New" w:cs="Courier New" w:eastAsia="Courier New" w:hAnsi="Courier New"/>
          <w:sz w:val="15"/>
          <w:szCs w:val="15"/>
          <w:color w:val="auto"/>
        </w:rPr>
        <w:t>The following table and accompanying biographies set forth certain information concerning each of ICON plc officers, directors and other key employees as of May 31, 2003.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
        <w:spacing w:after="0"/>
        <w:tabs>
          <w:tab w:leader="none" w:pos="3069" w:val="left"/>
          <w:tab w:leader="none" w:pos="368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4"/>
          <w:szCs w:val="14"/>
          <w:color w:val="auto"/>
        </w:rPr>
        <w:t>Position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Dr. John Climax(1)(2)</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w:t>
            </w:r>
          </w:p>
        </w:tc>
        <w:tc>
          <w:tcPr>
            <w:tcW w:w="6200" w:type="dxa"/>
            <w:vAlign w:val="bottom"/>
          </w:tcPr>
          <w:p>
            <w:pPr>
              <w:ind w:left="220"/>
              <w:spacing w:after="0"/>
              <w:rPr>
                <w:sz w:val="20"/>
                <w:szCs w:val="20"/>
                <w:color w:val="auto"/>
              </w:rPr>
            </w:pPr>
            <w:r>
              <w:rPr>
                <w:rFonts w:ascii="Courier New" w:cs="Courier New" w:eastAsia="Courier New" w:hAnsi="Courier New"/>
                <w:sz w:val="15"/>
                <w:szCs w:val="15"/>
                <w:color w:val="auto"/>
              </w:rPr>
              <w:t>Chairman of the Board</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Peter Gray(1)</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w:t>
            </w:r>
          </w:p>
        </w:tc>
        <w:tc>
          <w:tcPr>
            <w:tcW w:w="6200" w:type="dxa"/>
            <w:vAlign w:val="bottom"/>
          </w:tcPr>
          <w:p>
            <w:pPr>
              <w:ind w:left="220"/>
              <w:spacing w:after="0"/>
              <w:rPr>
                <w:sz w:val="20"/>
                <w:szCs w:val="20"/>
                <w:color w:val="auto"/>
              </w:rPr>
            </w:pPr>
            <w:r>
              <w:rPr>
                <w:rFonts w:ascii="Courier New" w:cs="Courier New" w:eastAsia="Courier New" w:hAnsi="Courier New"/>
                <w:sz w:val="15"/>
                <w:szCs w:val="15"/>
                <w:color w:val="auto"/>
              </w:rPr>
              <w:t>Chief Executive Officer, Director</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Sean Leech(1)</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w:t>
            </w:r>
          </w:p>
        </w:tc>
        <w:tc>
          <w:tcPr>
            <w:tcW w:w="6200" w:type="dxa"/>
            <w:vAlign w:val="bottom"/>
          </w:tcPr>
          <w:p>
            <w:pPr>
              <w:ind w:left="220"/>
              <w:spacing w:after="0"/>
              <w:rPr>
                <w:sz w:val="20"/>
                <w:szCs w:val="20"/>
                <w:color w:val="auto"/>
              </w:rPr>
            </w:pPr>
            <w:r>
              <w:rPr>
                <w:rFonts w:ascii="Courier New" w:cs="Courier New" w:eastAsia="Courier New" w:hAnsi="Courier New"/>
                <w:sz w:val="15"/>
                <w:szCs w:val="15"/>
                <w:color w:val="auto"/>
              </w:rPr>
              <w:t>Chief Financial Officer &amp; Company Secretary</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Dr. Ronan Lambe(1)</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w:t>
            </w:r>
          </w:p>
        </w:tc>
        <w:tc>
          <w:tcPr>
            <w:tcW w:w="620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Thomas Lynch(2)(3)</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w:t>
            </w:r>
          </w:p>
        </w:tc>
        <w:tc>
          <w:tcPr>
            <w:tcW w:w="620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Edward Roberts(2)(3)</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w:t>
            </w:r>
          </w:p>
        </w:tc>
        <w:tc>
          <w:tcPr>
            <w:tcW w:w="620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Lee Jones(3)</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w:t>
            </w:r>
          </w:p>
        </w:tc>
        <w:tc>
          <w:tcPr>
            <w:tcW w:w="620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Dr. Allan Morgan</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w:t>
            </w:r>
          </w:p>
        </w:tc>
        <w:tc>
          <w:tcPr>
            <w:tcW w:w="6200" w:type="dxa"/>
            <w:vAlign w:val="bottom"/>
          </w:tcPr>
          <w:p>
            <w:pPr>
              <w:ind w:left="220"/>
              <w:spacing w:after="0"/>
              <w:rPr>
                <w:sz w:val="20"/>
                <w:szCs w:val="20"/>
                <w:color w:val="auto"/>
              </w:rPr>
            </w:pPr>
            <w:r>
              <w:rPr>
                <w:rFonts w:ascii="Courier New" w:cs="Courier New" w:eastAsia="Courier New" w:hAnsi="Courier New"/>
                <w:sz w:val="15"/>
                <w:szCs w:val="15"/>
                <w:color w:val="auto"/>
              </w:rPr>
              <w:t>Chief Medical Officer</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William Taaffe</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w:t>
            </w:r>
          </w:p>
        </w:tc>
        <w:tc>
          <w:tcPr>
            <w:tcW w:w="6200" w:type="dxa"/>
            <w:vAlign w:val="bottom"/>
          </w:tcPr>
          <w:p>
            <w:pPr>
              <w:ind w:left="220"/>
              <w:spacing w:after="0"/>
              <w:rPr>
                <w:sz w:val="20"/>
                <w:szCs w:val="20"/>
                <w:color w:val="auto"/>
              </w:rPr>
            </w:pPr>
            <w:r>
              <w:rPr>
                <w:rFonts w:ascii="Courier New" w:cs="Courier New" w:eastAsia="Courier New" w:hAnsi="Courier New"/>
                <w:sz w:val="15"/>
                <w:szCs w:val="15"/>
                <w:color w:val="auto"/>
                <w:w w:val="97"/>
              </w:rPr>
              <w:t>President &amp; Chief Executive Officer of ICON Clinical Research - U.S.</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Dr. Markus Weissbach</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w:t>
            </w:r>
          </w:p>
        </w:tc>
        <w:tc>
          <w:tcPr>
            <w:tcW w:w="6200" w:type="dxa"/>
            <w:vAlign w:val="bottom"/>
          </w:tcPr>
          <w:p>
            <w:pPr>
              <w:ind w:left="220"/>
              <w:spacing w:after="0"/>
              <w:rPr>
                <w:sz w:val="20"/>
                <w:szCs w:val="20"/>
                <w:color w:val="auto"/>
              </w:rPr>
            </w:pPr>
            <w:r>
              <w:rPr>
                <w:rFonts w:ascii="Courier New" w:cs="Courier New" w:eastAsia="Courier New" w:hAnsi="Courier New"/>
                <w:sz w:val="15"/>
                <w:szCs w:val="15"/>
                <w:color w:val="auto"/>
              </w:rPr>
              <w:t>President of ICON Clinical Research - Europe</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Edward Caffrey</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w:t>
            </w:r>
          </w:p>
        </w:tc>
        <w:tc>
          <w:tcPr>
            <w:tcW w:w="6200" w:type="dxa"/>
            <w:vAlign w:val="bottom"/>
          </w:tcPr>
          <w:p>
            <w:pPr>
              <w:ind w:left="220"/>
              <w:spacing w:after="0"/>
              <w:rPr>
                <w:sz w:val="20"/>
                <w:szCs w:val="20"/>
                <w:color w:val="auto"/>
              </w:rPr>
            </w:pPr>
            <w:r>
              <w:rPr>
                <w:rFonts w:ascii="Courier New" w:cs="Courier New" w:eastAsia="Courier New" w:hAnsi="Courier New"/>
                <w:sz w:val="15"/>
                <w:szCs w:val="15"/>
                <w:color w:val="auto"/>
              </w:rPr>
              <w:t>President of ICON Laboratories</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Dr. John Hubbard</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w:t>
            </w:r>
          </w:p>
        </w:tc>
        <w:tc>
          <w:tcPr>
            <w:tcW w:w="6200" w:type="dxa"/>
            <w:vAlign w:val="bottom"/>
          </w:tcPr>
          <w:p>
            <w:pPr>
              <w:ind w:left="220"/>
              <w:spacing w:after="0"/>
              <w:rPr>
                <w:sz w:val="20"/>
                <w:szCs w:val="20"/>
                <w:color w:val="auto"/>
              </w:rPr>
            </w:pPr>
            <w:r>
              <w:rPr>
                <w:rFonts w:ascii="Courier New" w:cs="Courier New" w:eastAsia="Courier New" w:hAnsi="Courier New"/>
                <w:sz w:val="15"/>
                <w:szCs w:val="15"/>
                <w:color w:val="auto"/>
              </w:rPr>
              <w:t>Chief Operating Officer, ICON Clinical Research - U.S.</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Thomas Frey</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w:t>
            </w:r>
          </w:p>
        </w:tc>
        <w:tc>
          <w:tcPr>
            <w:tcW w:w="6200" w:type="dxa"/>
            <w:vAlign w:val="bottom"/>
          </w:tcPr>
          <w:p>
            <w:pPr>
              <w:ind w:left="220"/>
              <w:spacing w:after="0"/>
              <w:rPr>
                <w:sz w:val="20"/>
                <w:szCs w:val="20"/>
                <w:color w:val="auto"/>
              </w:rPr>
            </w:pPr>
            <w:r>
              <w:rPr>
                <w:rFonts w:ascii="Courier New" w:cs="Courier New" w:eastAsia="Courier New" w:hAnsi="Courier New"/>
                <w:sz w:val="15"/>
                <w:szCs w:val="15"/>
                <w:color w:val="auto"/>
              </w:rPr>
              <w:t>Chief Operating Officer, ICON Clinical Research - Europe</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Josephine Coyle</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620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for Corporate Quality Assurance</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left="450" w:hanging="450"/>
        <w:spacing w:after="0"/>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 of the Company</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Compensation Committee</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Audit Committee</w:t>
      </w:r>
    </w:p>
    <w:p>
      <w:pPr>
        <w:spacing w:after="0" w:line="175" w:lineRule="exact"/>
        <w:rPr>
          <w:sz w:val="20"/>
          <w:szCs w:val="20"/>
          <w:color w:val="auto"/>
        </w:rPr>
      </w:pPr>
    </w:p>
    <w:p>
      <w:pPr>
        <w:ind w:left="10" w:right="3440"/>
        <w:spacing w:after="0" w:line="238" w:lineRule="auto"/>
        <w:rPr>
          <w:sz w:val="20"/>
          <w:szCs w:val="20"/>
          <w:color w:val="auto"/>
        </w:rPr>
      </w:pPr>
      <w:r>
        <w:rPr>
          <w:rFonts w:ascii="Courier New" w:cs="Courier New" w:eastAsia="Courier New" w:hAnsi="Courier New"/>
          <w:sz w:val="15"/>
          <w:szCs w:val="15"/>
          <w:color w:val="auto"/>
        </w:rPr>
        <w:t>Dr. John Climax, one of the Company's co-founders, has served as a director of the Company and its subsidiaries since June 1990. Dr. Climax served as Chief Executive Officer from June 1990 to October 2002 and was appointed Chairman of the Board in November 2002. Dr. Climax has over 18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179" w:lineRule="exact"/>
        <w:rPr>
          <w:sz w:val="20"/>
          <w:szCs w:val="20"/>
          <w:color w:val="auto"/>
        </w:rPr>
      </w:pPr>
    </w:p>
    <w:p>
      <w:pPr>
        <w:ind w:left="10" w:right="3260"/>
        <w:spacing w:after="0" w:line="238" w:lineRule="auto"/>
        <w:rPr>
          <w:sz w:val="20"/>
          <w:szCs w:val="20"/>
          <w:color w:val="auto"/>
        </w:rPr>
      </w:pPr>
      <w:r>
        <w:rPr>
          <w:rFonts w:ascii="Courier New" w:cs="Courier New" w:eastAsia="Courier New" w:hAnsi="Courier New"/>
          <w:sz w:val="15"/>
          <w:szCs w:val="15"/>
          <w:color w:val="auto"/>
        </w:rPr>
        <w:t>Peter Gray has served as the Chief Executive Officer of ICON and its subsidiaries since November 2002. He served as the Group Chief Operating Officer of ICON and its subsidiaries from June 2001, and was Chief Financial Officer from June 1997 to June 2001. He has been a director of the Company since June 1997. Mr. Gray has over 12 years experience in the pharmaceutical services industry and has also worked in the engineering and food sectors. Mr. Gray received a degree in Law from Trinity College Dublin in 1977 and became a chartered accountant in 1980.</w:t>
      </w:r>
    </w:p>
    <w:p>
      <w:pPr>
        <w:spacing w:after="0" w:line="178" w:lineRule="exact"/>
        <w:rPr>
          <w:sz w:val="20"/>
          <w:szCs w:val="20"/>
          <w:color w:val="auto"/>
        </w:rPr>
      </w:pPr>
    </w:p>
    <w:p>
      <w:pPr>
        <w:ind w:left="10" w:right="3520"/>
        <w:spacing w:after="0" w:line="256" w:lineRule="auto"/>
        <w:rPr>
          <w:sz w:val="20"/>
          <w:szCs w:val="20"/>
          <w:color w:val="auto"/>
        </w:rPr>
      </w:pPr>
      <w:r>
        <w:rPr>
          <w:rFonts w:ascii="Courier New" w:cs="Courier New" w:eastAsia="Courier New" w:hAnsi="Courier New"/>
          <w:sz w:val="14"/>
          <w:szCs w:val="14"/>
          <w:color w:val="auto"/>
        </w:rPr>
        <w:t>Sean Leech has served as Chief Financial Officer of ICON and its subsidiaries since June 2001 and previously as Group Vice President of Finance from June</w:t>
      </w:r>
    </w:p>
    <w:p>
      <w:pPr>
        <w:spacing w:after="0" w:line="1" w:lineRule="exact"/>
        <w:rPr>
          <w:sz w:val="20"/>
          <w:szCs w:val="20"/>
          <w:color w:val="auto"/>
        </w:rPr>
      </w:pPr>
    </w:p>
    <w:p>
      <w:pPr>
        <w:ind w:left="10" w:right="3260"/>
        <w:spacing w:after="0" w:line="237" w:lineRule="auto"/>
        <w:rPr>
          <w:sz w:val="20"/>
          <w:szCs w:val="20"/>
          <w:color w:val="auto"/>
        </w:rPr>
      </w:pPr>
      <w:r>
        <w:rPr>
          <w:rFonts w:ascii="Courier New" w:cs="Courier New" w:eastAsia="Courier New" w:hAnsi="Courier New"/>
          <w:sz w:val="15"/>
          <w:szCs w:val="15"/>
          <w:color w:val="auto"/>
        </w:rPr>
        <w:t>1999. Mr. Leech was Group Financial Controller of Jones Group plc, a shipping, manufacturing and fuel distribution company based in Ireland, from 1997 to 1999. Mr. Leech is an Associate member of the Chartered Institute of Management Accountants.</w:t>
      </w:r>
    </w:p>
    <w:p>
      <w:pPr>
        <w:spacing w:after="0" w:line="176" w:lineRule="exact"/>
        <w:rPr>
          <w:sz w:val="20"/>
          <w:szCs w:val="20"/>
          <w:color w:val="auto"/>
        </w:rPr>
      </w:pPr>
    </w:p>
    <w:p>
      <w:pPr>
        <w:ind w:left="10" w:right="3260"/>
        <w:spacing w:after="0" w:line="238" w:lineRule="auto"/>
        <w:rPr>
          <w:sz w:val="20"/>
          <w:szCs w:val="20"/>
          <w:color w:val="auto"/>
        </w:rPr>
      </w:pPr>
      <w:r>
        <w:rPr>
          <w:rFonts w:ascii="Courier New" w:cs="Courier New" w:eastAsia="Courier New" w:hAnsi="Courier New"/>
          <w:sz w:val="15"/>
          <w:szCs w:val="15"/>
          <w:color w:val="auto"/>
        </w:rPr>
        <w:t>Dr. Ronan Lambe, one of the Company's co-founders, served as Chairman of the Board of the Company from June 1990 to November 2002. Dr. Lambe has over 21 years of experience in the contract research industry in Europe. Dr. Lambe attended the National University of Ireland where he received his bachelor of science degree in chemistry in 1959, his masters in biochemistry in 1962 and his Ph.D. in pharmacology in 1976. Dr. Lambe continues to serve as a director of the Company.</w:t>
      </w:r>
    </w:p>
    <w:p>
      <w:pPr>
        <w:spacing w:after="0" w:line="177" w:lineRule="exact"/>
        <w:rPr>
          <w:sz w:val="20"/>
          <w:szCs w:val="20"/>
          <w:color w:val="auto"/>
        </w:rPr>
      </w:pPr>
    </w:p>
    <w:p>
      <w:pPr>
        <w:ind w:left="10" w:right="3340"/>
        <w:spacing w:after="0" w:line="238" w:lineRule="auto"/>
        <w:rPr>
          <w:sz w:val="20"/>
          <w:szCs w:val="20"/>
          <w:color w:val="auto"/>
        </w:rPr>
      </w:pPr>
      <w:r>
        <w:rPr>
          <w:rFonts w:ascii="Courier New" w:cs="Courier New" w:eastAsia="Courier New" w:hAnsi="Courier New"/>
          <w:sz w:val="15"/>
          <w:szCs w:val="15"/>
          <w:color w:val="auto"/>
        </w:rPr>
        <w:t>Thomas Lynch has served as an outside director of the Company since January 1996. Since May 1993, Mr. Lynch has held several senior positions in Elan Corporation, plc, a specialty pharmaceutical company, including Executive Vice President, Chief Financial Officer and Deputy Chairman. He is currently Senior Advisor to the Chairman of the Board of Elan Corporation plc. Mr. Lynch is a director of Nanogen, Inc. and Chairman of Amarin Corporation plc. Mr. Lynch was a partner at KPMG from May 1990 to May 1993.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310"/>
          </w:cols>
          <w:pgMar w:left="230" w:top="961" w:right="1359" w:bottom="1074" w:gutter="0" w:footer="0" w:header="0"/>
        </w:sectPr>
      </w:pPr>
    </w:p>
    <w:bookmarkStart w:id="32" w:name="page33"/>
    <w:bookmarkEnd w:id="32"/>
    <w:p>
      <w:pPr>
        <w:ind w:left="10" w:right="3259"/>
        <w:spacing w:after="0" w:line="238" w:lineRule="auto"/>
        <w:rPr>
          <w:sz w:val="20"/>
          <w:szCs w:val="20"/>
          <w:color w:val="auto"/>
        </w:rPr>
      </w:pPr>
      <w:r>
        <w:rPr>
          <w:rFonts w:ascii="Courier New" w:cs="Courier New" w:eastAsia="Courier New" w:hAnsi="Courier New"/>
          <w:sz w:val="15"/>
          <w:szCs w:val="15"/>
          <w:color w:val="auto"/>
        </w:rPr>
        <w:t>Edward Roberts has served as an outside director of the Company since February 1998. Mr. Roberts was Managing Director of the Pharmaceutical Division of Merck KGaA from 1990 to 1998. Prior to that, he held a number of senior management positions with Eli Lilly International in Europe and the United States. Mr. Roberts has over 38 years of experience in the pharmaceutical industry. He has been a partner in Global Health Care Partners since June 1998, and also serves as Chairman of Biopartners and Chairman of the Advisory Board of Merz &amp; Co. GmbH.</w:t>
      </w:r>
    </w:p>
    <w:p>
      <w:pPr>
        <w:spacing w:after="0" w:line="178"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Lee Jones has served as an outside director of the Company since June 1, 2001. Since March 2000, he has been Chairman and Chief Executive Officer of Americas Doctor, a pharmaceutical services company. Previously, he was Divisional Vice-President of Information Management and Technology in the Pharmaceutical Product Division of Abbott Laboratories. He has held various senior positions with Abbott Laboratories and the Upjohn Company.</w:t>
      </w:r>
    </w:p>
    <w:p>
      <w:pPr>
        <w:spacing w:after="0" w:line="176"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Dr. Allan Morgan has served as Chief Medical Officer of the Company since December 1990. Dr. Morgan has 23 years of experience in the pharmaceutical industry and received his medical degree from the Welsh National School of Medicine in 1978.</w:t>
      </w:r>
    </w:p>
    <w:p>
      <w:pPr>
        <w:spacing w:after="0" w:line="176"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William Taaffe has served as President of ICON Clinical Research - U.S. since November 1993 and now also holds the title of Chief Executive Officer of ICON Clinical Research - U.S. Mr. Taaffe has over 27 years of experience in the contract research and the pharmaceutical industries in Ireland, Canada and the United States. Mr. Taaffe received his bachelor of science degree in 1970 from the University College Dublin.</w:t>
      </w:r>
    </w:p>
    <w:p>
      <w:pPr>
        <w:spacing w:after="0" w:line="176"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Dr. Markus Weissbach served as President of ICON Clinical Research GmbH from 1996 to 1999 and currently holds the position of President of ICON Clinical Research Europe. Dr. Weissbach was the head of the Cardiovascular department of Takeda Euro R&amp;D center from January 1994 to December 1996 and the Associate Director of Clinical Cardiology/Nephrology at BASF Pharmaceuticals from January 1990 to January 1994. Dr. Weissbach received his degree in medicine from the University of Freiburg in 1982.</w:t>
      </w:r>
    </w:p>
    <w:p>
      <w:pPr>
        <w:spacing w:after="0" w:line="177"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Edward Caffrey has served as President of ICON Laboratories since June 2000. Mr. Caffrey has over 21 years experience in the contract research industry. From January 1998 until joining ICON, Mr. Caffrey was Senior Vice President of Clinical Operations at Covance North America; he also served as a Managing Director at Covance from January 1990 to January 1998. Mr. Caffrey is a fellow of the Institute of Biomedical Sciences in London and holds an MSc from Dublin City University.</w:t>
      </w:r>
    </w:p>
    <w:p>
      <w:pPr>
        <w:spacing w:after="0" w:line="177"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Dr. John W. Hubbard has served as Chief Operating Officer of ICON Clinical Research - U.S. since October 1999. Dr. Hubbard has more than 18 years of experience in pharmaceutical research and development. From July 1997 until joining ICON, he held the position of Senior Vice President of Clinical Research Operations at Clinical Studies, a division of Innovative Clinical Solutions, Ltd. Dr. Hubbard received a Ph.D. in Cardiovascular Physiology from the University of Tennessee and a B.S. in Psychology/Biology from the University of Santa Clara.</w:t>
      </w:r>
    </w:p>
    <w:p>
      <w:pPr>
        <w:spacing w:after="0" w:line="178"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Dr. Thomas Frey has served as Chief Operating Officer for ICON Clinical Research</w:t>
      </w:r>
    </w:p>
    <w:p>
      <w:pPr>
        <w:spacing w:after="0" w:line="11" w:lineRule="exact"/>
        <w:rPr>
          <w:sz w:val="20"/>
          <w:szCs w:val="20"/>
          <w:color w:val="auto"/>
        </w:rPr>
      </w:pPr>
    </w:p>
    <w:p>
      <w:pPr>
        <w:ind w:left="10" w:right="3079" w:hanging="10"/>
        <w:spacing w:after="0" w:line="238" w:lineRule="auto"/>
        <w:tabs>
          <w:tab w:leader="none" w:pos="18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Europe since June 2001 and has also served as Vice President of ICON Clinical Operations Europe from January 2000 to May 2001. Dr. Frey has 15 years of experience in pharmaceutical research and development. He started his career in 1987 with Hoechst Pharmaceuticals. From 1995 to the end of 1999 he was Senior Director of Clinical Development Europe at Hoechst Marion Roussel. Dr. Frey received his medical degree in 1980 from the University of Heidelberg.</w:t>
      </w:r>
    </w:p>
    <w:p>
      <w:pPr>
        <w:spacing w:after="0" w:line="176"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Josephine Coyle has served as Vice President for Corporate Quality Assurance since April 2000. Ms. Coyle has held positions of increasing responsibility in ICON since August 1992 and previously held the position of director of Quality Assurance.</w:t>
      </w:r>
    </w:p>
    <w:p>
      <w:pPr>
        <w:spacing w:after="0" w:line="200" w:lineRule="exact"/>
        <w:rPr>
          <w:sz w:val="20"/>
          <w:szCs w:val="20"/>
          <w:color w:val="auto"/>
        </w:rPr>
      </w:pPr>
    </w:p>
    <w:p>
      <w:pPr>
        <w:spacing w:after="0" w:line="31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Board of Directors</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ICON's Articles of Association provide that, unless otherwise determined by ICON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Accordingly, at the annual general meeting of ICON to be held in 2004, it is anticipated that two directors will retire by rotation and offer themselves for re-election, such directors to be determined, unless otherwise agreed, by lot. Any additional director appointed by us shall hold office until the next annual general meeting and will be subject to re-election at that meeting.</w:t>
      </w:r>
    </w:p>
    <w:p>
      <w:pPr>
        <w:spacing w:after="0" w:line="34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966" w:right="1440" w:bottom="904" w:gutter="0" w:footer="0" w:header="0"/>
        </w:sectPr>
      </w:pPr>
    </w:p>
    <w:bookmarkStart w:id="33" w:name="page34"/>
    <w:bookmarkEnd w:id="33"/>
    <w:p>
      <w:pPr>
        <w:ind w:left="10"/>
        <w:spacing w:after="0"/>
        <w:rPr>
          <w:sz w:val="20"/>
          <w:szCs w:val="20"/>
          <w:color w:val="auto"/>
        </w:rPr>
      </w:pPr>
      <w:r>
        <w:rPr>
          <w:rFonts w:ascii="Courier New" w:cs="Courier New" w:eastAsia="Courier New" w:hAnsi="Courier New"/>
          <w:sz w:val="15"/>
          <w:szCs w:val="15"/>
          <w:color w:val="auto"/>
        </w:rPr>
        <w:t>Board committees</w:t>
      </w:r>
    </w:p>
    <w:p>
      <w:pPr>
        <w:spacing w:after="0" w:line="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We established a compensation committee and an audit committee in 1998, both of which are committees of the Board of Directors and are composed mainly of non-executive directors of ICON plc.</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Compensation committee</w:t>
      </w:r>
    </w:p>
    <w:p>
      <w:pPr>
        <w:spacing w:after="0" w:line="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compensation committee comprises Dr. John Climax, Thomas Lynch (Chairman) and Edward Roberts. It deals with all aspects of senior executive remuneration. The committee aims to ensure that remuneration packages are competitive so that individuals are appropriately rewarded relative to their responsibility, experience and value to ICON.</w:t>
      </w:r>
    </w:p>
    <w:p>
      <w:pPr>
        <w:spacing w:after="0" w:line="178"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Annual bonuses for executive directors are determined by the committee based on the achievement of ICON's objectives.</w:t>
      </w:r>
    </w:p>
    <w:p>
      <w:pPr>
        <w:spacing w:after="0" w:line="200" w:lineRule="exact"/>
        <w:rPr>
          <w:sz w:val="20"/>
          <w:szCs w:val="20"/>
          <w:color w:val="auto"/>
        </w:rPr>
      </w:pPr>
    </w:p>
    <w:p>
      <w:pPr>
        <w:spacing w:after="0" w:line="30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Audit committee</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audit committee comprises Edward Roberts (Chairman), Thomas Lynch and Lee Jones. It reviews the annual report, the quarterly earnings releases, the effectiveness of the system of internal controls, reviews the compliance with our ethical code and legal requirements and approves the appointment and removal of the external auditors. It also addresses all issues raised and recommendations made by the external auditors.</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aggregate compensation paid by ICON to all persons who served in the capacity of director or officer in fiscal 2003 (7 persons) was approximately $2.4 million, but does not include expenses reimbursed to officers (including business travel, professional and business association dues and expenses). As of May 31, 2003, options granted to directors and executive officers of ICON to purchase an aggregate of 127,000 of our ordinary shares were outstanding. The options are exercisable at prices of $5.45 and $29.00 and expire between April 26, 2004 and January 21, 2011.</w:t>
      </w:r>
    </w:p>
    <w:p>
      <w:pPr>
        <w:spacing w:after="0" w:line="178"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In addition, our officers are eligible to participate in ICON's Incentive Share Option Scheme. See Note 9 to the Consolidated Financial Statements.</w:t>
      </w:r>
    </w:p>
    <w:p>
      <w:pPr>
        <w:spacing w:after="0" w:line="200" w:lineRule="exact"/>
        <w:rPr>
          <w:sz w:val="20"/>
          <w:szCs w:val="20"/>
          <w:color w:val="auto"/>
        </w:rPr>
      </w:pPr>
    </w:p>
    <w:p>
      <w:pPr>
        <w:spacing w:after="0" w:line="30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Employees</w:t>
      </w:r>
    </w:p>
    <w:p>
      <w:pPr>
        <w:spacing w:after="0" w:line="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We employed 2,280, 1,637 and 1,262 people for the years ending May 31, 2003, 2002 and 2001, respectively. Our employees are not unionized and we believe that our relations with our employees are good.</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Share Ownership</w:t>
      </w:r>
    </w:p>
    <w:p>
      <w:pPr>
        <w:spacing w:after="0" w:line="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following table sets forth certain information regarding beneficial ownership of ICON's ordinary shares (including ADSs) as of July 25, 2003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170" w:lineRule="exact"/>
        <w:rPr>
          <w:sz w:val="20"/>
          <w:szCs w:val="20"/>
          <w:color w:val="auto"/>
        </w:rPr>
      </w:pPr>
    </w:p>
    <w:p>
      <w:pPr>
        <w:ind w:left="10"/>
        <w:spacing w:after="0"/>
        <w:tabs>
          <w:tab w:leader="none" w:pos="3249" w:val="left"/>
          <w:tab w:leader="none" w:pos="5629" w:val="left"/>
        </w:tabs>
        <w:rPr>
          <w:sz w:val="20"/>
          <w:szCs w:val="20"/>
          <w:color w:val="auto"/>
        </w:rPr>
      </w:pPr>
      <w:r>
        <w:rPr>
          <w:rFonts w:ascii="Courier New" w:cs="Courier New" w:eastAsia="Courier New" w:hAnsi="Courier New"/>
          <w:sz w:val="15"/>
          <w:szCs w:val="15"/>
          <w:color w:val="auto"/>
        </w:rPr>
        <w:t>Name of Owner or Identity of Group</w:t>
      </w:r>
      <w:r>
        <w:rPr>
          <w:sz w:val="20"/>
          <w:szCs w:val="20"/>
          <w:color w:val="auto"/>
        </w:rPr>
        <w:tab/>
      </w:r>
      <w:r>
        <w:rPr>
          <w:rFonts w:ascii="Courier New" w:cs="Courier New" w:eastAsia="Courier New" w:hAnsi="Courier New"/>
          <w:sz w:val="15"/>
          <w:szCs w:val="15"/>
          <w:color w:val="auto"/>
        </w:rPr>
        <w:t>No. of Shares (1)</w:t>
      </w:r>
      <w:r>
        <w:rPr>
          <w:sz w:val="20"/>
          <w:szCs w:val="20"/>
          <w:color w:val="auto"/>
        </w:rPr>
        <w:tab/>
      </w:r>
      <w:r>
        <w:rPr>
          <w:rFonts w:ascii="Courier New" w:cs="Courier New" w:eastAsia="Courier New" w:hAnsi="Courier New"/>
          <w:sz w:val="14"/>
          <w:szCs w:val="14"/>
          <w:color w:val="auto"/>
        </w:rPr>
        <w:t>Options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Dr. Ronan Lambe</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2,408,120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Dr. John Climax (2)</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2,638,120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Mr. Peter Gray</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14,220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64,000</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Mr. Sean Leech</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Mr. Thomas Lynch (3)</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11,000</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Mr. Edward Roberts</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Mr. Lee Jones</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r>
    </w:tbl>
    <w:p>
      <w:pPr>
        <w:spacing w:after="0" w:line="5" w:lineRule="exact"/>
        <w:rPr>
          <w:sz w:val="20"/>
          <w:szCs w:val="20"/>
          <w:color w:val="auto"/>
        </w:rPr>
      </w:pPr>
    </w:p>
    <w:p>
      <w:pPr>
        <w:ind w:left="170" w:hanging="170"/>
        <w:spacing w:after="0"/>
        <w:tabs>
          <w:tab w:leader="none" w:pos="17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890" w:right="3179" w:hanging="449"/>
        <w:spacing w:after="0" w:line="238" w:lineRule="auto"/>
        <w:tabs>
          <w:tab w:leader="none" w:pos="89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176" w:lineRule="exact"/>
        <w:rPr>
          <w:rFonts w:ascii="Courier New" w:cs="Courier New" w:eastAsia="Courier New" w:hAnsi="Courier New"/>
          <w:sz w:val="15"/>
          <w:szCs w:val="15"/>
          <w:color w:val="auto"/>
        </w:rPr>
      </w:pPr>
    </w:p>
    <w:p>
      <w:pPr>
        <w:ind w:left="890" w:right="3439" w:hanging="449"/>
        <w:spacing w:after="0" w:line="235" w:lineRule="auto"/>
        <w:tabs>
          <w:tab w:leader="none" w:pos="89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1,115,000 ADSs held by Wineberry Limited, a Jersey company controlled by Dr. Climax.</w:t>
      </w:r>
    </w:p>
    <w:p>
      <w:pPr>
        <w:spacing w:after="0" w:line="170"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10,000 ordinary shares not beneficially held by Mr. Lynch.</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Employee Share Option Schemes</w:t>
      </w:r>
    </w:p>
    <w:p>
      <w:pPr>
        <w:spacing w:after="0" w:line="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On January 17, 2003, we adopted the Share Option Plan 2003, or the 2003 Plan, pursuant to which the Compensation Committee of the Board may grant options to employees of the Company or its subsidiaries for the purchase of ordinary shares. Each option</w:t>
      </w:r>
    </w:p>
    <w:p>
      <w:pPr>
        <w:spacing w:after="0" w:line="200" w:lineRule="exact"/>
        <w:rPr>
          <w:sz w:val="20"/>
          <w:szCs w:val="20"/>
          <w:color w:val="auto"/>
        </w:rPr>
      </w:pPr>
    </w:p>
    <w:p>
      <w:pPr>
        <w:spacing w:after="0" w:line="31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791" w:right="1440" w:bottom="0" w:gutter="0" w:footer="0" w:header="0"/>
        </w:sectPr>
      </w:pPr>
    </w:p>
    <w:bookmarkStart w:id="34" w:name="page35"/>
    <w:bookmarkEnd w:id="34"/>
    <w:p>
      <w:pPr>
        <w:jc w:val="both"/>
        <w:ind w:right="3359"/>
        <w:spacing w:after="0" w:line="238" w:lineRule="auto"/>
        <w:rPr>
          <w:sz w:val="20"/>
          <w:szCs w:val="20"/>
          <w:color w:val="auto"/>
        </w:rPr>
      </w:pPr>
      <w:r>
        <w:rPr>
          <w:rFonts w:ascii="Courier New" w:cs="Courier New" w:eastAsia="Courier New" w:hAnsi="Courier New"/>
          <w:sz w:val="15"/>
          <w:szCs w:val="15"/>
          <w:color w:val="auto"/>
        </w:rPr>
        <w:t>will be either an incentive stock option, or ISO, described in Section 422 of the Code or an employee stock option, or NSO, not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17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options can be granted after January 17, 2013.</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remuneration</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For the year ended May 31, 2003, the total remuneration paid to our directors and executive officers including salary, bonus, pension and benefits-in-kind (2002: $1,463,274), was as follows:</w:t>
      </w:r>
    </w:p>
    <w:p>
      <w:pPr>
        <w:spacing w:after="0" w:line="169" w:lineRule="exact"/>
        <w:rPr>
          <w:sz w:val="20"/>
          <w:szCs w:val="20"/>
          <w:color w:val="auto"/>
        </w:rPr>
      </w:pPr>
    </w:p>
    <w:p>
      <w:pPr>
        <w:ind w:left="5280"/>
        <w:spacing w:after="0"/>
        <w:rPr>
          <w:sz w:val="20"/>
          <w:szCs w:val="20"/>
          <w:color w:val="auto"/>
        </w:rPr>
      </w:pPr>
      <w:r>
        <w:rPr>
          <w:rFonts w:ascii="Courier New" w:cs="Courier New" w:eastAsia="Courier New" w:hAnsi="Courier New"/>
          <w:sz w:val="15"/>
          <w:szCs w:val="15"/>
          <w:color w:val="auto"/>
        </w:rPr>
        <w:t>U.S.$</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Dr. John Climax (1)</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924,449</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Dr. Ronan Lambe (1)</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531,637</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Mr. Peter Gray (1)</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619,534</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Mr. Sean Leech (1)</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286,674</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Mr. Lee Jones</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Mr. Edward Roberts</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Mr. Thomas Lynch</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bl>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80" w:type="dxa"/>
            <w:vAlign w:val="bottom"/>
          </w:tcPr>
          <w:p>
            <w:pPr>
              <w:jc w:val="right"/>
              <w:spacing w:after="0"/>
              <w:rPr>
                <w:sz w:val="20"/>
                <w:szCs w:val="20"/>
                <w:color w:val="auto"/>
              </w:rPr>
            </w:pPr>
            <w:r>
              <w:rPr>
                <w:rFonts w:ascii="Courier New" w:cs="Courier New" w:eastAsia="Courier New" w:hAnsi="Courier New"/>
                <w:sz w:val="15"/>
                <w:szCs w:val="15"/>
                <w:color w:val="auto"/>
              </w:rPr>
              <w:t>$2,437,294</w:t>
            </w:r>
          </w:p>
        </w:tc>
      </w:tr>
    </w:tbl>
    <w:p>
      <w:pPr>
        <w:spacing w:after="0" w:line="175" w:lineRule="exact"/>
        <w:rPr>
          <w:sz w:val="20"/>
          <w:szCs w:val="20"/>
          <w:color w:val="auto"/>
        </w:rPr>
      </w:pPr>
    </w:p>
    <w:p>
      <w:pPr>
        <w:ind w:left="880" w:right="3439" w:hanging="449"/>
        <w:spacing w:after="0" w:line="235"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include bonuses for the period ended May 31, 2002 and May 31, 2003.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Major Shareholders and Related Party Transactions.</w:t>
      </w:r>
    </w:p>
    <w:p>
      <w:pPr>
        <w:spacing w:after="0" w:line="344" w:lineRule="exact"/>
        <w:rPr>
          <w:sz w:val="20"/>
          <w:szCs w:val="20"/>
          <w:color w:val="auto"/>
        </w:rPr>
      </w:pPr>
    </w:p>
    <w:p>
      <w:pPr>
        <w:ind w:left="880" w:right="3799" w:hanging="449"/>
        <w:spacing w:after="0" w:line="235"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ICON plc, is not directly or indirectly, owned or controlled by another corporation or by any government.</w:t>
      </w:r>
    </w:p>
    <w:p>
      <w:pPr>
        <w:spacing w:after="0" w:line="175" w:lineRule="exact"/>
        <w:rPr>
          <w:rFonts w:ascii="Courier New" w:cs="Courier New" w:eastAsia="Courier New" w:hAnsi="Courier New"/>
          <w:sz w:val="15"/>
          <w:szCs w:val="15"/>
          <w:color w:val="auto"/>
        </w:rPr>
      </w:pPr>
    </w:p>
    <w:p>
      <w:pPr>
        <w:ind w:left="880" w:right="3179" w:hanging="449"/>
        <w:spacing w:after="0" w:line="238"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certain information regarding beneficial ownership of ICON's ordinary shares (including ADS's) as of July 25, 2003 (i) by each person that beneficially owns more than 5% of the outstanding ordinary shares, based upon publicly available information; and (ii) by all of our current directors and executive officers as a group. Unless otherwise indicated below, to our knowledge, all persons listed below have sole voting and investment power with respect to their ordinary shares, except to the extent authority is shared by spouses under applicable law.</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4640" w:val="left"/>
          <w:tab w:leader="none" w:pos="7120" w:val="left"/>
        </w:tabs>
        <w:rPr>
          <w:sz w:val="20"/>
          <w:szCs w:val="20"/>
          <w:color w:val="auto"/>
        </w:rPr>
      </w:pPr>
      <w:r>
        <w:rPr>
          <w:rFonts w:ascii="Courier New" w:cs="Courier New" w:eastAsia="Courier New" w:hAnsi="Courier New"/>
          <w:sz w:val="15"/>
          <w:szCs w:val="15"/>
          <w:color w:val="auto"/>
        </w:rPr>
        <w:t>Name of Owner or Identity of Group</w:t>
      </w:r>
      <w:r>
        <w:rPr>
          <w:sz w:val="20"/>
          <w:szCs w:val="20"/>
          <w:color w:val="auto"/>
        </w:rPr>
        <w:tab/>
      </w:r>
      <w:r>
        <w:rPr>
          <w:rFonts w:ascii="Courier New" w:cs="Courier New" w:eastAsia="Courier New" w:hAnsi="Courier New"/>
          <w:sz w:val="15"/>
          <w:szCs w:val="15"/>
          <w:color w:val="auto"/>
        </w:rPr>
        <w:t>No. of Shares (1)</w:t>
      </w:r>
      <w:r>
        <w:rPr>
          <w:sz w:val="20"/>
          <w:szCs w:val="20"/>
          <w:color w:val="auto"/>
        </w:rPr>
        <w:tab/>
      </w:r>
      <w:r>
        <w:rPr>
          <w:rFonts w:ascii="Courier New" w:cs="Courier New" w:eastAsia="Courier New" w:hAnsi="Courier New"/>
          <w:sz w:val="14"/>
          <w:szCs w:val="14"/>
          <w:color w:val="auto"/>
        </w:rPr>
        <w:t>Percent of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Dr. John Climax (2)</w:t>
            </w:r>
          </w:p>
        </w:tc>
        <w:tc>
          <w:tcPr>
            <w:tcW w:w="22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2,648,120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Dr. Ronan Lambe</w:t>
            </w:r>
          </w:p>
        </w:tc>
        <w:tc>
          <w:tcPr>
            <w:tcW w:w="22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2,412,620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Fidelity Group Companies, Inc. (3)</w:t>
            </w:r>
          </w:p>
        </w:tc>
        <w:tc>
          <w:tcPr>
            <w:tcW w:w="22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1,092,171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All officers and executive officers as a group (4)</w:t>
            </w:r>
          </w:p>
        </w:tc>
        <w:tc>
          <w:tcPr>
            <w:tcW w:w="22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5,241,462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27" w:right="1440" w:bottom="1440" w:gutter="0" w:footer="0" w:header="0"/>
        </w:sectPr>
      </w:pPr>
    </w:p>
    <w:bookmarkStart w:id="35" w:name="page36"/>
    <w:bookmarkEnd w:id="35"/>
    <w:p>
      <w:pPr>
        <w:ind w:left="880" w:right="3179" w:hanging="449"/>
        <w:spacing w:after="0" w:line="238"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176" w:lineRule="exact"/>
        <w:rPr>
          <w:rFonts w:ascii="Courier New" w:cs="Courier New" w:eastAsia="Courier New" w:hAnsi="Courier New"/>
          <w:sz w:val="15"/>
          <w:szCs w:val="15"/>
          <w:color w:val="auto"/>
        </w:rPr>
      </w:pPr>
    </w:p>
    <w:p>
      <w:pPr>
        <w:ind w:left="880" w:right="3439" w:hanging="449"/>
        <w:spacing w:after="0" w:line="235"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1,115,000 ADSs held by Wineberry Limited, a Jersey company controlled by Dr. Climax.</w:t>
      </w:r>
    </w:p>
    <w:p>
      <w:pPr>
        <w:spacing w:after="0" w:line="175" w:lineRule="exact"/>
        <w:rPr>
          <w:rFonts w:ascii="Courier New" w:cs="Courier New" w:eastAsia="Courier New" w:hAnsi="Courier New"/>
          <w:sz w:val="15"/>
          <w:szCs w:val="15"/>
          <w:color w:val="auto"/>
        </w:rPr>
      </w:pPr>
    </w:p>
    <w:p>
      <w:pPr>
        <w:ind w:left="880" w:right="3359" w:hanging="449"/>
        <w:spacing w:after="0" w:line="235"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officers, directors or affiliates hold any voting power in this entity.</w:t>
      </w:r>
    </w:p>
    <w:p>
      <w:pPr>
        <w:spacing w:after="0" w:line="175" w:lineRule="exact"/>
        <w:rPr>
          <w:rFonts w:ascii="Courier New" w:cs="Courier New" w:eastAsia="Courier New" w:hAnsi="Courier New"/>
          <w:sz w:val="15"/>
          <w:szCs w:val="15"/>
          <w:color w:val="auto"/>
        </w:rPr>
      </w:pPr>
    </w:p>
    <w:p>
      <w:pPr>
        <w:ind w:left="880" w:right="3359" w:hanging="449"/>
        <w:spacing w:after="0" w:line="235"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127,000 ordinary shares issuable upon the exercise of stock options granted by the Company.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Parties</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On February 6, 1998, ICON entered into an Option Agreement with Rosa Investment Limited ("Rosa"). Rosa's sole activity is to hold an investment in Clear Investments Limited ("Clear"), the sole activity of which is to hold Mr. Gray's option to exercise 54,000 ordinary shares. At any time between April 26, 2000 and April 26, 2004, Rosa may sell Clear to ICON in exchange for 54,000 ordinary shares, provided that Clear still holds Mr. Gray's option and cash equal to the exercise price of Mr. Gray's option. Such sale to ICON would be the economic equivalent of an exercise of stock options directly by Mr. Gray. Mr. Gray is a director of Rosa and Clear. Rosa is owned by a trust of which Mr. Gray is a beneficiary.</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Information.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rPr>
          <w:sz w:val="20"/>
          <w:szCs w:val="20"/>
          <w:color w:val="auto"/>
        </w:rPr>
      </w:pPr>
      <w:r>
        <w:rPr>
          <w:rFonts w:ascii="Courier New" w:cs="Courier New" w:eastAsia="Courier New" w:hAnsi="Courier New"/>
          <w:sz w:val="15"/>
          <w:szCs w:val="15"/>
          <w:color w:val="auto"/>
        </w:rPr>
        <w:t>See item 18.</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ICON is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We have not paid cash dividends on our ordinary shares and do not intend to pay cash dividends on our ordinary shares in the foreseeable future.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The Offer and the Listing.</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ICON's ADSs are traded on the Nasdaq National Market under the symbol "ICLR". Our Depository for the ADSs is The Bank of New York. ICON also has a secondary listing on the Official List of the Irish Stock Exchange. No securities of ICON are traded in any other market. The following table sets forth the trading price for the dates indicated for ICON plc ADSs as reported by Nasdaq.</w:t>
      </w:r>
    </w:p>
    <w:p>
      <w:pPr>
        <w:spacing w:after="0" w:line="178" w:lineRule="exact"/>
        <w:rPr>
          <w:sz w:val="20"/>
          <w:szCs w:val="20"/>
          <w:color w:val="auto"/>
        </w:rPr>
      </w:pPr>
    </w:p>
    <w:p>
      <w:pPr>
        <w:jc w:val="right"/>
        <w:ind w:right="3619"/>
        <w:spacing w:after="0" w:line="235" w:lineRule="auto"/>
        <w:rPr>
          <w:sz w:val="20"/>
          <w:szCs w:val="20"/>
          <w:color w:val="auto"/>
        </w:rPr>
      </w:pPr>
      <w:r>
        <w:rPr>
          <w:rFonts w:ascii="Courier New" w:cs="Courier New" w:eastAsia="Courier New" w:hAnsi="Courier New"/>
          <w:sz w:val="15"/>
          <w:szCs w:val="15"/>
          <w:color w:val="auto"/>
        </w:rPr>
        <w:t>Year Ending                     High Sales Price            Low Sales Price During Period              During Period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May 31, 1998</w:t>
            </w:r>
          </w:p>
        </w:tc>
        <w:tc>
          <w:tcPr>
            <w:tcW w:w="29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$25.68</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$23.56</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May 31, 1999</w:t>
            </w:r>
          </w:p>
        </w:tc>
        <w:tc>
          <w:tcPr>
            <w:tcW w:w="29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$36.75</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May 31, 2000</w:t>
            </w:r>
          </w:p>
        </w:tc>
        <w:tc>
          <w:tcPr>
            <w:tcW w:w="29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$29.00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$11.87</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May 31, 2001</w:t>
            </w:r>
          </w:p>
        </w:tc>
        <w:tc>
          <w:tcPr>
            <w:tcW w:w="29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$29.75</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May 31, 2002</w:t>
            </w:r>
          </w:p>
        </w:tc>
        <w:tc>
          <w:tcPr>
            <w:tcW w:w="29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$39.58</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$22.93</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May 31, 2003</w:t>
            </w:r>
          </w:p>
        </w:tc>
        <w:tc>
          <w:tcPr>
            <w:tcW w:w="29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$32.87</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$14.88</w:t>
            </w:r>
          </w:p>
        </w:tc>
      </w:tr>
      <w:tr>
        <w:trPr>
          <w:trHeight w:val="848"/>
        </w:trPr>
        <w:tc>
          <w:tcPr>
            <w:tcW w:w="2240" w:type="dxa"/>
            <w:vAlign w:val="bottom"/>
          </w:tcPr>
          <w:p>
            <w:pPr>
              <w:spacing w:after="0"/>
              <w:rPr>
                <w:sz w:val="24"/>
                <w:szCs w:val="24"/>
                <w:color w:val="auto"/>
              </w:rPr>
            </w:pPr>
          </w:p>
        </w:tc>
        <w:tc>
          <w:tcPr>
            <w:tcW w:w="290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31</w:t>
            </w:r>
          </w:p>
        </w:tc>
        <w:tc>
          <w:tcPr>
            <w:tcW w:w="1460" w:type="dxa"/>
            <w:vAlign w:val="bottom"/>
          </w:tcPr>
          <w:p>
            <w:pPr>
              <w:spacing w:after="0"/>
              <w:rPr>
                <w:sz w:val="24"/>
                <w:szCs w:val="24"/>
                <w:color w:val="auto"/>
              </w:rPr>
            </w:pPr>
          </w:p>
        </w:tc>
      </w:tr>
    </w:tbl>
    <w:p>
      <w:pPr>
        <w:sectPr>
          <w:pgSz w:w="11900" w:h="16838" w:orient="portrait"/>
          <w:cols w:equalWidth="0" w:num="1">
            <w:col w:w="10219"/>
          </w:cols>
          <w:pgMar w:left="240" w:top="966" w:right="1440" w:bottom="1440" w:gutter="0" w:footer="0" w:header="0"/>
        </w:sectPr>
      </w:pPr>
    </w:p>
    <w:bookmarkStart w:id="36" w:name="page37"/>
    <w:bookmarkEnd w:id="36"/>
    <w:p>
      <w:pPr>
        <w:jc w:val="right"/>
        <w:ind w:right="3439"/>
        <w:spacing w:after="0" w:line="235" w:lineRule="auto"/>
        <w:rPr>
          <w:sz w:val="20"/>
          <w:szCs w:val="20"/>
          <w:color w:val="auto"/>
        </w:rPr>
      </w:pPr>
      <w:r>
        <w:rPr>
          <w:rFonts w:ascii="Courier New" w:cs="Courier New" w:eastAsia="Courier New" w:hAnsi="Courier New"/>
          <w:sz w:val="15"/>
          <w:szCs w:val="15"/>
          <w:color w:val="auto"/>
        </w:rPr>
        <w:t>Quarter Ending                    High Sales Price            Low Sales Price During Period              During Period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August 31, 2000</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$18.75</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$15.38</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November 30, 2000</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$20.13</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February 28, 2001</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$29.75</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$15.38</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May 31, 2001</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$27.55</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$18.38</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August 31, 2001</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$39.58</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$26.74</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November 30, 2001</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$35.69</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$22.93</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February 28, 2002</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$32.79</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$25.13</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May 31, 2002</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$34.49</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$23.87</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August 31, 2002</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$30.50</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$14.88</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November 30, 2002</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$26.00</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$18.99</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February 28, 2003</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$32.87</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$22.35</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May 31, 2003</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$30.85</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$21.36</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Month Ending</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High Sales Price</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Low Sales Price</w:t>
            </w:r>
          </w:p>
        </w:tc>
      </w:tr>
      <w:tr>
        <w:trPr>
          <w:trHeight w:val="170"/>
        </w:trPr>
        <w:tc>
          <w:tcPr>
            <w:tcW w:w="2240" w:type="dxa"/>
            <w:vAlign w:val="bottom"/>
          </w:tcPr>
          <w:p>
            <w:pPr>
              <w:spacing w:after="0"/>
              <w:rPr>
                <w:sz w:val="14"/>
                <w:szCs w:val="14"/>
                <w:color w:val="auto"/>
              </w:rPr>
            </w:pP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During Period</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During Period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26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$27.41</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$22.35</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January 31, 2003</w:t>
            </w:r>
          </w:p>
        </w:tc>
        <w:tc>
          <w:tcPr>
            <w:tcW w:w="26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$32.87</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$26.78</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February 28, 2003</w:t>
            </w:r>
          </w:p>
        </w:tc>
        <w:tc>
          <w:tcPr>
            <w:tcW w:w="26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$27.82</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$22.86</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March 31, 2003</w:t>
            </w:r>
          </w:p>
        </w:tc>
        <w:tc>
          <w:tcPr>
            <w:tcW w:w="26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$26.50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$23.50</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April 30, 2003</w:t>
            </w:r>
          </w:p>
        </w:tc>
        <w:tc>
          <w:tcPr>
            <w:tcW w:w="26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$25.90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$21.36</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May 31, 2003</w:t>
            </w:r>
          </w:p>
        </w:tc>
        <w:tc>
          <w:tcPr>
            <w:tcW w:w="26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$30.85</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$24.10</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Additional Information.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Memorandum and Articles of Association</w:t>
      </w:r>
    </w:p>
    <w:p>
      <w:pPr>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Controls and Other Limitations Affecting Security Holders.</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such as ICON. Except as indicated below, dividends and redemption proceeds also continue to be freely transferable to non-resident holders of such securities.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Financial Transfers Act, 1992 gives power to the Minister for Finance of Ireland to make provision for the restriction of financial transfers between Ireland and other countries. Financial transfers are broadly defined, and include all transfers, which would be movements of capital or payments within the meaning of the treaties governing the European Communities. The acquisition or disposal of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only to, or by the order of, or on behalf of, listed terrorist organizations, also listed residents and entities of Zimbabwe and Burma without the prior permission of the Central Bank of Ireland.</w:t>
      </w:r>
    </w:p>
    <w:p>
      <w:pPr>
        <w:spacing w:after="0" w:line="18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Any transfer of, or payment in respect of an ADS involving the government of any country which is currently the subject of United Nations sanctions, any person or body controlled by any of the foregoing, or by any person acting on behalf of the foregoing, may be subject to restrictions pursuant to such sanctions as implemented into Irish law. There are no restrictions under ICON's Articles of Association, or under Irish Law, that limit the right of non-residents or foreign owners to hold or vote the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966"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Taxation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18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purposes of the discussion under Irish Taxation of U.S. Holders (A) is not a resident of, or ordinarily resident in, Ireland for the purposes of Irish tax; and (B) is not engaged in trade or business in Ireland through a permanent establishment.</w:t>
      </w:r>
    </w:p>
    <w:p>
      <w:pPr>
        <w:spacing w:after="0" w:line="181"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AS USED HEREIN, REFERENCES TO THE ORDINARY SHARES SHALL INCLUDE ADSs REPRESENTING SUCH ORDINARY SHARES AND ADRs EVIDENCING OWNERSHIP OF SUCH ADSs.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Irish Taxation</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ICON is a public limited company incorporated and resident for tax purposes in Ireland.</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For Irish tax purposes, the residence of a company is in the jurisdiction where the central management and control of the company is located. Subject to certain exceptions, all Irish incorporated companies are deemed to be Irish tax resident. 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180"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The standard rate of Irish corporation tax on trading income (with certain exceptions) is currently 12.5%.</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Patent exemption is available to Irish resident companies whose income derives from qualifying royalties or license fees paid in respect of qualifying patents. The main requirement to qualify for the exemption is that the research, planning, processing, experimentation, testing, devising, designing, developing or similar activity leading to the invention which is the subject of the patent is carried out in Ireland. Under Irish law, income from such qualifying patents is disregarded for taxation purposes. There is no termination date for this relief specified in the legislation.</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To the extent that the company is involved in the "manufacture" of goods in Ireland, income from this activity, in respect of its data processing operations carried out in Ireland, can qualify for a 10% rate of tax. This relief is available until December 31, 2010.</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Corporation tax is charged at the rate of 25% on a company's non-trading income and certain types of trading income not eligible for the lower rates discussed above.</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Irish capital duty, a tax on the issuance of share capital by companies, is payable at the rate of 1% of proceeds received by the company in consideration of such issuance.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2"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Taxation of Dividends</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a tax resident nor ordinarily resident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of the paying company, the dividend will be exempt if the Irish corporate shareholder makes the requisite declaration.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Non-Irish resident corporate shareholders that:</w:t>
      </w:r>
    </w:p>
    <w:p>
      <w:pPr>
        <w:spacing w:after="0" w:line="169" w:lineRule="exact"/>
        <w:rPr>
          <w:sz w:val="20"/>
          <w:szCs w:val="20"/>
          <w:color w:val="auto"/>
        </w:rPr>
      </w:pPr>
    </w:p>
    <w:p>
      <w:pPr>
        <w:ind w:left="880" w:hanging="449"/>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ultimately controlled by residents of a Relevant Territory;</w:t>
      </w:r>
    </w:p>
    <w:p>
      <w:pPr>
        <w:spacing w:after="0" w:line="174" w:lineRule="exact"/>
        <w:rPr>
          <w:rFonts w:ascii="Courier New" w:cs="Courier New" w:eastAsia="Courier New" w:hAnsi="Courier New"/>
          <w:sz w:val="15"/>
          <w:szCs w:val="15"/>
          <w:color w:val="auto"/>
        </w:rPr>
      </w:pPr>
    </w:p>
    <w:p>
      <w:pPr>
        <w:ind w:left="880" w:right="3359" w:hanging="449"/>
        <w:spacing w:after="0" w:line="235"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resident in a Relevant Territory and are not controlled by Irish residents;</w:t>
      </w:r>
    </w:p>
    <w:p>
      <w:pPr>
        <w:spacing w:after="0" w:line="175" w:lineRule="exact"/>
        <w:rPr>
          <w:rFonts w:ascii="Courier New" w:cs="Courier New" w:eastAsia="Courier New" w:hAnsi="Courier New"/>
          <w:sz w:val="15"/>
          <w:szCs w:val="15"/>
          <w:color w:val="auto"/>
        </w:rPr>
      </w:pPr>
    </w:p>
    <w:p>
      <w:pPr>
        <w:ind w:left="880" w:right="3359" w:hanging="449"/>
        <w:spacing w:after="0" w:line="260" w:lineRule="auto"/>
        <w:tabs>
          <w:tab w:leader="none" w:pos="8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the principal class of their shares, or shares of a 75% parent, substantially and regularly traded on one or more recognized stock exchanges in a Relevant Territory or Territories; or</w:t>
      </w:r>
    </w:p>
    <w:p>
      <w:pPr>
        <w:spacing w:after="0" w:line="162" w:lineRule="exact"/>
        <w:rPr>
          <w:rFonts w:ascii="Courier New" w:cs="Courier New" w:eastAsia="Courier New" w:hAnsi="Courier New"/>
          <w:sz w:val="14"/>
          <w:szCs w:val="14"/>
          <w:color w:val="auto"/>
        </w:rPr>
      </w:pPr>
    </w:p>
    <w:p>
      <w:pPr>
        <w:ind w:left="880" w:right="3359" w:hanging="449"/>
        <w:spacing w:after="0" w:line="260" w:lineRule="auto"/>
        <w:tabs>
          <w:tab w:leader="none" w:pos="8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wholly owned by two or more companies, each of whose principal class of shares is substantially and regularly traded on one or more recognized stock exchanges in a Relevant Territory or Territories;</w:t>
      </w:r>
    </w:p>
    <w:p>
      <w:pPr>
        <w:spacing w:after="0" w:line="162" w:lineRule="exact"/>
        <w:rPr>
          <w:rFonts w:ascii="Courier New" w:cs="Courier New" w:eastAsia="Courier New" w:hAnsi="Courier New"/>
          <w:sz w:val="14"/>
          <w:szCs w:val="14"/>
          <w:color w:val="auto"/>
        </w:rPr>
      </w:pPr>
    </w:p>
    <w:p>
      <w:pPr>
        <w:ind w:left="880" w:right="4059" w:hanging="449"/>
        <w:spacing w:after="0" w:line="235"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exempt from withholding tax on the production of the appropriate certificates and declarations.</w:t>
      </w:r>
    </w:p>
    <w:p>
      <w:pPr>
        <w:spacing w:after="0" w:line="176"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16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Special arrangements are available in the case of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176" w:lineRule="exact"/>
        <w:rPr>
          <w:sz w:val="20"/>
          <w:szCs w:val="20"/>
          <w:color w:val="auto"/>
        </w:rPr>
      </w:pPr>
    </w:p>
    <w:p>
      <w:pPr>
        <w:ind w:left="880" w:right="3179" w:hanging="449"/>
        <w:spacing w:after="0" w:line="237"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has been authorized by the Irish Revenue Commissioners as a qualifying intermediary and such authorization has not expired or revoked; and either</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bank's ADS register shows that the beneficial owner has a U.S. address on the register; or</w:t>
      </w:r>
    </w:p>
    <w:p>
      <w:pPr>
        <w:spacing w:after="0" w:line="175" w:lineRule="exact"/>
        <w:rPr>
          <w:rFonts w:ascii="Courier New" w:cs="Courier New" w:eastAsia="Courier New" w:hAnsi="Courier New"/>
          <w:sz w:val="15"/>
          <w:szCs w:val="15"/>
          <w:color w:val="auto"/>
        </w:rPr>
      </w:pPr>
    </w:p>
    <w:p>
      <w:pPr>
        <w:ind w:left="880" w:right="3179" w:hanging="449"/>
        <w:spacing w:after="0" w:line="237"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Income Tax</w:t>
            </w:r>
          </w:p>
        </w:tc>
        <w:tc>
          <w:tcPr>
            <w:tcW w:w="2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Under certain circumstances,</w:t>
            </w:r>
          </w:p>
        </w:tc>
        <w:tc>
          <w:tcPr>
            <w:tcW w:w="32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non-Irish resident shareholders will</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be subject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Irish income tax on dividend</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income. This liability is</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limited to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tax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9"/>
              </w:rPr>
              <w:t>at the</w:t>
            </w:r>
          </w:p>
        </w:tc>
        <w:tc>
          <w:tcPr>
            <w:tcW w:w="220" w:type="dxa"/>
            <w:vAlign w:val="bottom"/>
          </w:tcPr>
          <w:p>
            <w:pPr>
              <w:spacing w:after="0"/>
              <w:rPr>
                <w:sz w:val="14"/>
                <w:szCs w:val="14"/>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standard rate and therefore,</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where withholding tax has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been deducted,</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this will</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satisfy the tax liability.</w:t>
            </w:r>
          </w:p>
        </w:tc>
        <w:tc>
          <w:tcPr>
            <w:tcW w:w="2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spacing w:after="0" w:line="175"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However, a U.S. Holder will not have an Irish income tax liability on dividends from the company if the U.S. Holder is neither resident nor ordinarily resident in the Republic of Ireland and the U.S. Holder is:</w:t>
      </w:r>
    </w:p>
    <w:p>
      <w:pPr>
        <w:spacing w:after="0" w:line="169" w:lineRule="exact"/>
        <w:rPr>
          <w:sz w:val="20"/>
          <w:szCs w:val="20"/>
          <w:color w:val="auto"/>
        </w:rPr>
      </w:pPr>
    </w:p>
    <w:p>
      <w:pPr>
        <w:ind w:left="880" w:hanging="449"/>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resident in the U.S. (or several other countries);</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that is ultimately controlled by persons resident in the U.S. (or several other countries);</w:t>
      </w:r>
    </w:p>
    <w:p>
      <w:pPr>
        <w:spacing w:after="0" w:line="175" w:lineRule="exact"/>
        <w:rPr>
          <w:rFonts w:ascii="Courier New" w:cs="Courier New" w:eastAsia="Courier New" w:hAnsi="Courier New"/>
          <w:sz w:val="15"/>
          <w:szCs w:val="15"/>
          <w:color w:val="auto"/>
        </w:rPr>
      </w:pPr>
    </w:p>
    <w:p>
      <w:pPr>
        <w:ind w:left="880" w:right="3359" w:hanging="449"/>
        <w:spacing w:after="0" w:line="259"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162" w:lineRule="exact"/>
        <w:rPr>
          <w:rFonts w:ascii="Courier New" w:cs="Courier New" w:eastAsia="Courier New" w:hAnsi="Courier New"/>
          <w:sz w:val="14"/>
          <w:szCs w:val="14"/>
          <w:color w:val="auto"/>
        </w:rPr>
      </w:pPr>
    </w:p>
    <w:p>
      <w:pPr>
        <w:ind w:left="880" w:right="3179" w:hanging="449"/>
        <w:spacing w:after="0" w:line="237"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resident in another EU member state or in a country with which Ireland has concluded a double taxation treaty, which is not controlled directly or indirectly by Irish residents; or</w:t>
      </w:r>
    </w:p>
    <w:p>
      <w:pPr>
        <w:spacing w:after="0" w:line="174" w:lineRule="exact"/>
        <w:rPr>
          <w:rFonts w:ascii="Courier New" w:cs="Courier New" w:eastAsia="Courier New" w:hAnsi="Courier New"/>
          <w:sz w:val="15"/>
          <w:szCs w:val="15"/>
          <w:color w:val="auto"/>
        </w:rPr>
      </w:pPr>
    </w:p>
    <w:p>
      <w:pPr>
        <w:ind w:left="880" w:right="3179" w:hanging="449"/>
        <w:spacing w:after="0" w:line="237"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34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ectPr>
          <w:pgSz w:w="11900" w:h="16838" w:orient="portrait"/>
          <w:cols w:equalWidth="0" w:num="1">
            <w:col w:w="10219"/>
          </w:cols>
          <w:pgMar w:left="240" w:top="791" w:right="1440" w:bottom="60" w:gutter="0" w:footer="0" w:header="0"/>
        </w:sectPr>
      </w:pPr>
    </w:p>
    <w:bookmarkStart w:id="39" w:name="page40"/>
    <w:bookmarkEnd w:id="39"/>
    <w:p>
      <w:pPr>
        <w:ind w:left="22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019"/>
          </w:cols>
          <w:pgMar w:left="1440" w:top="644"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Taxation of Capital Gains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 Finance Act, 2003, has introduced provisions to subject a person who disposes of an interest in a company while temporarily non-resident in the Republic of Ireland, to Irish capital gains tax. This treatment will apply to individuals who:</w:t>
      </w:r>
    </w:p>
    <w:p>
      <w:pPr>
        <w:spacing w:after="0" w:line="174" w:lineRule="exact"/>
        <w:rPr>
          <w:sz w:val="20"/>
          <w:szCs w:val="20"/>
          <w:color w:val="auto"/>
        </w:rPr>
      </w:pPr>
    </w:p>
    <w:p>
      <w:pPr>
        <w:ind w:left="880" w:hanging="449"/>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to be Irish resident;</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 the shares when they cease to be resident;</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resume their Irish residence within five years;</w:t>
      </w:r>
    </w:p>
    <w:p>
      <w:pPr>
        <w:spacing w:after="0" w:line="174" w:lineRule="exact"/>
        <w:rPr>
          <w:rFonts w:ascii="Courier New" w:cs="Courier New" w:eastAsia="Courier New" w:hAnsi="Courier New"/>
          <w:sz w:val="15"/>
          <w:szCs w:val="15"/>
          <w:color w:val="auto"/>
        </w:rPr>
      </w:pPr>
    </w:p>
    <w:p>
      <w:pPr>
        <w:ind w:left="880" w:right="4319" w:hanging="449"/>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dispose of an interest in a company during this temporary non-residence; and</w:t>
      </w:r>
    </w:p>
    <w:p>
      <w:pPr>
        <w:spacing w:after="0" w:line="17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disposed of represents 5% or greater of the share capital of the company or is worth at least E500,000.</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Irish Capital Acquisitions Tax</w:t>
      </w:r>
    </w:p>
    <w:p>
      <w:pPr>
        <w:spacing w:after="0" w:line="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Irish capital acquisitions tax (referred to as CAT) applies to gifts and inheritances.</w:t>
      </w:r>
    </w:p>
    <w:p>
      <w:pPr>
        <w:spacing w:after="0" w:line="17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Where a gift or inheritance is taken under a disposition made after December 1, 1999, it will be within the charge to CAT:</w:t>
      </w:r>
    </w:p>
    <w:p>
      <w:pPr>
        <w:spacing w:after="0" w:line="176" w:lineRule="exact"/>
        <w:rPr>
          <w:sz w:val="20"/>
          <w:szCs w:val="20"/>
          <w:color w:val="auto"/>
        </w:rPr>
      </w:pPr>
    </w:p>
    <w:p>
      <w:pPr>
        <w:ind w:left="880" w:right="3539" w:hanging="449"/>
        <w:spacing w:after="0" w:line="237"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property of which the gift or inheritance consists is situated in the Republic of Ireland at the date of the gift or inheritance;</w:t>
      </w:r>
    </w:p>
    <w:p>
      <w:pPr>
        <w:spacing w:after="0" w:line="174" w:lineRule="exact"/>
        <w:rPr>
          <w:rFonts w:ascii="Courier New" w:cs="Courier New" w:eastAsia="Courier New" w:hAnsi="Courier New"/>
          <w:sz w:val="15"/>
          <w:szCs w:val="15"/>
          <w:color w:val="auto"/>
        </w:rPr>
      </w:pPr>
    </w:p>
    <w:p>
      <w:pPr>
        <w:ind w:left="880" w:right="3259" w:hanging="449"/>
        <w:spacing w:after="0" w:line="237"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person making the gift or inheritance is or was resident or ordinarily resident in the Republic of Ireland at the date of the disposition under which the gift or inheritance is taken;</w:t>
      </w:r>
    </w:p>
    <w:p>
      <w:pPr>
        <w:spacing w:after="0" w:line="174" w:lineRule="exact"/>
        <w:rPr>
          <w:rFonts w:ascii="Courier New" w:cs="Courier New" w:eastAsia="Courier New" w:hAnsi="Courier New"/>
          <w:sz w:val="15"/>
          <w:szCs w:val="15"/>
          <w:color w:val="auto"/>
        </w:rPr>
      </w:pPr>
    </w:p>
    <w:p>
      <w:pPr>
        <w:ind w:left="880" w:right="3179" w:hanging="449"/>
        <w:spacing w:after="0" w:line="237"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his death; or</w:t>
      </w:r>
    </w:p>
    <w:p>
      <w:pPr>
        <w:spacing w:after="0" w:line="178" w:lineRule="exact"/>
        <w:rPr>
          <w:rFonts w:ascii="Courier New" w:cs="Courier New" w:eastAsia="Courier New" w:hAnsi="Courier New"/>
          <w:sz w:val="15"/>
          <w:szCs w:val="15"/>
          <w:color w:val="auto"/>
        </w:rPr>
      </w:pPr>
    </w:p>
    <w:p>
      <w:pPr>
        <w:ind w:left="880" w:right="3179" w:hanging="449"/>
        <w:spacing w:after="0" w:line="237"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person receiving the gift or inheritance is resident or ordinarily resident in the Republic of Ireland at the date of the gift or inheritance.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a gift or an inheritance is taken under a disposition made prior to</w:t>
      </w:r>
    </w:p>
    <w:p>
      <w:pPr>
        <w:spacing w:after="0"/>
        <w:rPr>
          <w:sz w:val="20"/>
          <w:szCs w:val="20"/>
          <w:color w:val="auto"/>
        </w:rPr>
      </w:pPr>
      <w:r>
        <w:rPr>
          <w:rFonts w:ascii="Courier New" w:cs="Courier New" w:eastAsia="Courier New" w:hAnsi="Courier New"/>
          <w:sz w:val="15"/>
          <w:szCs w:val="15"/>
          <w:color w:val="auto"/>
        </w:rPr>
        <w:t>December 1, 1999, CAT is chargeable in the following circumstances:</w:t>
      </w:r>
    </w:p>
    <w:p>
      <w:pPr>
        <w:spacing w:after="0" w:line="174" w:lineRule="exact"/>
        <w:rPr>
          <w:sz w:val="20"/>
          <w:szCs w:val="20"/>
          <w:color w:val="auto"/>
        </w:rPr>
      </w:pPr>
    </w:p>
    <w:p>
      <w:pPr>
        <w:ind w:left="880" w:right="3539" w:hanging="449"/>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property of which the gift or inheritance consists is situated in the Republic of Ireland at the date of the gift or inheritance;</w:t>
      </w:r>
    </w:p>
    <w:p>
      <w:pPr>
        <w:spacing w:after="0" w:line="174" w:lineRule="exact"/>
        <w:rPr>
          <w:rFonts w:ascii="Courier New" w:cs="Courier New" w:eastAsia="Courier New" w:hAnsi="Courier New"/>
          <w:sz w:val="15"/>
          <w:szCs w:val="15"/>
          <w:color w:val="auto"/>
        </w:rPr>
      </w:pPr>
    </w:p>
    <w:p>
      <w:pPr>
        <w:ind w:left="880" w:right="3179" w:hanging="449"/>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person making the gift or inheritance is or was domiciled in Ireland at the date of the disposition under which the gift or inheritance is taken;</w:t>
      </w:r>
    </w:p>
    <w:p>
      <w:pPr>
        <w:spacing w:after="0" w:line="174" w:lineRule="exact"/>
        <w:rPr>
          <w:rFonts w:ascii="Courier New" w:cs="Courier New" w:eastAsia="Courier New" w:hAnsi="Courier New"/>
          <w:sz w:val="15"/>
          <w:szCs w:val="15"/>
          <w:color w:val="auto"/>
        </w:rPr>
      </w:pPr>
    </w:p>
    <w:p>
      <w:pPr>
        <w:ind w:left="880" w:right="3359" w:hanging="449"/>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gift taken under a discretionary trust, where the disponer, who is usually the settlor, in relation to that trust was domiciled in Ireland at the date he made the settlement, or at the date of the gift or, where the gift is taken after his death, at the date of his death.</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The person who receives the gift or inheritance is primarily liable for CAT. A person is secondarily liable if he is the donor, his personal representative or an agent, trustee or other person in whose care the property constituting the gift or inheritance or the income therefrom is placed. Taxable gifts or inheritances received by an individual since December 5, 1991 from donors in the</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22" w:right="1440" w:bottom="1440" w:gutter="0" w:footer="0" w:header="0"/>
        </w:sectPr>
      </w:pPr>
    </w:p>
    <w:bookmarkStart w:id="41" w:name="page42"/>
    <w:bookmarkEnd w:id="41"/>
    <w:p>
      <w:pPr>
        <w:ind w:right="3179"/>
        <w:spacing w:after="0" w:line="259" w:lineRule="auto"/>
        <w:rPr>
          <w:sz w:val="20"/>
          <w:szCs w:val="20"/>
          <w:color w:val="auto"/>
        </w:rPr>
      </w:pPr>
      <w:r>
        <w:rPr>
          <w:rFonts w:ascii="Courier New" w:cs="Courier New" w:eastAsia="Courier New" w:hAnsi="Courier New"/>
          <w:sz w:val="14"/>
          <w:szCs w:val="14"/>
          <w:color w:val="auto"/>
        </w:rPr>
        <w:t>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tax-free threshold amounts currently in force are:</w:t>
      </w:r>
    </w:p>
    <w:p>
      <w:pPr>
        <w:spacing w:after="0" w:line="169" w:lineRule="exact"/>
        <w:rPr>
          <w:sz w:val="20"/>
          <w:szCs w:val="20"/>
          <w:color w:val="auto"/>
        </w:rPr>
      </w:pPr>
    </w:p>
    <w:p>
      <w:pPr>
        <w:ind w:left="880" w:hanging="449"/>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E22,060 in the case of persons who are not related to one another;</w:t>
      </w:r>
    </w:p>
    <w:p>
      <w:pPr>
        <w:spacing w:after="0" w:line="174" w:lineRule="exact"/>
        <w:rPr>
          <w:rFonts w:ascii="Courier New" w:cs="Courier New" w:eastAsia="Courier New" w:hAnsi="Courier New"/>
          <w:sz w:val="15"/>
          <w:szCs w:val="15"/>
          <w:color w:val="auto"/>
        </w:rPr>
      </w:pPr>
    </w:p>
    <w:p>
      <w:pPr>
        <w:jc w:val="both"/>
        <w:ind w:left="880" w:right="3259" w:hanging="449"/>
        <w:spacing w:after="0" w:line="237"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E44,120 in the case of gifts or inheritances received from inter alia a brother or sister or from a brother or sister of a parent or from a grandparent; and</w:t>
      </w:r>
    </w:p>
    <w:p>
      <w:pPr>
        <w:spacing w:after="0" w:line="174" w:lineRule="exact"/>
        <w:rPr>
          <w:rFonts w:ascii="Courier New" w:cs="Courier New" w:eastAsia="Courier New" w:hAnsi="Courier New"/>
          <w:sz w:val="15"/>
          <w:szCs w:val="15"/>
          <w:color w:val="auto"/>
        </w:rPr>
      </w:pPr>
    </w:p>
    <w:p>
      <w:pPr>
        <w:ind w:left="880" w:right="3259" w:hanging="449"/>
        <w:spacing w:after="0" w:line="237"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E444,198 in the case of gifts and inheritances received from a parent (or from a grandparent by a minor child of a deceased child) and specified inheritances received by a parent from a child.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Gifts and inheritances passing between spouses are exempt from CAT.</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176"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Irish Probate Tax</w:t>
      </w:r>
    </w:p>
    <w:p>
      <w:pPr>
        <w:spacing w:after="0" w:line="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Irish probate tax was abolished under the Finance Act, 2001. No probate tax will arise on any assets passing in respect of a death occurring on or after December 6, 2000.</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Irish Stamp Duty - Ordinary Shares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8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E12.70 (the nominal rate) will apply.</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Irish Stamp Duty - ADSs Representing Ordinary Shares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the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E12.70 applies.</w:t>
      </w:r>
    </w:p>
    <w:p>
      <w:pPr>
        <w:spacing w:after="0" w:line="200" w:lineRule="exact"/>
        <w:rPr>
          <w:sz w:val="20"/>
          <w:szCs w:val="20"/>
          <w:color w:val="auto"/>
        </w:rPr>
      </w:pPr>
    </w:p>
    <w:p>
      <w:pPr>
        <w:spacing w:after="0" w:line="32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Transfers of ADSs are exempt from Irish stamp duty as long as the ADSs are dealt in on the Nasdaq National Market or any recognized stock exchange in the United States or Canada.</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27" w:right="1440" w:bottom="565" w:gutter="0" w:footer="0" w:header="0"/>
        </w:sectPr>
      </w:pPr>
    </w:p>
    <w:bookmarkStart w:id="42" w:name="page43"/>
    <w:bookmarkEnd w:id="42"/>
    <w:p>
      <w:pPr>
        <w:jc w:val="both"/>
        <w:ind w:right="3359"/>
        <w:spacing w:after="0" w:line="237" w:lineRule="auto"/>
        <w:rPr>
          <w:sz w:val="20"/>
          <w:szCs w:val="20"/>
          <w:color w:val="auto"/>
        </w:rPr>
      </w:pPr>
      <w:r>
        <w:rPr>
          <w:rFonts w:ascii="Courier New" w:cs="Courier New" w:eastAsia="Courier New" w:hAnsi="Courier New"/>
          <w:sz w:val="15"/>
          <w:szCs w:val="15"/>
          <w:color w:val="auto"/>
        </w:rPr>
        <w:t>The person accountable for payment of stamp duty is the transferee or, in the case of a transfer by way of gift, or for a consideration less than the market value, all parties to the transfer. A late or inadequate payment of stamp duty will result in a liability to pay interest, penalties and fines.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Documents on Display</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are subject to the informational requirements of the Securities Exchange Act of 1934, as amended, and file reports and other information with the SEC. You may read and copy any of our reports and other information at, and obtain copies upon payment of prescribed fees from, the Public Reference Room maintained by the SEC at 450 Fifth Street, N.W., Room 1024, Washington, D.C. 20549 and at the SEC's regional office at Northwestern Atrium Center, 500 West Madison Street, Suite 1400, Chicago, IL 60661. In addition, the SEC maintains a Web site that contains reports, proxy and information statements and other information regarding registrants that file electronically with the SEC at http://www.sec.gov. The public may obtain information on the operation of the Public Reference Room by calling the SEC at 1-800-SEC-0330.</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is 333-8704.</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As a foreign private issuer, we are exempt from the rules under the Securities Exchange Act of 1934, as amended, prescribing the furnishing and content of proxy statements to shareholders.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Brian O'Dwyer, telephone number: (353) 1 291 2000.</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Quantitative and Qualitative Disclosures about Market Risk.</w:t>
      </w:r>
    </w:p>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Qualitative Disclosure of Market Risk. The principal market risks (i.e. risk of loss arising from adverse changes in market rates and prices) to which we are exposed are:</w:t>
      </w:r>
    </w:p>
    <w:p>
      <w:pPr>
        <w:spacing w:after="0" w:line="175" w:lineRule="exact"/>
        <w:rPr>
          <w:sz w:val="20"/>
          <w:szCs w:val="20"/>
          <w:color w:val="auto"/>
        </w:rPr>
      </w:pPr>
    </w:p>
    <w:p>
      <w:pPr>
        <w:jc w:val="both"/>
        <w:ind w:left="880" w:right="3359" w:hanging="449"/>
        <w:spacing w:after="0" w:line="237"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changes on short term investments (available for sale) in the form of floating rate notes and medium term minimum "A" rated corporate securities, and</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risk on non-U.S. dollar denominated cash and non-U.S. dollar denominated debt.</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We use derivative financial instruments solely to hedge exposure to these market risks and we do not enter into these instruments for trading or speculative purposes.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primary foreign currency exchange risk relates to movements in rates between the U.S. dollar, Sterling and the Euro. At May 31, 2003, we had cash and short term debt denominated in non-U.S. dollar denominated currencies. In order to reduce the foreign currency exchange risk during the year, we entered into certain derivative instruments to reduce our exposure to adverse changes in exchange rates. These financial instruments comprised of a series of foreign exchange forward contracts all of which were settled during the 2003 fiscal year. At May 31, 2003, we held no foreign exchange forward contracts maturing within the next 12 months.</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Quantitative disclosure of Market Risk. The analysis below presents the sensitivity of the market value, or fair value of our financial instruments to selected changes in market rates and prices. The changes chosen represent our view of changes that are reasonable over a one year period. The estimated fair value of the foreign exchange forward contracts is based on quotations from independent third party financial institutions.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27" w:right="1440" w:bottom="1440" w:gutter="0" w:footer="0" w:header="0"/>
        </w:sectPr>
      </w:pPr>
    </w:p>
    <w:bookmarkStart w:id="43" w:name="page44"/>
    <w:bookmarkEnd w:id="43"/>
    <w:p>
      <w:pPr>
        <w:ind w:right="3179"/>
        <w:spacing w:after="0" w:line="238" w:lineRule="auto"/>
        <w:rPr>
          <w:sz w:val="20"/>
          <w:szCs w:val="20"/>
          <w:color w:val="auto"/>
        </w:rPr>
      </w:pPr>
      <w:r>
        <w:rPr>
          <w:rFonts w:ascii="Courier New" w:cs="Courier New" w:eastAsia="Courier New" w:hAnsi="Courier New"/>
          <w:sz w:val="15"/>
          <w:szCs w:val="15"/>
          <w:color w:val="auto"/>
        </w:rPr>
        <w:t>The hypothetical changes in fair value are estimated based on the same methodology used by the third party financial institutions to calculate the fair value of the original instruments, keeping all variables constant except the relevant exchange rate, as the case may be, which has been adjusted to reflect the hypothetical change. Fair value estimates by their nature are subjective and involve uncertainties and matters of significant judgment and therefore cannot be determined precisely.</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Exchange Risk</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sensitivity analysis below represents the hypothetical change in fair value based on an immediate 10% movement in the exchange rates.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Fair value Change +10%</w:t>
            </w:r>
          </w:p>
        </w:tc>
        <w:tc>
          <w:tcPr>
            <w:tcW w:w="2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Fair value Change -10%</w:t>
            </w:r>
          </w:p>
        </w:tc>
      </w:tr>
      <w:tr>
        <w:trPr>
          <w:trHeight w:val="170"/>
        </w:trPr>
        <w:tc>
          <w:tcPr>
            <w:tcW w:w="386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Fair value at</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movement in foreign</w:t>
            </w:r>
          </w:p>
        </w:tc>
        <w:tc>
          <w:tcPr>
            <w:tcW w:w="2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movement in foreign</w:t>
            </w:r>
          </w:p>
        </w:tc>
      </w:tr>
      <w:tr>
        <w:trPr>
          <w:trHeight w:val="170"/>
        </w:trPr>
        <w:tc>
          <w:tcPr>
            <w:tcW w:w="3860" w:type="dxa"/>
            <w:vAlign w:val="bottom"/>
          </w:tcPr>
          <w:p>
            <w:pPr>
              <w:spacing w:after="0"/>
              <w:rPr>
                <w:sz w:val="14"/>
                <w:szCs w:val="14"/>
                <w:color w:val="auto"/>
              </w:rPr>
            </w:pP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May 31, 2003</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exchange rate</w:t>
            </w:r>
          </w:p>
        </w:tc>
        <w:tc>
          <w:tcPr>
            <w:tcW w:w="2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exchange rate</w:t>
            </w:r>
          </w:p>
        </w:tc>
      </w:tr>
      <w:tr>
        <w:trPr>
          <w:trHeight w:val="170"/>
        </w:trPr>
        <w:tc>
          <w:tcPr>
            <w:tcW w:w="3860" w:type="dxa"/>
            <w:vAlign w:val="bottom"/>
          </w:tcPr>
          <w:p>
            <w:pPr>
              <w:spacing w:after="0"/>
              <w:rPr>
                <w:sz w:val="14"/>
                <w:szCs w:val="14"/>
                <w:color w:val="auto"/>
              </w:rPr>
            </w:pP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 thousands)</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 thousands)</w:t>
            </w:r>
          </w:p>
        </w:tc>
        <w:tc>
          <w:tcPr>
            <w:tcW w:w="2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thousands)</w:t>
            </w:r>
          </w:p>
        </w:tc>
      </w:tr>
      <w:tr>
        <w:trPr>
          <w:trHeight w:val="509"/>
        </w:trPr>
        <w:tc>
          <w:tcPr>
            <w:tcW w:w="3860" w:type="dxa"/>
            <w:vAlign w:val="bottom"/>
          </w:tcPr>
          <w:p>
            <w:pPr>
              <w:spacing w:after="0"/>
              <w:rPr>
                <w:sz w:val="20"/>
                <w:szCs w:val="20"/>
                <w:color w:val="auto"/>
              </w:rPr>
            </w:pPr>
            <w:r>
              <w:rPr>
                <w:rFonts w:ascii="Courier New" w:cs="Courier New" w:eastAsia="Courier New" w:hAnsi="Courier New"/>
                <w:sz w:val="15"/>
                <w:szCs w:val="15"/>
                <w:color w:val="auto"/>
              </w:rPr>
              <w:t>Non-U.S. Dollar denominated cash</w:t>
            </w: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$4,590</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$459</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$(459)</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Non-U.S. Dollar denominated short term debt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w:t>
            </w:r>
          </w:p>
        </w:tc>
        <w:tc>
          <w:tcPr>
            <w:tcW w:w="2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2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Description of Securities Other than Equity Securities.</w:t>
      </w:r>
    </w:p>
    <w:p>
      <w:pPr>
        <w:spacing w:after="0"/>
        <w:rPr>
          <w:sz w:val="20"/>
          <w:szCs w:val="20"/>
          <w:color w:val="auto"/>
        </w:rPr>
      </w:pPr>
      <w:r>
        <w:rPr>
          <w:rFonts w:ascii="Courier New" w:cs="Courier New" w:eastAsia="Courier New" w:hAnsi="Courier New"/>
          <w:sz w:val="15"/>
          <w:szCs w:val="15"/>
          <w:color w:val="auto"/>
        </w:rPr>
        <w:t>Not applicable.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Defaults, Dividend Arrearages and Delinquencies.</w:t>
      </w:r>
    </w:p>
    <w:p>
      <w:pPr>
        <w:spacing w:after="0"/>
        <w:rPr>
          <w:sz w:val="20"/>
          <w:szCs w:val="20"/>
          <w:color w:val="auto"/>
        </w:rPr>
      </w:pPr>
      <w:r>
        <w:rPr>
          <w:rFonts w:ascii="Courier New" w:cs="Courier New" w:eastAsia="Courier New" w:hAnsi="Courier New"/>
          <w:sz w:val="15"/>
          <w:szCs w:val="15"/>
          <w:color w:val="auto"/>
        </w:rPr>
        <w:t>None.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Material Modifications to the Rights of Security Holders and Use of</w:t>
      </w:r>
    </w:p>
    <w:p>
      <w:pPr>
        <w:ind w:left="780"/>
        <w:spacing w:after="0"/>
        <w:rPr>
          <w:sz w:val="20"/>
          <w:szCs w:val="20"/>
          <w:color w:val="auto"/>
        </w:rPr>
      </w:pPr>
      <w:r>
        <w:rPr>
          <w:rFonts w:ascii="Courier New" w:cs="Courier New" w:eastAsia="Courier New" w:hAnsi="Courier New"/>
          <w:sz w:val="15"/>
          <w:szCs w:val="15"/>
          <w:color w:val="auto"/>
        </w:rPr>
        <w:t>Proceeds.</w:t>
      </w:r>
    </w:p>
    <w:p>
      <w:pPr>
        <w:spacing w:after="0"/>
        <w:rPr>
          <w:sz w:val="20"/>
          <w:szCs w:val="20"/>
          <w:color w:val="auto"/>
        </w:rPr>
      </w:pPr>
      <w:r>
        <w:rPr>
          <w:rFonts w:ascii="Courier New" w:cs="Courier New" w:eastAsia="Courier New" w:hAnsi="Courier New"/>
          <w:sz w:val="15"/>
          <w:szCs w:val="15"/>
          <w:color w:val="auto"/>
        </w:rPr>
        <w:t>None.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Controls and Procedures</w:t>
      </w:r>
    </w:p>
    <w:p>
      <w:pPr>
        <w:spacing w:after="0"/>
        <w:rPr>
          <w:sz w:val="20"/>
          <w:szCs w:val="20"/>
          <w:color w:val="auto"/>
        </w:rPr>
      </w:pPr>
      <w:r>
        <w:rPr>
          <w:rFonts w:ascii="Courier New" w:cs="Courier New" w:eastAsia="Courier New" w:hAnsi="Courier New"/>
          <w:sz w:val="15"/>
          <w:szCs w:val="15"/>
          <w:color w:val="auto"/>
        </w:rPr>
        <w:t>(a) Evaluation of disclosure controls and procedures.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Within the 90-day period prior to the filing of this report, an evaluation was carried out under the supervision and with the participation of the Company's management, including the Chief Executive Officer (CEO) and the Chief Financial Officer (CFO), of the effectiveness of our disclosure controls and procedures.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Changes in internal controls.</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CEO and CFO have concluded there were no significant changes in the Company's internal controls or in the other factors that could significantly affect those controls subsequent to the date of their evaluation, including any corrective actions with regard to significant deficiencies and material weaknesses.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Reserved.</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966"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Part III</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Financial Statements.</w:t>
      </w:r>
    </w:p>
    <w:p>
      <w:pPr>
        <w:spacing w:after="0"/>
        <w:rPr>
          <w:sz w:val="20"/>
          <w:szCs w:val="20"/>
          <w:color w:val="auto"/>
        </w:rPr>
      </w:pPr>
      <w:r>
        <w:rPr>
          <w:rFonts w:ascii="Courier New" w:cs="Courier New" w:eastAsia="Courier New" w:hAnsi="Courier New"/>
          <w:sz w:val="15"/>
          <w:szCs w:val="15"/>
          <w:color w:val="auto"/>
        </w:rPr>
        <w:t>Not applicable.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18. Financial Statements.</w:t>
      </w:r>
    </w:p>
    <w:p>
      <w:pPr>
        <w:spacing w:after="0"/>
        <w:rPr>
          <w:sz w:val="20"/>
          <w:szCs w:val="20"/>
          <w:color w:val="auto"/>
        </w:rPr>
      </w:pPr>
      <w:r>
        <w:rPr>
          <w:rFonts w:ascii="Courier New" w:cs="Courier New" w:eastAsia="Courier New" w:hAnsi="Courier New"/>
          <w:sz w:val="15"/>
          <w:szCs w:val="15"/>
          <w:color w:val="auto"/>
        </w:rPr>
        <w:t>Reference is made to pages 41 to 69 of this Form 20-F.</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19. Financial Statements and Exhibits.</w:t>
      </w:r>
    </w:p>
    <w:p>
      <w:pPr>
        <w:spacing w:after="0"/>
        <w:rPr>
          <w:sz w:val="20"/>
          <w:szCs w:val="20"/>
          <w:color w:val="auto"/>
        </w:rPr>
      </w:pPr>
      <w:r>
        <w:rPr>
          <w:rFonts w:ascii="Courier New" w:cs="Courier New" w:eastAsia="Courier New" w:hAnsi="Courier New"/>
          <w:sz w:val="15"/>
          <w:szCs w:val="15"/>
          <w:color w:val="auto"/>
        </w:rPr>
        <w:t>Financial statements of ICON plc and subsidiaries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 of Independent Chartered Accountants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Balance Sheets at May 31, 2002, and May 31, 2003</w:t>
      </w:r>
    </w:p>
    <w:p>
      <w:pPr>
        <w:spacing w:after="0" w:line="175" w:lineRule="exact"/>
        <w:rPr>
          <w:sz w:val="20"/>
          <w:szCs w:val="20"/>
          <w:color w:val="auto"/>
        </w:rPr>
      </w:pPr>
    </w:p>
    <w:p>
      <w:pPr>
        <w:ind w:left="440" w:right="3539"/>
        <w:spacing w:after="0" w:line="235" w:lineRule="auto"/>
        <w:rPr>
          <w:sz w:val="20"/>
          <w:szCs w:val="20"/>
          <w:color w:val="auto"/>
        </w:rPr>
      </w:pPr>
      <w:r>
        <w:rPr>
          <w:rFonts w:ascii="Courier New" w:cs="Courier New" w:eastAsia="Courier New" w:hAnsi="Courier New"/>
          <w:sz w:val="15"/>
          <w:szCs w:val="15"/>
          <w:color w:val="auto"/>
        </w:rPr>
        <w:t>Consolidated Statements of Operations for the years ended May 31, 2001, 2002 and 2003</w:t>
      </w:r>
    </w:p>
    <w:p>
      <w:pPr>
        <w:spacing w:after="0" w:line="176" w:lineRule="exact"/>
        <w:rPr>
          <w:sz w:val="20"/>
          <w:szCs w:val="20"/>
          <w:color w:val="auto"/>
        </w:rPr>
      </w:pPr>
    </w:p>
    <w:p>
      <w:pPr>
        <w:ind w:left="440" w:right="3439"/>
        <w:spacing w:after="0" w:line="235" w:lineRule="auto"/>
        <w:rPr>
          <w:sz w:val="20"/>
          <w:szCs w:val="20"/>
          <w:color w:val="auto"/>
        </w:rPr>
      </w:pPr>
      <w:r>
        <w:rPr>
          <w:rFonts w:ascii="Courier New" w:cs="Courier New" w:eastAsia="Courier New" w:hAnsi="Courier New"/>
          <w:sz w:val="15"/>
          <w:szCs w:val="15"/>
          <w:color w:val="auto"/>
        </w:rPr>
        <w:t>Consolidated Statements of Shareholders' Equity and Comprehensive Income for the years ended May 31, 2001, 2002 and 2003</w:t>
      </w:r>
    </w:p>
    <w:p>
      <w:pPr>
        <w:spacing w:after="0" w:line="176" w:lineRule="exact"/>
        <w:rPr>
          <w:sz w:val="20"/>
          <w:szCs w:val="20"/>
          <w:color w:val="auto"/>
        </w:rPr>
      </w:pPr>
    </w:p>
    <w:p>
      <w:pPr>
        <w:ind w:left="440" w:right="3539"/>
        <w:spacing w:after="0" w:line="235" w:lineRule="auto"/>
        <w:rPr>
          <w:sz w:val="20"/>
          <w:szCs w:val="20"/>
          <w:color w:val="auto"/>
        </w:rPr>
      </w:pPr>
      <w:r>
        <w:rPr>
          <w:rFonts w:ascii="Courier New" w:cs="Courier New" w:eastAsia="Courier New" w:hAnsi="Courier New"/>
          <w:sz w:val="15"/>
          <w:szCs w:val="15"/>
          <w:color w:val="auto"/>
        </w:rPr>
        <w:t>Consolidated Statements of Cash Flows for the years ended May 31, 2001, 2002 and 2003</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the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 of ICON plc and subsidiaries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Significant subsidiaries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906 certifications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961"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REPORT OF INDEPENDENT CHARTERED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Directors and Shareholders of ICON plc</w:t>
      </w:r>
    </w:p>
    <w:p>
      <w:pPr>
        <w:spacing w:after="0" w:line="175" w:lineRule="exact"/>
        <w:rPr>
          <w:sz w:val="20"/>
          <w:szCs w:val="20"/>
          <w:color w:val="auto"/>
        </w:rPr>
      </w:pPr>
    </w:p>
    <w:p>
      <w:pPr>
        <w:ind w:left="340" w:right="3179"/>
        <w:spacing w:after="0" w:line="256" w:lineRule="auto"/>
        <w:rPr>
          <w:sz w:val="20"/>
          <w:szCs w:val="20"/>
          <w:color w:val="auto"/>
        </w:rPr>
      </w:pPr>
      <w:r>
        <w:rPr>
          <w:rFonts w:ascii="Courier New" w:cs="Courier New" w:eastAsia="Courier New" w:hAnsi="Courier New"/>
          <w:sz w:val="14"/>
          <w:szCs w:val="14"/>
          <w:color w:val="auto"/>
        </w:rPr>
        <w:t>We have audited the accompanying consolidated balance sheets of ICON plc and subsidiaries as of May 31, 2002 and 2003 and the related consolidated statements of operations, shareholders' equity and comprehensive income and cash flows for each of the years in the three-year period ended May 31,</w:t>
      </w:r>
    </w:p>
    <w:p>
      <w:pPr>
        <w:spacing w:after="0" w:line="1" w:lineRule="exact"/>
        <w:rPr>
          <w:sz w:val="20"/>
          <w:szCs w:val="20"/>
          <w:color w:val="auto"/>
        </w:rPr>
      </w:pPr>
    </w:p>
    <w:p>
      <w:pPr>
        <w:ind w:left="340" w:right="3259"/>
        <w:spacing w:after="0" w:line="237" w:lineRule="auto"/>
        <w:rPr>
          <w:sz w:val="20"/>
          <w:szCs w:val="20"/>
          <w:color w:val="auto"/>
        </w:rPr>
      </w:pPr>
      <w:r>
        <w:rPr>
          <w:rFonts w:ascii="Courier New" w:cs="Courier New" w:eastAsia="Courier New" w:hAnsi="Courier New"/>
          <w:sz w:val="15"/>
          <w:szCs w:val="15"/>
          <w:color w:val="auto"/>
        </w:rPr>
        <w:t>2003. These consolidated financial statements are the responsibility of the Company's management. Our responsibility is to express an opinion on these consolidated financial statements based on our audits.</w:t>
      </w:r>
    </w:p>
    <w:p>
      <w:pPr>
        <w:spacing w:after="0" w:line="175" w:lineRule="exact"/>
        <w:rPr>
          <w:sz w:val="20"/>
          <w:szCs w:val="20"/>
          <w:color w:val="auto"/>
        </w:rPr>
      </w:pPr>
    </w:p>
    <w:p>
      <w:pPr>
        <w:ind w:left="340" w:right="3179"/>
        <w:spacing w:after="0" w:line="257"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Ireland and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left="340" w:right="3359"/>
        <w:spacing w:after="0" w:line="258"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ICON plc and subsidiaries as of May 31, 2002 and 2003, and the consolidated results of their operations and their cash flows for each of the years in the three-year period ended May 31, 2003 in conformity with accounting principles generally accepted in the United States.</w:t>
      </w:r>
    </w:p>
    <w:p>
      <w:pPr>
        <w:spacing w:after="0" w:line="15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KPMG</w:t>
      </w:r>
    </w:p>
    <w:p>
      <w:pPr>
        <w:ind w:left="340"/>
        <w:spacing w:after="0"/>
        <w:rPr>
          <w:sz w:val="20"/>
          <w:szCs w:val="20"/>
          <w:color w:val="auto"/>
        </w:rPr>
      </w:pPr>
      <w:r>
        <w:rPr>
          <w:rFonts w:ascii="Courier New" w:cs="Courier New" w:eastAsia="Courier New" w:hAnsi="Courier New"/>
          <w:sz w:val="15"/>
          <w:szCs w:val="15"/>
          <w:color w:val="auto"/>
        </w:rPr>
        <w:t>Chartered Accountants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Dublin, Ireland</w:t>
      </w:r>
    </w:p>
    <w:p>
      <w:pPr>
        <w:ind w:left="340"/>
        <w:spacing w:after="0"/>
        <w:rPr>
          <w:sz w:val="20"/>
          <w:szCs w:val="20"/>
          <w:color w:val="auto"/>
        </w:rPr>
      </w:pPr>
      <w:r>
        <w:rPr>
          <w:rFonts w:ascii="Courier New" w:cs="Courier New" w:eastAsia="Courier New" w:hAnsi="Courier New"/>
          <w:sz w:val="15"/>
          <w:szCs w:val="15"/>
          <w:color w:val="auto"/>
        </w:rPr>
        <w:t>July 25,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961" w:right="1440" w:bottom="1440" w:gutter="0" w:footer="0" w:header="0"/>
        </w:sectPr>
      </w:pPr>
    </w:p>
    <w:bookmarkStart w:id="46" w:name="page47"/>
    <w:bookmarkEnd w:id="46"/>
    <w:p>
      <w:pPr>
        <w:spacing w:after="0" w:line="30"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5"/>
          <w:szCs w:val="15"/>
          <w:color w:val="auto"/>
        </w:rPr>
        <w:t>ICON plc</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6380" w:type="dxa"/>
            <w:vAlign w:val="bottom"/>
          </w:tcPr>
          <w:p>
            <w:pPr>
              <w:spacing w:after="0"/>
              <w:rPr>
                <w:sz w:val="14"/>
                <w:szCs w:val="14"/>
                <w:color w:val="auto"/>
              </w:rPr>
            </w:pP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6380" w:type="dxa"/>
            <w:vAlign w:val="bottom"/>
          </w:tcPr>
          <w:p>
            <w:pPr>
              <w:spacing w:after="0"/>
              <w:rPr>
                <w:sz w:val="14"/>
                <w:szCs w:val="14"/>
                <w:color w:val="auto"/>
              </w:rPr>
            </w:pPr>
          </w:p>
        </w:tc>
        <w:tc>
          <w:tcPr>
            <w:tcW w:w="3580" w:type="dxa"/>
            <w:vAlign w:val="bottom"/>
            <w:gridSpan w:val="2"/>
          </w:tcPr>
          <w:p>
            <w:pPr>
              <w:jc w:val="right"/>
              <w:ind w:right="38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9"/>
        </w:trPr>
        <w:tc>
          <w:tcPr>
            <w:tcW w:w="638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$36,291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$18,311</w:t>
            </w:r>
          </w:p>
        </w:tc>
      </w:tr>
      <w:tr>
        <w:trPr>
          <w:trHeight w:val="170"/>
        </w:trPr>
        <w:tc>
          <w:tcPr>
            <w:tcW w:w="6380" w:type="dxa"/>
            <w:vAlign w:val="bottom"/>
          </w:tcPr>
          <w:p>
            <w:pPr>
              <w:ind w:left="340"/>
              <w:spacing w:after="0"/>
              <w:rPr>
                <w:sz w:val="20"/>
                <w:szCs w:val="20"/>
                <w:color w:val="auto"/>
              </w:rPr>
            </w:pPr>
            <w:r>
              <w:rPr>
                <w:rFonts w:ascii="Courier New" w:cs="Courier New" w:eastAsia="Courier New" w:hAnsi="Courier New"/>
                <w:sz w:val="15"/>
                <w:szCs w:val="15"/>
                <w:color w:val="auto"/>
              </w:rPr>
              <w:t>Short term investments - available for sale (Note 3)</w:t>
            </w: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18,551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38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w:t>
            </w: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41,306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74,645</w:t>
            </w:r>
          </w:p>
        </w:tc>
      </w:tr>
      <w:tr>
        <w:trPr>
          <w:trHeight w:val="170"/>
        </w:trPr>
        <w:tc>
          <w:tcPr>
            <w:tcW w:w="6380" w:type="dxa"/>
            <w:vAlign w:val="bottom"/>
          </w:tcPr>
          <w:p>
            <w:pPr>
              <w:ind w:left="340"/>
              <w:spacing w:after="0"/>
              <w:rPr>
                <w:sz w:val="20"/>
                <w:szCs w:val="20"/>
                <w:color w:val="auto"/>
              </w:rPr>
            </w:pPr>
            <w:r>
              <w:rPr>
                <w:rFonts w:ascii="Courier New" w:cs="Courier New" w:eastAsia="Courier New" w:hAnsi="Courier New"/>
                <w:sz w:val="15"/>
                <w:szCs w:val="15"/>
                <w:color w:val="auto"/>
              </w:rPr>
              <w:t>Unbilled revenue</w:t>
            </w: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26,387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44,783</w:t>
            </w:r>
          </w:p>
        </w:tc>
      </w:tr>
      <w:tr>
        <w:trPr>
          <w:trHeight w:val="170"/>
        </w:trPr>
        <w:tc>
          <w:tcPr>
            <w:tcW w:w="6380" w:type="dxa"/>
            <w:vAlign w:val="bottom"/>
          </w:tcPr>
          <w:p>
            <w:pPr>
              <w:ind w:left="340"/>
              <w:spacing w:after="0"/>
              <w:rPr>
                <w:sz w:val="20"/>
                <w:szCs w:val="20"/>
                <w:color w:val="auto"/>
              </w:rPr>
            </w:pPr>
            <w:r>
              <w:rPr>
                <w:rFonts w:ascii="Courier New" w:cs="Courier New" w:eastAsia="Courier New" w:hAnsi="Courier New"/>
                <w:sz w:val="15"/>
                <w:szCs w:val="15"/>
                <w:color w:val="auto"/>
              </w:rPr>
              <w:t>Other receivables</w:t>
            </w: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2,093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4,385</w:t>
            </w:r>
          </w:p>
        </w:tc>
      </w:tr>
      <w:tr>
        <w:trPr>
          <w:trHeight w:val="170"/>
        </w:trPr>
        <w:tc>
          <w:tcPr>
            <w:tcW w:w="6380" w:type="dxa"/>
            <w:vAlign w:val="bottom"/>
          </w:tcPr>
          <w:p>
            <w:pPr>
              <w:ind w:left="340"/>
              <w:spacing w:after="0"/>
              <w:rPr>
                <w:sz w:val="20"/>
                <w:szCs w:val="20"/>
                <w:color w:val="auto"/>
              </w:rPr>
            </w:pPr>
            <w:r>
              <w:rPr>
                <w:rFonts w:ascii="Courier New" w:cs="Courier New" w:eastAsia="Courier New" w:hAnsi="Courier New"/>
                <w:sz w:val="15"/>
                <w:szCs w:val="15"/>
                <w:color w:val="auto"/>
              </w:rPr>
              <w:t>Deferred taxes (Note 12)</w:t>
            </w: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0"/>
        </w:trPr>
        <w:tc>
          <w:tcPr>
            <w:tcW w:w="6380" w:type="dxa"/>
            <w:vAlign w:val="bottom"/>
          </w:tcPr>
          <w:p>
            <w:pPr>
              <w:ind w:left="340"/>
              <w:spacing w:after="0"/>
              <w:rPr>
                <w:sz w:val="20"/>
                <w:szCs w:val="20"/>
                <w:color w:val="auto"/>
              </w:rPr>
            </w:pPr>
            <w:r>
              <w:rPr>
                <w:rFonts w:ascii="Courier New" w:cs="Courier New" w:eastAsia="Courier New" w:hAnsi="Courier New"/>
                <w:sz w:val="15"/>
                <w:szCs w:val="15"/>
                <w:color w:val="auto"/>
              </w:rPr>
              <w:t>Prepayments and other current assets</w:t>
            </w: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5,183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8,326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2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130,219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150,482</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980" w:type="dxa"/>
            <w:vAlign w:val="bottom"/>
          </w:tcPr>
          <w:p>
            <w:pPr>
              <w:ind w:left="340"/>
              <w:spacing w:after="0"/>
              <w:rPr>
                <w:sz w:val="20"/>
                <w:szCs w:val="20"/>
                <w:color w:val="auto"/>
              </w:rPr>
            </w:pPr>
            <w:r>
              <w:rPr>
                <w:rFonts w:ascii="Courier New" w:cs="Courier New" w:eastAsia="Courier New" w:hAnsi="Courier New"/>
                <w:sz w:val="15"/>
                <w:szCs w:val="15"/>
                <w:color w:val="auto"/>
              </w:rPr>
              <w:t>Property, plant and equipment, net (Note 5)</w:t>
            </w:r>
          </w:p>
        </w:tc>
        <w:tc>
          <w:tcPr>
            <w:tcW w:w="2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25,482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39,503</w:t>
            </w:r>
          </w:p>
        </w:tc>
      </w:tr>
      <w:tr>
        <w:trPr>
          <w:trHeight w:val="170"/>
        </w:trPr>
        <w:tc>
          <w:tcPr>
            <w:tcW w:w="5980" w:type="dxa"/>
            <w:vAlign w:val="bottom"/>
          </w:tcPr>
          <w:p>
            <w:pPr>
              <w:ind w:left="340"/>
              <w:spacing w:after="0"/>
              <w:rPr>
                <w:sz w:val="20"/>
                <w:szCs w:val="20"/>
                <w:color w:val="auto"/>
              </w:rPr>
            </w:pPr>
            <w:r>
              <w:rPr>
                <w:rFonts w:ascii="Courier New" w:cs="Courier New" w:eastAsia="Courier New" w:hAnsi="Courier New"/>
                <w:sz w:val="15"/>
                <w:szCs w:val="15"/>
                <w:color w:val="auto"/>
              </w:rPr>
              <w:t>Goodwill (Note 4)</w:t>
            </w:r>
          </w:p>
        </w:tc>
        <w:tc>
          <w:tcPr>
            <w:tcW w:w="2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10,093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45,029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2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$165,794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02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$5,788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$11,092</w:t>
            </w:r>
          </w:p>
        </w:tc>
      </w:tr>
      <w:tr>
        <w:trPr>
          <w:trHeight w:val="170"/>
        </w:trPr>
        <w:tc>
          <w:tcPr>
            <w:tcW w:w="6020" w:type="dxa"/>
            <w:vAlign w:val="bottom"/>
          </w:tcPr>
          <w:p>
            <w:pPr>
              <w:ind w:left="340"/>
              <w:spacing w:after="0"/>
              <w:rPr>
                <w:sz w:val="20"/>
                <w:szCs w:val="20"/>
                <w:color w:val="auto"/>
              </w:rPr>
            </w:pPr>
            <w:r>
              <w:rPr>
                <w:rFonts w:ascii="Courier New" w:cs="Courier New" w:eastAsia="Courier New" w:hAnsi="Courier New"/>
                <w:sz w:val="15"/>
                <w:szCs w:val="15"/>
                <w:color w:val="auto"/>
              </w:rPr>
              <w:t>Payments on account</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19,854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45,763</w:t>
            </w:r>
          </w:p>
        </w:tc>
      </w:tr>
      <w:tr>
        <w:trPr>
          <w:trHeight w:val="170"/>
        </w:trPr>
        <w:tc>
          <w:tcPr>
            <w:tcW w:w="6020" w:type="dxa"/>
            <w:vAlign w:val="bottom"/>
          </w:tcPr>
          <w:p>
            <w:pPr>
              <w:ind w:left="340"/>
              <w:spacing w:after="0"/>
              <w:rPr>
                <w:sz w:val="20"/>
                <w:szCs w:val="20"/>
                <w:color w:val="auto"/>
              </w:rPr>
            </w:pPr>
            <w:r>
              <w:rPr>
                <w:rFonts w:ascii="Courier New" w:cs="Courier New" w:eastAsia="Courier New" w:hAnsi="Courier New"/>
                <w:sz w:val="15"/>
                <w:szCs w:val="15"/>
                <w:color w:val="auto"/>
              </w:rPr>
              <w:t>Other liabilities (Note 6)</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16,308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28,289</w:t>
            </w:r>
          </w:p>
        </w:tc>
      </w:tr>
      <w:tr>
        <w:trPr>
          <w:trHeight w:val="170"/>
        </w:trPr>
        <w:tc>
          <w:tcPr>
            <w:tcW w:w="6020" w:type="dxa"/>
            <w:vAlign w:val="bottom"/>
          </w:tcPr>
          <w:p>
            <w:pPr>
              <w:ind w:left="340"/>
              <w:spacing w:after="0"/>
              <w:rPr>
                <w:sz w:val="20"/>
                <w:szCs w:val="20"/>
                <w:color w:val="auto"/>
              </w:rPr>
            </w:pPr>
            <w:r>
              <w:rPr>
                <w:rFonts w:ascii="Courier New" w:cs="Courier New" w:eastAsia="Courier New" w:hAnsi="Courier New"/>
                <w:sz w:val="15"/>
                <w:szCs w:val="15"/>
                <w:color w:val="auto"/>
              </w:rPr>
              <w:t>Taxes payable</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4,385</w:t>
            </w:r>
          </w:p>
        </w:tc>
      </w:tr>
      <w:tr>
        <w:trPr>
          <w:trHeight w:val="170"/>
        </w:trPr>
        <w:tc>
          <w:tcPr>
            <w:tcW w:w="6020" w:type="dxa"/>
            <w:vAlign w:val="bottom"/>
          </w:tcPr>
          <w:p>
            <w:pPr>
              <w:ind w:left="340"/>
              <w:spacing w:after="0"/>
              <w:rPr>
                <w:sz w:val="20"/>
                <w:szCs w:val="20"/>
                <w:color w:val="auto"/>
              </w:rPr>
            </w:pPr>
            <w:r>
              <w:rPr>
                <w:rFonts w:ascii="Courier New" w:cs="Courier New" w:eastAsia="Courier New" w:hAnsi="Courier New"/>
                <w:sz w:val="15"/>
                <w:szCs w:val="15"/>
                <w:color w:val="auto"/>
              </w:rPr>
              <w:t>Bank overdraft and loan facilities (Note 7)</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11,745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7,126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57,296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96,655</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5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7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Long term government grants (Note 10)</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937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1,140</w:t>
            </w: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w w:val="99"/>
              </w:rPr>
              <w:t>Long term finance</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leases</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Shareholders' Equity:</w:t>
            </w:r>
          </w:p>
        </w:tc>
        <w:tc>
          <w:tcPr>
            <w:tcW w:w="5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7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Ordinary shares, par value 6 Euro cents per share; 20,000,000 shares</w:t>
            </w:r>
          </w:p>
        </w:tc>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7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authorized, 11,798,501 shares issued and outstanding at May 31, 2002 and</w:t>
            </w:r>
          </w:p>
        </w:tc>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w w:val="99"/>
              </w:rPr>
              <w:t>11,841,557 shares</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issued and outstanding at May 31, 2003 (Note 11)</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839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841</w:t>
            </w:r>
          </w:p>
        </w:tc>
      </w:tr>
      <w:tr>
        <w:trPr>
          <w:trHeight w:val="170"/>
        </w:trPr>
        <w:tc>
          <w:tcPr>
            <w:tcW w:w="7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60,348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61,164</w:t>
            </w: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w w:val="99"/>
              </w:rPr>
              <w:t>Accumulated other</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comprehensive income</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(2,461)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7,787</w:t>
            </w: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rPr>
              <w:t>Merger reserve</w:t>
            </w:r>
          </w:p>
        </w:tc>
        <w:tc>
          <w:tcPr>
            <w:tcW w:w="542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w w:val="99"/>
              </w:rPr>
              <w:t>Retained earnings</w:t>
            </w:r>
          </w:p>
        </w:tc>
        <w:tc>
          <w:tcPr>
            <w:tcW w:w="542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48,788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67,071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3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107,561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136,910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56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9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$165,794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right="370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300"/>
          </w:cols>
          <w:pgMar w:left="240" w:top="1440" w:right="1359" w:bottom="1440" w:gutter="0" w:footer="0" w:header="0"/>
        </w:sectPr>
      </w:pPr>
    </w:p>
    <w:bookmarkStart w:id="47" w:name="page48"/>
    <w:bookmarkEnd w:id="47"/>
    <w:p>
      <w:pPr>
        <w:jc w:val="center"/>
        <w:ind w:right="3260"/>
        <w:spacing w:after="0"/>
        <w:rPr>
          <w:sz w:val="20"/>
          <w:szCs w:val="20"/>
          <w:color w:val="auto"/>
        </w:rPr>
      </w:pPr>
      <w:r>
        <w:rPr>
          <w:rFonts w:ascii="Courier New" w:cs="Courier New" w:eastAsia="Courier New" w:hAnsi="Courier New"/>
          <w:sz w:val="15"/>
          <w:szCs w:val="15"/>
          <w:color w:val="auto"/>
        </w:rPr>
        <w:t>ICON plc</w:t>
      </w:r>
    </w:p>
    <w:p>
      <w:pPr>
        <w:jc w:val="center"/>
        <w:ind w:right="31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Year Ended May 31,</w:t>
            </w:r>
          </w:p>
        </w:tc>
        <w:tc>
          <w:tcPr>
            <w:tcW w:w="88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3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860" w:type="dxa"/>
            <w:vAlign w:val="bottom"/>
          </w:tcPr>
          <w:p>
            <w:pPr>
              <w:spacing w:after="0"/>
              <w:rPr>
                <w:sz w:val="14"/>
                <w:szCs w:val="14"/>
                <w:color w:val="auto"/>
              </w:rPr>
            </w:pPr>
          </w:p>
        </w:tc>
        <w:tc>
          <w:tcPr>
            <w:tcW w:w="61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(in thousands, except share and per share data)</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Gross revenue</w:t>
            </w:r>
          </w:p>
        </w:tc>
        <w:tc>
          <w:tcPr>
            <w:tcW w:w="3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$151,832</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$218,842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$340,971</w:t>
            </w: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Subcontractor costs</w:t>
            </w:r>
          </w:p>
        </w:tc>
        <w:tc>
          <w:tcPr>
            <w:tcW w:w="3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(35,669)</w:t>
            </w: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(62,287)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(115,246)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ind w:left="340"/>
              <w:spacing w:after="0"/>
              <w:rPr>
                <w:sz w:val="20"/>
                <w:szCs w:val="20"/>
                <w:color w:val="auto"/>
              </w:rPr>
            </w:pPr>
            <w:r>
              <w:rPr>
                <w:rFonts w:ascii="Courier New" w:cs="Courier New" w:eastAsia="Courier New" w:hAnsi="Courier New"/>
                <w:sz w:val="15"/>
                <w:szCs w:val="15"/>
                <w:color w:val="auto"/>
              </w:rPr>
              <w:t>Net revenue</w:t>
            </w:r>
          </w:p>
        </w:tc>
        <w:tc>
          <w:tcPr>
            <w:tcW w:w="3080" w:type="dxa"/>
            <w:vAlign w:val="bottom"/>
          </w:tcPr>
          <w:p>
            <w:pPr>
              <w:spacing w:after="0"/>
              <w:rPr>
                <w:sz w:val="14"/>
                <w:szCs w:val="14"/>
                <w:color w:val="auto"/>
              </w:rPr>
            </w:pP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116,163</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156,555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225,725</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1800" w:type="dxa"/>
            <w:vAlign w:val="bottom"/>
          </w:tcPr>
          <w:p>
            <w:pPr>
              <w:ind w:left="340"/>
              <w:spacing w:after="0"/>
              <w:rPr>
                <w:sz w:val="20"/>
                <w:szCs w:val="20"/>
                <w:color w:val="auto"/>
              </w:rPr>
            </w:pPr>
            <w:r>
              <w:rPr>
                <w:rFonts w:ascii="Courier New" w:cs="Courier New" w:eastAsia="Courier New" w:hAnsi="Courier New"/>
                <w:sz w:val="15"/>
                <w:szCs w:val="15"/>
                <w:color w:val="auto"/>
              </w:rPr>
              <w:t>Direct costs</w:t>
            </w:r>
          </w:p>
        </w:tc>
        <w:tc>
          <w:tcPr>
            <w:tcW w:w="3080" w:type="dxa"/>
            <w:vAlign w:val="bottom"/>
          </w:tcPr>
          <w:p>
            <w:pPr>
              <w:spacing w:after="0"/>
              <w:rPr>
                <w:sz w:val="14"/>
                <w:szCs w:val="14"/>
                <w:color w:val="auto"/>
              </w:rPr>
            </w:pP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63,800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83,371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122,373</w:t>
            </w:r>
          </w:p>
        </w:tc>
      </w:tr>
      <w:tr>
        <w:trPr>
          <w:trHeight w:val="170"/>
        </w:trPr>
        <w:tc>
          <w:tcPr>
            <w:tcW w:w="1800" w:type="dxa"/>
            <w:vAlign w:val="bottom"/>
          </w:tcPr>
          <w:p>
            <w:pPr>
              <w:ind w:left="340"/>
              <w:spacing w:after="0"/>
              <w:rPr>
                <w:sz w:val="20"/>
                <w:szCs w:val="20"/>
                <w:color w:val="auto"/>
              </w:rPr>
            </w:pPr>
            <w:r>
              <w:rPr>
                <w:rFonts w:ascii="Courier New" w:cs="Courier New" w:eastAsia="Courier New" w:hAnsi="Courier New"/>
                <w:sz w:val="15"/>
                <w:szCs w:val="15"/>
                <w:color w:val="auto"/>
                <w:w w:val="99"/>
              </w:rPr>
              <w:t>Selling, general</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and administrative</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36,312</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48,951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71,118</w:t>
            </w:r>
          </w:p>
        </w:tc>
      </w:tr>
      <w:tr>
        <w:trPr>
          <w:trHeight w:val="170"/>
        </w:trPr>
        <w:tc>
          <w:tcPr>
            <w:tcW w:w="1800" w:type="dxa"/>
            <w:vAlign w:val="bottom"/>
          </w:tcPr>
          <w:p>
            <w:pPr>
              <w:ind w:left="340"/>
              <w:spacing w:after="0"/>
              <w:rPr>
                <w:sz w:val="20"/>
                <w:szCs w:val="20"/>
                <w:color w:val="auto"/>
              </w:rPr>
            </w:pPr>
            <w:r>
              <w:rPr>
                <w:rFonts w:ascii="Courier New" w:cs="Courier New" w:eastAsia="Courier New" w:hAnsi="Courier New"/>
                <w:sz w:val="15"/>
                <w:szCs w:val="15"/>
                <w:color w:val="auto"/>
                <w:w w:val="99"/>
              </w:rPr>
              <w:t>Depreciation and</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amortization</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4,975</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6,020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7,305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Total costs and expenses</w:t>
            </w:r>
          </w:p>
        </w:tc>
        <w:tc>
          <w:tcPr>
            <w:tcW w:w="3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105,087</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138,342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200,796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11,076</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18,213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24,929</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2,945</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1,603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633</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(426)</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Income before</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provision for income taxes</w:t>
            </w:r>
          </w:p>
        </w:tc>
        <w:tc>
          <w:tcPr>
            <w:tcW w:w="2500" w:type="dxa"/>
            <w:vAlign w:val="bottom"/>
          </w:tcPr>
          <w:p>
            <w:pPr>
              <w:ind w:left="1440"/>
              <w:spacing w:after="0"/>
              <w:rPr>
                <w:sz w:val="20"/>
                <w:szCs w:val="20"/>
                <w:color w:val="auto"/>
              </w:rPr>
            </w:pPr>
            <w:r>
              <w:rPr>
                <w:rFonts w:ascii="Courier New" w:cs="Courier New" w:eastAsia="Courier New" w:hAnsi="Courier New"/>
                <w:sz w:val="15"/>
                <w:szCs w:val="15"/>
                <w:color w:val="auto"/>
              </w:rPr>
              <w:t>13,595</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19,329</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25,283</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Provision for</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income taxes (Note 12)</w:t>
            </w:r>
          </w:p>
        </w:tc>
        <w:tc>
          <w:tcPr>
            <w:tcW w:w="2500" w:type="dxa"/>
            <w:vAlign w:val="bottom"/>
          </w:tcPr>
          <w:p>
            <w:pPr>
              <w:ind w:left="1440"/>
              <w:spacing w:after="0"/>
              <w:rPr>
                <w:sz w:val="20"/>
                <w:szCs w:val="20"/>
                <w:color w:val="auto"/>
              </w:rPr>
            </w:pPr>
            <w:r>
              <w:rPr>
                <w:rFonts w:ascii="Courier New" w:cs="Courier New" w:eastAsia="Courier New" w:hAnsi="Courier New"/>
                <w:sz w:val="15"/>
                <w:szCs w:val="15"/>
                <w:color w:val="auto"/>
              </w:rPr>
              <w:t>(2,617)</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(5,129)</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w w:val="95"/>
              </w:rPr>
              <w:t>(7,000)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$10,978</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$14,200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$18,283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Net income per ordinary share:</w:t>
            </w:r>
          </w:p>
        </w:tc>
        <w:tc>
          <w:tcPr>
            <w:tcW w:w="3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rPr>
              <w:t>Basic</w:t>
            </w:r>
          </w:p>
        </w:tc>
        <w:tc>
          <w:tcPr>
            <w:tcW w:w="3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$0.97</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3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$0.92</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 outstanding:</w:t>
            </w:r>
          </w:p>
        </w:tc>
        <w:tc>
          <w:tcPr>
            <w:tcW w:w="1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Basic</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11,292,610</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11,656,153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11,813,788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3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11,943,849</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12,241,820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12,181,094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right="370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300"/>
          </w:cols>
          <w:pgMar w:left="240" w:top="1300" w:right="1359" w:bottom="1440" w:gutter="0" w:footer="0" w:header="0"/>
        </w:sectPr>
      </w:pPr>
    </w:p>
    <w:bookmarkStart w:id="48" w:name="page49"/>
    <w:bookmarkEnd w:id="48"/>
    <w:p>
      <w:pPr>
        <w:spacing w:after="0" w:line="30"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ICON plc</w:t>
      </w:r>
    </w:p>
    <w:p>
      <w:pPr>
        <w:jc w:val="center"/>
        <w:ind w:right="4480"/>
        <w:spacing w:after="0"/>
        <w:rPr>
          <w:sz w:val="20"/>
          <w:szCs w:val="20"/>
          <w:color w:val="auto"/>
        </w:rPr>
      </w:pPr>
      <w:r>
        <w:rPr>
          <w:rFonts w:ascii="Courier New" w:cs="Courier New" w:eastAsia="Courier New" w:hAnsi="Courier New"/>
          <w:sz w:val="15"/>
          <w:szCs w:val="15"/>
          <w:color w:val="auto"/>
        </w:rPr>
        <w:t>CONSOLIDATED STATEMENTS OF SHAREHOLDERS' EQUITY AND COMPREHENSIVE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Accumulated</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Additional</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Paid-in</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Comprehensive</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Retained</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Merger</w:t>
            </w:r>
          </w:p>
        </w:tc>
        <w:tc>
          <w:tcPr>
            <w:tcW w:w="84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Capital</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Income</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Earnings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Reserve</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rPr>
              <w:t>(in thousands, except share and per share data)</w:t>
            </w:r>
          </w:p>
        </w:tc>
        <w:tc>
          <w:tcPr>
            <w:tcW w:w="840" w:type="dxa"/>
            <w:vAlign w:val="bottom"/>
          </w:tcPr>
          <w:p>
            <w:pPr>
              <w:spacing w:after="0"/>
              <w:rPr>
                <w:sz w:val="14"/>
                <w:szCs w:val="14"/>
                <w:color w:val="auto"/>
              </w:rPr>
            </w:pPr>
          </w:p>
        </w:tc>
      </w:tr>
      <w:tr>
        <w:trPr>
          <w:trHeight w:val="509"/>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Balance at May 31, 2000</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11,153,669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$55,665</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$(3,120)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$23,610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$77,053</w:t>
            </w: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10,978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10,978</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(2,291)</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8,687</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275,960</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474</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489</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Renominalization of Ordinary Shares</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47</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Deferred tax benefit on exercise</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of options</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351</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Balance at May 31, 2001</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11,429,629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$819</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$56,537</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$(5,411)</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$34,588</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$86,580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14,200</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14,200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2,950</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2,950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17,150</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358,100</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w:t>
            </w:r>
          </w:p>
        </w:tc>
        <w:tc>
          <w:tcPr>
            <w:tcW w:w="15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2,655</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2,674</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Shares issued</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10,772</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5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364</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365</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Deferred tax benefit on exercise</w:t>
            </w: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of options</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792</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Balance at May 31, 2002</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11,798,501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$839</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$60,348</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$(2,461)</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$48,788</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$107,561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18,283</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18,283</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10,248</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10,248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28,531</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39,360</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15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726</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728</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Share issue costs</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(35)</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Shares issued</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3,696</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77</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Deferred tax benefit on exercise</w:t>
            </w: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of options</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48</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Balance at May 31, 2003</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11,841,557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$841</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$61,164</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$7,787</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$67,071</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$136,910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right="492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1520"/>
          </w:cols>
          <w:pgMar w:left="240" w:top="1440" w:right="139" w:bottom="1440" w:gutter="0" w:footer="0" w:header="0"/>
        </w:sectPr>
      </w:pPr>
    </w:p>
    <w:bookmarkStart w:id="49" w:name="page50"/>
    <w:bookmarkEnd w:id="49"/>
    <w:p>
      <w:pPr>
        <w:spacing w:after="0" w:line="30"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5"/>
          <w:szCs w:val="15"/>
          <w:color w:val="auto"/>
        </w:rPr>
        <w:t>ICON plc</w:t>
      </w:r>
    </w:p>
    <w:p>
      <w:pPr>
        <w:jc w:val="center"/>
        <w:ind w:right="31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Year Ended May 31,</w:t>
            </w:r>
          </w:p>
        </w:tc>
        <w:tc>
          <w:tcPr>
            <w:tcW w:w="840" w:type="dxa"/>
            <w:vAlign w:val="bottom"/>
          </w:tcPr>
          <w:p>
            <w:pPr>
              <w:spacing w:after="0"/>
              <w:rPr>
                <w:sz w:val="14"/>
                <w:szCs w:val="14"/>
                <w:color w:val="auto"/>
              </w:rPr>
            </w:pPr>
          </w:p>
        </w:tc>
      </w:tr>
      <w:tr>
        <w:trPr>
          <w:trHeight w:val="170"/>
        </w:trPr>
        <w:tc>
          <w:tcPr>
            <w:tcW w:w="5460" w:type="dxa"/>
            <w:vAlign w:val="bottom"/>
          </w:tcPr>
          <w:p>
            <w:pPr>
              <w:spacing w:after="0"/>
              <w:rPr>
                <w:sz w:val="14"/>
                <w:szCs w:val="14"/>
                <w:color w:val="auto"/>
              </w:rPr>
            </w:pP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5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5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$10,978</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$14,200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$18,283</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(used in)/provided by operating activities:</w:t>
            </w:r>
          </w:p>
        </w:tc>
        <w:tc>
          <w:tcPr>
            <w:tcW w:w="1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Loss on disposal of fixed assets</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Depreciation</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4,765</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6,020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7,305</w:t>
            </w:r>
          </w:p>
        </w:tc>
      </w:tr>
      <w:tr>
        <w:trPr>
          <w:trHeight w:val="170"/>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Goodwill amortization</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210</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Amortization of grants</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19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0"/>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Deferred taxes</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1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Increase in accounts receivable</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(12,789)</w:t>
            </w:r>
          </w:p>
        </w:tc>
        <w:tc>
          <w:tcPr>
            <w:tcW w:w="19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(10,873)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(23,232)</w:t>
            </w:r>
          </w:p>
        </w:tc>
      </w:tr>
      <w:tr>
        <w:trPr>
          <w:trHeight w:val="170"/>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Increase in unbilled revenue</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(6,759)</w:t>
            </w:r>
          </w:p>
        </w:tc>
        <w:tc>
          <w:tcPr>
            <w:tcW w:w="19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(5,376)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(14,480)</w:t>
            </w:r>
          </w:p>
        </w:tc>
      </w:tr>
      <w:tr>
        <w:trPr>
          <w:trHeight w:val="170"/>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(Increase)/decrease in other receivables</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(2,074)</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2,062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7,515</w:t>
            </w:r>
          </w:p>
        </w:tc>
      </w:tr>
      <w:tr>
        <w:trPr>
          <w:trHeight w:val="170"/>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Increase in prepayments and other current assets</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(431)</w:t>
            </w:r>
          </w:p>
        </w:tc>
        <w:tc>
          <w:tcPr>
            <w:tcW w:w="19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(2,697)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(1,965)</w:t>
            </w:r>
          </w:p>
        </w:tc>
      </w:tr>
      <w:tr>
        <w:trPr>
          <w:trHeight w:val="170"/>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Increase in payments on account</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1,957</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8,655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25,485</w:t>
            </w:r>
          </w:p>
        </w:tc>
      </w:tr>
      <w:tr>
        <w:trPr>
          <w:trHeight w:val="170"/>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Increase/(decrease) in other liabilities</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2,513</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(1,787)</w:t>
            </w:r>
          </w:p>
        </w:tc>
      </w:tr>
      <w:tr>
        <w:trPr>
          <w:trHeight w:val="170"/>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Increase in income taxes payable</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1,096</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2,897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w:t>
            </w:r>
          </w:p>
        </w:tc>
      </w:tr>
      <w:tr>
        <w:trPr>
          <w:trHeight w:val="170"/>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(Decrease)/increase in accounts payable</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(1,075)</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1,631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Net cash (used in)/provided by operating activities</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(1,570)</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17,269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21,485</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Purchase of fixed assets</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(6,689)</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(15,788)</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Purchase of subsidiary undertakings</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(1,754)</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(36,873)</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Cash acquired with subsidiary undertakings</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555</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1,910</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Deferred payments in respect of prior year acquisitions</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(149)</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(2,615)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(3,078)</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Sale of short term investments</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4,455</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29,868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18,551</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Purchase of short term investments</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(18,991)</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(12,478)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Receipt of government grant</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cash (used in)/provided by investing activities</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(22,573)</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(35,278)</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940" w:type="dxa"/>
            <w:vAlign w:val="bottom"/>
          </w:tcPr>
          <w:p>
            <w:pPr>
              <w:ind w:left="340"/>
              <w:spacing w:after="0"/>
              <w:rPr>
                <w:sz w:val="20"/>
                <w:szCs w:val="20"/>
                <w:color w:val="auto"/>
              </w:rPr>
            </w:pPr>
            <w:r>
              <w:rPr>
                <w:rFonts w:ascii="Courier New" w:cs="Courier New" w:eastAsia="Courier New" w:hAnsi="Courier New"/>
                <w:sz w:val="15"/>
                <w:szCs w:val="15"/>
                <w:color w:val="auto"/>
              </w:rPr>
              <w:t>Proceeds/(repayment of) from bank overdraft</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9,339</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(5,319)</w:t>
            </w:r>
          </w:p>
        </w:tc>
      </w:tr>
      <w:tr>
        <w:trPr>
          <w:trHeight w:val="170"/>
        </w:trPr>
        <w:tc>
          <w:tcPr>
            <w:tcW w:w="5940" w:type="dxa"/>
            <w:vAlign w:val="bottom"/>
          </w:tcPr>
          <w:p>
            <w:pPr>
              <w:ind w:left="340"/>
              <w:spacing w:after="0"/>
              <w:rPr>
                <w:sz w:val="20"/>
                <w:szCs w:val="20"/>
                <w:color w:val="auto"/>
              </w:rPr>
            </w:pPr>
            <w:r>
              <w:rPr>
                <w:rFonts w:ascii="Courier New" w:cs="Courier New" w:eastAsia="Courier New" w:hAnsi="Courier New"/>
                <w:sz w:val="15"/>
                <w:szCs w:val="15"/>
                <w:color w:val="auto"/>
              </w:rPr>
              <w:t>Repayment of long term debt</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exercise of share options and issue of shares</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489</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2,674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693</w:t>
            </w:r>
          </w:p>
        </w:tc>
      </w:tr>
      <w:tr>
        <w:trPr>
          <w:trHeight w:val="170"/>
        </w:trPr>
        <w:tc>
          <w:tcPr>
            <w:tcW w:w="5940" w:type="dxa"/>
            <w:vAlign w:val="bottom"/>
          </w:tcPr>
          <w:p>
            <w:pPr>
              <w:ind w:left="340"/>
              <w:spacing w:after="0"/>
              <w:rPr>
                <w:sz w:val="20"/>
                <w:szCs w:val="20"/>
                <w:color w:val="auto"/>
              </w:rPr>
            </w:pPr>
            <w:r>
              <w:rPr>
                <w:rFonts w:ascii="Courier New" w:cs="Courier New" w:eastAsia="Courier New" w:hAnsi="Courier New"/>
                <w:sz w:val="15"/>
                <w:szCs w:val="15"/>
                <w:color w:val="auto"/>
              </w:rPr>
              <w:t>Repayment of other liabilities</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(215)</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cash provided by/(used in) financing activities</w:t>
            </w:r>
          </w:p>
        </w:tc>
        <w:tc>
          <w:tcPr>
            <w:tcW w:w="2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9,563</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2,718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(4,626)</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Effect of exchange rate movements on cash</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(793)</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Net (decrease)/increase in cash and cash equivalents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(15,373)</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25,112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(17,980)</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2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26,552</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11,179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36,291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2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$11,179</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$36,291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$18,311</w:t>
            </w:r>
          </w:p>
        </w:tc>
      </w:tr>
    </w:tbl>
    <w:p>
      <w:pPr>
        <w:spacing w:after="0" w:line="200" w:lineRule="exact"/>
        <w:rPr>
          <w:sz w:val="20"/>
          <w:szCs w:val="20"/>
          <w:color w:val="auto"/>
        </w:rPr>
      </w:pPr>
    </w:p>
    <w:p>
      <w:pPr>
        <w:spacing w:after="0" w:line="314" w:lineRule="exact"/>
        <w:rPr>
          <w:sz w:val="20"/>
          <w:szCs w:val="20"/>
          <w:color w:val="auto"/>
        </w:rPr>
      </w:pPr>
    </w:p>
    <w:p>
      <w:pPr>
        <w:ind w:right="370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300"/>
          </w:cols>
          <w:pgMar w:left="240" w:top="1440" w:right="1359" w:bottom="1440" w:gutter="0" w:footer="0" w:header="0"/>
        </w:sectPr>
      </w:pPr>
    </w:p>
    <w:bookmarkStart w:id="50" w:name="page51"/>
    <w:bookmarkEnd w:id="50"/>
    <w:p>
      <w:pPr>
        <w:jc w:val="center"/>
        <w:ind w:right="3170"/>
        <w:spacing w:after="0"/>
        <w:rPr>
          <w:sz w:val="20"/>
          <w:szCs w:val="20"/>
          <w:color w:val="auto"/>
        </w:rPr>
      </w:pPr>
      <w:r>
        <w:rPr>
          <w:rFonts w:ascii="Courier New" w:cs="Courier New" w:eastAsia="Courier New" w:hAnsi="Courier New"/>
          <w:sz w:val="15"/>
          <w:szCs w:val="15"/>
          <w:color w:val="auto"/>
        </w:rPr>
        <w:t>ICON plc</w:t>
      </w:r>
    </w:p>
    <w:p>
      <w:pPr>
        <w:jc w:val="center"/>
        <w:ind w:right="3170"/>
        <w:spacing w:after="0"/>
        <w:rPr>
          <w:sz w:val="20"/>
          <w:szCs w:val="20"/>
          <w:color w:val="auto"/>
        </w:rPr>
      </w:pPr>
      <w:r>
        <w:rPr>
          <w:rFonts w:ascii="Courier New" w:cs="Courier New" w:eastAsia="Courier New" w:hAnsi="Courier New"/>
          <w:sz w:val="15"/>
          <w:szCs w:val="15"/>
          <w:color w:val="auto"/>
        </w:rPr>
        <w:t>NOTES TO THE CONSOLIDATED FINANCIAL STATEMENTS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50" w:hanging="450"/>
        <w:spacing w:after="0"/>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74" w:lineRule="exact"/>
        <w:rPr>
          <w:rFonts w:ascii="Courier New" w:cs="Courier New" w:eastAsia="Courier New" w:hAnsi="Courier New"/>
          <w:sz w:val="15"/>
          <w:szCs w:val="15"/>
          <w:color w:val="auto"/>
        </w:rPr>
      </w:pPr>
    </w:p>
    <w:p>
      <w:pPr>
        <w:ind w:left="45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ICON plc and subsidiaries ("The Company") is a Contract Research Organization ("CRO") providing clinical research and development services on a global basis to the pharmaceutical and biotechnology industries. The Company specializes in the management, execution and analysis of complex, multinational clinical trials in most major therapeutic areas. The Company believes that it is one of a select group of CROs with the capability and expertise to conduct clinical trials on a global basis. As of May 31, 2003, the Company had approximately 2,300 employees and operations in 29 locations in 17 countries, including the United States and major markets in Europe and Rest of World and has managed clinical trials in 55 countries. For the fiscal year ended May 31, 2003, we derived approximately 70.3%,</w:t>
      </w:r>
    </w:p>
    <w:p>
      <w:pPr>
        <w:spacing w:after="0" w:line="3" w:lineRule="exact"/>
        <w:rPr>
          <w:rFonts w:ascii="Courier New" w:cs="Courier New" w:eastAsia="Courier New" w:hAnsi="Courier New"/>
          <w:sz w:val="15"/>
          <w:szCs w:val="15"/>
          <w:color w:val="auto"/>
        </w:rPr>
      </w:pPr>
    </w:p>
    <w:p>
      <w:pPr>
        <w:ind w:left="45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27.0% and 2.7% of our net revenue in the United States, Europe and Rest of World, respectively.</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The accounting policies noted below were applied in the preparation of the accompanying financial statements of the Company and are in conformity with accounting principles generally accepted in the United States.</w:t>
      </w:r>
    </w:p>
    <w:p>
      <w:pPr>
        <w:spacing w:after="0" w:line="171" w:lineRule="exact"/>
        <w:rPr>
          <w:sz w:val="20"/>
          <w:szCs w:val="20"/>
          <w:color w:val="auto"/>
        </w:rPr>
      </w:pPr>
    </w:p>
    <w:p>
      <w:pPr>
        <w:ind w:left="450" w:hanging="450"/>
        <w:spacing w:after="0"/>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consolidation</w:t>
      </w:r>
    </w:p>
    <w:p>
      <w:pPr>
        <w:spacing w:after="0" w:line="174"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financial statements of ICON plc and all of its subsidiaries. All significant intercompany profits, transactions and account balances have been eliminated. The results of subsidiary undertakings acquired in the year are included in the consolidated statement of operations from the date of acquisition.</w:t>
      </w:r>
    </w:p>
    <w:p>
      <w:pPr>
        <w:spacing w:after="0" w:line="172"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174"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4" w:lineRule="exact"/>
        <w:rPr>
          <w:rFonts w:ascii="Courier New" w:cs="Courier New" w:eastAsia="Courier New" w:hAnsi="Courier New"/>
          <w:sz w:val="15"/>
          <w:szCs w:val="15"/>
          <w:color w:val="auto"/>
        </w:rPr>
      </w:pPr>
    </w:p>
    <w:p>
      <w:pPr>
        <w:ind w:left="450" w:right="353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primarily earns revenues by providing a number of different services to its customers. These services include clinical trials management, biometric activities, consulting and laboratory services. Contracts range in duration from a number of months to several years.</w:t>
      </w:r>
    </w:p>
    <w:p>
      <w:pPr>
        <w:spacing w:after="0" w:line="162"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Clinical trials management revenue is earned on the basis of the relationship between time incurred and the total estimated duration of the trial. Biometrics revenue is recognized on a fee-for-service method on the basis of the number of units completed in a period as a percentage of the total number of contracted units. Consulting revenue is recognized on a fee-for-service basis as the related service is performed. Laboratory service revenue is recognized on a fee-for-service basis. The Company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Non-refundable set-up fees are allocated as additional consideration to the contractual elements based on the proportionate fair values of each of these elements. Revenues for contractual elements are recognised on the basis of the number of deliverable units completed in the period.</w:t>
      </w:r>
    </w:p>
    <w:p>
      <w:pPr>
        <w:spacing w:after="0" w:line="185"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 generally contain provisions for renegotiation in the event of changes in the scope, nature, duration, volume of services or conditions of the contract. Renegotiated amounts are recognized as revenue by revision to the total contract value arising as a result of an authorized customer change order. Provisions for losses to be incurred on contracts are recognized in full in the period in which it is determined that a loss will result from performance of the contractual arrangement.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9"/>
          </w:cols>
          <w:pgMar w:left="230" w:top="961" w:right="1440" w:bottom="1440" w:gutter="0" w:footer="0" w:header="0"/>
        </w:sectPr>
      </w:pPr>
    </w:p>
    <w:bookmarkStart w:id="51" w:name="page52"/>
    <w:bookmarkEnd w:id="51"/>
    <w:p>
      <w:pPr>
        <w:ind w:left="450" w:right="3179"/>
        <w:spacing w:after="0" w:line="238" w:lineRule="auto"/>
        <w:rPr>
          <w:sz w:val="20"/>
          <w:szCs w:val="20"/>
          <w:color w:val="auto"/>
        </w:rPr>
      </w:pPr>
      <w:r>
        <w:rPr>
          <w:rFonts w:ascii="Courier New" w:cs="Courier New" w:eastAsia="Courier New" w:hAnsi="Courier New"/>
          <w:sz w:val="15"/>
          <w:szCs w:val="15"/>
          <w:color w:val="auto"/>
        </w:rPr>
        <w:t>The difference between the amount of revenue recognized and the amount billed on a particular contract is included in the balance sheet as unbilled revenue. Normally, amounts become billable upon the achievement of certain milestones, in accordance with pre-agreed payment schedules included in the contract or on submission of appropriate billing detail. Such cash payments are not representative of revenue earned on the contract as revenues are recognized over the period in which the specified contractual obligations are fulfilled. Amounts included in unbilled revenue are expected to be collected within one year and are included within current assets. Advance billings to customers, for which revenue has not been recognized, are recognized as payments on account within current liabilities.</w:t>
      </w:r>
    </w:p>
    <w:p>
      <w:pPr>
        <w:spacing w:after="0" w:line="182" w:lineRule="exact"/>
        <w:rPr>
          <w:sz w:val="20"/>
          <w:szCs w:val="20"/>
          <w:color w:val="auto"/>
        </w:rPr>
      </w:pPr>
    </w:p>
    <w:p>
      <w:pPr>
        <w:jc w:val="both"/>
        <w:ind w:left="450" w:right="3359"/>
        <w:spacing w:after="0" w:line="237" w:lineRule="auto"/>
        <w:rPr>
          <w:sz w:val="20"/>
          <w:szCs w:val="20"/>
          <w:color w:val="auto"/>
        </w:rPr>
      </w:pPr>
      <w:r>
        <w:rPr>
          <w:rFonts w:ascii="Courier New" w:cs="Courier New" w:eastAsia="Courier New" w:hAnsi="Courier New"/>
          <w:sz w:val="15"/>
          <w:szCs w:val="15"/>
          <w:color w:val="auto"/>
        </w:rPr>
        <w:t>In the event of contract termination, if the value of work performed and recognized as revenue is greater than aggregate milestone billings at the date of termination, cancellation clauses ensure that the Company is paid for all work performed to the termination date.</w:t>
      </w:r>
    </w:p>
    <w:p>
      <w:pPr>
        <w:spacing w:after="0" w:line="171" w:lineRule="exact"/>
        <w:rPr>
          <w:sz w:val="20"/>
          <w:szCs w:val="20"/>
          <w:color w:val="auto"/>
        </w:rPr>
      </w:pPr>
    </w:p>
    <w:p>
      <w:pPr>
        <w:ind w:left="450" w:hanging="450"/>
        <w:spacing w:after="0"/>
        <w:tabs>
          <w:tab w:leader="none" w:pos="4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Subcontractor costs</w:t>
      </w:r>
    </w:p>
    <w:p>
      <w:pPr>
        <w:spacing w:after="0" w:line="174"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Subcontractor costs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 Payments to investigators in excess of the accrued expense are classified as prepaid expenses and accrued expense in excess of amounts paid are classified as accounts payable.</w:t>
      </w:r>
    </w:p>
    <w:p>
      <w:pPr>
        <w:spacing w:after="0" w:line="172"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costs</w:t>
      </w:r>
    </w:p>
    <w:p>
      <w:pPr>
        <w:spacing w:after="0" w:line="174" w:lineRule="exact"/>
        <w:rPr>
          <w:rFonts w:ascii="Courier New" w:cs="Courier New" w:eastAsia="Courier New" w:hAnsi="Courier New"/>
          <w:sz w:val="15"/>
          <w:szCs w:val="15"/>
          <w:color w:val="auto"/>
        </w:rPr>
      </w:pPr>
    </w:p>
    <w:p>
      <w:pPr>
        <w:ind w:left="450"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Direct costs consist of compensation and associated employee benefits for project-related employees and other direct project-related costs.</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costs</w:t>
      </w:r>
    </w:p>
    <w:p>
      <w:pPr>
        <w:spacing w:after="0" w:line="174"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costs associated with advertising and promotion are expensed as incurred. The advertising and promotion expense was U.S.$1,166,000, U.S.$988,000 and U.S.$1,336,000 for the years ended May 31, 2001, 2002 and 2003 respectively.</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currencies and translation of subsidiaries</w:t>
      </w:r>
    </w:p>
    <w:p>
      <w:pPr>
        <w:spacing w:after="0" w:line="174"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and where material are separately disclosed. For the years ended May 31, 2001, 2002 and 2003 amounts (credited)/charged to income amounted to (U.S.$1,474,000), U.S. $1,412,000 and U.S.$1,968,000 respectively.</w:t>
      </w:r>
    </w:p>
    <w:p>
      <w:pPr>
        <w:spacing w:after="0" w:line="179"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of subsidiaries with other functional currencies are translated at year end rates for the balance sheet and average rates for the income statement. Translation gains and losses arising are reported as a movement on reserves.</w:t>
      </w:r>
    </w:p>
    <w:p>
      <w:pPr>
        <w:spacing w:after="0" w:line="176" w:lineRule="exact"/>
        <w:rPr>
          <w:rFonts w:ascii="Courier New" w:cs="Courier New" w:eastAsia="Courier New" w:hAnsi="Courier New"/>
          <w:sz w:val="15"/>
          <w:szCs w:val="15"/>
          <w:color w:val="auto"/>
        </w:rPr>
      </w:pPr>
    </w:p>
    <w:p>
      <w:pPr>
        <w:ind w:left="45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 the Company entered into foreign exchange currency contracts to manage its exposure against currency fluctuations on anticipated Euro denominated cashflows. Currency gains and losses arising in the year under these arrangements are recorded in the statement of operations.</w:t>
      </w:r>
    </w:p>
    <w:p>
      <w:pPr>
        <w:spacing w:after="0" w:line="172"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about fair value of financial instruments</w:t>
      </w:r>
    </w:p>
    <w:p>
      <w:pPr>
        <w:spacing w:after="0" w:line="174" w:lineRule="exact"/>
        <w:rPr>
          <w:rFonts w:ascii="Courier New" w:cs="Courier New" w:eastAsia="Courier New" w:hAnsi="Courier New"/>
          <w:sz w:val="15"/>
          <w:szCs w:val="15"/>
          <w:color w:val="auto"/>
        </w:rPr>
      </w:pPr>
    </w:p>
    <w:p>
      <w:pPr>
        <w:ind w:left="45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methods and assumptions were used to estimate the fair value of each material class of financial instrument:</w:t>
      </w:r>
    </w:p>
    <w:p>
      <w:pPr>
        <w:spacing w:after="0" w:line="175"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cash equivalents, unbilled revenue, other receivables, short term investments, prepayments and other current assets, accounts receivable, accounts payable, investigator payments, payments received on account, accrued liabilities, accrued bonuses, bank overdraft and taxes payable carrying amount approximates fair value due to the short term maturities of these instruments.</w:t>
      </w:r>
    </w:p>
    <w:p>
      <w:pPr>
        <w:spacing w:after="0" w:line="175" w:lineRule="exact"/>
        <w:rPr>
          <w:rFonts w:ascii="Courier New" w:cs="Courier New" w:eastAsia="Courier New" w:hAnsi="Courier New"/>
          <w:sz w:val="15"/>
          <w:szCs w:val="15"/>
          <w:color w:val="auto"/>
        </w:rPr>
      </w:pPr>
    </w:p>
    <w:p>
      <w:pPr>
        <w:ind w:left="450" w:right="361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Long-term debt and other liabilities carrying amounts approximate fair value based on net present value of estimated future cash flows.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9"/>
          </w:cols>
          <w:pgMar w:left="230" w:top="966" w:right="1440" w:bottom="904" w:gutter="0" w:footer="0" w:header="0"/>
        </w:sectPr>
      </w:pPr>
    </w:p>
    <w:bookmarkStart w:id="52" w:name="page53"/>
    <w:bookmarkEnd w:id="52"/>
    <w:p>
      <w:pPr>
        <w:ind w:left="450" w:hanging="450"/>
        <w:spacing w:after="0"/>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Leased Assets</w:t>
      </w:r>
    </w:p>
    <w:p>
      <w:pPr>
        <w:spacing w:after="0" w:line="174" w:lineRule="exact"/>
        <w:rPr>
          <w:rFonts w:ascii="Courier New" w:cs="Courier New" w:eastAsia="Courier New" w:hAnsi="Courier New"/>
          <w:sz w:val="15"/>
          <w:szCs w:val="15"/>
          <w:color w:val="auto"/>
        </w:rPr>
      </w:pPr>
    </w:p>
    <w:p>
      <w:pPr>
        <w:ind w:left="450" w:right="37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Costs in respect of operating leases are charged to the statement of operations on a straight line basis over the lease term.</w:t>
      </w:r>
    </w:p>
    <w:p>
      <w:pPr>
        <w:spacing w:after="0" w:line="175" w:lineRule="exact"/>
        <w:rPr>
          <w:rFonts w:ascii="Courier New" w:cs="Courier New" w:eastAsia="Courier New" w:hAnsi="Courier New"/>
          <w:sz w:val="15"/>
          <w:szCs w:val="15"/>
          <w:color w:val="auto"/>
        </w:rPr>
      </w:pPr>
    </w:p>
    <w:p>
      <w:pPr>
        <w:ind w:left="45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w:t>
      </w:r>
    </w:p>
    <w:p>
      <w:pPr>
        <w:spacing w:after="0" w:line="174"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2001, the Financial Accounting Standards Board (FASB) issued two new statements: SFAS No. 141, "Business Combinations", and Statement No. 142, "Goodwill and Other Intangible Assets". Those Statements changed the accounting for business combinations and goodwill in two significant ways. First, SFAS No. 141 requires that the purchase method of accounting be used for all business combinations initiated after June 30, 2001. Use of the pooling-of-interests method is prohibited. Second, SFAS No.142 changes the accounting for goodwill from an amortization method to an impairment-only approach.</w:t>
      </w:r>
    </w:p>
    <w:p>
      <w:pPr>
        <w:spacing w:after="0" w:line="178"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adopted SFAS No.142 effective June 1, 2001 and ceased amortization of goodwill as of June 1, 2001. Goodwill amortization for the year ended May 31, 2001 amounted to U.S.$210,000. The Company does not have any intangible assets. SFAS No.142 requires a two step impairment test for goodwill. The first step is to compare the carrying amount of the reporting units' assets to the fair value of the reporting unit. If the carrying amount exceeds the fair value then a second step is required to be completed which involves the fair value of the reporting unit being allocated to each asset and liability with the excess being implied goodwill. The impairment loss is the amount by which the recorded goodwill exceeds the implied goodwill. The Company has completed its transitional and annual assessments of goodwill impairment and concluded that no indication of goodwill impairment existed at June 1, 2001, May 31, 2002 or 2003.</w:t>
      </w:r>
    </w:p>
    <w:p>
      <w:pPr>
        <w:spacing w:after="0" w:line="17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w:t>
      </w:r>
    </w:p>
    <w:p>
      <w:pPr>
        <w:spacing w:after="0" w:line="174" w:lineRule="exact"/>
        <w:rPr>
          <w:rFonts w:ascii="Courier New" w:cs="Courier New" w:eastAsia="Courier New" w:hAnsi="Courier New"/>
          <w:sz w:val="15"/>
          <w:szCs w:val="15"/>
          <w:color w:val="auto"/>
        </w:rPr>
      </w:pPr>
    </w:p>
    <w:p>
      <w:pPr>
        <w:ind w:left="45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 include cash and highly liquid investments with initial maturities of three months or less and is stated at cost, which approximates market value.</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 term investments - available for sale</w:t>
      </w:r>
    </w:p>
    <w:p>
      <w:pPr>
        <w:spacing w:after="0" w:line="174" w:lineRule="exact"/>
        <w:rPr>
          <w:rFonts w:ascii="Courier New" w:cs="Courier New" w:eastAsia="Courier New" w:hAnsi="Courier New"/>
          <w:sz w:val="15"/>
          <w:szCs w:val="15"/>
          <w:color w:val="auto"/>
        </w:rPr>
      </w:pPr>
    </w:p>
    <w:p>
      <w:pPr>
        <w:ind w:left="450" w:right="325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has classified short-term investments as available for sale in accordance with the terms of SFAS No.115 "Accounting for Certain Investments in Debt and Equity Securities". Realized gains and losses are determined using specific identification. The investments are reported at fair value, with unrealized gains or losses reported in a separate component of shareholder equity. In the years to May 31, 2001, 2002 and</w:t>
      </w:r>
    </w:p>
    <w:p>
      <w:pPr>
        <w:spacing w:after="0" w:line="2" w:lineRule="exact"/>
        <w:rPr>
          <w:rFonts w:ascii="Courier New" w:cs="Courier New" w:eastAsia="Courier New" w:hAnsi="Courier New"/>
          <w:sz w:val="15"/>
          <w:szCs w:val="15"/>
          <w:color w:val="auto"/>
        </w:rPr>
      </w:pPr>
    </w:p>
    <w:p>
      <w:pPr>
        <w:ind w:left="450" w:right="325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2003 no unrealized gains or losses arose. Any differences between the cost and fair value of the investments are represented by accrued interest.</w:t>
      </w:r>
    </w:p>
    <w:p>
      <w:pPr>
        <w:spacing w:after="0" w:line="152"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w:t>
      </w:r>
    </w:p>
    <w:p>
      <w:pPr>
        <w:spacing w:after="0" w:line="174"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is valued at the lower of cost and net realizable value and after provisions for obsolescence. Cost in the case of raw materials comprises the purchase price and attributable costs, less trade discounts. Cost in the case of work in progress and finished goods, comprises fixed labor, raw materials costs and attributable overheads.</w:t>
      </w:r>
    </w:p>
    <w:p>
      <w:pPr>
        <w:spacing w:after="0" w:line="172"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4" w:lineRule="exact"/>
        <w:rPr>
          <w:rFonts w:ascii="Courier New" w:cs="Courier New" w:eastAsia="Courier New" w:hAnsi="Courier New"/>
          <w:sz w:val="15"/>
          <w:szCs w:val="15"/>
          <w:color w:val="auto"/>
        </w:rPr>
      </w:pPr>
    </w:p>
    <w:p>
      <w:pPr>
        <w:ind w:left="45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are stated at cost less accumulated depreciation. Depreciation of property, plant and equipment is computed using the straight line method based on the estimated useful lives of the assets as listed below:</w:t>
      </w:r>
    </w:p>
    <w:p>
      <w:pPr>
        <w:spacing w:after="0" w:line="171" w:lineRule="exact"/>
        <w:rPr>
          <w:sz w:val="20"/>
          <w:szCs w:val="20"/>
          <w:color w:val="auto"/>
        </w:rPr>
      </w:pPr>
    </w:p>
    <w:tbl>
      <w:tblPr>
        <w:tblLayout w:type="fixed"/>
        <w:tblInd w:w="105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Building</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Computer equipment and software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Office furniture and fixtures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Laboratory equipment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Motor vehicles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bl>
    <w:p>
      <w:pPr>
        <w:spacing w:after="0" w:line="175" w:lineRule="exact"/>
        <w:rPr>
          <w:sz w:val="20"/>
          <w:szCs w:val="20"/>
          <w:color w:val="auto"/>
        </w:rPr>
      </w:pPr>
    </w:p>
    <w:p>
      <w:pPr>
        <w:ind w:left="450" w:right="3439"/>
        <w:spacing w:after="0" w:line="237" w:lineRule="auto"/>
        <w:rPr>
          <w:sz w:val="20"/>
          <w:szCs w:val="20"/>
          <w:color w:val="auto"/>
        </w:rPr>
      </w:pPr>
      <w:r>
        <w:rPr>
          <w:rFonts w:ascii="Courier New" w:cs="Courier New" w:eastAsia="Courier New" w:hAnsi="Courier New"/>
          <w:sz w:val="15"/>
          <w:szCs w:val="15"/>
          <w:color w:val="auto"/>
        </w:rPr>
        <w:t>Leasehold improvements are amortized using the straight-line method over the estimated useful life of the asset or the lease term, whichever is shorter.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9"/>
          </w:cols>
          <w:pgMar w:left="230" w:top="961" w:right="1440" w:bottom="735" w:gutter="0" w:footer="0" w:header="0"/>
        </w:sectPr>
      </w:pPr>
    </w:p>
    <w:bookmarkStart w:id="53" w:name="page54"/>
    <w:bookmarkEnd w:id="53"/>
    <w:p>
      <w:pPr>
        <w:ind w:left="450" w:hanging="450"/>
        <w:spacing w:after="0"/>
        <w:tabs>
          <w:tab w:leader="none" w:pos="4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rFonts w:ascii="Courier New" w:cs="Courier New" w:eastAsia="Courier New" w:hAnsi="Courier New"/>
          <w:sz w:val="15"/>
          <w:szCs w:val="15"/>
          <w:color w:val="auto"/>
        </w:rPr>
      </w:pPr>
    </w:p>
    <w:p>
      <w:pPr>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applies Statement of Financial Accounting Standard ("SFAS") No. 109, "Accounting for Income Taxes," which requires the asset and liability method of accounting for income taxes. Under the asset and liability method of SFAS No. 109,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w:t>
      </w:r>
    </w:p>
    <w:p>
      <w:pPr>
        <w:spacing w:after="0" w:line="16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grants</w:t>
      </w:r>
    </w:p>
    <w:p>
      <w:pPr>
        <w:spacing w:after="0" w:line="174" w:lineRule="exact"/>
        <w:rPr>
          <w:rFonts w:ascii="Courier New" w:cs="Courier New" w:eastAsia="Courier New" w:hAnsi="Courier New"/>
          <w:sz w:val="15"/>
          <w:szCs w:val="15"/>
          <w:color w:val="auto"/>
        </w:rPr>
      </w:pPr>
    </w:p>
    <w:p>
      <w:pPr>
        <w:ind w:left="450" w:right="35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grants received relating to capital expenditure are shown as deferred income and credited to income on a basis consistent with the depreciation policy of the relevant assets.</w:t>
      </w:r>
    </w:p>
    <w:p>
      <w:pPr>
        <w:spacing w:after="0" w:line="174" w:lineRule="exact"/>
        <w:rPr>
          <w:rFonts w:ascii="Courier New" w:cs="Courier New" w:eastAsia="Courier New" w:hAnsi="Courier New"/>
          <w:sz w:val="15"/>
          <w:szCs w:val="15"/>
          <w:color w:val="auto"/>
        </w:rPr>
      </w:pPr>
    </w:p>
    <w:p>
      <w:pPr>
        <w:ind w:left="450" w:right="35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Grants relating to categories of operating expenditures are credited to income in the period in which the expenditure to which they relate is charged.</w:t>
      </w:r>
    </w:p>
    <w:p>
      <w:pPr>
        <w:spacing w:after="0" w:line="174"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w:t>
      </w:r>
    </w:p>
    <w:p>
      <w:pPr>
        <w:spacing w:after="0" w:line="178" w:lineRule="exact"/>
        <w:rPr>
          <w:rFonts w:ascii="Courier New" w:cs="Courier New" w:eastAsia="Courier New" w:hAnsi="Courier New"/>
          <w:sz w:val="15"/>
          <w:szCs w:val="15"/>
          <w:color w:val="auto"/>
        </w:rPr>
      </w:pPr>
    </w:p>
    <w:p>
      <w:pPr>
        <w:ind w:left="450" w:right="36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recognized any loss contingency having assessed as remote the likelihood of these events arising.</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costs</w:t>
      </w:r>
    </w:p>
    <w:p>
      <w:pPr>
        <w:spacing w:after="0" w:line="174"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176"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operates, through a subsidiary, a defined benefit plan for certain of its United Kingdom employees. The Company accounts for the costs of this plan using actuarial models required by SFAS No.87, "Employers Accounting for Pensions". Disclosures are presented in accordance with the requirements of SFAS No.132, "Employees' Disclosures about Pensions and Other Post-retirement Benefits".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ordinary share</w:t>
      </w:r>
    </w:p>
    <w:p>
      <w:pPr>
        <w:spacing w:after="0" w:line="174"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77"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Year Ended May 31,</w:t>
            </w:r>
          </w:p>
        </w:tc>
        <w:tc>
          <w:tcPr>
            <w:tcW w:w="900" w:type="dxa"/>
            <w:vAlign w:val="bottom"/>
          </w:tcPr>
          <w:p>
            <w:pPr>
              <w:spacing w:after="0"/>
              <w:rPr>
                <w:sz w:val="14"/>
                <w:szCs w:val="14"/>
                <w:color w:val="auto"/>
              </w:rPr>
            </w:pPr>
          </w:p>
        </w:tc>
      </w:tr>
      <w:tr>
        <w:trPr>
          <w:trHeight w:val="170"/>
        </w:trPr>
        <w:tc>
          <w:tcPr>
            <w:tcW w:w="4760" w:type="dxa"/>
            <w:vAlign w:val="bottom"/>
          </w:tcPr>
          <w:p>
            <w:pPr>
              <w:spacing w:after="0"/>
              <w:rPr>
                <w:sz w:val="14"/>
                <w:szCs w:val="14"/>
                <w:color w:val="auto"/>
              </w:rPr>
            </w:pPr>
          </w:p>
        </w:tc>
        <w:tc>
          <w:tcPr>
            <w:tcW w:w="1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18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w:t>
            </w:r>
          </w:p>
        </w:tc>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outstanding for basic net income per</w:t>
            </w:r>
          </w:p>
        </w:tc>
        <w:tc>
          <w:tcPr>
            <w:tcW w:w="1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ordinary share</w:t>
            </w:r>
          </w:p>
        </w:tc>
        <w:tc>
          <w:tcPr>
            <w:tcW w:w="1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11,292,610</w:t>
            </w:r>
          </w:p>
        </w:tc>
        <w:tc>
          <w:tcPr>
            <w:tcW w:w="18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11,656,153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11,813,788</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Effect of dilutive share options outstanding</w:t>
            </w:r>
          </w:p>
        </w:tc>
        <w:tc>
          <w:tcPr>
            <w:tcW w:w="1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651,239</w:t>
            </w:r>
          </w:p>
        </w:tc>
        <w:tc>
          <w:tcPr>
            <w:tcW w:w="18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582,908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367,306</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Effect of dilutive shares to be issued as part</w:t>
            </w:r>
          </w:p>
        </w:tc>
        <w:tc>
          <w:tcPr>
            <w:tcW w:w="1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of deferred consideration</w:t>
            </w:r>
          </w:p>
        </w:tc>
        <w:tc>
          <w:tcPr>
            <w:tcW w:w="1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2,759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 for</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diluted net income per ordinary share</w:t>
            </w:r>
          </w:p>
        </w:tc>
        <w:tc>
          <w:tcPr>
            <w:tcW w:w="1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11,943,849</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12,241,820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12,181,094</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9"/>
          </w:cols>
          <w:pgMar w:left="230" w:top="961" w:right="1440" w:bottom="565" w:gutter="0" w:footer="0" w:header="0"/>
        </w:sectPr>
      </w:pPr>
    </w:p>
    <w:bookmarkStart w:id="54" w:name="page55"/>
    <w:bookmarkEnd w:id="54"/>
    <w:p>
      <w:pPr>
        <w:ind w:left="450" w:hanging="450"/>
        <w:spacing w:after="0"/>
        <w:tabs>
          <w:tab w:leader="none" w:pos="4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174" w:lineRule="exact"/>
        <w:rPr>
          <w:rFonts w:ascii="Courier New" w:cs="Courier New" w:eastAsia="Courier New" w:hAnsi="Courier New"/>
          <w:sz w:val="15"/>
          <w:szCs w:val="15"/>
          <w:color w:val="auto"/>
        </w:rPr>
      </w:pPr>
    </w:p>
    <w:p>
      <w:pPr>
        <w:ind w:left="450" w:right="370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accounts for its share options in accordance with the provisions of SFAS No. 123, "Accounting for Stock-Based Compensation". SFAS No. 123 allows entities to continue to apply the provisions of Accounting Principles Board ("APB") Opinion No. 25, "Accounting for Stock Issued to Employees", and provide pro forma net income and pro forma earnings per share disclosures for employee stock option grants as if the fair-value-based method defined in SFAS No. 123 had been applied. APB No.</w:t>
      </w:r>
    </w:p>
    <w:p>
      <w:pPr>
        <w:spacing w:after="0" w:line="7" w:lineRule="exact"/>
        <w:rPr>
          <w:rFonts w:ascii="Courier New" w:cs="Courier New" w:eastAsia="Courier New" w:hAnsi="Courier New"/>
          <w:sz w:val="15"/>
          <w:szCs w:val="15"/>
          <w:color w:val="auto"/>
        </w:rPr>
      </w:pPr>
    </w:p>
    <w:p>
      <w:pPr>
        <w:ind w:left="450" w:right="3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25 permits entities to recognize as expense, over the vesting period, the fair value of all stock- based awards on the date of grant. The Company has elected to apply the provisions of APB Opinion No. 25 and provide the pro forma disclosure provisions of SFAS No. 123.</w:t>
      </w:r>
    </w:p>
    <w:p>
      <w:pPr>
        <w:spacing w:after="0" w:line="176" w:lineRule="exact"/>
        <w:rPr>
          <w:rFonts w:ascii="Courier New" w:cs="Courier New" w:eastAsia="Courier New" w:hAnsi="Courier New"/>
          <w:sz w:val="15"/>
          <w:szCs w:val="15"/>
          <w:color w:val="auto"/>
        </w:rPr>
      </w:pPr>
    </w:p>
    <w:p>
      <w:pPr>
        <w:jc w:val="both"/>
        <w:ind w:left="450" w:right="3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illustrates the effect on net income and earnings per share as if the fair value method of SFAS No. 123 had been applied to all outstanding and unvested stock options in each period.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 Ended May 31,</w:t>
            </w:r>
          </w:p>
        </w:tc>
        <w:tc>
          <w:tcPr>
            <w:tcW w:w="880" w:type="dxa"/>
            <w:vAlign w:val="bottom"/>
          </w:tcPr>
          <w:p>
            <w:pPr>
              <w:spacing w:after="0"/>
              <w:rPr>
                <w:sz w:val="14"/>
                <w:szCs w:val="14"/>
                <w:color w:val="auto"/>
              </w:rPr>
            </w:pPr>
          </w:p>
        </w:tc>
      </w:tr>
      <w:tr>
        <w:trPr>
          <w:trHeight w:val="170"/>
        </w:trPr>
        <w:tc>
          <w:tcPr>
            <w:tcW w:w="4600" w:type="dxa"/>
            <w:vAlign w:val="bottom"/>
          </w:tcPr>
          <w:p>
            <w:pPr>
              <w:spacing w:after="0"/>
              <w:rPr>
                <w:sz w:val="14"/>
                <w:szCs w:val="14"/>
                <w:color w:val="auto"/>
              </w:rPr>
            </w:pP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9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600" w:type="dxa"/>
            <w:vAlign w:val="bottom"/>
          </w:tcPr>
          <w:p>
            <w:pPr>
              <w:spacing w:after="0"/>
              <w:rPr>
                <w:sz w:val="14"/>
                <w:szCs w:val="14"/>
                <w:color w:val="auto"/>
              </w:rPr>
            </w:pPr>
          </w:p>
        </w:tc>
        <w:tc>
          <w:tcPr>
            <w:tcW w:w="48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339"/>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$10,978</w:t>
            </w: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$14,200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$18,283</w:t>
            </w:r>
          </w:p>
        </w:tc>
      </w:t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Add: Stock-based employee compensation</w:t>
            </w:r>
          </w:p>
        </w:tc>
        <w:tc>
          <w:tcPr>
            <w:tcW w:w="20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expense included in reported net income,</w:t>
            </w:r>
          </w:p>
        </w:tc>
        <w:tc>
          <w:tcPr>
            <w:tcW w:w="20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of related tax effects</w:t>
            </w: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Deduct: Total stock-based employee</w:t>
            </w:r>
          </w:p>
        </w:tc>
        <w:tc>
          <w:tcPr>
            <w:tcW w:w="20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compensation expense determined under</w:t>
            </w:r>
          </w:p>
        </w:tc>
        <w:tc>
          <w:tcPr>
            <w:tcW w:w="20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fair value based method for all awards,</w:t>
            </w:r>
          </w:p>
        </w:tc>
        <w:tc>
          <w:tcPr>
            <w:tcW w:w="20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of related tax effects</w:t>
            </w:r>
          </w:p>
        </w:tc>
        <w:tc>
          <w:tcPr>
            <w:tcW w:w="2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(1,190)</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(1,609)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(2,096)</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80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3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$9,788</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$12,591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$16,187</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020" w:type="dxa"/>
            <w:vAlign w:val="bottom"/>
            <w:gridSpan w:val="3"/>
          </w:tcPr>
          <w:p>
            <w:pPr>
              <w:spacing w:after="0"/>
              <w:rPr>
                <w:sz w:val="20"/>
                <w:szCs w:val="20"/>
                <w:color w:val="auto"/>
              </w:rPr>
            </w:pPr>
            <w:r>
              <w:rPr>
                <w:rFonts w:ascii="Courier New" w:cs="Courier New" w:eastAsia="Courier New" w:hAnsi="Courier New"/>
                <w:sz w:val="15"/>
                <w:szCs w:val="15"/>
                <w:color w:val="auto"/>
              </w:rPr>
              <w:t>Earnings per share:</w:t>
            </w:r>
          </w:p>
        </w:tc>
        <w:tc>
          <w:tcPr>
            <w:tcW w:w="3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020" w:type="dxa"/>
            <w:vAlign w:val="bottom"/>
            <w:gridSpan w:val="3"/>
          </w:tcPr>
          <w:p>
            <w:pPr>
              <w:spacing w:after="0"/>
              <w:rPr>
                <w:sz w:val="20"/>
                <w:szCs w:val="20"/>
                <w:color w:val="auto"/>
              </w:rPr>
            </w:pPr>
            <w:r>
              <w:rPr>
                <w:rFonts w:ascii="Courier New" w:cs="Courier New" w:eastAsia="Courier New" w:hAnsi="Courier New"/>
                <w:sz w:val="15"/>
                <w:szCs w:val="15"/>
                <w:color w:val="auto"/>
              </w:rPr>
              <w:t>Basic - as reported</w:t>
            </w:r>
          </w:p>
        </w:tc>
        <w:tc>
          <w:tcPr>
            <w:tcW w:w="3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$0.97</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0"/>
        </w:trPr>
        <w:tc>
          <w:tcPr>
            <w:tcW w:w="4020" w:type="dxa"/>
            <w:vAlign w:val="bottom"/>
            <w:gridSpan w:val="3"/>
          </w:tcPr>
          <w:p>
            <w:pPr>
              <w:spacing w:after="0"/>
              <w:rPr>
                <w:sz w:val="20"/>
                <w:szCs w:val="20"/>
                <w:color w:val="auto"/>
              </w:rPr>
            </w:pPr>
            <w:r>
              <w:rPr>
                <w:rFonts w:ascii="Courier New" w:cs="Courier New" w:eastAsia="Courier New" w:hAnsi="Courier New"/>
                <w:sz w:val="15"/>
                <w:szCs w:val="15"/>
                <w:color w:val="auto"/>
              </w:rPr>
              <w:t>Basic - pro forma</w:t>
            </w:r>
          </w:p>
        </w:tc>
        <w:tc>
          <w:tcPr>
            <w:tcW w:w="3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0.87</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as reported</w:t>
            </w:r>
          </w:p>
        </w:tc>
        <w:tc>
          <w:tcPr>
            <w:tcW w:w="3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0.92</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pro forma</w:t>
            </w:r>
          </w:p>
        </w:tc>
        <w:tc>
          <w:tcPr>
            <w:tcW w:w="3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0.82</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450" w:hanging="450"/>
        <w:spacing w:after="0"/>
        <w:tabs>
          <w:tab w:leader="none" w:pos="4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of long-lived assets</w:t>
      </w:r>
    </w:p>
    <w:p>
      <w:pPr>
        <w:spacing w:after="0" w:line="174" w:lineRule="exact"/>
        <w:rPr>
          <w:rFonts w:ascii="Courier New" w:cs="Courier New" w:eastAsia="Courier New" w:hAnsi="Courier New"/>
          <w:sz w:val="15"/>
          <w:szCs w:val="15"/>
          <w:color w:val="auto"/>
        </w:rPr>
      </w:pPr>
    </w:p>
    <w:p>
      <w:pPr>
        <w:ind w:left="450" w:right="370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Long 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selling costs.</w:t>
      </w:r>
    </w:p>
    <w:p>
      <w:pPr>
        <w:spacing w:after="0" w:line="342" w:lineRule="exact"/>
        <w:rPr>
          <w:sz w:val="20"/>
          <w:szCs w:val="20"/>
          <w:color w:val="auto"/>
        </w:rPr>
      </w:pPr>
    </w:p>
    <w:p>
      <w:pPr>
        <w:ind w:left="450" w:hanging="450"/>
        <w:spacing w:after="0"/>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 term investments - available for sale</w:t>
      </w:r>
    </w:p>
    <w:p>
      <w:pPr>
        <w:spacing w:after="0" w:line="174" w:lineRule="exact"/>
        <w:rPr>
          <w:rFonts w:ascii="Courier New" w:cs="Courier New" w:eastAsia="Courier New" w:hAnsi="Courier New"/>
          <w:sz w:val="15"/>
          <w:szCs w:val="15"/>
          <w:color w:val="auto"/>
        </w:rPr>
      </w:pPr>
    </w:p>
    <w:p>
      <w:pPr>
        <w:ind w:left="450" w:right="378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classified its entire investment portfolio comprising floating rate and medium term minimum "A" rated corporate securities, as available for sale. The investments are reported at fair value, with unrealized gains or losses reported in a separate component of shareholder equity. In the years to May 31, 2001, 2002 and 2003 no unrealized gains or losses arose. Any differences between the cost and fair value of the investments are represented by accrued interest.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750"/>
          </w:cols>
          <w:pgMar w:left="230" w:top="961" w:right="91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170"/>
        </w:trPr>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77"/>
              </w:rPr>
              <w:t>4.</w:t>
            </w:r>
          </w:p>
        </w:tc>
        <w:tc>
          <w:tcPr>
            <w:tcW w:w="6480" w:type="dxa"/>
            <w:vAlign w:val="bottom"/>
          </w:tcPr>
          <w:p>
            <w:pPr>
              <w:ind w:left="140"/>
              <w:spacing w:after="0"/>
              <w:rPr>
                <w:sz w:val="20"/>
                <w:szCs w:val="20"/>
                <w:color w:val="auto"/>
              </w:rPr>
            </w:pPr>
            <w:r>
              <w:rPr>
                <w:rFonts w:ascii="Courier New" w:cs="Courier New" w:eastAsia="Courier New" w:hAnsi="Courier New"/>
                <w:sz w:val="15"/>
                <w:szCs w:val="15"/>
                <w:color w:val="auto"/>
              </w:rPr>
              <w:t>Goodwill</w:t>
            </w:r>
          </w:p>
        </w:tc>
        <w:tc>
          <w:tcPr>
            <w:tcW w:w="2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48"/>
        </w:trPr>
        <w:tc>
          <w:tcPr>
            <w:tcW w:w="3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0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300" w:type="dxa"/>
            <w:vAlign w:val="bottom"/>
          </w:tcPr>
          <w:p>
            <w:pPr>
              <w:spacing w:after="0"/>
              <w:rPr>
                <w:sz w:val="24"/>
                <w:szCs w:val="24"/>
                <w:color w:val="auto"/>
              </w:rPr>
            </w:pPr>
          </w:p>
        </w:tc>
        <w:tc>
          <w:tcPr>
            <w:tcW w:w="6480" w:type="dxa"/>
            <w:vAlign w:val="bottom"/>
          </w:tcPr>
          <w:p>
            <w:pPr>
              <w:ind w:left="300"/>
              <w:spacing w:after="0"/>
              <w:rPr>
                <w:sz w:val="20"/>
                <w:szCs w:val="20"/>
                <w:color w:val="auto"/>
              </w:rPr>
            </w:pPr>
            <w:r>
              <w:rPr>
                <w:rFonts w:ascii="Courier New" w:cs="Courier New" w:eastAsia="Courier New" w:hAnsi="Courier New"/>
                <w:sz w:val="15"/>
                <w:szCs w:val="15"/>
                <w:color w:val="auto"/>
              </w:rPr>
              <w:t>Opening Goodwill</w:t>
            </w:r>
          </w:p>
        </w:tc>
        <w:tc>
          <w:tcPr>
            <w:tcW w:w="2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$6,642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$10,093</w:t>
            </w:r>
          </w:p>
        </w:tc>
      </w:tr>
      <w:tr>
        <w:trPr>
          <w:trHeight w:val="170"/>
        </w:trPr>
        <w:tc>
          <w:tcPr>
            <w:tcW w:w="300" w:type="dxa"/>
            <w:vAlign w:val="bottom"/>
          </w:tcPr>
          <w:p>
            <w:pPr>
              <w:spacing w:after="0"/>
              <w:rPr>
                <w:sz w:val="14"/>
                <w:szCs w:val="14"/>
                <w:color w:val="auto"/>
              </w:rPr>
            </w:pPr>
          </w:p>
        </w:tc>
        <w:tc>
          <w:tcPr>
            <w:tcW w:w="6480" w:type="dxa"/>
            <w:vAlign w:val="bottom"/>
          </w:tcPr>
          <w:p>
            <w:pPr>
              <w:ind w:left="300"/>
              <w:spacing w:after="0"/>
              <w:rPr>
                <w:sz w:val="20"/>
                <w:szCs w:val="20"/>
                <w:color w:val="auto"/>
              </w:rPr>
            </w:pPr>
            <w:r>
              <w:rPr>
                <w:rFonts w:ascii="Courier New" w:cs="Courier New" w:eastAsia="Courier New" w:hAnsi="Courier New"/>
                <w:sz w:val="15"/>
                <w:szCs w:val="15"/>
                <w:color w:val="auto"/>
              </w:rPr>
              <w:t>Arising during the year</w:t>
            </w:r>
          </w:p>
        </w:tc>
        <w:tc>
          <w:tcPr>
            <w:tcW w:w="2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32,302</w:t>
            </w:r>
          </w:p>
        </w:tc>
      </w:tr>
      <w:tr>
        <w:trPr>
          <w:trHeight w:val="170"/>
        </w:trPr>
        <w:tc>
          <w:tcPr>
            <w:tcW w:w="300" w:type="dxa"/>
            <w:vAlign w:val="bottom"/>
          </w:tcPr>
          <w:p>
            <w:pPr>
              <w:spacing w:after="0"/>
              <w:rPr>
                <w:sz w:val="14"/>
                <w:szCs w:val="14"/>
                <w:color w:val="auto"/>
              </w:rPr>
            </w:pPr>
          </w:p>
        </w:tc>
        <w:tc>
          <w:tcPr>
            <w:tcW w:w="6480" w:type="dxa"/>
            <w:vAlign w:val="bottom"/>
          </w:tcPr>
          <w:p>
            <w:pPr>
              <w:ind w:left="300"/>
              <w:spacing w:after="0"/>
              <w:rPr>
                <w:sz w:val="20"/>
                <w:szCs w:val="20"/>
                <w:color w:val="auto"/>
              </w:rPr>
            </w:pPr>
            <w:r>
              <w:rPr>
                <w:rFonts w:ascii="Courier New" w:cs="Courier New" w:eastAsia="Courier New" w:hAnsi="Courier New"/>
                <w:sz w:val="15"/>
                <w:szCs w:val="15"/>
                <w:color w:val="auto"/>
              </w:rPr>
              <w:t>Arising on earn-out (current and prior year acquisitions)</w:t>
            </w:r>
          </w:p>
        </w:tc>
        <w:tc>
          <w:tcPr>
            <w:tcW w:w="2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3,287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00" w:type="dxa"/>
            <w:vAlign w:val="bottom"/>
          </w:tcPr>
          <w:p>
            <w:pPr>
              <w:spacing w:after="0"/>
              <w:rPr>
                <w:sz w:val="14"/>
                <w:szCs w:val="14"/>
                <w:color w:val="auto"/>
              </w:rPr>
            </w:pPr>
          </w:p>
        </w:tc>
        <w:tc>
          <w:tcPr>
            <w:tcW w:w="6480" w:type="dxa"/>
            <w:vAlign w:val="bottom"/>
          </w:tcPr>
          <w:p>
            <w:pPr>
              <w:ind w:left="300"/>
              <w:spacing w:after="0"/>
              <w:rPr>
                <w:sz w:val="20"/>
                <w:szCs w:val="20"/>
                <w:color w:val="auto"/>
              </w:rPr>
            </w:pPr>
            <w:r>
              <w:rPr>
                <w:rFonts w:ascii="Courier New" w:cs="Courier New" w:eastAsia="Courier New" w:hAnsi="Courier New"/>
                <w:sz w:val="15"/>
                <w:szCs w:val="15"/>
                <w:color w:val="auto"/>
              </w:rPr>
              <w:t>Foreign exchange movement</w:t>
            </w:r>
          </w:p>
        </w:tc>
        <w:tc>
          <w:tcPr>
            <w:tcW w:w="2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631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Closing Goodwill</w:t>
            </w:r>
          </w:p>
        </w:tc>
        <w:tc>
          <w:tcPr>
            <w:tcW w:w="3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$10,093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$45,029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6480" w:type="dxa"/>
            <w:vAlign w:val="bottom"/>
          </w:tcPr>
          <w:p>
            <w:pPr>
              <w:spacing w:after="0"/>
              <w:rPr>
                <w:sz w:val="20"/>
                <w:szCs w:val="20"/>
                <w:color w:val="auto"/>
              </w:rPr>
            </w:pPr>
            <w:r>
              <w:rPr>
                <w:rFonts w:ascii="Courier New" w:cs="Courier New" w:eastAsia="Courier New" w:hAnsi="Courier New"/>
                <w:sz w:val="15"/>
                <w:szCs w:val="15"/>
                <w:color w:val="auto"/>
              </w:rPr>
              <w:t>The distribution of goodwill by business segment was as follows:</w:t>
            </w:r>
          </w:p>
        </w:tc>
        <w:tc>
          <w:tcPr>
            <w:tcW w:w="18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480" w:type="dxa"/>
            <w:vAlign w:val="bottom"/>
          </w:tcPr>
          <w:p>
            <w:pPr>
              <w:spacing w:after="0"/>
              <w:rPr>
                <w:sz w:val="14"/>
                <w:szCs w:val="14"/>
                <w:color w:val="auto"/>
              </w:rPr>
            </w:pPr>
          </w:p>
        </w:tc>
        <w:tc>
          <w:tcPr>
            <w:tcW w:w="18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6480" w:type="dxa"/>
            <w:vAlign w:val="bottom"/>
          </w:tcPr>
          <w:p>
            <w:pPr>
              <w:spacing w:after="0"/>
              <w:rPr>
                <w:sz w:val="14"/>
                <w:szCs w:val="14"/>
                <w:color w:val="auto"/>
              </w:rPr>
            </w:pPr>
          </w:p>
        </w:tc>
        <w:tc>
          <w:tcPr>
            <w:tcW w:w="28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648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8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$6,596</w:t>
            </w:r>
          </w:p>
        </w:tc>
      </w:tr>
      <w:tr>
        <w:trPr>
          <w:trHeight w:val="170"/>
        </w:trPr>
        <w:tc>
          <w:tcPr>
            <w:tcW w:w="648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8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38,433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8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$10,093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$45,029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50" w:right="3260"/>
        <w:spacing w:after="0" w:line="238" w:lineRule="auto"/>
        <w:rPr>
          <w:sz w:val="20"/>
          <w:szCs w:val="20"/>
          <w:color w:val="auto"/>
        </w:rPr>
      </w:pPr>
      <w:r>
        <w:rPr>
          <w:rFonts w:ascii="Courier New" w:cs="Courier New" w:eastAsia="Courier New" w:hAnsi="Courier New"/>
          <w:sz w:val="15"/>
          <w:szCs w:val="15"/>
          <w:color w:val="auto"/>
        </w:rPr>
        <w:t>In July 2001 the Financial Accounting Standards Board, or FASB, issued two new statements: SFAS No. 141, "Business Combinations", and SFAS No. 142, "Goodwill and Other Intangible Assets". Those Statements changed the accounting for business combinations and goodwill in two significant ways. First, SFAS No. 141 requires that the purchase method of accounting be used for all business combinations initiated after June 30, 2001. Use of the pooling-of-interests method is prohibited. Second, SFAS No. 142 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The Company has no intangible assets with infinite lives. Thus, amortization of goodwill, including goodwill recorded in past business combinations, ceased upon adoption of SFAS No. 142. The Company adopted SFAS No. 142, effective June 1, 2001.</w:t>
      </w:r>
    </w:p>
    <w:p>
      <w:pPr>
        <w:spacing w:after="0" w:line="186" w:lineRule="exact"/>
        <w:rPr>
          <w:sz w:val="20"/>
          <w:szCs w:val="20"/>
          <w:color w:val="auto"/>
        </w:rPr>
      </w:pPr>
    </w:p>
    <w:p>
      <w:pPr>
        <w:ind w:left="450" w:right="3520"/>
        <w:spacing w:after="0" w:line="237" w:lineRule="auto"/>
        <w:rPr>
          <w:sz w:val="20"/>
          <w:szCs w:val="20"/>
          <w:color w:val="auto"/>
        </w:rPr>
      </w:pPr>
      <w:r>
        <w:rPr>
          <w:rFonts w:ascii="Courier New" w:cs="Courier New" w:eastAsia="Courier New" w:hAnsi="Courier New"/>
          <w:sz w:val="15"/>
          <w:szCs w:val="15"/>
          <w:color w:val="auto"/>
        </w:rPr>
        <w:t>The following table reconciles the prior periods' reported net income to their prospective pro forma balances adjusted to exclude goodwill amortization, which is no longer recorded under SFAS No. 142:</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r>
      <w:tr>
        <w:trPr>
          <w:trHeight w:val="170"/>
        </w:trPr>
        <w:tc>
          <w:tcPr>
            <w:tcW w:w="340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ended May</w:t>
            </w:r>
          </w:p>
        </w:tc>
      </w:tr>
      <w:tr>
        <w:trPr>
          <w:trHeight w:val="170"/>
        </w:trPr>
        <w:tc>
          <w:tcPr>
            <w:tcW w:w="340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31, 2001</w:t>
            </w:r>
          </w:p>
        </w:tc>
      </w:tr>
      <w:tr>
        <w:trPr>
          <w:trHeight w:val="170"/>
        </w:trPr>
        <w:tc>
          <w:tcPr>
            <w:tcW w:w="3400" w:type="dxa"/>
            <w:vAlign w:val="bottom"/>
          </w:tcPr>
          <w:p>
            <w:pPr>
              <w:spacing w:after="0"/>
              <w:rPr>
                <w:sz w:val="14"/>
                <w:szCs w:val="14"/>
                <w:color w:val="auto"/>
              </w:rPr>
            </w:pPr>
          </w:p>
        </w:tc>
        <w:tc>
          <w:tcPr>
            <w:tcW w:w="2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40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except per share data)</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Reported net income</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$10,978</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Add back goodwill amortization</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610" w:type="dxa"/>
        <w:tblCellMar>
          <w:top w:w="0" w:type="dxa"/>
          <w:left w:w="0" w:type="dxa"/>
          <w:bottom w:w="0" w:type="dxa"/>
          <w:right w:w="0" w:type="dxa"/>
        </w:tblCellMar>
      </w:tblPr>
      <w:tr>
        <w:trPr>
          <w:trHeight w:val="169"/>
        </w:trPr>
        <w:tc>
          <w:tcPr>
            <w:tcW w:w="358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$11,188</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Basic net income per ordinary share</w:t>
            </w:r>
          </w:p>
        </w:tc>
        <w:tc>
          <w:tcPr>
            <w:tcW w:w="1860" w:type="dxa"/>
            <w:vAlign w:val="bottom"/>
          </w:tcPr>
          <w:p>
            <w:pPr>
              <w:spacing w:after="0"/>
              <w:rPr>
                <w:sz w:val="14"/>
                <w:szCs w:val="14"/>
                <w:color w:val="auto"/>
              </w:rPr>
            </w:pPr>
          </w:p>
        </w:tc>
      </w:t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Reported</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$0.97</w:t>
            </w:r>
          </w:p>
        </w:tc>
      </w:t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Add back goodwill amortization</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Adjusted basic net income per share</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$0.99</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Diluted net income per ordinary share</w:t>
            </w:r>
          </w:p>
        </w:tc>
        <w:tc>
          <w:tcPr>
            <w:tcW w:w="1760" w:type="dxa"/>
            <w:vAlign w:val="bottom"/>
          </w:tcPr>
          <w:p>
            <w:pPr>
              <w:spacing w:after="0"/>
              <w:rPr>
                <w:sz w:val="14"/>
                <w:szCs w:val="14"/>
                <w:color w:val="auto"/>
              </w:rPr>
            </w:pPr>
          </w:p>
        </w:tc>
      </w:t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Reported</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$0.92</w:t>
            </w:r>
          </w:p>
        </w:tc>
      </w:t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Add back goodwill amortization</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Adjusted diluted net income per share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$0.94</w:t>
            </w:r>
          </w:p>
        </w:tc>
      </w:tr>
    </w:tbl>
    <w:p>
      <w:pPr>
        <w:ind w:left="170" w:hanging="170"/>
        <w:spacing w:after="0"/>
        <w:tabs>
          <w:tab w:leader="none" w:pos="17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16" w:lineRule="exact"/>
        <w:rPr>
          <w:rFonts w:ascii="Courier New" w:cs="Courier New" w:eastAsia="Courier New" w:hAnsi="Courier New"/>
          <w:sz w:val="15"/>
          <w:szCs w:val="15"/>
          <w:color w:val="auto"/>
        </w:rPr>
      </w:pPr>
    </w:p>
    <w:p>
      <w:pPr>
        <w:ind w:left="3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50</w:t>
      </w:r>
    </w:p>
    <w:p>
      <w:pPr>
        <w:sectPr>
          <w:pgSz w:w="11900" w:h="16838" w:orient="portrait"/>
          <w:cols w:equalWidth="0" w:num="1">
            <w:col w:w="10310"/>
          </w:cols>
          <w:pgMar w:left="230" w:top="961" w:right="1359" w:bottom="565" w:gutter="0" w:footer="0" w:header="0"/>
        </w:sectPr>
      </w:pPr>
    </w:p>
    <w:bookmarkStart w:id="56" w:name="page57"/>
    <w:bookmarkEnd w:id="56"/>
    <w:p>
      <w:pPr>
        <w:ind w:left="450" w:hanging="450"/>
        <w:spacing w:after="0"/>
        <w:tabs>
          <w:tab w:leader="none" w:pos="4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YRCR Ltd.</w:t>
      </w:r>
    </w:p>
    <w:p>
      <w:pPr>
        <w:spacing w:after="0" w:line="174" w:lineRule="exact"/>
        <w:rPr>
          <w:rFonts w:ascii="Courier New" w:cs="Courier New" w:eastAsia="Courier New" w:hAnsi="Courier New"/>
          <w:sz w:val="15"/>
          <w:szCs w:val="15"/>
          <w:color w:val="auto"/>
        </w:rPr>
      </w:pPr>
    </w:p>
    <w:p>
      <w:pPr>
        <w:ind w:left="450" w:right="31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January 27, 2000, the Company acquired YRCR Limited ("YRCR"), a U.K. based regulatory consultancy company. The Company acquired YRCR in exchange for cash of Stg(pound)500,000 (U.S.$819,000) and 51,387 ordinary shares, the fair market value of which was Stg(pound)500,000 (U.S.$819,000) on the date the contract terms were agreed, excluding costs of acquisition. The acquisition of YRCR has been accounted for as a purchase.</w:t>
      </w:r>
    </w:p>
    <w:p>
      <w:pPr>
        <w:spacing w:after="0" w:line="163"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Earn-out provisions were built into the contract, over the period to May 2003 up to a maximum additional consideration of Stg(pound)2.0 million (U.S.$2.9 million). These earn-outs were paid in the form 50% cash and 50% shares. Additional purchase consideration was recorded as goodwill.</w:t>
      </w:r>
    </w:p>
    <w:p>
      <w:pPr>
        <w:spacing w:after="0" w:line="170"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3, 2000, an additional cash payment of Stg(pound)250,000</w:t>
      </w:r>
    </w:p>
    <w:p>
      <w:pPr>
        <w:spacing w:after="0" w:line="5" w:lineRule="exact"/>
        <w:rPr>
          <w:rFonts w:ascii="Courier New" w:cs="Courier New" w:eastAsia="Courier New" w:hAnsi="Courier New"/>
          <w:sz w:val="15"/>
          <w:szCs w:val="15"/>
          <w:color w:val="auto"/>
        </w:rPr>
      </w:pPr>
    </w:p>
    <w:p>
      <w:pPr>
        <w:jc w:val="both"/>
        <w:ind w:left="45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(U.S.$393,043) was made to YRCR as part of the earn-out provision. On May 31, 2000, an additional 24,272 ordinary shares were issued to YRCR with a fair market value of Stg(pound)250,000 (U.S.$367,500).</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the earn-out provisions, on August 31, 2001, an additional</w:t>
      </w:r>
    </w:p>
    <w:p>
      <w:pPr>
        <w:spacing w:after="0" w:line="5" w:lineRule="exact"/>
        <w:rPr>
          <w:rFonts w:ascii="Courier New" w:cs="Courier New" w:eastAsia="Courier New" w:hAnsi="Courier New"/>
          <w:sz w:val="15"/>
          <w:szCs w:val="15"/>
          <w:color w:val="auto"/>
        </w:rPr>
      </w:pPr>
    </w:p>
    <w:p>
      <w:pPr>
        <w:ind w:left="450" w:right="31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10,772 ordinary shares were issued to YRCR with a fair market value of Stg(pound)250,000 (U.S.$365,400), and, on September 3, 2001, an additional cash payment of Stg(pound)250,000 (U.S.$365,400) was made. Of these amounts Stg(pound)400,000 (U.S.$590,800) was provided at May 31, 2001, as the earn-out target had been reached, with the balance of Stg(pound)100,000 (U.S.$140,000) accounted for during the year ended May 31, 2002.</w:t>
      </w:r>
    </w:p>
    <w:p>
      <w:pPr>
        <w:spacing w:after="0" w:line="158"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30, 2002, an additional cash payment of Stg(pound)50,000</w:t>
      </w:r>
    </w:p>
    <w:p>
      <w:pPr>
        <w:spacing w:after="0" w:line="5"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(U.S.$77,526) was made to YRCR and on October 8, 2002, an additional 3,696 ordinary shares were issued to YRCR with a fair market value of Stg(pound)50,000 (U.S.$77,440) as part of the earn-out provisions. Both these earn out payments were accrued for at May 31, 2002.</w:t>
      </w:r>
    </w:p>
    <w:p>
      <w:pPr>
        <w:spacing w:after="0" w:line="176"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purchase price of U.S.$1,838,000 including costs of acquisition together with subsequent additional consideration of U.S.$1,646,309 for YRCR was allocated as follows:</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8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8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8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3,169</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879</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(689)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$3,484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left="450" w:hanging="450"/>
        <w:spacing w:after="0"/>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Protocole</w:t>
      </w:r>
    </w:p>
    <w:p>
      <w:pPr>
        <w:spacing w:after="0" w:line="174"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14, 2000, the Company acquired Protocole ("Protocole"), a Paris based veterinary CRO. The Company acquired Protocole for initial cash consideration of French Francs 4,000,000 (U.S.$586,240), excluding costs of acquisition. Earn-out provisions have been built into the acquisition contract requiring the potential payment of additional deferred consideration up to a maximum of French Francs 4,000,000 depending on the performance of Protocole over the period to May 31, 2003. None of the earn-out provisions have been reached at May 31, 2003. The acquisition of Protocole has been accounted for as a purchase.</w:t>
      </w:r>
    </w:p>
    <w:p>
      <w:pPr>
        <w:spacing w:after="0" w:line="172"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of U.S.$732,000 for Protocole was allocated as follows:</w:t>
      </w:r>
    </w:p>
    <w:p>
      <w:pPr>
        <w:spacing w:after="0" w:line="169" w:lineRule="exact"/>
        <w:rPr>
          <w:sz w:val="20"/>
          <w:szCs w:val="20"/>
          <w:color w:val="auto"/>
        </w:rPr>
      </w:pPr>
    </w:p>
    <w:p>
      <w:pPr>
        <w:ind w:left="4670"/>
        <w:spacing w:after="0"/>
        <w:rPr>
          <w:sz w:val="20"/>
          <w:szCs w:val="20"/>
          <w:color w:val="auto"/>
        </w:rPr>
      </w:pPr>
      <w:r>
        <w:rPr>
          <w:rFonts w:ascii="Courier New" w:cs="Courier New" w:eastAsia="Courier New" w:hAnsi="Courier New"/>
          <w:sz w:val="15"/>
          <w:szCs w:val="15"/>
          <w:color w:val="auto"/>
        </w:rPr>
        <w:t>(in thousands)</w:t>
      </w:r>
    </w:p>
    <w:p>
      <w:pPr>
        <w:ind w:left="610"/>
        <w:spacing w:after="0"/>
        <w:tabs>
          <w:tab w:leader="none" w:pos="5709" w:val="left"/>
        </w:tabs>
        <w:rPr>
          <w:sz w:val="20"/>
          <w:szCs w:val="20"/>
          <w:color w:val="auto"/>
        </w:rPr>
      </w:pPr>
      <w:r>
        <w:rPr>
          <w:rFonts w:ascii="Courier New" w:cs="Courier New" w:eastAsia="Courier New" w:hAnsi="Courier New"/>
          <w:sz w:val="15"/>
          <w:szCs w:val="15"/>
          <w:color w:val="auto"/>
        </w:rPr>
        <w:t>Property, plant and equipment</w:t>
      </w:r>
      <w:r>
        <w:rPr>
          <w:sz w:val="20"/>
          <w:szCs w:val="20"/>
          <w:color w:val="auto"/>
        </w:rPr>
        <w:tab/>
      </w:r>
      <w:r>
        <w:rPr>
          <w:rFonts w:ascii="Courier New" w:cs="Courier New" w:eastAsia="Courier New" w:hAnsi="Courier New"/>
          <w:sz w:val="14"/>
          <w:szCs w:val="14"/>
          <w:color w:val="auto"/>
        </w:rPr>
        <w:t>$12</w:t>
      </w:r>
    </w:p>
    <w:p>
      <w:pPr>
        <w:ind w:left="610"/>
        <w:spacing w:after="0"/>
        <w:tabs>
          <w:tab w:leader="none" w:pos="5709" w:val="left"/>
        </w:tabs>
        <w:rPr>
          <w:sz w:val="20"/>
          <w:szCs w:val="20"/>
          <w:color w:val="auto"/>
        </w:rPr>
      </w:pPr>
      <w:r>
        <w:rPr>
          <w:rFonts w:ascii="Courier New" w:cs="Courier New" w:eastAsia="Courier New" w:hAnsi="Courier New"/>
          <w:sz w:val="15"/>
          <w:szCs w:val="15"/>
          <w:color w:val="auto"/>
        </w:rPr>
        <w:t>Goodwill</w:t>
      </w:r>
      <w:r>
        <w:rPr>
          <w:sz w:val="20"/>
          <w:szCs w:val="20"/>
          <w:color w:val="auto"/>
        </w:rPr>
        <w:tab/>
      </w:r>
      <w:r>
        <w:rPr>
          <w:rFonts w:ascii="Courier New" w:cs="Courier New" w:eastAsia="Courier New" w:hAnsi="Courier New"/>
          <w:sz w:val="14"/>
          <w:szCs w:val="14"/>
          <w:color w:val="auto"/>
        </w:rPr>
        <w:t>731</w:t>
      </w:r>
    </w:p>
    <w:p>
      <w:pPr>
        <w:ind w:left="610"/>
        <w:spacing w:after="0"/>
        <w:tabs>
          <w:tab w:leader="none" w:pos="5709" w:val="left"/>
        </w:tabs>
        <w:rPr>
          <w:sz w:val="20"/>
          <w:szCs w:val="20"/>
          <w:color w:val="auto"/>
        </w:rPr>
      </w:pPr>
      <w:r>
        <w:rPr>
          <w:rFonts w:ascii="Courier New" w:cs="Courier New" w:eastAsia="Courier New" w:hAnsi="Courier New"/>
          <w:sz w:val="15"/>
          <w:szCs w:val="15"/>
          <w:color w:val="auto"/>
        </w:rPr>
        <w:t>Current assets.</w:t>
      </w:r>
      <w:r>
        <w:rPr>
          <w:sz w:val="20"/>
          <w:szCs w:val="20"/>
          <w:color w:val="auto"/>
        </w:rPr>
        <w:tab/>
      </w:r>
      <w:r>
        <w:rPr>
          <w:rFonts w:ascii="Courier New" w:cs="Courier New" w:eastAsia="Courier New" w:hAnsi="Courier New"/>
          <w:sz w:val="14"/>
          <w:szCs w:val="14"/>
          <w:color w:val="auto"/>
        </w:rPr>
        <w:t>114</w:t>
      </w:r>
    </w:p>
    <w:p>
      <w:pPr>
        <w:ind w:left="610"/>
        <w:spacing w:after="0"/>
        <w:tabs>
          <w:tab w:leader="none" w:pos="5629" w:val="left"/>
        </w:tabs>
        <w:rPr>
          <w:sz w:val="20"/>
          <w:szCs w:val="20"/>
          <w:color w:val="auto"/>
        </w:rPr>
      </w:pPr>
      <w:r>
        <w:rPr>
          <w:rFonts w:ascii="Courier New" w:cs="Courier New" w:eastAsia="Courier New" w:hAnsi="Courier New"/>
          <w:sz w:val="15"/>
          <w:szCs w:val="15"/>
          <w:color w:val="auto"/>
        </w:rPr>
        <w:t>Current liabilities</w:t>
      </w:r>
      <w:r>
        <w:rPr>
          <w:sz w:val="20"/>
          <w:szCs w:val="20"/>
          <w:color w:val="auto"/>
        </w:rPr>
        <w:tab/>
      </w:r>
      <w:r>
        <w:rPr>
          <w:rFonts w:ascii="Courier New" w:cs="Courier New" w:eastAsia="Courier New" w:hAnsi="Courier New"/>
          <w:sz w:val="14"/>
          <w:szCs w:val="14"/>
          <w:color w:val="auto"/>
        </w:rPr>
        <w:t>(125)</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10"/>
        <w:spacing w:after="0"/>
        <w:tabs>
          <w:tab w:leader="none" w:pos="5629" w:val="left"/>
        </w:tabs>
        <w:rPr>
          <w:sz w:val="20"/>
          <w:szCs w:val="20"/>
          <w:color w:val="auto"/>
        </w:rPr>
      </w:pPr>
      <w:r>
        <w:rPr>
          <w:rFonts w:ascii="Courier New" w:cs="Courier New" w:eastAsia="Courier New" w:hAnsi="Courier New"/>
          <w:sz w:val="15"/>
          <w:szCs w:val="15"/>
          <w:color w:val="auto"/>
        </w:rPr>
        <w:t>Purchase price</w:t>
      </w:r>
      <w:r>
        <w:rPr>
          <w:sz w:val="20"/>
          <w:szCs w:val="20"/>
          <w:color w:val="auto"/>
        </w:rPr>
        <w:tab/>
      </w:r>
      <w:r>
        <w:rPr>
          <w:rFonts w:ascii="Courier New" w:cs="Courier New" w:eastAsia="Courier New" w:hAnsi="Courier New"/>
          <w:sz w:val="14"/>
          <w:szCs w:val="14"/>
          <w:color w:val="auto"/>
        </w:rPr>
        <w:t>$732</w:t>
      </w:r>
    </w:p>
    <w:p>
      <w:pPr>
        <w:spacing w:after="0" w:line="5" w:lineRule="exact"/>
        <w:rPr>
          <w:sz w:val="20"/>
          <w:szCs w:val="20"/>
          <w:color w:val="auto"/>
        </w:rPr>
      </w:pPr>
    </w:p>
    <w:p>
      <w:pPr>
        <w:ind w:left="170" w:hanging="170"/>
        <w:spacing w:after="0"/>
        <w:tabs>
          <w:tab w:leader="none" w:pos="17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2"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51</w:t>
      </w:r>
    </w:p>
    <w:p>
      <w:pPr>
        <w:sectPr>
          <w:pgSz w:w="11900" w:h="16838" w:orient="portrait"/>
          <w:cols w:equalWidth="0" w:num="1">
            <w:col w:w="10229"/>
          </w:cols>
          <w:pgMar w:left="230" w:top="961" w:right="1440" w:bottom="1440" w:gutter="0" w:footer="0" w:header="0"/>
        </w:sectPr>
      </w:pPr>
    </w:p>
    <w:bookmarkStart w:id="57" w:name="page58"/>
    <w:bookmarkEnd w:id="57"/>
    <w:p>
      <w:pPr>
        <w:ind w:left="450" w:hanging="450"/>
        <w:spacing w:after="0"/>
        <w:tabs>
          <w:tab w:leader="none" w:pos="4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UCT (U.S.) Inc.</w:t>
      </w:r>
    </w:p>
    <w:p>
      <w:pPr>
        <w:spacing w:after="0" w:line="174" w:lineRule="exact"/>
        <w:rPr>
          <w:rFonts w:ascii="Courier New" w:cs="Courier New" w:eastAsia="Courier New" w:hAnsi="Courier New"/>
          <w:sz w:val="15"/>
          <w:szCs w:val="15"/>
          <w:color w:val="auto"/>
        </w:rPr>
      </w:pPr>
    </w:p>
    <w:p>
      <w:pPr>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June 8, 2000, the Company acquired UCT (U.S.) Inc. ("UCT"), subsequently renamed ICON Laboratories Inc., a central laboratory company based in New York, USA. The Company acquired UCT in exchange for cash of U.S.$1,200,000. Earn-out provisions were built into the acquisition contract requiring the potential payment of additional deferred consideration of U.S.$18 million depending on the performance of UCT over the period to May 31, 2003. The acquisition of UCT has been accounted for as a purchase.</w:t>
      </w:r>
    </w:p>
    <w:p>
      <w:pPr>
        <w:spacing w:after="0" w:line="167" w:lineRule="exact"/>
        <w:rPr>
          <w:rFonts w:ascii="Courier New" w:cs="Courier New" w:eastAsia="Courier New" w:hAnsi="Courier New"/>
          <w:sz w:val="15"/>
          <w:szCs w:val="15"/>
          <w:color w:val="auto"/>
        </w:rPr>
      </w:pPr>
    </w:p>
    <w:p>
      <w:pPr>
        <w:ind w:left="45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consideration paid was in the form of cash and was accounted for as goodwill.</w:t>
      </w:r>
    </w:p>
    <w:p>
      <w:pPr>
        <w:spacing w:after="0" w:line="175"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1, 2001, an additional cash payment of U.S.$2,250,000 was made to UCT as part of the earn-out provisions. The first earn-out target was reached as at May 31, 2001 and this consideration has been included in the purchase price below.</w:t>
      </w:r>
    </w:p>
    <w:p>
      <w:pPr>
        <w:spacing w:after="0" w:line="176"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30, 2002 the Company made a cash payment of U.S.$3,000,000 to the former shareholders of UCT (U.S.) Inc., under the terms of an earn out provision entered into on the acquisition of UCT on June 8, 2000. The earn-out target was reached at May 31, 2002 and this consideration was recorded at that date in the financial statements.</w:t>
      </w:r>
    </w:p>
    <w:p>
      <w:pPr>
        <w:spacing w:after="0" w:line="178"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of U.S.$7,003,000 including total earn-out provisions of U.S.$5,250,000 and acquisition costs of U.S.$553,000 was allocated as follows:</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2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6,667</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4,276</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(5,355)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$7,003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450" w:right="3619" w:hanging="450"/>
        <w:spacing w:after="0" w:line="235"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Barton &amp; Polansky Associates, Inc. and Managed Clinical Solutions, Inc.</w:t>
      </w:r>
    </w:p>
    <w:p>
      <w:pPr>
        <w:spacing w:after="0" w:line="175" w:lineRule="exact"/>
        <w:rPr>
          <w:rFonts w:ascii="Courier New" w:cs="Courier New" w:eastAsia="Courier New" w:hAnsi="Courier New"/>
          <w:sz w:val="15"/>
          <w:szCs w:val="15"/>
          <w:color w:val="auto"/>
        </w:rPr>
      </w:pPr>
    </w:p>
    <w:p>
      <w:pPr>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October 9, 2002, the Company acquired 100% of the outstanding shares of Barton &amp; Polansky Associates, Inc. ("BPA") and its sister company Managed Clinical Solutions, Inc. ("MCS"), both based in New York, USA, for an initial cash consideration of U.S.$15.7 million, excluding costs of acquisition which amounted to U.S.$0.8 million. Earn-out and working capital provisions have been built into the acquisition contract requiring the potential payment of additional deferred consideration up to a maximum of U.S.$18 million depending on the performance of MCS over the period to May 31, 2006. Such potential additional consideration will be accounted for as goodwill. The total amount of goodwill is expected to be tax deductible.</w:t>
      </w:r>
    </w:p>
    <w:p>
      <w:pPr>
        <w:spacing w:after="0" w:line="160"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20, 2002, and April 15, 2003, additional cash payments of</w:t>
      </w:r>
    </w:p>
    <w:p>
      <w:pPr>
        <w:spacing w:after="0" w:line="5" w:lineRule="exact"/>
        <w:rPr>
          <w:rFonts w:ascii="Courier New" w:cs="Courier New" w:eastAsia="Courier New" w:hAnsi="Courier New"/>
          <w:sz w:val="15"/>
          <w:szCs w:val="15"/>
          <w:color w:val="auto"/>
        </w:rPr>
      </w:pPr>
    </w:p>
    <w:p>
      <w:pPr>
        <w:ind w:left="45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U.S.$3.7 million and U.S.$0.3 million respectively were made to the former shareholders of BPA and MCS as part of the working capital provisions in the contract. The acquisitions of BPA and MCS have been accounted for as a purchase in accordance with SFAS No.141 "Business Combinations". The following table summarises the fair values of the assets acquired and the liabilities assumed at the date of acquisition.</w:t>
      </w:r>
    </w:p>
    <w:p>
      <w:pPr>
        <w:spacing w:after="0" w:line="170"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Property, plant &amp; equipment</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14,439</w:t>
            </w:r>
          </w:p>
        </w:tc>
      </w:t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9,533</w:t>
            </w:r>
          </w:p>
        </w:tc>
      </w:t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Bank overdraft</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(2,795)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$20,479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450" w:right="3179"/>
        <w:spacing w:after="0" w:line="235" w:lineRule="auto"/>
        <w:rPr>
          <w:sz w:val="20"/>
          <w:szCs w:val="20"/>
          <w:color w:val="auto"/>
        </w:rPr>
      </w:pPr>
      <w:r>
        <w:rPr>
          <w:rFonts w:ascii="Courier New" w:cs="Courier New" w:eastAsia="Courier New" w:hAnsi="Courier New"/>
          <w:sz w:val="15"/>
          <w:szCs w:val="15"/>
          <w:color w:val="auto"/>
        </w:rPr>
        <w:t>The results of BPA and MCS have been included in the consolidated financial statements from October 1, 2002.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9"/>
          </w:cols>
          <w:pgMar w:left="230" w:top="961" w:right="1440" w:bottom="1440" w:gutter="0" w:footer="0" w:header="0"/>
        </w:sectPr>
      </w:pPr>
    </w:p>
    <w:bookmarkStart w:id="58" w:name="page59"/>
    <w:bookmarkEnd w:id="58"/>
    <w:p>
      <w:pPr>
        <w:ind w:left="450" w:hanging="450"/>
        <w:spacing w:after="0"/>
        <w:tabs>
          <w:tab w:leader="none" w:pos="4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Medeval Group Ltd</w:t>
      </w:r>
    </w:p>
    <w:p>
      <w:pPr>
        <w:spacing w:after="0" w:line="174" w:lineRule="exact"/>
        <w:rPr>
          <w:rFonts w:ascii="Courier New" w:cs="Courier New" w:eastAsia="Courier New" w:hAnsi="Courier New"/>
          <w:sz w:val="15"/>
          <w:szCs w:val="15"/>
          <w:color w:val="auto"/>
        </w:rPr>
      </w:pPr>
    </w:p>
    <w:p>
      <w:pPr>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January 24, 2003, the Company acquired 100% of the outstanding shares of Medeval Group Limited ("Medeval") for an initial cash consideration of Stg(pound)9.5 million (U.S.$15.5 million), excluding costs of acquisition which amounted to U.S.$1.0 million. Earn-out provisions have been built into the acquisition contract requiring the potential payment of additional deferred consideration up to a maximum of Stg(pound)4.3 million (U.S.$6.9 million) depending on the performance of Medeval over the period to May 31, 2004. Such potential additional consideration will be accounted as goodwill. The total amount of goodwill is expected to be tax deductible.</w:t>
      </w:r>
    </w:p>
    <w:p>
      <w:pPr>
        <w:spacing w:after="0" w:line="166"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Stg(pound)1.4 million (U.S.$ 2.0 million) was accrued at May 31, 2003 as the first earn-out target was reached and this amount has been included in the purchase price below. The acquisition of Medeval has been accounted for as a purchase in accordance with SFAS No. 141, "Business Combinations". The following table summarises the fair values of the assets acquired and the liabilities assumed at the date of acquisition.</w:t>
      </w:r>
    </w:p>
    <w:p>
      <w:pPr>
        <w:spacing w:after="0" w:line="170"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2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$1,632</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19,866</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2,738</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Pension liabilities (see note 8)</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(2,588)</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Other current liabilities</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(3,113)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$18,535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left="450" w:right="3539"/>
        <w:spacing w:after="0" w:line="235" w:lineRule="auto"/>
        <w:rPr>
          <w:sz w:val="20"/>
          <w:szCs w:val="20"/>
          <w:color w:val="auto"/>
        </w:rPr>
      </w:pPr>
      <w:r>
        <w:rPr>
          <w:rFonts w:ascii="Courier New" w:cs="Courier New" w:eastAsia="Courier New" w:hAnsi="Courier New"/>
          <w:sz w:val="15"/>
          <w:szCs w:val="15"/>
          <w:color w:val="auto"/>
        </w:rPr>
        <w:t>The results of Medeval have been included in the consolidated financial statements from January 24, 2003.</w:t>
      </w:r>
    </w:p>
    <w:p>
      <w:pPr>
        <w:spacing w:after="0" w:line="176" w:lineRule="exact"/>
        <w:rPr>
          <w:sz w:val="20"/>
          <w:szCs w:val="20"/>
          <w:color w:val="auto"/>
        </w:rPr>
      </w:pPr>
    </w:p>
    <w:p>
      <w:pPr>
        <w:ind w:left="450" w:right="3179"/>
        <w:spacing w:after="0" w:line="260" w:lineRule="auto"/>
        <w:rPr>
          <w:sz w:val="20"/>
          <w:szCs w:val="20"/>
          <w:color w:val="auto"/>
        </w:rPr>
      </w:pPr>
      <w:r>
        <w:rPr>
          <w:rFonts w:ascii="Courier New" w:cs="Courier New" w:eastAsia="Courier New" w:hAnsi="Courier New"/>
          <w:sz w:val="14"/>
          <w:szCs w:val="14"/>
          <w:color w:val="auto"/>
        </w:rPr>
        <w:t>The proforma effect of the BPA, MCS and Medeval acquisitions if completed on June 1, 2002 would have resulted in net revenue, net income and earnings per share for the fiscal years ended May 31, 2002 and 2003 as follows:</w:t>
      </w:r>
    </w:p>
    <w:p>
      <w:pPr>
        <w:spacing w:after="0" w:line="157"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38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Year Ended May 31,</w:t>
            </w:r>
          </w:p>
        </w:tc>
      </w:tr>
      <w:tr>
        <w:trPr>
          <w:trHeight w:val="170"/>
        </w:trPr>
        <w:tc>
          <w:tcPr>
            <w:tcW w:w="2600" w:type="dxa"/>
            <w:vAlign w:val="bottom"/>
          </w:tcPr>
          <w:p>
            <w:pPr>
              <w:spacing w:after="0"/>
              <w:rPr>
                <w:sz w:val="14"/>
                <w:szCs w:val="14"/>
                <w:color w:val="auto"/>
              </w:rPr>
            </w:pPr>
          </w:p>
        </w:tc>
        <w:tc>
          <w:tcPr>
            <w:tcW w:w="26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600" w:type="dxa"/>
            <w:vAlign w:val="bottom"/>
          </w:tcPr>
          <w:p>
            <w:pPr>
              <w:spacing w:after="0"/>
              <w:rPr>
                <w:sz w:val="14"/>
                <w:szCs w:val="14"/>
                <w:color w:val="auto"/>
              </w:rPr>
            </w:pPr>
          </w:p>
        </w:tc>
        <w:tc>
          <w:tcPr>
            <w:tcW w:w="38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26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$189,762</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$243,348</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$16,674</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$19,140</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r>
    </w:tbl>
    <w:p>
      <w:pPr>
        <w:spacing w:after="0" w:line="344" w:lineRule="exact"/>
        <w:rPr>
          <w:sz w:val="20"/>
          <w:szCs w:val="20"/>
          <w:color w:val="auto"/>
        </w:rPr>
      </w:pPr>
    </w:p>
    <w:p>
      <w:pPr>
        <w:ind w:left="450" w:right="3179"/>
        <w:spacing w:after="0" w:line="238" w:lineRule="auto"/>
        <w:rPr>
          <w:sz w:val="20"/>
          <w:szCs w:val="20"/>
          <w:color w:val="auto"/>
        </w:rPr>
      </w:pPr>
      <w:r>
        <w:rPr>
          <w:rFonts w:ascii="Courier New" w:cs="Courier New" w:eastAsia="Courier New" w:hAnsi="Courier New"/>
          <w:sz w:val="15"/>
          <w:szCs w:val="15"/>
          <w:color w:val="auto"/>
        </w:rPr>
        <w:t>In August 2002, prior to the date of acquisition, a U.S.$900,000 distribution was made by BPA and MCS, to the former shareholders of BPA and MCS, which was recorded as other expenses. In July 2001 and 2002, distributions were paid to the former shareholders of Medeval by Medeval of Stg(pound)25,679 (U.S.$36,148) and Stg(pound)109,700 (U.S.$168,134) respectively which were also recorded as other expenses. These payments are included in the proforma results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9"/>
          </w:cols>
          <w:pgMar w:left="230" w:top="961" w:right="1440"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170"/>
        </w:trPr>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77"/>
              </w:rPr>
              <w:t>5.</w:t>
            </w:r>
          </w:p>
        </w:tc>
        <w:tc>
          <w:tcPr>
            <w:tcW w:w="3700" w:type="dxa"/>
            <w:vAlign w:val="bottom"/>
          </w:tcPr>
          <w:p>
            <w:pPr>
              <w:ind w:left="140"/>
              <w:spacing w:after="0"/>
              <w:rPr>
                <w:sz w:val="20"/>
                <w:szCs w:val="20"/>
                <w:color w:val="auto"/>
              </w:rPr>
            </w:pPr>
            <w:r>
              <w:rPr>
                <w:rFonts w:ascii="Courier New" w:cs="Courier New" w:eastAsia="Courier New" w:hAnsi="Courier New"/>
                <w:sz w:val="15"/>
                <w:szCs w:val="15"/>
                <w:color w:val="auto"/>
              </w:rPr>
              <w:t>Property, Plant and Equipment</w:t>
            </w: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9"/>
        </w:trPr>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3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(in thousands)</w:t>
            </w:r>
          </w:p>
        </w:tc>
      </w:tr>
      <w:tr>
        <w:trPr>
          <w:trHeight w:val="170"/>
        </w:trPr>
        <w:tc>
          <w:tcPr>
            <w:tcW w:w="300" w:type="dxa"/>
            <w:vAlign w:val="bottom"/>
          </w:tcPr>
          <w:p>
            <w:pPr>
              <w:spacing w:after="0"/>
              <w:rPr>
                <w:sz w:val="14"/>
                <w:szCs w:val="14"/>
                <w:color w:val="auto"/>
              </w:rPr>
            </w:pPr>
          </w:p>
        </w:tc>
        <w:tc>
          <w:tcPr>
            <w:tcW w:w="3700" w:type="dxa"/>
            <w:vAlign w:val="bottom"/>
          </w:tcPr>
          <w:p>
            <w:pPr>
              <w:ind w:left="300"/>
              <w:spacing w:after="0"/>
              <w:rPr>
                <w:sz w:val="20"/>
                <w:szCs w:val="20"/>
                <w:color w:val="auto"/>
              </w:rPr>
            </w:pPr>
            <w:r>
              <w:rPr>
                <w:rFonts w:ascii="Courier New" w:cs="Courier New" w:eastAsia="Courier New" w:hAnsi="Courier New"/>
                <w:sz w:val="15"/>
                <w:szCs w:val="15"/>
                <w:color w:val="auto"/>
              </w:rPr>
              <w:t>Cost</w:t>
            </w: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3700" w:type="dxa"/>
            <w:vAlign w:val="bottom"/>
          </w:tcPr>
          <w:p>
            <w:pPr>
              <w:ind w:left="300"/>
              <w:spacing w:after="0"/>
              <w:rPr>
                <w:sz w:val="20"/>
                <w:szCs w:val="20"/>
                <w:color w:val="auto"/>
              </w:rPr>
            </w:pPr>
            <w:r>
              <w:rPr>
                <w:rFonts w:ascii="Courier New" w:cs="Courier New" w:eastAsia="Courier New" w:hAnsi="Courier New"/>
                <w:sz w:val="15"/>
                <w:szCs w:val="15"/>
                <w:color w:val="auto"/>
              </w:rPr>
              <w:t>Land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$661</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$717</w:t>
            </w:r>
          </w:p>
        </w:tc>
      </w:tr>
      <w:tr>
        <w:trPr>
          <w:trHeight w:val="170"/>
        </w:trPr>
        <w:tc>
          <w:tcPr>
            <w:tcW w:w="300" w:type="dxa"/>
            <w:vAlign w:val="bottom"/>
          </w:tcPr>
          <w:p>
            <w:pPr>
              <w:spacing w:after="0"/>
              <w:rPr>
                <w:sz w:val="14"/>
                <w:szCs w:val="14"/>
                <w:color w:val="auto"/>
              </w:rPr>
            </w:pPr>
          </w:p>
        </w:tc>
        <w:tc>
          <w:tcPr>
            <w:tcW w:w="3700" w:type="dxa"/>
            <w:vAlign w:val="bottom"/>
          </w:tcPr>
          <w:p>
            <w:pPr>
              <w:ind w:left="300"/>
              <w:spacing w:after="0"/>
              <w:rPr>
                <w:sz w:val="20"/>
                <w:szCs w:val="20"/>
                <w:color w:val="auto"/>
              </w:rPr>
            </w:pPr>
            <w:r>
              <w:rPr>
                <w:rFonts w:ascii="Courier New" w:cs="Courier New" w:eastAsia="Courier New" w:hAnsi="Courier New"/>
                <w:sz w:val="15"/>
                <w:szCs w:val="15"/>
                <w:color w:val="auto"/>
              </w:rPr>
              <w:t>Building</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5,034</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7,874</w:t>
            </w:r>
          </w:p>
        </w:tc>
      </w:tr>
      <w:tr>
        <w:trPr>
          <w:trHeight w:val="170"/>
        </w:trPr>
        <w:tc>
          <w:tcPr>
            <w:tcW w:w="300" w:type="dxa"/>
            <w:vAlign w:val="bottom"/>
          </w:tcPr>
          <w:p>
            <w:pPr>
              <w:spacing w:after="0"/>
              <w:rPr>
                <w:sz w:val="14"/>
                <w:szCs w:val="14"/>
                <w:color w:val="auto"/>
              </w:rPr>
            </w:pPr>
          </w:p>
        </w:tc>
        <w:tc>
          <w:tcPr>
            <w:tcW w:w="3700" w:type="dxa"/>
            <w:vAlign w:val="bottom"/>
          </w:tcPr>
          <w:p>
            <w:pPr>
              <w:ind w:left="300"/>
              <w:spacing w:after="0"/>
              <w:rPr>
                <w:sz w:val="20"/>
                <w:szCs w:val="20"/>
                <w:color w:val="auto"/>
              </w:rPr>
            </w:pPr>
            <w:r>
              <w:rPr>
                <w:rFonts w:ascii="Courier New" w:cs="Courier New" w:eastAsia="Courier New" w:hAnsi="Courier New"/>
                <w:sz w:val="15"/>
                <w:szCs w:val="15"/>
                <w:color w:val="auto"/>
              </w:rPr>
              <w:t>Computer equipment and software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19,729</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33,558</w:t>
            </w:r>
          </w:p>
        </w:tc>
      </w:tr>
      <w:tr>
        <w:trPr>
          <w:trHeight w:val="170"/>
        </w:trPr>
        <w:tc>
          <w:tcPr>
            <w:tcW w:w="300" w:type="dxa"/>
            <w:vAlign w:val="bottom"/>
          </w:tcPr>
          <w:p>
            <w:pPr>
              <w:spacing w:after="0"/>
              <w:rPr>
                <w:sz w:val="14"/>
                <w:szCs w:val="14"/>
                <w:color w:val="auto"/>
              </w:rPr>
            </w:pPr>
          </w:p>
        </w:tc>
        <w:tc>
          <w:tcPr>
            <w:tcW w:w="3700" w:type="dxa"/>
            <w:vAlign w:val="bottom"/>
          </w:tcPr>
          <w:p>
            <w:pPr>
              <w:ind w:left="300"/>
              <w:spacing w:after="0"/>
              <w:rPr>
                <w:sz w:val="20"/>
                <w:szCs w:val="20"/>
                <w:color w:val="auto"/>
              </w:rPr>
            </w:pPr>
            <w:r>
              <w:rPr>
                <w:rFonts w:ascii="Courier New" w:cs="Courier New" w:eastAsia="Courier New" w:hAnsi="Courier New"/>
                <w:sz w:val="15"/>
                <w:szCs w:val="15"/>
                <w:color w:val="auto"/>
              </w:rPr>
              <w:t>Office furniture and fixtures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10,014</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13,418</w:t>
            </w:r>
          </w:p>
        </w:tc>
      </w:tr>
      <w:tr>
        <w:trPr>
          <w:trHeight w:val="170"/>
        </w:trPr>
        <w:tc>
          <w:tcPr>
            <w:tcW w:w="300" w:type="dxa"/>
            <w:vAlign w:val="bottom"/>
          </w:tcPr>
          <w:p>
            <w:pPr>
              <w:spacing w:after="0"/>
              <w:rPr>
                <w:sz w:val="14"/>
                <w:szCs w:val="14"/>
                <w:color w:val="auto"/>
              </w:rPr>
            </w:pPr>
          </w:p>
        </w:tc>
        <w:tc>
          <w:tcPr>
            <w:tcW w:w="3700" w:type="dxa"/>
            <w:vAlign w:val="bottom"/>
          </w:tcPr>
          <w:p>
            <w:pPr>
              <w:ind w:left="300"/>
              <w:spacing w:after="0"/>
              <w:rPr>
                <w:sz w:val="20"/>
                <w:szCs w:val="20"/>
                <w:color w:val="auto"/>
              </w:rPr>
            </w:pPr>
            <w:r>
              <w:rPr>
                <w:rFonts w:ascii="Courier New" w:cs="Courier New" w:eastAsia="Courier New" w:hAnsi="Courier New"/>
                <w:sz w:val="15"/>
                <w:szCs w:val="15"/>
                <w:color w:val="auto"/>
              </w:rPr>
              <w:t>Laboratory equipment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1,611</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3,685</w:t>
            </w:r>
          </w:p>
        </w:tc>
      </w:tr>
      <w:tr>
        <w:trPr>
          <w:trHeight w:val="170"/>
        </w:trPr>
        <w:tc>
          <w:tcPr>
            <w:tcW w:w="300" w:type="dxa"/>
            <w:vAlign w:val="bottom"/>
          </w:tcPr>
          <w:p>
            <w:pPr>
              <w:spacing w:after="0"/>
              <w:rPr>
                <w:sz w:val="14"/>
                <w:szCs w:val="14"/>
                <w:color w:val="auto"/>
              </w:rPr>
            </w:pPr>
          </w:p>
        </w:tc>
        <w:tc>
          <w:tcPr>
            <w:tcW w:w="3700" w:type="dxa"/>
            <w:vAlign w:val="bottom"/>
          </w:tcPr>
          <w:p>
            <w:pPr>
              <w:ind w:left="300"/>
              <w:spacing w:after="0"/>
              <w:rPr>
                <w:sz w:val="20"/>
                <w:szCs w:val="20"/>
                <w:color w:val="auto"/>
              </w:rPr>
            </w:pPr>
            <w:r>
              <w:rPr>
                <w:rFonts w:ascii="Courier New" w:cs="Courier New" w:eastAsia="Courier New" w:hAnsi="Courier New"/>
                <w:sz w:val="15"/>
                <w:szCs w:val="15"/>
                <w:color w:val="auto"/>
              </w:rPr>
              <w:t>Motor vehicles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300" w:type="dxa"/>
            <w:vAlign w:val="bottom"/>
          </w:tcPr>
          <w:p>
            <w:pPr>
              <w:spacing w:after="0"/>
              <w:rPr>
                <w:sz w:val="14"/>
                <w:szCs w:val="14"/>
                <w:color w:val="auto"/>
              </w:rPr>
            </w:pPr>
          </w:p>
        </w:tc>
        <w:tc>
          <w:tcPr>
            <w:tcW w:w="3700" w:type="dxa"/>
            <w:vAlign w:val="bottom"/>
          </w:tcPr>
          <w:p>
            <w:pPr>
              <w:ind w:left="300"/>
              <w:spacing w:after="0"/>
              <w:rPr>
                <w:sz w:val="20"/>
                <w:szCs w:val="20"/>
                <w:color w:val="auto"/>
              </w:rPr>
            </w:pPr>
            <w:r>
              <w:rPr>
                <w:rFonts w:ascii="Courier New" w:cs="Courier New" w:eastAsia="Courier New" w:hAnsi="Courier New"/>
                <w:sz w:val="15"/>
                <w:szCs w:val="15"/>
                <w:color w:val="auto"/>
              </w:rPr>
              <w:t>Leasehold improvements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6,033</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6,921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43,119</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66,211</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8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(17,637)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(26,708)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$25,482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$39,503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450" w:right="3539"/>
        <w:spacing w:after="0" w:line="237" w:lineRule="auto"/>
        <w:rPr>
          <w:sz w:val="20"/>
          <w:szCs w:val="20"/>
          <w:color w:val="auto"/>
        </w:rPr>
      </w:pPr>
      <w:r>
        <w:rPr>
          <w:rFonts w:ascii="Courier New" w:cs="Courier New" w:eastAsia="Courier New" w:hAnsi="Courier New"/>
          <w:sz w:val="15"/>
          <w:szCs w:val="15"/>
          <w:color w:val="auto"/>
        </w:rPr>
        <w:t>Total cost above at May 31, 2003 includes U.S.$524,632 (2002: U.S.$Nil) relating to assets acquired under capital finance leases. Related accumulated depreciation amounted to U.S.$36,272.</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77"/>
              </w:rPr>
              <w:t>6.</w:t>
            </w:r>
          </w:p>
        </w:tc>
        <w:tc>
          <w:tcPr>
            <w:tcW w:w="4180" w:type="dxa"/>
            <w:vAlign w:val="bottom"/>
          </w:tcPr>
          <w:p>
            <w:pPr>
              <w:ind w:left="140"/>
              <w:spacing w:after="0"/>
              <w:rPr>
                <w:sz w:val="20"/>
                <w:szCs w:val="20"/>
                <w:color w:val="auto"/>
              </w:rPr>
            </w:pPr>
            <w:r>
              <w:rPr>
                <w:rFonts w:ascii="Courier New" w:cs="Courier New" w:eastAsia="Courier New" w:hAnsi="Courier New"/>
                <w:sz w:val="15"/>
                <w:szCs w:val="15"/>
                <w:color w:val="auto"/>
              </w:rPr>
              <w:t>Other Liabilities</w:t>
            </w: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9"/>
        </w:trPr>
        <w:tc>
          <w:tcPr>
            <w:tcW w:w="3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(in thousands)</w:t>
            </w:r>
          </w:p>
        </w:tc>
      </w:tr>
      <w:tr>
        <w:trPr>
          <w:trHeight w:val="339"/>
        </w:trPr>
        <w:tc>
          <w:tcPr>
            <w:tcW w:w="300" w:type="dxa"/>
            <w:vAlign w:val="bottom"/>
          </w:tcPr>
          <w:p>
            <w:pPr>
              <w:spacing w:after="0"/>
              <w:rPr>
                <w:sz w:val="24"/>
                <w:szCs w:val="2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5"/>
                <w:szCs w:val="15"/>
                <w:color w:val="auto"/>
              </w:rPr>
              <w:t>Accrued liabilities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$7,625</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$13,562</w:t>
            </w:r>
          </w:p>
        </w:tc>
      </w:tr>
      <w:tr>
        <w:trPr>
          <w:trHeight w:val="170"/>
        </w:trPr>
        <w:tc>
          <w:tcPr>
            <w:tcW w:w="30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5"/>
                <w:szCs w:val="15"/>
                <w:color w:val="auto"/>
              </w:rPr>
              <w:t>Accrued bonuses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4,549</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8,542</w:t>
            </w:r>
          </w:p>
        </w:tc>
      </w:tr>
      <w:tr>
        <w:trPr>
          <w:trHeight w:val="170"/>
        </w:trPr>
        <w:tc>
          <w:tcPr>
            <w:tcW w:w="30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5"/>
                <w:szCs w:val="15"/>
                <w:color w:val="auto"/>
              </w:rPr>
              <w:t>Accrued social welfare costs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962</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1,301</w:t>
            </w:r>
          </w:p>
        </w:tc>
      </w:tr>
      <w:tr>
        <w:trPr>
          <w:trHeight w:val="170"/>
        </w:trPr>
        <w:tc>
          <w:tcPr>
            <w:tcW w:w="30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5"/>
                <w:szCs w:val="15"/>
                <w:color w:val="auto"/>
              </w:rPr>
              <w:t>Contingent purchase consideration payable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3,147</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0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5"/>
                <w:szCs w:val="15"/>
                <w:color w:val="auto"/>
              </w:rPr>
              <w:t>Short term government grants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30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5"/>
                <w:szCs w:val="15"/>
                <w:color w:val="auto"/>
              </w:rPr>
              <w:t>Accrued pension liability (note 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2,632</w:t>
            </w:r>
          </w:p>
        </w:tc>
      </w:tr>
      <w:tr>
        <w:trPr>
          <w:trHeight w:val="170"/>
        </w:trPr>
        <w:tc>
          <w:tcPr>
            <w:tcW w:w="30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5"/>
                <w:szCs w:val="15"/>
                <w:color w:val="auto"/>
              </w:rPr>
              <w:t>Short term finance leases (note 14)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670"/>
        <w:spacing w:after="0"/>
        <w:tabs>
          <w:tab w:leader="none" w:pos="6149" w:val="left"/>
        </w:tabs>
        <w:rPr>
          <w:sz w:val="20"/>
          <w:szCs w:val="20"/>
          <w:color w:val="auto"/>
        </w:rPr>
      </w:pPr>
      <w:r>
        <w:rPr>
          <w:rFonts w:ascii="Courier New" w:cs="Courier New" w:eastAsia="Courier New" w:hAnsi="Courier New"/>
          <w:sz w:val="15"/>
          <w:szCs w:val="15"/>
          <w:color w:val="auto"/>
        </w:rPr>
        <w:t>$16,308</w:t>
      </w:r>
      <w:r>
        <w:rPr>
          <w:sz w:val="20"/>
          <w:szCs w:val="20"/>
          <w:color w:val="auto"/>
        </w:rPr>
        <w:tab/>
      </w:r>
      <w:r>
        <w:rPr>
          <w:rFonts w:ascii="Courier New" w:cs="Courier New" w:eastAsia="Courier New" w:hAnsi="Courier New"/>
          <w:sz w:val="14"/>
          <w:szCs w:val="14"/>
          <w:color w:val="auto"/>
        </w:rPr>
        <w:t>$28,289</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450" w:hanging="450"/>
        <w:spacing w:after="0"/>
        <w:tabs>
          <w:tab w:leader="none" w:pos="4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Loans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short-term bank loan facilities as follows:</w:t>
      </w:r>
    </w:p>
    <w:p>
      <w:pPr>
        <w:spacing w:after="0" w:line="174" w:lineRule="exact"/>
        <w:rPr>
          <w:rFonts w:ascii="Courier New" w:cs="Courier New" w:eastAsia="Courier New" w:hAnsi="Courier New"/>
          <w:sz w:val="15"/>
          <w:szCs w:val="15"/>
          <w:color w:val="auto"/>
        </w:rPr>
      </w:pPr>
    </w:p>
    <w:p>
      <w:pPr>
        <w:ind w:left="45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17, 1998, the Company entered into an overdraft facility, (the A.I.B. facility) for E2.5million (U.S.$2.9million) with Allied Irish Banks plc, ("A.I.B"). This facility bears interest at an annual rate equal to A.I.B. Bank's Prime Rate. The full amount of the unpaid principal and interest is due and repayable on demand. This A.I.B. facility expires on June 30, 2003. As of May 31, 2003, the full amount of this facility was available to be drawn down.</w:t>
      </w:r>
    </w:p>
    <w:p>
      <w:pPr>
        <w:spacing w:after="0" w:line="176" w:lineRule="exact"/>
        <w:rPr>
          <w:rFonts w:ascii="Courier New" w:cs="Courier New" w:eastAsia="Courier New" w:hAnsi="Courier New"/>
          <w:sz w:val="15"/>
          <w:szCs w:val="15"/>
          <w:color w:val="auto"/>
        </w:rPr>
      </w:pPr>
    </w:p>
    <w:p>
      <w:pPr>
        <w:ind w:left="450" w:right="31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July 29, 2002, the Company entered into an additional A.I.B. facility for Stg (pound)50,000 (U.S.$81,746). This facility bears interest at an annual rate equal to A.I.B. Bank's Prime Rate plus two percent. The full amount of the unpaid principal and interest is due and repayable on demand. This A.I.B. facility expires on June 30, 2003. As of May 31, 2003, Stg (pound)8,816 (U.S.$14,413) of this facility was available to be drawn down.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9"/>
          </w:cols>
          <w:pgMar w:left="230" w:top="961" w:right="1440" w:bottom="1440" w:gutter="0" w:footer="0" w:header="0"/>
        </w:sectPr>
      </w:pPr>
    </w:p>
    <w:bookmarkStart w:id="60" w:name="page61"/>
    <w:bookmarkEnd w:id="60"/>
    <w:p>
      <w:pPr>
        <w:jc w:val="both"/>
        <w:ind w:left="450" w:right="3259"/>
        <w:spacing w:after="0" w:line="256" w:lineRule="auto"/>
        <w:rPr>
          <w:sz w:val="20"/>
          <w:szCs w:val="20"/>
          <w:color w:val="auto"/>
        </w:rPr>
      </w:pPr>
      <w:r>
        <w:rPr>
          <w:rFonts w:ascii="Courier New" w:cs="Courier New" w:eastAsia="Courier New" w:hAnsi="Courier New"/>
          <w:sz w:val="14"/>
          <w:szCs w:val="14"/>
          <w:color w:val="auto"/>
        </w:rPr>
        <w:t>The Company's U.S. subsidiary ICON Clinical Research, Inc.(the "borrower") has a U.S.$12 million secured line of credit (the "PNC facility") with PNC Bank N.A ("PNC"). Borrowings under the PNC Facility must be the lesser of</w:t>
      </w:r>
    </w:p>
    <w:p>
      <w:pPr>
        <w:spacing w:after="0" w:line="1" w:lineRule="exact"/>
        <w:rPr>
          <w:sz w:val="20"/>
          <w:szCs w:val="20"/>
          <w:color w:val="auto"/>
        </w:rPr>
      </w:pPr>
    </w:p>
    <w:p>
      <w:pPr>
        <w:ind w:left="450" w:right="3179" w:hanging="9"/>
        <w:spacing w:after="0" w:line="238" w:lineRule="auto"/>
        <w:tabs>
          <w:tab w:leader="none" w:pos="80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U.S.$12 million and (b) the sum of (i) 80% of the borrower's gross accounts receivable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 an annual rate equal to PNC's Prime Rate plus one quarter percent. The full sum of the unpaid principal and interest is due and payable on demand. The PNC Facility is secured by a first priority security interest in certain assets of the borrower. As of May 31, 2003, U.S.$5.1 million of this facility was available to be drawn down.</w:t>
      </w:r>
    </w:p>
    <w:p>
      <w:pPr>
        <w:spacing w:after="0" w:line="181" w:lineRule="exact"/>
        <w:rPr>
          <w:sz w:val="20"/>
          <w:szCs w:val="20"/>
          <w:color w:val="auto"/>
        </w:rPr>
      </w:pPr>
    </w:p>
    <w:p>
      <w:pPr>
        <w:ind w:left="450" w:right="3259"/>
        <w:spacing w:after="0" w:line="238" w:lineRule="auto"/>
        <w:rPr>
          <w:sz w:val="20"/>
          <w:szCs w:val="20"/>
          <w:color w:val="auto"/>
        </w:rPr>
      </w:pPr>
      <w:r>
        <w:rPr>
          <w:rFonts w:ascii="Courier New" w:cs="Courier New" w:eastAsia="Courier New" w:hAnsi="Courier New"/>
          <w:sz w:val="15"/>
          <w:szCs w:val="15"/>
          <w:color w:val="auto"/>
        </w:rPr>
        <w:t>The Company entered into an overdraft agreement with A.I.B., whereby the company guarantees any overdrafts of the subsidiaries ICON Clinical Research GmbH and ICON Clinical Research Israel Ltd. up to an amount E120,000 (U.S.$141,396) and U.S.$250,000 (ILS 1,100,013), respectively. As of May 31, 2003, the full German facility and Israeli facility were available to be drawn down.</w:t>
      </w:r>
    </w:p>
    <w:p>
      <w:pPr>
        <w:spacing w:after="0" w:line="200" w:lineRule="exact"/>
        <w:rPr>
          <w:sz w:val="20"/>
          <w:szCs w:val="20"/>
          <w:color w:val="auto"/>
        </w:rPr>
      </w:pPr>
    </w:p>
    <w:p>
      <w:pPr>
        <w:spacing w:after="0" w:line="309" w:lineRule="exact"/>
        <w:rPr>
          <w:sz w:val="20"/>
          <w:szCs w:val="20"/>
          <w:color w:val="auto"/>
        </w:rPr>
      </w:pPr>
    </w:p>
    <w:p>
      <w:pPr>
        <w:ind w:left="450" w:hanging="450"/>
        <w:spacing w:after="0"/>
        <w:tabs>
          <w:tab w:leader="none" w:pos="45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74" w:lineRule="exact"/>
        <w:rPr>
          <w:rFonts w:ascii="Courier New" w:cs="Courier New" w:eastAsia="Courier New" w:hAnsi="Courier New"/>
          <w:sz w:val="15"/>
          <w:szCs w:val="15"/>
          <w:color w:val="auto"/>
        </w:rPr>
      </w:pPr>
    </w:p>
    <w:p>
      <w:pPr>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Certain Company employees are eligible to participate in a defined contribution plan (the "Plan"). Participants in the Plan may elect to defer a portion of their pre-tax earnings into a pension plan, which is run by an independent party. The Company matches each participant's contributions up to 6% of the participant's annual compensation. Contributions to this plan are recorded, as expense in the Consolidated Statement of Operations. Contributions for the years ended May 31, 2001, 2002 and 2003 were U.S.$998,000, U.S.$1,265,000, and U.S.$1,649,793 respectively.</w:t>
      </w:r>
    </w:p>
    <w:p>
      <w:pPr>
        <w:spacing w:after="0" w:line="166" w:lineRule="exact"/>
        <w:rPr>
          <w:rFonts w:ascii="Courier New" w:cs="Courier New" w:eastAsia="Courier New" w:hAnsi="Courier New"/>
          <w:sz w:val="15"/>
          <w:szCs w:val="15"/>
          <w:color w:val="auto"/>
        </w:rPr>
      </w:pPr>
    </w:p>
    <w:p>
      <w:pPr>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May 31, 2001, 2002 and 2003 were U.S.$781,000, U.S.$1,320,000, and U.S.$1,811,156 respectively.</w:t>
      </w:r>
    </w:p>
    <w:p>
      <w:pPr>
        <w:spacing w:after="0" w:line="166"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One of the Company's subsidiaries which was acquired during the year, Medeval Group Limited, operates a defined benefit pension plan in the United Kingdom for its employees. The plan is managed externally and the related pension costs and liabilities are assessed in accordance with the advice of a professionally qualified actuary. Plan assets at May 31, 2003 consist of units held in independently administered funds. The pension costs of this plan are presented in the following tables in accordance with the requirements of SFAS No.132, "Employees' Disclosures about Pensions and Other Post-retirement Benefits".</w:t>
      </w:r>
    </w:p>
    <w:p>
      <w:pPr>
        <w:spacing w:after="0" w:line="173" w:lineRule="exact"/>
        <w:rPr>
          <w:sz w:val="20"/>
          <w:szCs w:val="20"/>
          <w:color w:val="auto"/>
        </w:rPr>
      </w:pPr>
    </w:p>
    <w:p>
      <w:pPr>
        <w:ind w:left="610"/>
        <w:spacing w:after="0"/>
        <w:tabs>
          <w:tab w:leader="none" w:pos="5789" w:val="left"/>
        </w:tabs>
        <w:rPr>
          <w:sz w:val="20"/>
          <w:szCs w:val="20"/>
          <w:color w:val="auto"/>
        </w:rPr>
      </w:pPr>
      <w:r>
        <w:rPr>
          <w:rFonts w:ascii="Courier New" w:cs="Courier New" w:eastAsia="Courier New" w:hAnsi="Courier New"/>
          <w:sz w:val="15"/>
          <w:szCs w:val="15"/>
          <w:color w:val="auto"/>
        </w:rPr>
        <w:t>Change in benefit obligation</w:t>
      </w:r>
      <w:r>
        <w:rPr>
          <w:sz w:val="20"/>
          <w:szCs w:val="20"/>
          <w:color w:val="auto"/>
        </w:rPr>
        <w:tab/>
      </w:r>
      <w:r>
        <w:rPr>
          <w:rFonts w:ascii="Courier New" w:cs="Courier New" w:eastAsia="Courier New" w:hAnsi="Courier New"/>
          <w:sz w:val="14"/>
          <w:szCs w:val="14"/>
          <w:color w:val="auto"/>
        </w:rPr>
        <w:t>May 31, 2003</w:t>
      </w:r>
    </w:p>
    <w:p>
      <w:pPr>
        <w:ind w:left="5210"/>
        <w:spacing w:after="0"/>
        <w:rPr>
          <w:sz w:val="20"/>
          <w:szCs w:val="20"/>
          <w:color w:val="auto"/>
        </w:rPr>
      </w:pPr>
      <w:r>
        <w:rPr>
          <w:rFonts w:ascii="Courier New" w:cs="Courier New" w:eastAsia="Courier New" w:hAnsi="Courier New"/>
          <w:sz w:val="15"/>
          <w:szCs w:val="15"/>
          <w:color w:val="auto"/>
        </w:rPr>
        <w:t>(in thousands)</w:t>
      </w:r>
    </w:p>
    <w:p>
      <w:pPr>
        <w:ind w:left="610"/>
        <w:spacing w:after="0"/>
        <w:tabs>
          <w:tab w:leader="none" w:pos="5889" w:val="left"/>
        </w:tabs>
        <w:rPr>
          <w:sz w:val="20"/>
          <w:szCs w:val="20"/>
          <w:color w:val="auto"/>
        </w:rPr>
      </w:pPr>
      <w:r>
        <w:rPr>
          <w:rFonts w:ascii="Courier New" w:cs="Courier New" w:eastAsia="Courier New" w:hAnsi="Courier New"/>
          <w:sz w:val="15"/>
          <w:szCs w:val="15"/>
          <w:color w:val="auto"/>
        </w:rPr>
        <w:t>Benefit obligation at acquisition date</w:t>
      </w:r>
      <w:r>
        <w:rPr>
          <w:sz w:val="20"/>
          <w:szCs w:val="20"/>
          <w:color w:val="auto"/>
        </w:rPr>
        <w:tab/>
      </w:r>
      <w:r>
        <w:rPr>
          <w:rFonts w:ascii="Courier New" w:cs="Courier New" w:eastAsia="Courier New" w:hAnsi="Courier New"/>
          <w:sz w:val="14"/>
          <w:szCs w:val="14"/>
          <w:color w:val="auto"/>
        </w:rPr>
        <w:t>$6,759</w:t>
      </w:r>
    </w:p>
    <w:p>
      <w:pPr>
        <w:ind w:left="610"/>
        <w:spacing w:after="0"/>
        <w:tabs>
          <w:tab w:leader="none" w:pos="6149" w:val="left"/>
        </w:tabs>
        <w:rPr>
          <w:sz w:val="20"/>
          <w:szCs w:val="20"/>
          <w:color w:val="auto"/>
        </w:rPr>
      </w:pPr>
      <w:r>
        <w:rPr>
          <w:rFonts w:ascii="Courier New" w:cs="Courier New" w:eastAsia="Courier New" w:hAnsi="Courier New"/>
          <w:sz w:val="15"/>
          <w:szCs w:val="15"/>
          <w:color w:val="auto"/>
        </w:rPr>
        <w:t>Service cost</w:t>
      </w:r>
      <w:r>
        <w:rPr>
          <w:sz w:val="20"/>
          <w:szCs w:val="20"/>
          <w:color w:val="auto"/>
        </w:rPr>
        <w:tab/>
      </w:r>
      <w:r>
        <w:rPr>
          <w:rFonts w:ascii="Courier New" w:cs="Courier New" w:eastAsia="Courier New" w:hAnsi="Courier New"/>
          <w:sz w:val="14"/>
          <w:szCs w:val="14"/>
          <w:color w:val="auto"/>
        </w:rPr>
        <w:t>186</w:t>
      </w:r>
    </w:p>
    <w:p>
      <w:pPr>
        <w:ind w:left="610"/>
        <w:spacing w:after="0"/>
        <w:tabs>
          <w:tab w:leader="none" w:pos="6149" w:val="left"/>
        </w:tabs>
        <w:rPr>
          <w:sz w:val="20"/>
          <w:szCs w:val="20"/>
          <w:color w:val="auto"/>
        </w:rPr>
      </w:pPr>
      <w:r>
        <w:rPr>
          <w:rFonts w:ascii="Courier New" w:cs="Courier New" w:eastAsia="Courier New" w:hAnsi="Courier New"/>
          <w:sz w:val="15"/>
          <w:szCs w:val="15"/>
          <w:color w:val="auto"/>
        </w:rPr>
        <w:t>Interest cost</w:t>
      </w:r>
      <w:r>
        <w:rPr>
          <w:sz w:val="20"/>
          <w:szCs w:val="20"/>
          <w:color w:val="auto"/>
        </w:rPr>
        <w:tab/>
      </w:r>
      <w:r>
        <w:rPr>
          <w:rFonts w:ascii="Courier New" w:cs="Courier New" w:eastAsia="Courier New" w:hAnsi="Courier New"/>
          <w:sz w:val="14"/>
          <w:szCs w:val="14"/>
          <w:color w:val="auto"/>
        </w:rPr>
        <w:t>127</w:t>
      </w:r>
    </w:p>
    <w:p>
      <w:pPr>
        <w:ind w:left="610"/>
        <w:spacing w:after="0"/>
        <w:tabs>
          <w:tab w:leader="none" w:pos="6229" w:val="left"/>
        </w:tabs>
        <w:rPr>
          <w:sz w:val="20"/>
          <w:szCs w:val="20"/>
          <w:color w:val="auto"/>
        </w:rPr>
      </w:pPr>
      <w:r>
        <w:rPr>
          <w:rFonts w:ascii="Courier New" w:cs="Courier New" w:eastAsia="Courier New" w:hAnsi="Courier New"/>
          <w:sz w:val="15"/>
          <w:szCs w:val="15"/>
          <w:color w:val="auto"/>
        </w:rPr>
        <w:t>Plan participants' contributions</w:t>
      </w:r>
      <w:r>
        <w:rPr>
          <w:sz w:val="20"/>
          <w:szCs w:val="20"/>
          <w:color w:val="auto"/>
        </w:rPr>
        <w:tab/>
      </w:r>
      <w:r>
        <w:rPr>
          <w:rFonts w:ascii="Courier New" w:cs="Courier New" w:eastAsia="Courier New" w:hAnsi="Courier New"/>
          <w:sz w:val="15"/>
          <w:szCs w:val="15"/>
          <w:color w:val="auto"/>
        </w:rPr>
        <w:t>96</w:t>
      </w:r>
    </w:p>
    <w:p>
      <w:pPr>
        <w:ind w:left="610"/>
        <w:spacing w:after="0" w:line="238" w:lineRule="auto"/>
        <w:tabs>
          <w:tab w:leader="none" w:pos="6149" w:val="left"/>
        </w:tabs>
        <w:rPr>
          <w:sz w:val="20"/>
          <w:szCs w:val="20"/>
          <w:color w:val="auto"/>
        </w:rPr>
      </w:pPr>
      <w:r>
        <w:rPr>
          <w:rFonts w:ascii="Courier New" w:cs="Courier New" w:eastAsia="Courier New" w:hAnsi="Courier New"/>
          <w:sz w:val="15"/>
          <w:szCs w:val="15"/>
          <w:color w:val="auto"/>
        </w:rPr>
        <w:t>Actuarial loss</w:t>
      </w:r>
      <w:r>
        <w:rPr>
          <w:sz w:val="20"/>
          <w:szCs w:val="20"/>
          <w:color w:val="auto"/>
        </w:rPr>
        <w:tab/>
      </w:r>
      <w:r>
        <w:rPr>
          <w:rFonts w:ascii="Courier New" w:cs="Courier New" w:eastAsia="Courier New" w:hAnsi="Courier New"/>
          <w:sz w:val="15"/>
          <w:szCs w:val="15"/>
          <w:color w:val="auto"/>
        </w:rPr>
        <w:t>(22)</w:t>
      </w:r>
    </w:p>
    <w:p>
      <w:pPr>
        <w:ind w:left="610"/>
        <w:spacing w:after="0"/>
        <w:tabs>
          <w:tab w:leader="none" w:pos="6229" w:val="left"/>
        </w:tabs>
        <w:rPr>
          <w:sz w:val="20"/>
          <w:szCs w:val="20"/>
          <w:color w:val="auto"/>
        </w:rPr>
      </w:pPr>
      <w:r>
        <w:rPr>
          <w:rFonts w:ascii="Courier New" w:cs="Courier New" w:eastAsia="Courier New" w:hAnsi="Courier New"/>
          <w:sz w:val="15"/>
          <w:szCs w:val="15"/>
          <w:color w:val="auto"/>
        </w:rPr>
        <w:t>Foreign currency exchange rate changes</w:t>
      </w:r>
      <w:r>
        <w:rPr>
          <w:sz w:val="20"/>
          <w:szCs w:val="20"/>
          <w:color w:val="auto"/>
        </w:rPr>
        <w:tab/>
      </w:r>
      <w:r>
        <w:rPr>
          <w:rFonts w:ascii="Courier New" w:cs="Courier New" w:eastAsia="Courier New" w:hAnsi="Courier New"/>
          <w:sz w:val="15"/>
          <w:szCs w:val="15"/>
          <w:color w:val="auto"/>
        </w:rPr>
        <w:t>61</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50"/>
        <w:spacing w:after="0"/>
        <w:tabs>
          <w:tab w:leader="none" w:pos="5889" w:val="left"/>
        </w:tabs>
        <w:rPr>
          <w:sz w:val="20"/>
          <w:szCs w:val="20"/>
          <w:color w:val="auto"/>
        </w:rPr>
      </w:pPr>
      <w:r>
        <w:rPr>
          <w:rFonts w:ascii="Courier New" w:cs="Courier New" w:eastAsia="Courier New" w:hAnsi="Courier New"/>
          <w:sz w:val="15"/>
          <w:szCs w:val="15"/>
          <w:color w:val="auto"/>
        </w:rPr>
        <w:t>Benefit obligation at end of year</w:t>
      </w:r>
      <w:r>
        <w:rPr>
          <w:sz w:val="20"/>
          <w:szCs w:val="20"/>
          <w:color w:val="auto"/>
        </w:rPr>
        <w:tab/>
      </w:r>
      <w:r>
        <w:rPr>
          <w:rFonts w:ascii="Courier New" w:cs="Courier New" w:eastAsia="Courier New" w:hAnsi="Courier New"/>
          <w:sz w:val="14"/>
          <w:szCs w:val="14"/>
          <w:color w:val="auto"/>
        </w:rPr>
        <w:t>$7,207</w:t>
      </w:r>
    </w:p>
    <w:p>
      <w:pPr>
        <w:spacing w:after="0" w:line="5" w:lineRule="exact"/>
        <w:rPr>
          <w:sz w:val="20"/>
          <w:szCs w:val="20"/>
          <w:color w:val="auto"/>
        </w:rPr>
      </w:pPr>
    </w:p>
    <w:p>
      <w:pPr>
        <w:ind w:left="170" w:hanging="170"/>
        <w:spacing w:after="0"/>
        <w:tabs>
          <w:tab w:leader="none" w:pos="17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3"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55</w:t>
      </w:r>
    </w:p>
    <w:p>
      <w:pPr>
        <w:sectPr>
          <w:pgSz w:w="11900" w:h="16838" w:orient="portrait"/>
          <w:cols w:equalWidth="0" w:num="1">
            <w:col w:w="10229"/>
          </w:cols>
          <w:pgMar w:left="230" w:top="966" w:right="1440" w:bottom="1440" w:gutter="0" w:footer="0" w:header="0"/>
        </w:sectPr>
      </w:pPr>
    </w:p>
    <w:bookmarkStart w:id="61" w:name="page62"/>
    <w:bookmarkEnd w:id="61"/>
    <w:p>
      <w:pPr>
        <w:ind w:left="610"/>
        <w:spacing w:after="0"/>
        <w:tabs>
          <w:tab w:leader="none" w:pos="5789" w:val="left"/>
        </w:tabs>
        <w:rPr>
          <w:sz w:val="20"/>
          <w:szCs w:val="20"/>
          <w:color w:val="auto"/>
        </w:rPr>
      </w:pPr>
      <w:r>
        <w:rPr>
          <w:rFonts w:ascii="Courier New" w:cs="Courier New" w:eastAsia="Courier New" w:hAnsi="Courier New"/>
          <w:sz w:val="15"/>
          <w:szCs w:val="15"/>
          <w:color w:val="auto"/>
        </w:rPr>
        <w:t>Change in plan assets</w:t>
      </w:r>
      <w:r>
        <w:rPr>
          <w:sz w:val="20"/>
          <w:szCs w:val="20"/>
          <w:color w:val="auto"/>
        </w:rPr>
        <w:tab/>
      </w:r>
      <w:r>
        <w:rPr>
          <w:rFonts w:ascii="Courier New" w:cs="Courier New" w:eastAsia="Courier New" w:hAnsi="Courier New"/>
          <w:sz w:val="14"/>
          <w:szCs w:val="14"/>
          <w:color w:val="auto"/>
        </w:rPr>
        <w:t>May 31, 2003</w:t>
      </w:r>
    </w:p>
    <w:p>
      <w:pPr>
        <w:ind w:left="5730"/>
        <w:spacing w:after="0"/>
        <w:rPr>
          <w:sz w:val="20"/>
          <w:szCs w:val="20"/>
          <w:color w:val="auto"/>
        </w:rPr>
      </w:pPr>
      <w:r>
        <w:rPr>
          <w:rFonts w:ascii="Courier New" w:cs="Courier New" w:eastAsia="Courier New" w:hAnsi="Courier New"/>
          <w:sz w:val="15"/>
          <w:szCs w:val="15"/>
          <w:color w:val="auto"/>
        </w:rPr>
        <w:t>(in thousands)</w:t>
      </w:r>
    </w:p>
    <w:p>
      <w:pPr>
        <w:ind w:left="610"/>
        <w:spacing w:after="0"/>
        <w:tabs>
          <w:tab w:leader="none" w:pos="6409" w:val="left"/>
        </w:tabs>
        <w:rPr>
          <w:sz w:val="20"/>
          <w:szCs w:val="20"/>
          <w:color w:val="auto"/>
        </w:rPr>
      </w:pPr>
      <w:r>
        <w:rPr>
          <w:rFonts w:ascii="Courier New" w:cs="Courier New" w:eastAsia="Courier New" w:hAnsi="Courier New"/>
          <w:sz w:val="15"/>
          <w:szCs w:val="15"/>
          <w:color w:val="auto"/>
        </w:rPr>
        <w:t>Fair value of plan assets at acquisition date</w:t>
      </w:r>
      <w:r>
        <w:rPr>
          <w:sz w:val="20"/>
          <w:szCs w:val="20"/>
          <w:color w:val="auto"/>
        </w:rPr>
        <w:tab/>
      </w:r>
      <w:r>
        <w:rPr>
          <w:rFonts w:ascii="Courier New" w:cs="Courier New" w:eastAsia="Courier New" w:hAnsi="Courier New"/>
          <w:sz w:val="15"/>
          <w:szCs w:val="15"/>
          <w:color w:val="auto"/>
        </w:rPr>
        <w:t>$4,171</w:t>
      </w:r>
    </w:p>
    <w:p>
      <w:pPr>
        <w:ind w:left="610"/>
        <w:spacing w:after="0"/>
        <w:tabs>
          <w:tab w:leader="none" w:pos="6589" w:val="left"/>
        </w:tabs>
        <w:rPr>
          <w:sz w:val="20"/>
          <w:szCs w:val="20"/>
          <w:color w:val="auto"/>
        </w:rPr>
      </w:pPr>
      <w:r>
        <w:rPr>
          <w:rFonts w:ascii="Courier New" w:cs="Courier New" w:eastAsia="Courier New" w:hAnsi="Courier New"/>
          <w:sz w:val="15"/>
          <w:szCs w:val="15"/>
          <w:color w:val="auto"/>
        </w:rPr>
        <w:t>Actual return on plan assets</w:t>
      </w:r>
      <w:r>
        <w:rPr>
          <w:sz w:val="20"/>
          <w:szCs w:val="20"/>
          <w:color w:val="auto"/>
        </w:rPr>
        <w:tab/>
      </w:r>
      <w:r>
        <w:rPr>
          <w:rFonts w:ascii="Courier New" w:cs="Courier New" w:eastAsia="Courier New" w:hAnsi="Courier New"/>
          <w:sz w:val="14"/>
          <w:szCs w:val="14"/>
          <w:color w:val="auto"/>
        </w:rPr>
        <w:t>(148)</w:t>
      </w:r>
    </w:p>
    <w:p>
      <w:pPr>
        <w:ind w:left="610"/>
        <w:spacing w:after="0"/>
        <w:tabs>
          <w:tab w:leader="none" w:pos="6669" w:val="left"/>
        </w:tabs>
        <w:rPr>
          <w:sz w:val="20"/>
          <w:szCs w:val="20"/>
          <w:color w:val="auto"/>
        </w:rPr>
      </w:pPr>
      <w:r>
        <w:rPr>
          <w:rFonts w:ascii="Courier New" w:cs="Courier New" w:eastAsia="Courier New" w:hAnsi="Courier New"/>
          <w:sz w:val="15"/>
          <w:szCs w:val="15"/>
          <w:color w:val="auto"/>
        </w:rPr>
        <w:t>Employer contributions</w:t>
      </w:r>
      <w:r>
        <w:rPr>
          <w:sz w:val="20"/>
          <w:szCs w:val="20"/>
          <w:color w:val="auto"/>
        </w:rPr>
        <w:tab/>
      </w:r>
      <w:r>
        <w:rPr>
          <w:rFonts w:ascii="Courier New" w:cs="Courier New" w:eastAsia="Courier New" w:hAnsi="Courier New"/>
          <w:sz w:val="15"/>
          <w:szCs w:val="15"/>
          <w:color w:val="auto"/>
        </w:rPr>
        <w:t>221</w:t>
      </w:r>
    </w:p>
    <w:p>
      <w:pPr>
        <w:ind w:left="610"/>
        <w:spacing w:after="0"/>
        <w:tabs>
          <w:tab w:leader="none" w:pos="6769" w:val="left"/>
        </w:tabs>
        <w:rPr>
          <w:sz w:val="20"/>
          <w:szCs w:val="20"/>
          <w:color w:val="auto"/>
        </w:rPr>
      </w:pPr>
      <w:r>
        <w:rPr>
          <w:rFonts w:ascii="Courier New" w:cs="Courier New" w:eastAsia="Courier New" w:hAnsi="Courier New"/>
          <w:sz w:val="15"/>
          <w:szCs w:val="15"/>
          <w:color w:val="auto"/>
        </w:rPr>
        <w:t>Plan participants' contributions</w:t>
      </w:r>
      <w:r>
        <w:rPr>
          <w:sz w:val="20"/>
          <w:szCs w:val="20"/>
          <w:color w:val="auto"/>
        </w:rPr>
        <w:tab/>
      </w:r>
      <w:r>
        <w:rPr>
          <w:rFonts w:ascii="Courier New" w:cs="Courier New" w:eastAsia="Courier New" w:hAnsi="Courier New"/>
          <w:sz w:val="15"/>
          <w:szCs w:val="15"/>
          <w:color w:val="auto"/>
        </w:rPr>
        <w:t>96</w:t>
      </w:r>
    </w:p>
    <w:p>
      <w:pPr>
        <w:ind w:left="610"/>
        <w:spacing w:after="0" w:line="238" w:lineRule="auto"/>
        <w:tabs>
          <w:tab w:leader="none" w:pos="6769" w:val="left"/>
        </w:tabs>
        <w:rPr>
          <w:sz w:val="20"/>
          <w:szCs w:val="20"/>
          <w:color w:val="auto"/>
        </w:rPr>
      </w:pPr>
      <w:r>
        <w:rPr>
          <w:rFonts w:ascii="Courier New" w:cs="Courier New" w:eastAsia="Courier New" w:hAnsi="Courier New"/>
          <w:sz w:val="15"/>
          <w:szCs w:val="15"/>
          <w:color w:val="auto"/>
        </w:rPr>
        <w:t>Foreign currency exchange rate changes</w:t>
      </w:r>
      <w:r>
        <w:rPr>
          <w:sz w:val="20"/>
          <w:szCs w:val="20"/>
          <w:color w:val="auto"/>
        </w:rPr>
        <w:tab/>
      </w:r>
      <w:r>
        <w:rPr>
          <w:rFonts w:ascii="Courier New" w:cs="Courier New" w:eastAsia="Courier New" w:hAnsi="Courier New"/>
          <w:sz w:val="15"/>
          <w:szCs w:val="15"/>
          <w:color w:val="auto"/>
        </w:rPr>
        <w:t>38</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10"/>
        <w:spacing w:after="0"/>
        <w:tabs>
          <w:tab w:leader="none" w:pos="6409" w:val="left"/>
        </w:tabs>
        <w:rPr>
          <w:sz w:val="20"/>
          <w:szCs w:val="20"/>
          <w:color w:val="auto"/>
        </w:rPr>
      </w:pPr>
      <w:r>
        <w:rPr>
          <w:rFonts w:ascii="Courier New" w:cs="Courier New" w:eastAsia="Courier New" w:hAnsi="Courier New"/>
          <w:sz w:val="15"/>
          <w:szCs w:val="15"/>
          <w:color w:val="auto"/>
        </w:rPr>
        <w:t>Fair value of plan assets at end of year</w:t>
      </w:r>
      <w:r>
        <w:rPr>
          <w:sz w:val="20"/>
          <w:szCs w:val="20"/>
          <w:color w:val="auto"/>
        </w:rPr>
        <w:tab/>
      </w:r>
      <w:r>
        <w:rPr>
          <w:rFonts w:ascii="Courier New" w:cs="Courier New" w:eastAsia="Courier New" w:hAnsi="Courier New"/>
          <w:sz w:val="15"/>
          <w:szCs w:val="15"/>
          <w:color w:val="auto"/>
        </w:rPr>
        <w:t>$4,378</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610"/>
        <w:spacing w:after="0"/>
        <w:tabs>
          <w:tab w:leader="none" w:pos="5889" w:val="left"/>
        </w:tabs>
        <w:rPr>
          <w:sz w:val="20"/>
          <w:szCs w:val="20"/>
          <w:color w:val="auto"/>
        </w:rPr>
      </w:pPr>
      <w:r>
        <w:rPr>
          <w:rFonts w:ascii="Courier New" w:cs="Courier New" w:eastAsia="Courier New" w:hAnsi="Courier New"/>
          <w:sz w:val="15"/>
          <w:szCs w:val="15"/>
          <w:color w:val="auto"/>
        </w:rPr>
        <w:t>Funded status</w:t>
      </w:r>
      <w:r>
        <w:rPr>
          <w:sz w:val="20"/>
          <w:szCs w:val="20"/>
          <w:color w:val="auto"/>
        </w:rPr>
        <w:tab/>
      </w:r>
      <w:r>
        <w:rPr>
          <w:rFonts w:ascii="Courier New" w:cs="Courier New" w:eastAsia="Courier New" w:hAnsi="Courier New"/>
          <w:sz w:val="14"/>
          <w:szCs w:val="14"/>
          <w:color w:val="auto"/>
        </w:rPr>
        <w:t>May 31, 2003</w:t>
      </w:r>
    </w:p>
    <w:p>
      <w:pPr>
        <w:ind w:left="5730"/>
        <w:spacing w:after="0"/>
        <w:rPr>
          <w:sz w:val="20"/>
          <w:szCs w:val="20"/>
          <w:color w:val="auto"/>
        </w:rPr>
      </w:pPr>
      <w:r>
        <w:rPr>
          <w:rFonts w:ascii="Courier New" w:cs="Courier New" w:eastAsia="Courier New" w:hAnsi="Courier New"/>
          <w:sz w:val="15"/>
          <w:szCs w:val="15"/>
          <w:color w:val="auto"/>
        </w:rPr>
        <w:t>(in thousands)</w:t>
      </w:r>
    </w:p>
    <w:p>
      <w:pPr>
        <w:ind w:left="610"/>
        <w:spacing w:after="0"/>
        <w:tabs>
          <w:tab w:leader="none" w:pos="6329" w:val="left"/>
        </w:tabs>
        <w:rPr>
          <w:sz w:val="20"/>
          <w:szCs w:val="20"/>
          <w:color w:val="auto"/>
        </w:rPr>
      </w:pPr>
      <w:r>
        <w:rPr>
          <w:rFonts w:ascii="Courier New" w:cs="Courier New" w:eastAsia="Courier New" w:hAnsi="Courier New"/>
          <w:sz w:val="15"/>
          <w:szCs w:val="15"/>
          <w:color w:val="auto"/>
        </w:rPr>
        <w:t>Funded status</w:t>
      </w:r>
      <w:r>
        <w:rPr>
          <w:sz w:val="20"/>
          <w:szCs w:val="20"/>
          <w:color w:val="auto"/>
        </w:rPr>
        <w:tab/>
      </w:r>
      <w:r>
        <w:rPr>
          <w:rFonts w:ascii="Courier New" w:cs="Courier New" w:eastAsia="Courier New" w:hAnsi="Courier New"/>
          <w:sz w:val="14"/>
          <w:szCs w:val="14"/>
          <w:color w:val="auto"/>
        </w:rPr>
        <w:t>$(2,829)</w:t>
      </w:r>
    </w:p>
    <w:p>
      <w:pPr>
        <w:ind w:left="610"/>
        <w:spacing w:after="0" w:line="238" w:lineRule="auto"/>
        <w:tabs>
          <w:tab w:leader="none" w:pos="6669" w:val="left"/>
        </w:tabs>
        <w:rPr>
          <w:sz w:val="20"/>
          <w:szCs w:val="20"/>
          <w:color w:val="auto"/>
        </w:rPr>
      </w:pPr>
      <w:r>
        <w:rPr>
          <w:rFonts w:ascii="Courier New" w:cs="Courier New" w:eastAsia="Courier New" w:hAnsi="Courier New"/>
          <w:sz w:val="15"/>
          <w:szCs w:val="15"/>
          <w:color w:val="auto"/>
        </w:rPr>
        <w:t>Unrecognized net loss</w:t>
      </w:r>
      <w:r>
        <w:rPr>
          <w:sz w:val="20"/>
          <w:szCs w:val="20"/>
          <w:color w:val="auto"/>
        </w:rPr>
        <w:tab/>
      </w:r>
      <w:r>
        <w:rPr>
          <w:rFonts w:ascii="Courier New" w:cs="Courier New" w:eastAsia="Courier New" w:hAnsi="Courier New"/>
          <w:sz w:val="15"/>
          <w:szCs w:val="15"/>
          <w:color w:val="auto"/>
        </w:rPr>
        <w:t>197</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10"/>
        <w:spacing w:after="0"/>
        <w:tabs>
          <w:tab w:leader="none" w:pos="6329" w:val="left"/>
        </w:tabs>
        <w:rPr>
          <w:sz w:val="20"/>
          <w:szCs w:val="20"/>
          <w:color w:val="auto"/>
        </w:rPr>
      </w:pPr>
      <w:r>
        <w:rPr>
          <w:rFonts w:ascii="Courier New" w:cs="Courier New" w:eastAsia="Courier New" w:hAnsi="Courier New"/>
          <w:sz w:val="15"/>
          <w:szCs w:val="15"/>
          <w:color w:val="auto"/>
        </w:rPr>
        <w:t>Pension liability</w:t>
      </w:r>
      <w:r>
        <w:rPr>
          <w:sz w:val="20"/>
          <w:szCs w:val="20"/>
          <w:color w:val="auto"/>
        </w:rPr>
        <w:tab/>
      </w:r>
      <w:r>
        <w:rPr>
          <w:rFonts w:ascii="Courier New" w:cs="Courier New" w:eastAsia="Courier New" w:hAnsi="Courier New"/>
          <w:sz w:val="14"/>
          <w:szCs w:val="14"/>
          <w:color w:val="auto"/>
        </w:rPr>
        <w:t>$(2,632)</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The net periodic pension cost was comprised</w:t>
      </w:r>
    </w:p>
    <w:p>
      <w:pPr>
        <w:ind w:left="610"/>
        <w:spacing w:after="0"/>
        <w:rPr>
          <w:sz w:val="20"/>
          <w:szCs w:val="20"/>
          <w:color w:val="auto"/>
        </w:rPr>
      </w:pPr>
      <w:r>
        <w:rPr>
          <w:rFonts w:ascii="Courier New" w:cs="Courier New" w:eastAsia="Courier New" w:hAnsi="Courier New"/>
          <w:sz w:val="15"/>
          <w:szCs w:val="15"/>
          <w:color w:val="auto"/>
        </w:rPr>
        <w:t>of the following:</w:t>
      </w:r>
    </w:p>
    <w:p>
      <w:pPr>
        <w:spacing w:after="0" w:line="169" w:lineRule="exact"/>
        <w:rPr>
          <w:sz w:val="20"/>
          <w:szCs w:val="20"/>
          <w:color w:val="auto"/>
        </w:rPr>
      </w:pPr>
    </w:p>
    <w:p>
      <w:pPr>
        <w:ind w:left="5910"/>
        <w:spacing w:after="0"/>
        <w:rPr>
          <w:sz w:val="20"/>
          <w:szCs w:val="20"/>
          <w:color w:val="auto"/>
        </w:rPr>
      </w:pPr>
      <w:r>
        <w:rPr>
          <w:rFonts w:ascii="Courier New" w:cs="Courier New" w:eastAsia="Courier New" w:hAnsi="Courier New"/>
          <w:sz w:val="15"/>
          <w:szCs w:val="15"/>
          <w:color w:val="auto"/>
        </w:rPr>
        <w:t>May 31, 2003</w:t>
      </w:r>
    </w:p>
    <w:p>
      <w:pPr>
        <w:ind w:left="5730"/>
        <w:spacing w:after="0"/>
        <w:rPr>
          <w:sz w:val="20"/>
          <w:szCs w:val="20"/>
          <w:color w:val="auto"/>
        </w:rPr>
      </w:pPr>
      <w:r>
        <w:rPr>
          <w:rFonts w:ascii="Courier New" w:cs="Courier New" w:eastAsia="Courier New" w:hAnsi="Courier New"/>
          <w:sz w:val="15"/>
          <w:szCs w:val="15"/>
          <w:color w:val="auto"/>
        </w:rPr>
        <w:t>(in thousands)</w:t>
      </w:r>
    </w:p>
    <w:p>
      <w:pPr>
        <w:ind w:left="610"/>
        <w:spacing w:after="0"/>
        <w:tabs>
          <w:tab w:leader="none" w:pos="6589" w:val="left"/>
        </w:tabs>
        <w:rPr>
          <w:sz w:val="20"/>
          <w:szCs w:val="20"/>
          <w:color w:val="auto"/>
        </w:rPr>
      </w:pPr>
      <w:r>
        <w:rPr>
          <w:rFonts w:ascii="Courier New" w:cs="Courier New" w:eastAsia="Courier New" w:hAnsi="Courier New"/>
          <w:sz w:val="15"/>
          <w:szCs w:val="15"/>
          <w:color w:val="auto"/>
        </w:rPr>
        <w:t>Service cost</w:t>
      </w:r>
      <w:r>
        <w:rPr>
          <w:sz w:val="20"/>
          <w:szCs w:val="20"/>
          <w:color w:val="auto"/>
        </w:rPr>
        <w:tab/>
      </w:r>
      <w:r>
        <w:rPr>
          <w:rFonts w:ascii="Courier New" w:cs="Courier New" w:eastAsia="Courier New" w:hAnsi="Courier New"/>
          <w:sz w:val="15"/>
          <w:szCs w:val="15"/>
          <w:color w:val="auto"/>
        </w:rPr>
        <w:t>$186</w:t>
      </w:r>
    </w:p>
    <w:p>
      <w:pPr>
        <w:ind w:left="610"/>
        <w:spacing w:after="0" w:line="238" w:lineRule="auto"/>
        <w:tabs>
          <w:tab w:leader="none" w:pos="6669" w:val="left"/>
        </w:tabs>
        <w:rPr>
          <w:sz w:val="20"/>
          <w:szCs w:val="20"/>
          <w:color w:val="auto"/>
        </w:rPr>
      </w:pPr>
      <w:r>
        <w:rPr>
          <w:rFonts w:ascii="Courier New" w:cs="Courier New" w:eastAsia="Courier New" w:hAnsi="Courier New"/>
          <w:sz w:val="15"/>
          <w:szCs w:val="15"/>
          <w:color w:val="auto"/>
        </w:rPr>
        <w:t>Interest cost</w:t>
      </w:r>
      <w:r>
        <w:rPr>
          <w:sz w:val="20"/>
          <w:szCs w:val="20"/>
          <w:color w:val="auto"/>
        </w:rPr>
        <w:tab/>
      </w:r>
      <w:r>
        <w:rPr>
          <w:rFonts w:ascii="Courier New" w:cs="Courier New" w:eastAsia="Courier New" w:hAnsi="Courier New"/>
          <w:sz w:val="15"/>
          <w:szCs w:val="15"/>
          <w:color w:val="auto"/>
        </w:rPr>
        <w:t>127</w:t>
      </w:r>
    </w:p>
    <w:p>
      <w:pPr>
        <w:ind w:left="610"/>
        <w:spacing w:after="0"/>
        <w:tabs>
          <w:tab w:leader="none" w:pos="6669" w:val="left"/>
        </w:tabs>
        <w:rPr>
          <w:sz w:val="20"/>
          <w:szCs w:val="20"/>
          <w:color w:val="auto"/>
        </w:rPr>
      </w:pPr>
      <w:r>
        <w:rPr>
          <w:rFonts w:ascii="Courier New" w:cs="Courier New" w:eastAsia="Courier New" w:hAnsi="Courier New"/>
          <w:sz w:val="15"/>
          <w:szCs w:val="15"/>
          <w:color w:val="auto"/>
        </w:rPr>
        <w:t>Expected return on plan assets</w:t>
      </w:r>
      <w:r>
        <w:rPr>
          <w:sz w:val="20"/>
          <w:szCs w:val="20"/>
          <w:color w:val="auto"/>
        </w:rPr>
        <w:tab/>
      </w:r>
      <w:r>
        <w:rPr>
          <w:rFonts w:ascii="Courier New" w:cs="Courier New" w:eastAsia="Courier New" w:hAnsi="Courier New"/>
          <w:sz w:val="15"/>
          <w:szCs w:val="15"/>
          <w:color w:val="auto"/>
        </w:rPr>
        <w:t>(99)</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10"/>
        <w:spacing w:after="0"/>
        <w:tabs>
          <w:tab w:leader="none" w:pos="6589" w:val="left"/>
        </w:tabs>
        <w:rPr>
          <w:sz w:val="20"/>
          <w:szCs w:val="20"/>
          <w:color w:val="auto"/>
        </w:rPr>
      </w:pPr>
      <w:r>
        <w:rPr>
          <w:rFonts w:ascii="Courier New" w:cs="Courier New" w:eastAsia="Courier New" w:hAnsi="Courier New"/>
          <w:sz w:val="15"/>
          <w:szCs w:val="15"/>
          <w:color w:val="auto"/>
        </w:rPr>
        <w:t>Net periodic pension costs</w:t>
      </w:r>
      <w:r>
        <w:rPr>
          <w:sz w:val="20"/>
          <w:szCs w:val="20"/>
          <w:color w:val="auto"/>
        </w:rPr>
        <w:tab/>
      </w:r>
      <w:r>
        <w:rPr>
          <w:rFonts w:ascii="Courier New" w:cs="Courier New" w:eastAsia="Courier New" w:hAnsi="Courier New"/>
          <w:sz w:val="15"/>
          <w:szCs w:val="15"/>
          <w:color w:val="auto"/>
        </w:rPr>
        <w:t>$214</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450" w:right="3259"/>
        <w:spacing w:after="0" w:line="237" w:lineRule="auto"/>
        <w:rPr>
          <w:sz w:val="20"/>
          <w:szCs w:val="20"/>
          <w:color w:val="auto"/>
        </w:rPr>
      </w:pPr>
      <w:r>
        <w:rPr>
          <w:rFonts w:ascii="Courier New" w:cs="Courier New" w:eastAsia="Courier New" w:hAnsi="Courier New"/>
          <w:sz w:val="15"/>
          <w:szCs w:val="15"/>
          <w:color w:val="auto"/>
        </w:rPr>
        <w:t>The weighted average assumptions used in the calculation of the pension cost were a discount rate of 5.10% (date of acquisition: 5.25%), an expected return on plan assets of 6.50% (date of acquisition: 6.50%) and a 3.75% (date of acquisition: 3.75%) rate of compensation increase.</w:t>
      </w:r>
    </w:p>
    <w:p>
      <w:pPr>
        <w:spacing w:after="0" w:line="200" w:lineRule="exact"/>
        <w:rPr>
          <w:sz w:val="20"/>
          <w:szCs w:val="20"/>
          <w:color w:val="auto"/>
        </w:rPr>
      </w:pPr>
    </w:p>
    <w:p>
      <w:pPr>
        <w:spacing w:after="0" w:line="310" w:lineRule="exact"/>
        <w:rPr>
          <w:sz w:val="20"/>
          <w:szCs w:val="20"/>
          <w:color w:val="auto"/>
        </w:rPr>
      </w:pPr>
    </w:p>
    <w:p>
      <w:pPr>
        <w:ind w:left="450" w:hanging="450"/>
        <w:spacing w:after="0"/>
        <w:tabs>
          <w:tab w:leader="none" w:pos="45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Options</w:t>
      </w:r>
    </w:p>
    <w:p>
      <w:pPr>
        <w:spacing w:after="0" w:line="174" w:lineRule="exact"/>
        <w:rPr>
          <w:rFonts w:ascii="Courier New" w:cs="Courier New" w:eastAsia="Courier New" w:hAnsi="Courier New"/>
          <w:sz w:val="15"/>
          <w:szCs w:val="15"/>
          <w:color w:val="auto"/>
        </w:rPr>
      </w:pPr>
    </w:p>
    <w:p>
      <w:pPr>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January 17, 2003, the Company adopted the Share Option Plan 2003 (the "2003 Plan") pursuant to which the Compensation Committee of the Board may grant options to officers and other employees of the Company or its subsidiaries for the purchase of ordinary shares. Each option will be either an incentive stock option, or ISO, as described in Section 422 of the Code or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165" w:lineRule="exact"/>
        <w:rPr>
          <w:rFonts w:ascii="Courier New" w:cs="Courier New" w:eastAsia="Courier New" w:hAnsi="Courier New"/>
          <w:sz w:val="15"/>
          <w:szCs w:val="15"/>
          <w:color w:val="auto"/>
        </w:rPr>
      </w:pPr>
    </w:p>
    <w:p>
      <w:pPr>
        <w:ind w:left="45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170"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options can be granted after January 17, 2013.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9"/>
          </w:cols>
          <w:pgMar w:left="230" w:top="961" w:right="1440" w:bottom="1440" w:gutter="0" w:footer="0" w:header="0"/>
        </w:sectPr>
      </w:pPr>
    </w:p>
    <w:bookmarkStart w:id="62" w:name="page63"/>
    <w:bookmarkEnd w:id="62"/>
    <w:p>
      <w:pPr>
        <w:ind w:left="440" w:right="3880"/>
        <w:spacing w:after="0" w:line="235" w:lineRule="auto"/>
        <w:rPr>
          <w:sz w:val="20"/>
          <w:szCs w:val="20"/>
          <w:color w:val="auto"/>
        </w:rPr>
      </w:pPr>
      <w:r>
        <w:rPr>
          <w:rFonts w:ascii="Courier New" w:cs="Courier New" w:eastAsia="Courier New" w:hAnsi="Courier New"/>
          <w:sz w:val="15"/>
          <w:szCs w:val="15"/>
          <w:color w:val="auto"/>
        </w:rPr>
        <w:t>The following table summarizes the transactions for the Company's share option plans for the three year period ended May 31, 2003: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20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Options</w:t>
            </w:r>
          </w:p>
        </w:tc>
        <w:tc>
          <w:tcPr>
            <w:tcW w:w="1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3100" w:type="dxa"/>
            <w:vAlign w:val="bottom"/>
          </w:tcPr>
          <w:p>
            <w:pPr>
              <w:spacing w:after="0"/>
              <w:rPr>
                <w:sz w:val="14"/>
                <w:szCs w:val="14"/>
                <w:color w:val="auto"/>
              </w:rPr>
            </w:pPr>
          </w:p>
        </w:tc>
        <w:tc>
          <w:tcPr>
            <w:tcW w:w="2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Granted</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Options</w:t>
            </w:r>
          </w:p>
        </w:tc>
        <w:tc>
          <w:tcPr>
            <w:tcW w:w="15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3100" w:type="dxa"/>
            <w:vAlign w:val="bottom"/>
          </w:tcPr>
          <w:p>
            <w:pPr>
              <w:spacing w:after="0"/>
              <w:rPr>
                <w:sz w:val="14"/>
                <w:szCs w:val="14"/>
                <w:color w:val="auto"/>
              </w:rPr>
            </w:pPr>
          </w:p>
        </w:tc>
        <w:tc>
          <w:tcPr>
            <w:tcW w:w="2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Prior to</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Granted</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Number</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3100" w:type="dxa"/>
            <w:vAlign w:val="bottom"/>
          </w:tcPr>
          <w:p>
            <w:pPr>
              <w:spacing w:after="0"/>
              <w:rPr>
                <w:sz w:val="14"/>
                <w:szCs w:val="14"/>
                <w:color w:val="auto"/>
              </w:rPr>
            </w:pPr>
          </w:p>
        </w:tc>
        <w:tc>
          <w:tcPr>
            <w:tcW w:w="2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Jan 15, 1998</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Under Plans</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of Shares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Price</w:t>
            </w:r>
          </w:p>
        </w:tc>
      </w:tr>
      <w:tr>
        <w:trPr>
          <w:trHeight w:val="509"/>
        </w:trPr>
        <w:tc>
          <w:tcPr>
            <w:tcW w:w="3100" w:type="dxa"/>
            <w:vAlign w:val="bottom"/>
          </w:tcPr>
          <w:p>
            <w:pPr>
              <w:spacing w:after="0"/>
              <w:rPr>
                <w:sz w:val="20"/>
                <w:szCs w:val="20"/>
                <w:color w:val="auto"/>
              </w:rPr>
            </w:pPr>
            <w:r>
              <w:rPr>
                <w:rFonts w:ascii="Courier New" w:cs="Courier New" w:eastAsia="Courier New" w:hAnsi="Courier New"/>
                <w:sz w:val="15"/>
                <w:szCs w:val="15"/>
                <w:color w:val="auto"/>
              </w:rPr>
              <w:t>Outstanding at May 31, 2000</w:t>
            </w:r>
          </w:p>
        </w:tc>
        <w:tc>
          <w:tcPr>
            <w:tcW w:w="2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756,880</w:t>
            </w:r>
          </w:p>
        </w:tc>
        <w:tc>
          <w:tcPr>
            <w:tcW w:w="1600" w:type="dxa"/>
            <w:vAlign w:val="bottom"/>
          </w:tcPr>
          <w:p>
            <w:pPr>
              <w:ind w:left="580"/>
              <w:spacing w:after="0"/>
              <w:rPr>
                <w:sz w:val="20"/>
                <w:szCs w:val="20"/>
                <w:color w:val="auto"/>
              </w:rPr>
            </w:pPr>
            <w:r>
              <w:rPr>
                <w:rFonts w:ascii="Courier New" w:cs="Courier New" w:eastAsia="Courier New" w:hAnsi="Courier New"/>
                <w:sz w:val="15"/>
                <w:szCs w:val="15"/>
                <w:color w:val="auto"/>
              </w:rPr>
              <w:t>661,610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1,418,490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$8.69</w:t>
            </w:r>
          </w:p>
        </w:tc>
      </w:t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ind w:left="580"/>
              <w:spacing w:after="0"/>
              <w:rPr>
                <w:sz w:val="20"/>
                <w:szCs w:val="20"/>
                <w:color w:val="auto"/>
              </w:rPr>
            </w:pPr>
            <w:r>
              <w:rPr>
                <w:rFonts w:ascii="Courier New" w:cs="Courier New" w:eastAsia="Courier New" w:hAnsi="Courier New"/>
                <w:sz w:val="15"/>
                <w:szCs w:val="15"/>
                <w:color w:val="auto"/>
              </w:rPr>
              <w:t>199,500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$20.90</w:t>
            </w:r>
          </w:p>
        </w:tc>
      </w:t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(254,220)</w:t>
            </w:r>
          </w:p>
        </w:tc>
        <w:tc>
          <w:tcPr>
            <w:tcW w:w="1600" w:type="dxa"/>
            <w:vAlign w:val="bottom"/>
          </w:tcPr>
          <w:p>
            <w:pPr>
              <w:ind w:left="580"/>
              <w:spacing w:after="0"/>
              <w:rPr>
                <w:sz w:val="20"/>
                <w:szCs w:val="20"/>
                <w:color w:val="auto"/>
              </w:rPr>
            </w:pPr>
            <w:r>
              <w:rPr>
                <w:rFonts w:ascii="Courier New" w:cs="Courier New" w:eastAsia="Courier New" w:hAnsi="Courier New"/>
                <w:sz w:val="15"/>
                <w:szCs w:val="15"/>
                <w:color w:val="auto"/>
              </w:rPr>
              <w:t>(21,740)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(275,960)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2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ind w:left="580"/>
              <w:spacing w:after="0"/>
              <w:rPr>
                <w:sz w:val="20"/>
                <w:szCs w:val="20"/>
                <w:color w:val="auto"/>
              </w:rPr>
            </w:pPr>
            <w:r>
              <w:rPr>
                <w:rFonts w:ascii="Courier New" w:cs="Courier New" w:eastAsia="Courier New" w:hAnsi="Courier New"/>
                <w:sz w:val="15"/>
                <w:szCs w:val="15"/>
                <w:color w:val="auto"/>
              </w:rPr>
              <w:t>(98,610)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(98,610)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May 31, 2001</w:t>
            </w:r>
          </w:p>
        </w:tc>
        <w:tc>
          <w:tcPr>
            <w:tcW w:w="20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502,660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740,760</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1,243,420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$11.45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8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223,540</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223,540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$28.57</w:t>
            </w:r>
          </w:p>
        </w:tc>
      </w:t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8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(210,630)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(147,470)</w:t>
            </w: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(358,100)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28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(89,240)</w:t>
            </w: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(89,240)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May 31, 2002</w:t>
            </w:r>
          </w:p>
        </w:tc>
        <w:tc>
          <w:tcPr>
            <w:tcW w:w="20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292,030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727,590</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1,019,620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$15.85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5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283,445</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283,445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$27.96</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5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(39,360)</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(39,360)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$18.51</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25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(78,060)</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(78,060)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$22.22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May 31, 2003</w:t>
            </w:r>
          </w:p>
        </w:tc>
        <w:tc>
          <w:tcPr>
            <w:tcW w:w="20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292,030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893,615</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1,185,645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$18.24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0" w:right="3600"/>
        <w:spacing w:after="0" w:line="260" w:lineRule="auto"/>
        <w:rPr>
          <w:sz w:val="20"/>
          <w:szCs w:val="20"/>
          <w:color w:val="auto"/>
        </w:rPr>
      </w:pPr>
      <w:r>
        <w:rPr>
          <w:rFonts w:ascii="Courier New" w:cs="Courier New" w:eastAsia="Courier New" w:hAnsi="Courier New"/>
          <w:sz w:val="14"/>
          <w:szCs w:val="14"/>
          <w:color w:val="auto"/>
        </w:rPr>
        <w:t>None of the share option grants summarized in the above table resulted in compensation expense as the option exercise price was equal to or greater than the estimated fair value of ordinary shares on the date of the grant.</w:t>
      </w:r>
    </w:p>
    <w:p>
      <w:pPr>
        <w:spacing w:after="0" w:line="163" w:lineRule="exact"/>
        <w:rPr>
          <w:sz w:val="20"/>
          <w:szCs w:val="20"/>
          <w:color w:val="auto"/>
        </w:rPr>
      </w:pPr>
    </w:p>
    <w:p>
      <w:pPr>
        <w:ind w:left="440" w:right="4040"/>
        <w:spacing w:after="0" w:line="235" w:lineRule="auto"/>
        <w:rPr>
          <w:sz w:val="20"/>
          <w:szCs w:val="20"/>
          <w:color w:val="auto"/>
        </w:rPr>
      </w:pPr>
      <w:r>
        <w:rPr>
          <w:rFonts w:ascii="Courier New" w:cs="Courier New" w:eastAsia="Courier New" w:hAnsi="Courier New"/>
          <w:sz w:val="15"/>
          <w:szCs w:val="15"/>
          <w:color w:val="auto"/>
        </w:rPr>
        <w:t>The following table summarizes information concerning outstanding and exercisable share options as of May 31, 2003: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3660" w:type="dxa"/>
            <w:vAlign w:val="bottom"/>
            <w:gridSpan w:val="2"/>
          </w:tcPr>
          <w:p>
            <w:pPr>
              <w:jc w:val="right"/>
              <w:ind w:right="1507"/>
              <w:spacing w:after="0"/>
              <w:rPr>
                <w:sz w:val="20"/>
                <w:szCs w:val="20"/>
                <w:color w:val="auto"/>
              </w:rPr>
            </w:pPr>
            <w:r>
              <w:rPr>
                <w:rFonts w:ascii="Courier New" w:cs="Courier New" w:eastAsia="Courier New" w:hAnsi="Courier New"/>
                <w:sz w:val="15"/>
                <w:szCs w:val="15"/>
                <w:color w:val="auto"/>
              </w:rPr>
              <w:t>Options Outstanding</w:t>
            </w:r>
          </w:p>
        </w:tc>
        <w:tc>
          <w:tcPr>
            <w:tcW w:w="1820" w:type="dxa"/>
            <w:vAlign w:val="bottom"/>
          </w:tcPr>
          <w:p>
            <w:pPr>
              <w:spacing w:after="0"/>
              <w:rPr>
                <w:sz w:val="14"/>
                <w:szCs w:val="14"/>
                <w:color w:val="auto"/>
              </w:rPr>
            </w:pPr>
          </w:p>
        </w:tc>
        <w:tc>
          <w:tcPr>
            <w:tcW w:w="18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Options Exercisable</w:t>
            </w:r>
          </w:p>
        </w:tc>
        <w:tc>
          <w:tcPr>
            <w:tcW w:w="1160" w:type="dxa"/>
            <w:vAlign w:val="bottom"/>
          </w:tcPr>
          <w:p>
            <w:pPr>
              <w:spacing w:after="0"/>
              <w:rPr>
                <w:sz w:val="14"/>
                <w:szCs w:val="14"/>
                <w:color w:val="auto"/>
              </w:rPr>
            </w:pPr>
          </w:p>
        </w:tc>
      </w:tr>
      <w:tr>
        <w:trPr>
          <w:trHeight w:val="170"/>
        </w:trPr>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Weighted</w:t>
            </w: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Range</w:t>
            </w:r>
          </w:p>
        </w:tc>
        <w:tc>
          <w:tcPr>
            <w:tcW w:w="16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Average</w:t>
            </w:r>
          </w:p>
        </w:tc>
        <w:tc>
          <w:tcPr>
            <w:tcW w:w="18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Weighted</w:t>
            </w:r>
          </w:p>
        </w:tc>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Number of</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Remaining</w:t>
            </w:r>
          </w:p>
        </w:tc>
        <w:tc>
          <w:tcPr>
            <w:tcW w:w="18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Average</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Number of</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Price</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Shares</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Contractual Life</w:t>
            </w:r>
          </w:p>
        </w:tc>
        <w:tc>
          <w:tcPr>
            <w:tcW w:w="18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Exercise Price</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Price</w:t>
            </w:r>
          </w:p>
        </w:tc>
      </w:tr>
      <w:tr>
        <w:trPr>
          <w:trHeight w:val="509"/>
        </w:trPr>
        <w:tc>
          <w:tcPr>
            <w:tcW w:w="1100" w:type="dxa"/>
            <w:vAlign w:val="bottom"/>
          </w:tcPr>
          <w:p>
            <w:pPr>
              <w:spacing w:after="0"/>
              <w:rPr>
                <w:sz w:val="20"/>
                <w:szCs w:val="20"/>
                <w:color w:val="auto"/>
              </w:rPr>
            </w:pPr>
            <w:r>
              <w:rPr>
                <w:rFonts w:ascii="Courier New" w:cs="Courier New" w:eastAsia="Courier New" w:hAnsi="Courier New"/>
                <w:sz w:val="15"/>
                <w:szCs w:val="15"/>
                <w:color w:val="auto"/>
              </w:rPr>
              <w:t>$0.07</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238,030</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238,030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$5.45</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54,000</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54,000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$15.63</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17,000</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$15.63</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$15.63</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$17.00</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6,400</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3,200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$18.00</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270,490</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$18.00</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203,720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$18.00</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$21.25</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129,920</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$21.25</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47,780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$21.25</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$23.80</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8,000</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$23.80</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3,200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$23.80</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$26.50</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$26.50</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$26.50</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$27.39</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4,000</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$27.39</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$27.39</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$29.00</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171,060</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$29.00</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35,460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$29.00</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$28.00</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276,745</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$28.00</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1,500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$28.00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600"/>
        <w:spacing w:after="0"/>
        <w:tabs>
          <w:tab w:leader="none" w:pos="2440" w:val="left"/>
          <w:tab w:leader="none" w:pos="4820" w:val="left"/>
          <w:tab w:leader="none" w:pos="6580" w:val="left"/>
          <w:tab w:leader="none" w:pos="7820" w:val="left"/>
          <w:tab w:leader="none" w:pos="9660" w:val="left"/>
        </w:tabs>
        <w:rPr>
          <w:sz w:val="20"/>
          <w:szCs w:val="20"/>
          <w:color w:val="auto"/>
        </w:rPr>
      </w:pPr>
      <w:r>
        <w:rPr>
          <w:rFonts w:ascii="Courier New" w:cs="Courier New" w:eastAsia="Courier New" w:hAnsi="Courier New"/>
          <w:sz w:val="15"/>
          <w:szCs w:val="15"/>
          <w:color w:val="auto"/>
        </w:rPr>
        <w:t>$0.07 - 29.00</w:t>
      </w:r>
      <w:r>
        <w:rPr>
          <w:sz w:val="20"/>
          <w:szCs w:val="20"/>
          <w:color w:val="auto"/>
        </w:rPr>
        <w:tab/>
      </w:r>
      <w:r>
        <w:rPr>
          <w:rFonts w:ascii="Courier New" w:cs="Courier New" w:eastAsia="Courier New" w:hAnsi="Courier New"/>
          <w:sz w:val="15"/>
          <w:szCs w:val="15"/>
          <w:color w:val="auto"/>
        </w:rPr>
        <w:t>1,185,645</w:t>
      </w:r>
      <w:r>
        <w:rPr>
          <w:sz w:val="20"/>
          <w:szCs w:val="20"/>
          <w:color w:val="auto"/>
        </w:rPr>
        <w:tab/>
      </w: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$18.21</w:t>
      </w:r>
      <w:r>
        <w:rPr>
          <w:sz w:val="20"/>
          <w:szCs w:val="20"/>
          <w:color w:val="auto"/>
        </w:rPr>
        <w:tab/>
      </w:r>
      <w:r>
        <w:rPr>
          <w:rFonts w:ascii="Courier New" w:cs="Courier New" w:eastAsia="Courier New" w:hAnsi="Courier New"/>
          <w:sz w:val="15"/>
          <w:szCs w:val="15"/>
          <w:color w:val="auto"/>
        </w:rPr>
        <w:t>597,890</w:t>
      </w:r>
      <w:r>
        <w:rPr>
          <w:sz w:val="20"/>
          <w:szCs w:val="20"/>
          <w:color w:val="auto"/>
        </w:rPr>
        <w:tab/>
      </w:r>
      <w:r>
        <w:rPr>
          <w:rFonts w:ascii="Courier New" w:cs="Courier New" w:eastAsia="Courier New" w:hAnsi="Courier New"/>
          <w:sz w:val="15"/>
          <w:szCs w:val="15"/>
          <w:color w:val="auto"/>
        </w:rPr>
        <w:t>$10.72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0" w:right="3600"/>
        <w:spacing w:after="0" w:line="237" w:lineRule="auto"/>
        <w:rPr>
          <w:sz w:val="20"/>
          <w:szCs w:val="20"/>
          <w:color w:val="auto"/>
        </w:rPr>
      </w:pPr>
      <w:r>
        <w:rPr>
          <w:rFonts w:ascii="Courier New" w:cs="Courier New" w:eastAsia="Courier New" w:hAnsi="Courier New"/>
          <w:sz w:val="15"/>
          <w:szCs w:val="15"/>
          <w:color w:val="auto"/>
        </w:rPr>
        <w:t>Substantially all of the options granted at exercise prices from $15.63 to $29.00 vest over a five year period from the date of grant. All other options have fully vested as of May 31, 2003.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560"/>
          </w:cols>
          <w:pgMar w:left="240" w:top="966" w:right="1099" w:bottom="904" w:gutter="0" w:footer="0" w:header="0"/>
        </w:sectPr>
      </w:pPr>
    </w:p>
    <w:bookmarkStart w:id="63" w:name="page64"/>
    <w:bookmarkEnd w:id="63"/>
    <w:p>
      <w:pPr>
        <w:ind w:left="440" w:right="3360"/>
        <w:spacing w:after="0" w:line="237" w:lineRule="auto"/>
        <w:rPr>
          <w:sz w:val="20"/>
          <w:szCs w:val="20"/>
          <w:color w:val="auto"/>
        </w:rPr>
      </w:pPr>
      <w:r>
        <w:rPr>
          <w:rFonts w:ascii="Courier New" w:cs="Courier New" w:eastAsia="Courier New" w:hAnsi="Courier New"/>
          <w:sz w:val="15"/>
          <w:szCs w:val="15"/>
          <w:color w:val="auto"/>
        </w:rPr>
        <w:t>The weighted average fair value of stock options granted during fiscal 2001, calculated using the Black-Scholes option pricing model, was $17.90 using the following assumptions; expected dividend yield - 0%, risk free interest rate - 5.9%, expected volatility - 50% and expected life - 8 years.</w:t>
      </w:r>
    </w:p>
    <w:p>
      <w:pPr>
        <w:spacing w:after="0" w:line="178" w:lineRule="exact"/>
        <w:rPr>
          <w:sz w:val="20"/>
          <w:szCs w:val="20"/>
          <w:color w:val="auto"/>
        </w:rPr>
      </w:pPr>
    </w:p>
    <w:p>
      <w:pPr>
        <w:ind w:left="440" w:right="3360"/>
        <w:spacing w:after="0" w:line="237" w:lineRule="auto"/>
        <w:rPr>
          <w:sz w:val="20"/>
          <w:szCs w:val="20"/>
          <w:color w:val="auto"/>
        </w:rPr>
      </w:pPr>
      <w:r>
        <w:rPr>
          <w:rFonts w:ascii="Courier New" w:cs="Courier New" w:eastAsia="Courier New" w:hAnsi="Courier New"/>
          <w:sz w:val="15"/>
          <w:szCs w:val="15"/>
          <w:color w:val="auto"/>
        </w:rPr>
        <w:t>The weighted average fair value of stock options granted during fiscal 2002, calculated using the Black-Scholes option pricing model, was $16.07 using the following assumptions; expected dividend yield - 0%, risk free interest rate - 5.57%, expected volatility - 50% and expected life - 8 years.</w:t>
      </w:r>
    </w:p>
    <w:p>
      <w:pPr>
        <w:spacing w:after="0" w:line="178" w:lineRule="exact"/>
        <w:rPr>
          <w:sz w:val="20"/>
          <w:szCs w:val="20"/>
          <w:color w:val="auto"/>
        </w:rPr>
      </w:pPr>
    </w:p>
    <w:p>
      <w:pPr>
        <w:ind w:left="440" w:right="3360"/>
        <w:spacing w:after="0" w:line="237" w:lineRule="auto"/>
        <w:rPr>
          <w:sz w:val="20"/>
          <w:szCs w:val="20"/>
          <w:color w:val="auto"/>
        </w:rPr>
      </w:pPr>
      <w:r>
        <w:rPr>
          <w:rFonts w:ascii="Courier New" w:cs="Courier New" w:eastAsia="Courier New" w:hAnsi="Courier New"/>
          <w:sz w:val="15"/>
          <w:szCs w:val="15"/>
          <w:color w:val="auto"/>
        </w:rPr>
        <w:t>The weighted average fair value of stock options granted during fiscal 2003, calculated using the Black-Scholes option pricing model, was $15.84 using the following assumptions; expected dividend yield - 0%, risk free interest rate - 3.39%, expected volatility - 50% and expected life - 8 years.</w:t>
      </w:r>
    </w:p>
    <w:p>
      <w:pPr>
        <w:spacing w:after="0" w:line="178" w:lineRule="exact"/>
        <w:rPr>
          <w:sz w:val="20"/>
          <w:szCs w:val="20"/>
          <w:color w:val="auto"/>
        </w:rPr>
      </w:pPr>
    </w:p>
    <w:p>
      <w:pPr>
        <w:ind w:left="440" w:right="3260"/>
        <w:spacing w:after="0" w:line="259" w:lineRule="auto"/>
        <w:rPr>
          <w:sz w:val="20"/>
          <w:szCs w:val="20"/>
          <w:color w:val="auto"/>
        </w:rPr>
      </w:pPr>
      <w:r>
        <w:rPr>
          <w:rFonts w:ascii="Courier New" w:cs="Courier New" w:eastAsia="Courier New" w:hAnsi="Courier New"/>
          <w:sz w:val="14"/>
          <w:szCs w:val="14"/>
          <w:color w:val="auto"/>
        </w:rPr>
        <w:t>Had the Company determined compensation expense based on the fair value at the grant date for these options under SFAS No.123, "Accounting for Stock-Based Compensation", the Company's net income for fiscal 2001, 2002 and 2003 would have been reduced to the pro-forma amounts indicated below.</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0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509"/>
        </w:trPr>
        <w:tc>
          <w:tcPr>
            <w:tcW w:w="2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as reported</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$10,978</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$14,200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$18,283</w:t>
            </w:r>
          </w:p>
        </w:tc>
      </w:tr>
      <w:tr>
        <w:trPr>
          <w:trHeight w:val="170"/>
        </w:trPr>
        <w:tc>
          <w:tcPr>
            <w:tcW w:w="2440" w:type="dxa"/>
            <w:vAlign w:val="bottom"/>
          </w:tcPr>
          <w:p>
            <w:pPr>
              <w:spacing w:after="0"/>
              <w:rPr>
                <w:sz w:val="14"/>
                <w:szCs w:val="14"/>
                <w:color w:val="auto"/>
              </w:rPr>
            </w:pPr>
          </w:p>
        </w:tc>
        <w:tc>
          <w:tcPr>
            <w:tcW w:w="2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pro-forma</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9,788</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12,591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16,187</w:t>
            </w:r>
          </w:p>
        </w:tc>
      </w:tr>
    </w:tbl>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Net Income per ordinary share</w:t>
            </w: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900" w:type="dxa"/>
            <w:vAlign w:val="bottom"/>
          </w:tcPr>
          <w:p>
            <w:pPr>
              <w:ind w:left="720"/>
              <w:spacing w:after="0"/>
              <w:rPr>
                <w:sz w:val="20"/>
                <w:szCs w:val="20"/>
                <w:color w:val="auto"/>
              </w:rPr>
            </w:pPr>
            <w:r>
              <w:rPr>
                <w:rFonts w:ascii="Courier New" w:cs="Courier New" w:eastAsia="Courier New" w:hAnsi="Courier New"/>
                <w:sz w:val="15"/>
                <w:szCs w:val="15"/>
                <w:color w:val="auto"/>
                <w:w w:val="88"/>
              </w:rPr>
              <w:t>as</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reported</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$0.97</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0"/>
        </w:trPr>
        <w:tc>
          <w:tcPr>
            <w:tcW w:w="3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pro-forma</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0.87</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900" w:type="dxa"/>
            <w:vAlign w:val="bottom"/>
          </w:tcPr>
          <w:p>
            <w:pPr>
              <w:ind w:left="720"/>
              <w:spacing w:after="0"/>
              <w:rPr>
                <w:sz w:val="20"/>
                <w:szCs w:val="20"/>
                <w:color w:val="auto"/>
              </w:rPr>
            </w:pPr>
            <w:r>
              <w:rPr>
                <w:rFonts w:ascii="Courier New" w:cs="Courier New" w:eastAsia="Courier New" w:hAnsi="Courier New"/>
                <w:sz w:val="15"/>
                <w:szCs w:val="15"/>
                <w:color w:val="auto"/>
                <w:w w:val="88"/>
              </w:rPr>
              <w:t>as</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reported</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0.92</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0"/>
        </w:trPr>
        <w:tc>
          <w:tcPr>
            <w:tcW w:w="3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pro-forma</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0.82</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10.  Government Grants</w:t>
            </w:r>
          </w:p>
        </w:tc>
        <w:tc>
          <w:tcPr>
            <w:tcW w:w="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9"/>
        </w:trPr>
        <w:tc>
          <w:tcPr>
            <w:tcW w:w="4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4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2002</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300" w:type="dxa"/>
            <w:vAlign w:val="bottom"/>
          </w:tcPr>
          <w:p>
            <w:pPr>
              <w:spacing w:after="0"/>
              <w:rPr>
                <w:sz w:val="14"/>
                <w:szCs w:val="14"/>
                <w:color w:val="auto"/>
              </w:rPr>
            </w:pPr>
          </w:p>
        </w:tc>
        <w:tc>
          <w:tcPr>
            <w:tcW w:w="2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4300" w:type="dxa"/>
            <w:vAlign w:val="bottom"/>
          </w:tcPr>
          <w:p>
            <w:pPr>
              <w:ind w:left="600"/>
              <w:spacing w:after="0"/>
              <w:rPr>
                <w:sz w:val="20"/>
                <w:szCs w:val="20"/>
                <w:color w:val="auto"/>
              </w:rPr>
            </w:pPr>
            <w:r>
              <w:rPr>
                <w:rFonts w:ascii="Courier New" w:cs="Courier New" w:eastAsia="Courier New" w:hAnsi="Courier New"/>
                <w:sz w:val="15"/>
                <w:szCs w:val="15"/>
                <w:color w:val="auto"/>
              </w:rPr>
              <w:t>Received and receivable</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$1,280</w:t>
            </w:r>
          </w:p>
        </w:tc>
      </w:tr>
      <w:tr>
        <w:trPr>
          <w:trHeight w:val="170"/>
        </w:trPr>
        <w:tc>
          <w:tcPr>
            <w:tcW w:w="4300" w:type="dxa"/>
            <w:vAlign w:val="bottom"/>
          </w:tcPr>
          <w:p>
            <w:pPr>
              <w:ind w:left="600"/>
              <w:spacing w:after="0"/>
              <w:rPr>
                <w:sz w:val="20"/>
                <w:szCs w:val="20"/>
                <w:color w:val="auto"/>
              </w:rPr>
            </w:pPr>
            <w:r>
              <w:rPr>
                <w:rFonts w:ascii="Courier New" w:cs="Courier New" w:eastAsia="Courier New" w:hAnsi="Courier New"/>
                <w:sz w:val="15"/>
                <w:szCs w:val="15"/>
                <w:color w:val="auto"/>
              </w:rPr>
              <w:t>Less accumulated amortization</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r>
      <w:tr>
        <w:trPr>
          <w:trHeight w:val="170"/>
        </w:trPr>
        <w:tc>
          <w:tcPr>
            <w:tcW w:w="4300" w:type="dxa"/>
            <w:vAlign w:val="bottom"/>
          </w:tcPr>
          <w:p>
            <w:pPr>
              <w:ind w:left="600"/>
              <w:spacing w:after="0"/>
              <w:rPr>
                <w:sz w:val="20"/>
                <w:szCs w:val="20"/>
                <w:color w:val="auto"/>
              </w:rPr>
            </w:pPr>
            <w:r>
              <w:rPr>
                <w:rFonts w:ascii="Courier New" w:cs="Courier New" w:eastAsia="Courier New" w:hAnsi="Courier New"/>
                <w:sz w:val="15"/>
                <w:szCs w:val="15"/>
                <w:color w:val="auto"/>
              </w:rPr>
              <w:t>Foreign exchange translation adjustment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w:t>
            </w:r>
          </w:p>
        </w:tc>
      </w:tr>
    </w:tbl>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2080" w:type="dxa"/>
            <w:vAlign w:val="bottom"/>
          </w:tcPr>
          <w:p>
            <w:pPr>
              <w:ind w:left="1240"/>
              <w:spacing w:after="0"/>
              <w:rPr>
                <w:sz w:val="20"/>
                <w:szCs w:val="20"/>
                <w:color w:val="auto"/>
              </w:rPr>
            </w:pPr>
            <w:r>
              <w:rPr>
                <w:rFonts w:ascii="Courier New" w:cs="Courier New" w:eastAsia="Courier New" w:hAnsi="Courier New"/>
                <w:sz w:val="15"/>
                <w:szCs w:val="15"/>
                <w:color w:val="auto"/>
              </w:rPr>
              <w:t>962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1,174</w:t>
            </w:r>
          </w:p>
        </w:tc>
      </w:t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2080" w:type="dxa"/>
            <w:vAlign w:val="bottom"/>
          </w:tcPr>
          <w:p>
            <w:pPr>
              <w:ind w:left="1240"/>
              <w:spacing w:after="0"/>
              <w:rPr>
                <w:sz w:val="20"/>
                <w:szCs w:val="20"/>
                <w:color w:val="auto"/>
              </w:rPr>
            </w:pPr>
            <w:r>
              <w:rPr>
                <w:rFonts w:ascii="Courier New" w:cs="Courier New" w:eastAsia="Courier New" w:hAnsi="Courier New"/>
                <w:sz w:val="15"/>
                <w:szCs w:val="15"/>
                <w:color w:val="auto"/>
              </w:rPr>
              <w:t>(25)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bl>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4760"/>
        <w:spacing w:after="0"/>
        <w:tabs>
          <w:tab w:leader="none" w:pos="6060" w:val="left"/>
        </w:tabs>
        <w:rPr>
          <w:sz w:val="20"/>
          <w:szCs w:val="20"/>
          <w:color w:val="auto"/>
        </w:rPr>
      </w:pPr>
      <w:r>
        <w:rPr>
          <w:rFonts w:ascii="Courier New" w:cs="Courier New" w:eastAsia="Courier New" w:hAnsi="Courier New"/>
          <w:sz w:val="15"/>
          <w:szCs w:val="15"/>
          <w:color w:val="auto"/>
        </w:rPr>
        <w:t>$937</w:t>
      </w:r>
      <w:r>
        <w:rPr>
          <w:sz w:val="20"/>
          <w:szCs w:val="20"/>
          <w:color w:val="auto"/>
        </w:rPr>
        <w:tab/>
      </w:r>
      <w:r>
        <w:rPr>
          <w:rFonts w:ascii="Courier New" w:cs="Courier New" w:eastAsia="Courier New" w:hAnsi="Courier New"/>
          <w:sz w:val="14"/>
          <w:szCs w:val="14"/>
          <w:color w:val="auto"/>
        </w:rPr>
        <w:t>$1,140</w:t>
      </w: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3" w:lineRule="exact"/>
        <w:rPr>
          <w:sz w:val="20"/>
          <w:szCs w:val="20"/>
          <w:color w:val="auto"/>
        </w:rPr>
      </w:pPr>
    </w:p>
    <w:p>
      <w:pPr>
        <w:ind w:left="440" w:right="3260"/>
        <w:spacing w:after="0" w:line="237" w:lineRule="auto"/>
        <w:rPr>
          <w:sz w:val="20"/>
          <w:szCs w:val="20"/>
          <w:color w:val="auto"/>
        </w:rPr>
      </w:pPr>
      <w:r>
        <w:rPr>
          <w:rFonts w:ascii="Courier New" w:cs="Courier New" w:eastAsia="Courier New" w:hAnsi="Courier New"/>
          <w:sz w:val="15"/>
          <w:szCs w:val="15"/>
          <w:color w:val="auto"/>
        </w:rPr>
        <w:t>Government grants amortized to the profit and loss account amounted to U.S.$12,000, U.S.$46,000 and U.S.$36,000 for the years ended May 31, 2001, 2002 and 2003, respectively.</w:t>
      </w:r>
    </w:p>
    <w:p>
      <w:pPr>
        <w:spacing w:after="0" w:line="175" w:lineRule="exact"/>
        <w:rPr>
          <w:sz w:val="20"/>
          <w:szCs w:val="20"/>
          <w:color w:val="auto"/>
        </w:rPr>
      </w:pPr>
    </w:p>
    <w:p>
      <w:pPr>
        <w:ind w:left="440" w:right="3440"/>
        <w:spacing w:after="0" w:line="235" w:lineRule="auto"/>
        <w:rPr>
          <w:sz w:val="20"/>
          <w:szCs w:val="20"/>
          <w:color w:val="auto"/>
        </w:rPr>
      </w:pPr>
      <w:r>
        <w:rPr>
          <w:rFonts w:ascii="Courier New" w:cs="Courier New" w:eastAsia="Courier New" w:hAnsi="Courier New"/>
          <w:sz w:val="15"/>
          <w:szCs w:val="15"/>
          <w:color w:val="auto"/>
        </w:rPr>
        <w:t>As of May 31, 2003 the Company had U.S.$1,351,000 in restricted retained earnings, pursuant to the terms of the grant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0"/>
          </w:cols>
          <w:pgMar w:left="240" w:top="966" w:right="1439" w:bottom="1440" w:gutter="0" w:footer="0" w:header="0"/>
        </w:sectPr>
      </w:pPr>
    </w:p>
    <w:bookmarkStart w:id="64" w:name="page65"/>
    <w:bookmarkEnd w:id="64"/>
    <w:p>
      <w:pPr>
        <w:ind w:left="450" w:right="8459" w:hanging="450"/>
        <w:spacing w:after="0" w:line="513" w:lineRule="auto"/>
        <w:tabs>
          <w:tab w:leader="none" w:pos="45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Capital Ordinary Shares</w:t>
      </w:r>
    </w:p>
    <w:p>
      <w:pPr>
        <w:ind w:left="45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Holdersof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ADSs and ordinary shares not otherwise represented by ADRs. Holders of ordinary shares have no conversion or redemption rights. On a show of hands, every holder of an ordinary share present in person at a general meeting of shareholders, and every proxy, shall have one vote, for each ordinary share held with no individual having more than one vote.</w:t>
      </w:r>
    </w:p>
    <w:p>
      <w:pPr>
        <w:spacing w:after="0" w:line="180" w:lineRule="exact"/>
        <w:rPr>
          <w:rFonts w:ascii="Courier New" w:cs="Courier New" w:eastAsia="Courier New" w:hAnsi="Courier New"/>
          <w:sz w:val="14"/>
          <w:szCs w:val="14"/>
          <w:color w:val="auto"/>
        </w:rPr>
      </w:pPr>
    </w:p>
    <w:p>
      <w:pPr>
        <w:ind w:left="450"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On November 22, 2000, the ordinary share capital of the Company was redenominated from IR5p per share to E0.06 per share. The renominalization generated a capital conversion reserve fund of E39,499 (U.S.$47,277) which was recorded within additional paid in capital.</w:t>
      </w:r>
    </w:p>
    <w:p>
      <w:pPr>
        <w:spacing w:after="0" w:line="176" w:lineRule="exact"/>
        <w:rPr>
          <w:rFonts w:ascii="Courier New" w:cs="Courier New" w:eastAsia="Courier New" w:hAnsi="Courier New"/>
          <w:sz w:val="14"/>
          <w:szCs w:val="14"/>
          <w:color w:val="auto"/>
        </w:rPr>
      </w:pPr>
    </w:p>
    <w:p>
      <w:pPr>
        <w:ind w:left="450" w:right="33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On January 28, 2000, the Company merged with Pacific Research Associates Inc. ("PRAI") in a transaction accounted for as a pooling-of-interests transaction. The Company issued 838,828 ordinary shares of E0.06 each to PRAI shareholders for this transaction. These shares have been treated as outstanding for all periods presented.</w:t>
      </w:r>
    </w:p>
    <w:p>
      <w:pPr>
        <w:spacing w:after="0" w:line="178" w:lineRule="exact"/>
        <w:rPr>
          <w:rFonts w:ascii="Courier New" w:cs="Courier New" w:eastAsia="Courier New" w:hAnsi="Courier New"/>
          <w:sz w:val="14"/>
          <w:szCs w:val="14"/>
          <w:color w:val="auto"/>
        </w:rPr>
      </w:pPr>
    </w:p>
    <w:p>
      <w:pPr>
        <w:ind w:left="450"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27, 2000, the Company acquired YRCR for cash and shares. The Company issued 51,387 ordinary shares of E0.06 each to YRCR shareholders for this transaction. At May 31, 2000, pursuant to an earn-out clause contained in the purchase agreement with YRCR, a further 24,272 ordinary shares of E0.06 each were issued to the YRCR shareholders and on August 31, 2001, a further 10,772 ordinary shares of E0.06 were issued. On October 8, 2002, a further 3,696 ordinary shares of E0.06 were issued (see note 4).</w:t>
      </w:r>
    </w:p>
    <w:p>
      <w:pPr>
        <w:spacing w:after="0" w:line="167" w:lineRule="exact"/>
        <w:rPr>
          <w:rFonts w:ascii="Courier New" w:cs="Courier New" w:eastAsia="Courier New" w:hAnsi="Courier New"/>
          <w:sz w:val="14"/>
          <w:szCs w:val="14"/>
          <w:color w:val="auto"/>
        </w:rPr>
      </w:pPr>
    </w:p>
    <w:p>
      <w:pPr>
        <w:ind w:left="450" w:right="397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year to May 31, 2001, 275,960 options were exercised by employees at an average exercise price of U.S.$1.78 per share.</w:t>
      </w:r>
    </w:p>
    <w:p>
      <w:pPr>
        <w:spacing w:after="0" w:line="158" w:lineRule="exact"/>
        <w:rPr>
          <w:rFonts w:ascii="Courier New" w:cs="Courier New" w:eastAsia="Courier New" w:hAnsi="Courier New"/>
          <w:sz w:val="14"/>
          <w:szCs w:val="14"/>
          <w:color w:val="auto"/>
        </w:rPr>
      </w:pPr>
    </w:p>
    <w:p>
      <w:pPr>
        <w:ind w:left="450" w:right="335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year to May 31, 2002, a further 358,100 options were exercised by employees at an average exercise price of U.S.$7.47 per share.</w:t>
      </w:r>
    </w:p>
    <w:p>
      <w:pPr>
        <w:spacing w:after="0" w:line="158" w:lineRule="exact"/>
        <w:rPr>
          <w:rFonts w:ascii="Courier New" w:cs="Courier New" w:eastAsia="Courier New" w:hAnsi="Courier New"/>
          <w:sz w:val="14"/>
          <w:szCs w:val="14"/>
          <w:color w:val="auto"/>
        </w:rPr>
      </w:pPr>
    </w:p>
    <w:p>
      <w:pPr>
        <w:ind w:left="45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During the year to May 31, 2003, a further 39,360 options were exercised by employees at an average exercise price of U.S.$18.51 per share for total procceeds of U.S.$728,554.</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29"/>
          </w:cols>
          <w:pgMar w:left="230" w:top="966" w:right="1440" w:bottom="1440" w:gutter="0" w:footer="0" w:header="0"/>
        </w:sectPr>
      </w:pPr>
    </w:p>
    <w:bookmarkStart w:id="65" w:name="page66"/>
    <w:bookmarkEnd w:id="65"/>
    <w:p>
      <w:pPr>
        <w:ind w:left="450" w:hanging="450"/>
        <w:spacing w:after="0"/>
        <w:tabs>
          <w:tab w:leader="none" w:pos="4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rFonts w:ascii="Courier New" w:cs="Courier New" w:eastAsia="Courier New" w:hAnsi="Courier New"/>
          <w:sz w:val="15"/>
          <w:szCs w:val="15"/>
          <w:color w:val="auto"/>
        </w:rPr>
      </w:pPr>
    </w:p>
    <w:p>
      <w:pPr>
        <w:jc w:val="both"/>
        <w:ind w:left="450" w:right="33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U.S. based and Irish-based subsidiaries file tax returns in the United States and Ireland, respectively. The other foreign subsidiaries are taxed separately under the laws of their respective countries.</w:t>
      </w:r>
    </w:p>
    <w:p>
      <w:pPr>
        <w:spacing w:after="0" w:line="174" w:lineRule="exact"/>
        <w:rPr>
          <w:rFonts w:ascii="Courier New" w:cs="Courier New" w:eastAsia="Courier New" w:hAnsi="Courier New"/>
          <w:sz w:val="15"/>
          <w:szCs w:val="15"/>
          <w:color w:val="auto"/>
        </w:rPr>
      </w:pPr>
    </w:p>
    <w:p>
      <w:pPr>
        <w:ind w:left="450" w:right="362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income before provision for income tax expense are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Year Ended May 31,</w:t>
            </w:r>
          </w:p>
        </w:tc>
        <w:tc>
          <w:tcPr>
            <w:tcW w:w="760" w:type="dxa"/>
            <w:vAlign w:val="bottom"/>
          </w:tcPr>
          <w:p>
            <w:pPr>
              <w:spacing w:after="0"/>
              <w:rPr>
                <w:sz w:val="14"/>
                <w:szCs w:val="14"/>
                <w:color w:val="auto"/>
              </w:rPr>
            </w:pPr>
          </w:p>
        </w:tc>
      </w:tr>
      <w:tr>
        <w:trPr>
          <w:trHeight w:val="170"/>
        </w:trPr>
        <w:tc>
          <w:tcPr>
            <w:tcW w:w="3220" w:type="dxa"/>
            <w:vAlign w:val="bottom"/>
          </w:tcPr>
          <w:p>
            <w:pPr>
              <w:spacing w:after="0"/>
              <w:rPr>
                <w:sz w:val="14"/>
                <w:szCs w:val="14"/>
                <w:color w:val="auto"/>
              </w:rPr>
            </w:pPr>
          </w:p>
        </w:tc>
        <w:tc>
          <w:tcPr>
            <w:tcW w:w="3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r>
      <w:tr>
        <w:trPr>
          <w:trHeight w:val="509"/>
        </w:trPr>
        <w:tc>
          <w:tcPr>
            <w:tcW w:w="32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3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$3,194</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$7,702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$6,556</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10,401</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11,627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18,727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$13,595</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$19,329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$25,283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5520" w:type="dxa"/>
            <w:vAlign w:val="bottom"/>
          </w:tcPr>
          <w:p>
            <w:pPr>
              <w:spacing w:after="0"/>
              <w:rPr>
                <w:sz w:val="20"/>
                <w:szCs w:val="20"/>
                <w:color w:val="auto"/>
              </w:rPr>
            </w:pPr>
            <w:r>
              <w:rPr>
                <w:rFonts w:ascii="Courier New" w:cs="Courier New" w:eastAsia="Courier New" w:hAnsi="Courier New"/>
                <w:sz w:val="15"/>
                <w:szCs w:val="15"/>
                <w:color w:val="auto"/>
              </w:rPr>
              <w:t>The components of total income tax expense are as follows:</w:t>
            </w:r>
          </w:p>
        </w:tc>
        <w:tc>
          <w:tcPr>
            <w:tcW w:w="1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78"/>
        </w:trPr>
        <w:tc>
          <w:tcPr>
            <w:tcW w:w="5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Year Ended May 31,</w:t>
            </w:r>
          </w:p>
        </w:tc>
        <w:tc>
          <w:tcPr>
            <w:tcW w:w="760" w:type="dxa"/>
            <w:vAlign w:val="bottom"/>
          </w:tcPr>
          <w:p>
            <w:pPr>
              <w:spacing w:after="0"/>
              <w:rPr>
                <w:sz w:val="24"/>
                <w:szCs w:val="24"/>
                <w:color w:val="auto"/>
              </w:rPr>
            </w:pPr>
          </w:p>
        </w:tc>
      </w:tr>
      <w:tr>
        <w:trPr>
          <w:trHeight w:val="170"/>
        </w:trPr>
        <w:tc>
          <w:tcPr>
            <w:tcW w:w="552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5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r>
      <w:tr>
        <w:trPr>
          <w:trHeight w:val="170"/>
        </w:trPr>
        <w:tc>
          <w:tcPr>
            <w:tcW w:w="55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55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9"/>
        </w:trPr>
        <w:tc>
          <w:tcPr>
            <w:tcW w:w="55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$440</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$1,164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$1,158</w:t>
            </w:r>
          </w:p>
        </w:tc>
      </w:tr>
      <w:tr>
        <w:trPr>
          <w:trHeight w:val="170"/>
        </w:trPr>
        <w:tc>
          <w:tcPr>
            <w:tcW w:w="55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1,613</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3,684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4,334</w:t>
            </w:r>
          </w:p>
        </w:tc>
      </w:tr>
      <w:tr>
        <w:trPr>
          <w:trHeight w:val="170"/>
        </w:trPr>
        <w:tc>
          <w:tcPr>
            <w:tcW w:w="55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602</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262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1,132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7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2,655</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6,624</w:t>
            </w:r>
          </w:p>
        </w:tc>
      </w:tr>
      <w:tr>
        <w:trPr>
          <w:trHeight w:val="339"/>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Deferred expenses/(benefit):</w:t>
            </w:r>
          </w:p>
        </w:tc>
        <w:tc>
          <w:tcPr>
            <w:tcW w:w="2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7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2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Provision for</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2,617</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5,129</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7,000</w:t>
            </w:r>
          </w:p>
        </w:tc>
      </w:tr>
      <w:tr>
        <w:trPr>
          <w:trHeight w:val="339"/>
        </w:trPr>
        <w:tc>
          <w:tcPr>
            <w:tcW w:w="1200" w:type="dxa"/>
            <w:vAlign w:val="bottom"/>
          </w:tcPr>
          <w:p>
            <w:pPr>
              <w:spacing w:after="0"/>
              <w:rPr>
                <w:sz w:val="20"/>
                <w:szCs w:val="20"/>
                <w:color w:val="auto"/>
              </w:rPr>
            </w:pPr>
            <w:r>
              <w:rPr>
                <w:rFonts w:ascii="Courier New" w:cs="Courier New" w:eastAsia="Courier New" w:hAnsi="Courier New"/>
                <w:sz w:val="15"/>
                <w:szCs w:val="15"/>
                <w:color w:val="auto"/>
              </w:rPr>
              <w:t>Shareholders'</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equity for compensation expense for tax</w:t>
            </w: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purposes in excess of amounts recognized for financial</w:t>
            </w:r>
          </w:p>
        </w:tc>
        <w:tc>
          <w:tcPr>
            <w:tcW w:w="1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reporting purposes</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(351)</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(792)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$2,266</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$4,337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$6,952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50" w:right="3260"/>
        <w:spacing w:after="0" w:line="238" w:lineRule="auto"/>
        <w:rPr>
          <w:sz w:val="20"/>
          <w:szCs w:val="20"/>
          <w:color w:val="auto"/>
        </w:rPr>
      </w:pPr>
      <w:r>
        <w:rPr>
          <w:rFonts w:ascii="Courier New" w:cs="Courier New" w:eastAsia="Courier New" w:hAnsi="Courier New"/>
          <w:sz w:val="15"/>
          <w:szCs w:val="15"/>
          <w:color w:val="auto"/>
        </w:rPr>
        <w:t>On January 1, 2001, Ireland's statutory income tax rate decreased from 24% to 20%, on January 1, 2002 from 20% to 16% and on January 1, 2003, from 16% to 12.5%. Certain activities carried out by the Irish company, principally data processing services, are taxed at a reduced rate of 10%. The Company's consolidated effective tax rate differed from the blended statutory rate as set forth below;</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Year Ended May 31,</w:t>
            </w:r>
          </w:p>
        </w:tc>
        <w:tc>
          <w:tcPr>
            <w:tcW w:w="840" w:type="dxa"/>
            <w:vAlign w:val="bottom"/>
          </w:tcPr>
          <w:p>
            <w:pPr>
              <w:spacing w:after="0"/>
              <w:rPr>
                <w:sz w:val="14"/>
                <w:szCs w:val="14"/>
                <w:color w:val="auto"/>
              </w:rPr>
            </w:pPr>
          </w:p>
        </w:tc>
      </w:tr>
      <w:tr>
        <w:trPr>
          <w:trHeight w:val="170"/>
        </w:trPr>
        <w:tc>
          <w:tcPr>
            <w:tcW w:w="2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r>
      <w:tr>
        <w:trPr>
          <w:trHeight w:val="339"/>
        </w:trPr>
        <w:tc>
          <w:tcPr>
            <w:tcW w:w="5560" w:type="dxa"/>
            <w:vAlign w:val="bottom"/>
            <w:gridSpan w:val="2"/>
          </w:tcPr>
          <w:p>
            <w:pPr>
              <w:spacing w:after="0"/>
              <w:rPr>
                <w:sz w:val="20"/>
                <w:szCs w:val="20"/>
                <w:color w:val="auto"/>
              </w:rPr>
            </w:pPr>
            <w:r>
              <w:rPr>
                <w:rFonts w:ascii="Courier New" w:cs="Courier New" w:eastAsia="Courier New" w:hAnsi="Courier New"/>
                <w:sz w:val="15"/>
                <w:szCs w:val="15"/>
                <w:color w:val="auto"/>
              </w:rPr>
              <w:t>Taxes at Irish statutory rate of 14.54%</w:t>
            </w:r>
          </w:p>
        </w:tc>
        <w:tc>
          <w:tcPr>
            <w:tcW w:w="1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(18.33% in 2002; 22.33%</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in 2001)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$3,035</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$3,543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$3,676</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Irish income at reduced</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rates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(273)</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(523)</w:t>
            </w:r>
          </w:p>
        </w:tc>
      </w:tr>
      <w:tr>
        <w:trPr>
          <w:trHeight w:val="170"/>
        </w:trPr>
        <w:tc>
          <w:tcPr>
            <w:tcW w:w="5560" w:type="dxa"/>
            <w:vAlign w:val="bottom"/>
            <w:gridSpan w:val="2"/>
          </w:tcPr>
          <w:p>
            <w:pPr>
              <w:spacing w:after="0"/>
              <w:rPr>
                <w:sz w:val="20"/>
                <w:szCs w:val="20"/>
                <w:color w:val="auto"/>
              </w:rPr>
            </w:pPr>
            <w:r>
              <w:rPr>
                <w:rFonts w:ascii="Courier New" w:cs="Courier New" w:eastAsia="Courier New" w:hAnsi="Courier New"/>
                <w:sz w:val="15"/>
                <w:szCs w:val="15"/>
                <w:color w:val="auto"/>
              </w:rPr>
              <w:t>Foreign and other income taxed at (reduced)/higher rates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(616)</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1,126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2,397</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United States state tax</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net of United States Federal benefit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249</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468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556</w:t>
            </w:r>
          </w:p>
        </w:tc>
      </w:tr>
      <w:tr>
        <w:trPr>
          <w:trHeight w:val="170"/>
        </w:trPr>
        <w:tc>
          <w:tcPr>
            <w:tcW w:w="5560" w:type="dxa"/>
            <w:vAlign w:val="bottom"/>
            <w:gridSpan w:val="2"/>
          </w:tcPr>
          <w:p>
            <w:pPr>
              <w:spacing w:after="0"/>
              <w:rPr>
                <w:sz w:val="20"/>
                <w:szCs w:val="20"/>
                <w:color w:val="auto"/>
              </w:rPr>
            </w:pPr>
            <w:r>
              <w:rPr>
                <w:rFonts w:ascii="Courier New" w:cs="Courier New" w:eastAsia="Courier New" w:hAnsi="Courier New"/>
                <w:sz w:val="15"/>
                <w:szCs w:val="15"/>
                <w:color w:val="auto"/>
              </w:rPr>
              <w:t>Movement in valuation allowance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374</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Non deductible expenses</w:t>
            </w:r>
          </w:p>
        </w:tc>
        <w:tc>
          <w:tcPr>
            <w:tcW w:w="3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161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285</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495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Total provision for income taxes</w:t>
            </w: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$2,617</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$5,129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310"/>
          </w:cols>
          <w:pgMar w:left="230" w:top="961" w:right="1359" w:bottom="0" w:gutter="0" w:footer="0" w:header="0"/>
        </w:sectPr>
      </w:pPr>
    </w:p>
    <w:bookmarkStart w:id="66" w:name="page67"/>
    <w:bookmarkEnd w:id="66"/>
    <w:p>
      <w:pPr>
        <w:ind w:right="3259"/>
        <w:spacing w:after="0" w:line="237"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deferred tax assets and deferred tax liabilities are presented below:</w:t>
      </w:r>
    </w:p>
    <w:p>
      <w:pPr>
        <w:spacing w:after="0" w:line="33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9779"/>
          </w:cols>
          <w:pgMar w:left="680" w:top="820" w:right="1440" w:bottom="1440" w:gutter="0" w:footer="0" w:header="0"/>
        </w:sectPr>
      </w:pPr>
    </w:p>
    <w:bookmarkStart w:id="67" w:name="page68"/>
    <w:bookmarkEnd w:id="67"/>
    <w:tbl>
      <w:tblPr>
        <w:tblLayout w:type="fixed"/>
        <w:tblInd w:w="61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27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Year Ended May 31,</w:t>
            </w:r>
          </w:p>
        </w:tc>
      </w:tr>
      <w:tr>
        <w:trPr>
          <w:trHeight w:val="170"/>
        </w:trPr>
        <w:tc>
          <w:tcPr>
            <w:tcW w:w="34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(in thousands)</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$497</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$764</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Goodwill and related assets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828</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Total deferred tax liabilities</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690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1,764</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operating loss carryforwards</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1,376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2,292</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Accrued expenses and payments on account</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819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946</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Deferred compensation expense</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234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Total deferred tax assets</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2,716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3,712</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Valuation allowance for deferred tax assets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(1,916)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Deferred tax assets recognized</w:t>
            </w:r>
          </w:p>
        </w:tc>
        <w:tc>
          <w:tcPr>
            <w:tcW w:w="18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$1,098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$1,796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Net deferred tax asset</w:t>
            </w:r>
          </w:p>
        </w:tc>
        <w:tc>
          <w:tcPr>
            <w:tcW w:w="2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450" w:right="3179"/>
        <w:spacing w:after="0" w:line="237" w:lineRule="auto"/>
        <w:rPr>
          <w:sz w:val="20"/>
          <w:szCs w:val="20"/>
          <w:color w:val="auto"/>
        </w:rPr>
      </w:pPr>
      <w:r>
        <w:rPr>
          <w:rFonts w:ascii="Courier New" w:cs="Courier New" w:eastAsia="Courier New" w:hAnsi="Courier New"/>
          <w:sz w:val="15"/>
          <w:szCs w:val="15"/>
          <w:color w:val="auto"/>
        </w:rPr>
        <w:t>At May 31, 2002 and 2003, European subsidiaries had operating loss carryforwards for income tax purposes that may be carried forward indefinitely, available to offset against future taxable income, if any, of approximately U.S.$600,000 and U.S.$1,400,000 respectively.</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At May 31, 2002 and 2003, a U.S. subsidiary had a net operating loss</w:t>
      </w:r>
    </w:p>
    <w:p>
      <w:pPr>
        <w:ind w:left="450"/>
        <w:spacing w:after="0"/>
        <w:rPr>
          <w:sz w:val="20"/>
          <w:szCs w:val="20"/>
          <w:color w:val="auto"/>
        </w:rPr>
      </w:pPr>
      <w:r>
        <w:rPr>
          <w:rFonts w:ascii="Courier New" w:cs="Courier New" w:eastAsia="Courier New" w:hAnsi="Courier New"/>
          <w:sz w:val="15"/>
          <w:szCs w:val="15"/>
          <w:color w:val="auto"/>
        </w:rPr>
        <w:t>carryforwards for U.S. Federal and State income tax purposes, available to</w:t>
      </w:r>
    </w:p>
    <w:p>
      <w:pPr>
        <w:ind w:left="450"/>
        <w:spacing w:after="0"/>
        <w:rPr>
          <w:sz w:val="20"/>
          <w:szCs w:val="20"/>
          <w:color w:val="auto"/>
        </w:rPr>
      </w:pPr>
      <w:r>
        <w:rPr>
          <w:rFonts w:ascii="Courier New" w:cs="Courier New" w:eastAsia="Courier New" w:hAnsi="Courier New"/>
          <w:sz w:val="15"/>
          <w:szCs w:val="15"/>
          <w:color w:val="auto"/>
        </w:rPr>
        <w:t>offset against future taxable income if any of approximately</w:t>
      </w:r>
    </w:p>
    <w:p>
      <w:pPr>
        <w:ind w:left="450"/>
        <w:spacing w:after="0" w:line="238" w:lineRule="auto"/>
        <w:rPr>
          <w:sz w:val="20"/>
          <w:szCs w:val="20"/>
          <w:color w:val="auto"/>
        </w:rPr>
      </w:pPr>
      <w:r>
        <w:rPr>
          <w:rFonts w:ascii="Courier New" w:cs="Courier New" w:eastAsia="Courier New" w:hAnsi="Courier New"/>
          <w:sz w:val="15"/>
          <w:szCs w:val="15"/>
          <w:color w:val="auto"/>
        </w:rPr>
        <w:t>U.S.$2,000,000, which expires between 2009 and 2020. Under section 382 of</w:t>
      </w:r>
    </w:p>
    <w:p>
      <w:pPr>
        <w:ind w:left="450"/>
        <w:spacing w:after="0"/>
        <w:rPr>
          <w:sz w:val="20"/>
          <w:szCs w:val="20"/>
          <w:color w:val="auto"/>
        </w:rPr>
      </w:pPr>
      <w:r>
        <w:rPr>
          <w:rFonts w:ascii="Courier New" w:cs="Courier New" w:eastAsia="Courier New" w:hAnsi="Courier New"/>
          <w:sz w:val="15"/>
          <w:szCs w:val="15"/>
          <w:color w:val="auto"/>
        </w:rPr>
        <w:t>the Internal Revenue Code of 1986, as amended, the subsidiary's ability to</w:t>
      </w:r>
    </w:p>
    <w:p>
      <w:pPr>
        <w:ind w:left="450"/>
        <w:spacing w:after="0"/>
        <w:rPr>
          <w:sz w:val="20"/>
          <w:szCs w:val="20"/>
          <w:color w:val="auto"/>
        </w:rPr>
      </w:pPr>
      <w:r>
        <w:rPr>
          <w:rFonts w:ascii="Courier New" w:cs="Courier New" w:eastAsia="Courier New" w:hAnsi="Courier New"/>
          <w:sz w:val="15"/>
          <w:szCs w:val="15"/>
          <w:color w:val="auto"/>
        </w:rPr>
        <w:t>use the net operating loss carryforward is limited to U.S.$113,000 per year</w:t>
      </w:r>
    </w:p>
    <w:p>
      <w:pPr>
        <w:ind w:left="450"/>
        <w:spacing w:after="0" w:line="238" w:lineRule="auto"/>
        <w:rPr>
          <w:sz w:val="20"/>
          <w:szCs w:val="20"/>
          <w:color w:val="auto"/>
        </w:rPr>
      </w:pPr>
      <w:r>
        <w:rPr>
          <w:rFonts w:ascii="Courier New" w:cs="Courier New" w:eastAsia="Courier New" w:hAnsi="Courier New"/>
          <w:sz w:val="15"/>
          <w:szCs w:val="15"/>
          <w:color w:val="auto"/>
        </w:rPr>
        <w:t>since the subsidiary experienced a change in ownership of more than 50</w:t>
      </w:r>
    </w:p>
    <w:p>
      <w:pPr>
        <w:ind w:left="450"/>
        <w:spacing w:after="0"/>
        <w:rPr>
          <w:sz w:val="20"/>
          <w:szCs w:val="20"/>
          <w:color w:val="auto"/>
        </w:rPr>
      </w:pPr>
      <w:r>
        <w:rPr>
          <w:rFonts w:ascii="Courier New" w:cs="Courier New" w:eastAsia="Courier New" w:hAnsi="Courier New"/>
          <w:sz w:val="15"/>
          <w:szCs w:val="15"/>
          <w:color w:val="auto"/>
        </w:rPr>
        <w:t>percentage points in 2000.</w:t>
      </w:r>
    </w:p>
    <w:p>
      <w:pPr>
        <w:spacing w:after="0" w:line="175"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4"/>
          <w:szCs w:val="14"/>
          <w:color w:val="auto"/>
        </w:rPr>
        <w:t>A valuation allowance is provided when it is more likely than not that some portion or all of the deferred tax assets will not be realized. The Company has provided a valuation allowance for the years ended May 31, 2002 and 2003 of U.S.$1,618,000 and U.S.$1,916,000 respectively. This valuation allowance is based on management's belief that it is more likely than not that the European and US entities' losses and other deferred tax assets will not be utilized given their history of operating losses.</w:t>
      </w:r>
    </w:p>
    <w:p>
      <w:pPr>
        <w:spacing w:after="0" w:line="200" w:lineRule="exact"/>
        <w:rPr>
          <w:sz w:val="20"/>
          <w:szCs w:val="20"/>
          <w:color w:val="auto"/>
        </w:rPr>
      </w:pPr>
    </w:p>
    <w:p>
      <w:pPr>
        <w:spacing w:after="0" w:line="301" w:lineRule="exact"/>
        <w:rPr>
          <w:sz w:val="20"/>
          <w:szCs w:val="20"/>
          <w:color w:val="auto"/>
        </w:rPr>
      </w:pPr>
    </w:p>
    <w:p>
      <w:pPr>
        <w:ind w:left="450" w:hanging="450"/>
        <w:spacing w:after="0"/>
        <w:tabs>
          <w:tab w:leader="none" w:pos="4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Concentrations</w:t>
      </w:r>
    </w:p>
    <w:p>
      <w:pPr>
        <w:spacing w:after="0" w:line="174" w:lineRule="exact"/>
        <w:rPr>
          <w:rFonts w:ascii="Courier New" w:cs="Courier New" w:eastAsia="Courier New" w:hAnsi="Courier New"/>
          <w:sz w:val="15"/>
          <w:szCs w:val="15"/>
          <w:color w:val="auto"/>
        </w:rPr>
      </w:pPr>
    </w:p>
    <w:p>
      <w:pPr>
        <w:ind w:left="450" w:right="36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business with most major international pharmaceutical companies (see note 15). The Company has not written off any accounts receivable since inception.</w:t>
      </w:r>
    </w:p>
    <w:p>
      <w:pPr>
        <w:spacing w:after="0" w:line="200" w:lineRule="exact"/>
        <w:rPr>
          <w:rFonts w:ascii="Courier New" w:cs="Courier New" w:eastAsia="Courier New" w:hAnsi="Courier New"/>
          <w:sz w:val="15"/>
          <w:szCs w:val="15"/>
          <w:color w:val="auto"/>
        </w:rPr>
      </w:pPr>
    </w:p>
    <w:p>
      <w:pPr>
        <w:spacing w:after="0" w:line="30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4"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9"/>
          </w:cols>
          <w:pgMar w:left="230" w:top="622" w:right="1440" w:bottom="1440" w:gutter="0" w:footer="0" w:header="0"/>
        </w:sectPr>
      </w:pPr>
    </w:p>
    <w:bookmarkStart w:id="68" w:name="page69"/>
    <w:bookmarkEnd w:id="68"/>
    <w:p>
      <w:pPr>
        <w:ind w:left="450"/>
        <w:spacing w:after="0"/>
        <w:rPr>
          <w:sz w:val="20"/>
          <w:szCs w:val="20"/>
          <w:color w:val="auto"/>
        </w:rPr>
      </w:pPr>
      <w:r>
        <w:rPr>
          <w:rFonts w:ascii="Courier New" w:cs="Courier New" w:eastAsia="Courier New" w:hAnsi="Courier New"/>
          <w:sz w:val="15"/>
          <w:szCs w:val="15"/>
          <w:color w:val="auto"/>
        </w:rPr>
        <w:t>The Company has several non-cancellable operating leases, primarily for</w:t>
      </w:r>
    </w:p>
    <w:p>
      <w:pPr>
        <w:ind w:left="450"/>
        <w:spacing w:after="0"/>
        <w:rPr>
          <w:sz w:val="20"/>
          <w:szCs w:val="20"/>
          <w:color w:val="auto"/>
        </w:rPr>
      </w:pPr>
      <w:r>
        <w:rPr>
          <w:rFonts w:ascii="Courier New" w:cs="Courier New" w:eastAsia="Courier New" w:hAnsi="Courier New"/>
          <w:sz w:val="15"/>
          <w:szCs w:val="15"/>
          <w:color w:val="auto"/>
        </w:rPr>
        <w:t>facilities, that expire over the next 10 years. These leases generally</w:t>
      </w:r>
    </w:p>
    <w:p>
      <w:pPr>
        <w:ind w:left="450"/>
        <w:spacing w:after="0"/>
        <w:rPr>
          <w:sz w:val="20"/>
          <w:szCs w:val="20"/>
          <w:color w:val="auto"/>
        </w:rPr>
      </w:pPr>
      <w:r>
        <w:rPr>
          <w:rFonts w:ascii="Courier New" w:cs="Courier New" w:eastAsia="Courier New" w:hAnsi="Courier New"/>
          <w:sz w:val="15"/>
          <w:szCs w:val="15"/>
          <w:color w:val="auto"/>
        </w:rPr>
        <w:t>contain renewal options and require the Company to pay all executory costs</w:t>
      </w:r>
    </w:p>
    <w:p>
      <w:pPr>
        <w:ind w:left="450"/>
        <w:spacing w:after="0" w:line="238" w:lineRule="auto"/>
        <w:rPr>
          <w:sz w:val="20"/>
          <w:szCs w:val="20"/>
          <w:color w:val="auto"/>
        </w:rPr>
      </w:pPr>
      <w:r>
        <w:rPr>
          <w:rFonts w:ascii="Courier New" w:cs="Courier New" w:eastAsia="Courier New" w:hAnsi="Courier New"/>
          <w:sz w:val="15"/>
          <w:szCs w:val="15"/>
          <w:color w:val="auto"/>
        </w:rPr>
        <w:t>such as maintenance and insurance. The Company paid U.S.$7,618,000,</w:t>
      </w:r>
    </w:p>
    <w:p>
      <w:pPr>
        <w:ind w:left="450"/>
        <w:spacing w:after="0"/>
        <w:rPr>
          <w:sz w:val="20"/>
          <w:szCs w:val="20"/>
          <w:color w:val="auto"/>
        </w:rPr>
      </w:pPr>
      <w:r>
        <w:rPr>
          <w:rFonts w:ascii="Courier New" w:cs="Courier New" w:eastAsia="Courier New" w:hAnsi="Courier New"/>
          <w:sz w:val="15"/>
          <w:szCs w:val="15"/>
          <w:color w:val="auto"/>
        </w:rPr>
        <w:t>U.S.$10,963,000 and U.S.$15,743,000 in rental expense for the fiscal years</w:t>
      </w:r>
    </w:p>
    <w:p>
      <w:pPr>
        <w:ind w:left="450"/>
        <w:spacing w:after="0"/>
        <w:rPr>
          <w:sz w:val="20"/>
          <w:szCs w:val="20"/>
          <w:color w:val="auto"/>
        </w:rPr>
      </w:pPr>
      <w:r>
        <w:rPr>
          <w:rFonts w:ascii="Courier New" w:cs="Courier New" w:eastAsia="Courier New" w:hAnsi="Courier New"/>
          <w:sz w:val="15"/>
          <w:szCs w:val="15"/>
          <w:color w:val="auto"/>
        </w:rPr>
        <w:t>ended May 31, 2001, 2002 and 2003, respectively. Future minimum rental</w:t>
      </w:r>
    </w:p>
    <w:p>
      <w:pPr>
        <w:ind w:left="450"/>
        <w:spacing w:after="0" w:line="238" w:lineRule="auto"/>
        <w:rPr>
          <w:sz w:val="20"/>
          <w:szCs w:val="20"/>
          <w:color w:val="auto"/>
        </w:rPr>
      </w:pPr>
      <w:r>
        <w:rPr>
          <w:rFonts w:ascii="Courier New" w:cs="Courier New" w:eastAsia="Courier New" w:hAnsi="Courier New"/>
          <w:sz w:val="15"/>
          <w:szCs w:val="15"/>
          <w:color w:val="auto"/>
        </w:rPr>
        <w:t>commitments for operating leases with non-cancellable terms in excess of</w:t>
      </w:r>
    </w:p>
    <w:p>
      <w:pPr>
        <w:ind w:left="450"/>
        <w:spacing w:after="0"/>
        <w:rPr>
          <w:sz w:val="20"/>
          <w:szCs w:val="20"/>
          <w:color w:val="auto"/>
        </w:rPr>
      </w:pPr>
      <w:r>
        <w:rPr>
          <w:rFonts w:ascii="Courier New" w:cs="Courier New" w:eastAsia="Courier New" w:hAnsi="Courier New"/>
          <w:sz w:val="15"/>
          <w:szCs w:val="15"/>
          <w:color w:val="auto"/>
        </w:rPr>
        <w:t>one year are as follows:</w:t>
      </w:r>
    </w:p>
    <w:p>
      <w:pPr>
        <w:spacing w:after="0" w:line="169" w:lineRule="exact"/>
        <w:rPr>
          <w:sz w:val="20"/>
          <w:szCs w:val="20"/>
          <w:color w:val="auto"/>
        </w:rPr>
      </w:pPr>
    </w:p>
    <w:tbl>
      <w:tblPr>
        <w:tblLayout w:type="fixed"/>
        <w:tblInd w:w="1050" w:type="dxa"/>
        <w:tblCellMar>
          <w:top w:w="0" w:type="dxa"/>
          <w:left w:w="0" w:type="dxa"/>
          <w:bottom w:w="0" w:type="dxa"/>
          <w:right w:w="0" w:type="dxa"/>
        </w:tblCellMar>
      </w:tblPr>
      <w:tr>
        <w:trPr>
          <w:trHeight w:val="170"/>
        </w:trPr>
        <w:tc>
          <w:tcPr>
            <w:tcW w:w="4200" w:type="dxa"/>
            <w:vAlign w:val="bottom"/>
          </w:tcPr>
          <w:p>
            <w:pPr>
              <w:jc w:val="right"/>
              <w:spacing w:after="0"/>
              <w:rPr>
                <w:sz w:val="20"/>
                <w:szCs w:val="20"/>
                <w:color w:val="auto"/>
              </w:rPr>
            </w:pPr>
            <w:r>
              <w:rPr>
                <w:rFonts w:ascii="Courier New" w:cs="Courier New" w:eastAsia="Courier New" w:hAnsi="Courier New"/>
                <w:sz w:val="15"/>
                <w:szCs w:val="15"/>
                <w:color w:val="auto"/>
              </w:rPr>
              <w:t>Minimum</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w w:val="96"/>
              </w:rPr>
              <w:t>rental payments</w:t>
            </w:r>
          </w:p>
        </w:tc>
      </w:tr>
      <w:tr>
        <w:trPr>
          <w:trHeight w:val="170"/>
        </w:trPr>
        <w:tc>
          <w:tcPr>
            <w:tcW w:w="420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$16,975</w:t>
            </w:r>
          </w:p>
        </w:tc>
      </w:t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16,633</w:t>
            </w:r>
          </w:p>
        </w:tc>
      </w:t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14,755</w:t>
            </w:r>
          </w:p>
        </w:tc>
      </w:t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11,730</w:t>
            </w:r>
          </w:p>
        </w:tc>
      </w:t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10,720</w:t>
            </w:r>
          </w:p>
        </w:tc>
      </w:t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$58,776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450" w:right="3259"/>
        <w:spacing w:after="0" w:line="237" w:lineRule="auto"/>
        <w:rPr>
          <w:sz w:val="20"/>
          <w:szCs w:val="20"/>
          <w:color w:val="auto"/>
        </w:rPr>
      </w:pPr>
      <w:r>
        <w:rPr>
          <w:rFonts w:ascii="Courier New" w:cs="Courier New" w:eastAsia="Courier New" w:hAnsi="Courier New"/>
          <w:sz w:val="15"/>
          <w:szCs w:val="15"/>
          <w:color w:val="auto"/>
        </w:rPr>
        <w:t>The Company has a number of finance leases, primarily over furniture and equipment, that expire over the next four years. Future commitments are as follows:</w:t>
      </w:r>
    </w:p>
    <w:p>
      <w:pPr>
        <w:spacing w:after="0" w:line="169" w:lineRule="exact"/>
        <w:rPr>
          <w:sz w:val="20"/>
          <w:szCs w:val="20"/>
          <w:color w:val="auto"/>
        </w:rPr>
      </w:pPr>
    </w:p>
    <w:tbl>
      <w:tblPr>
        <w:tblLayout w:type="fixed"/>
        <w:tblInd w:w="105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Lease payments</w:t>
            </w:r>
          </w:p>
        </w:tc>
      </w:tr>
      <w:tr>
        <w:trPr>
          <w:trHeight w:val="170"/>
        </w:trPr>
        <w:tc>
          <w:tcPr>
            <w:tcW w:w="322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$268</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244</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79</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Less future finance charges</w:t>
            </w: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50"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450" w:right="3359"/>
        <w:spacing w:after="0" w:line="237" w:lineRule="auto"/>
        <w:rPr>
          <w:sz w:val="20"/>
          <w:szCs w:val="20"/>
          <w:color w:val="auto"/>
        </w:rPr>
      </w:pPr>
      <w:r>
        <w:rPr>
          <w:rFonts w:ascii="Courier New" w:cs="Courier New" w:eastAsia="Courier New" w:hAnsi="Courier New"/>
          <w:sz w:val="15"/>
          <w:szCs w:val="15"/>
          <w:color w:val="auto"/>
        </w:rPr>
        <w:t>The Company made a number of acquisitions in recent years with earn-out provisions built into the purchase contracts, which may require cash payments of U.S.$8,946,000 to be made during fiscal 2005 if the specified earn-out targets are achieved.</w:t>
      </w:r>
    </w:p>
    <w:p>
      <w:pPr>
        <w:spacing w:after="0" w:line="200" w:lineRule="exact"/>
        <w:rPr>
          <w:sz w:val="20"/>
          <w:szCs w:val="20"/>
          <w:color w:val="auto"/>
        </w:rPr>
      </w:pPr>
    </w:p>
    <w:p>
      <w:pPr>
        <w:spacing w:after="0" w:line="310" w:lineRule="exact"/>
        <w:rPr>
          <w:sz w:val="20"/>
          <w:szCs w:val="20"/>
          <w:color w:val="auto"/>
        </w:rPr>
      </w:pPr>
    </w:p>
    <w:p>
      <w:pPr>
        <w:ind w:left="450" w:hanging="450"/>
        <w:spacing w:after="0"/>
        <w:tabs>
          <w:tab w:leader="none" w:pos="45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 Information</w:t>
      </w:r>
    </w:p>
    <w:p>
      <w:pPr>
        <w:spacing w:after="0" w:line="174" w:lineRule="exact"/>
        <w:rPr>
          <w:rFonts w:ascii="Courier New" w:cs="Courier New" w:eastAsia="Courier New" w:hAnsi="Courier New"/>
          <w:sz w:val="15"/>
          <w:szCs w:val="15"/>
          <w:color w:val="auto"/>
        </w:rPr>
      </w:pPr>
    </w:p>
    <w:p>
      <w:pPr>
        <w:ind w:left="450" w:right="33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operates predominantly in the contract clinical research industry providing a broad range of clinical research and integrated product development services on a global basis for the pharmaceutical and biotechnology industries. On June 8, 2000, the Company acquired for cash UCT (U.S.), Inc. ("UCT"), subsequently renamed ICON Laboratories Inc., a central laboratory company based in New York, USA. This, together with laboratory services based in Dublin, form the central laboratory information disclosed below.</w:t>
      </w:r>
    </w:p>
    <w:p>
      <w:pPr>
        <w:spacing w:after="0" w:line="177"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areas of operation outside of Ireland principally include the United Kingdom, United States, Germany, Australia, Argentina, France, Japan, Israel, Singapore, Canada, Sweden, The Netherlands, Latvia, South Africa and India. Segment information for the fiscal years ended May 31, 2001, 2002 and 2003 is as follows: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9"/>
          </w:cols>
          <w:pgMar w:left="230" w:top="961" w:right="1440" w:bottom="1440" w:gutter="0" w:footer="0" w:header="0"/>
        </w:sectPr>
      </w:pPr>
    </w:p>
    <w:bookmarkStart w:id="69" w:name="page70"/>
    <w:bookmarkEnd w:id="69"/>
    <w:p>
      <w:pPr>
        <w:ind w:left="450"/>
        <w:spacing w:after="0"/>
        <w:tabs>
          <w:tab w:leader="none" w:pos="869"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The distribution of net revenue by geographical area was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 Ended May 31,</w:t>
            </w:r>
          </w:p>
        </w:tc>
        <w:tc>
          <w:tcPr>
            <w:tcW w:w="800" w:type="dxa"/>
            <w:vAlign w:val="bottom"/>
          </w:tcPr>
          <w:p>
            <w:pPr>
              <w:spacing w:after="0"/>
              <w:rPr>
                <w:sz w:val="14"/>
                <w:szCs w:val="14"/>
                <w:color w:val="auto"/>
              </w:rPr>
            </w:pPr>
          </w:p>
        </w:tc>
      </w:tr>
      <w:tr>
        <w:trPr>
          <w:trHeight w:val="170"/>
        </w:trPr>
        <w:tc>
          <w:tcPr>
            <w:tcW w:w="3480" w:type="dxa"/>
            <w:vAlign w:val="bottom"/>
          </w:tcPr>
          <w:p>
            <w:pPr>
              <w:spacing w:after="0"/>
              <w:rPr>
                <w:sz w:val="14"/>
                <w:szCs w:val="14"/>
                <w:color w:val="auto"/>
              </w:rPr>
            </w:pPr>
          </w:p>
        </w:tc>
        <w:tc>
          <w:tcPr>
            <w:tcW w:w="3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 thousands)</w:t>
            </w:r>
          </w:p>
        </w:tc>
        <w:tc>
          <w:tcPr>
            <w:tcW w:w="800" w:type="dxa"/>
            <w:vAlign w:val="bottom"/>
          </w:tcPr>
          <w:p>
            <w:pPr>
              <w:spacing w:after="0"/>
              <w:rPr>
                <w:sz w:val="14"/>
                <w:szCs w:val="14"/>
                <w:color w:val="auto"/>
              </w:rPr>
            </w:pPr>
          </w:p>
        </w:tc>
      </w:tr>
      <w:tr>
        <w:trPr>
          <w:trHeight w:val="509"/>
        </w:trPr>
        <w:tc>
          <w:tcPr>
            <w:tcW w:w="34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3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$10,302</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$20,406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$26,293</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3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21,939</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24,605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34,727</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3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82,572</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107,520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158,707</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1,350</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4,024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5,998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$116,163</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$156,555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$225,725</w:t>
            </w:r>
          </w:p>
        </w:tc>
      </w:tr>
    </w:tbl>
    <w:p>
      <w:pPr>
        <w:spacing w:after="0" w:line="5" w:lineRule="exact"/>
        <w:rPr>
          <w:sz w:val="20"/>
          <w:szCs w:val="20"/>
          <w:color w:val="auto"/>
        </w:rPr>
      </w:pPr>
    </w:p>
    <w:p>
      <w:pPr>
        <w:ind w:left="170" w:hanging="170"/>
        <w:spacing w:after="0"/>
        <w:tabs>
          <w:tab w:leader="none" w:pos="17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6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All sales shown for Ireland are export sales.</w:t>
      </w:r>
    </w:p>
    <w:p>
      <w:pPr>
        <w:spacing w:after="0" w:line="338" w:lineRule="exact"/>
        <w:rPr>
          <w:rFonts w:ascii="Courier New" w:cs="Courier New" w:eastAsia="Courier New" w:hAnsi="Courier New"/>
          <w:sz w:val="14"/>
          <w:szCs w:val="14"/>
          <w:color w:val="auto"/>
        </w:rPr>
      </w:pPr>
    </w:p>
    <w:p>
      <w:pPr>
        <w:ind w:left="890" w:hanging="449"/>
        <w:spacing w:after="0"/>
        <w:tabs>
          <w:tab w:leader="none" w:pos="89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net revenue by business segment was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 Ended May 31,</w:t>
            </w:r>
          </w:p>
        </w:tc>
        <w:tc>
          <w:tcPr>
            <w:tcW w:w="800" w:type="dxa"/>
            <w:vAlign w:val="bottom"/>
          </w:tcPr>
          <w:p>
            <w:pPr>
              <w:spacing w:after="0"/>
              <w:rPr>
                <w:sz w:val="14"/>
                <w:szCs w:val="14"/>
                <w:color w:val="auto"/>
              </w:rPr>
            </w:pPr>
          </w:p>
        </w:tc>
      </w:tr>
      <w:tr>
        <w:trPr>
          <w:trHeight w:val="170"/>
        </w:trPr>
        <w:tc>
          <w:tcPr>
            <w:tcW w:w="3660" w:type="dxa"/>
            <w:vAlign w:val="bottom"/>
          </w:tcPr>
          <w:p>
            <w:pPr>
              <w:spacing w:after="0"/>
              <w:rPr>
                <w:sz w:val="14"/>
                <w:szCs w:val="14"/>
                <w:color w:val="auto"/>
              </w:rPr>
            </w:pPr>
          </w:p>
        </w:tc>
        <w:tc>
          <w:tcPr>
            <w:tcW w:w="2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6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 thousands)</w:t>
            </w:r>
          </w:p>
        </w:tc>
        <w:tc>
          <w:tcPr>
            <w:tcW w:w="800" w:type="dxa"/>
            <w:vAlign w:val="bottom"/>
          </w:tcPr>
          <w:p>
            <w:pPr>
              <w:spacing w:after="0"/>
              <w:rPr>
                <w:sz w:val="14"/>
                <w:szCs w:val="14"/>
                <w:color w:val="auto"/>
              </w:rPr>
            </w:pPr>
          </w:p>
        </w:tc>
      </w:tr>
      <w:tr>
        <w:trPr>
          <w:trHeight w:val="509"/>
        </w:trPr>
        <w:tc>
          <w:tcPr>
            <w:tcW w:w="366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$13,564</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$25,887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$26,168</w:t>
            </w:r>
          </w:p>
        </w:tc>
      </w:t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102,599</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130,668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199,557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$116,163</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$156,555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$225,725</w:t>
            </w:r>
          </w:p>
        </w:tc>
      </w:tr>
    </w:tbl>
    <w:p>
      <w:pPr>
        <w:spacing w:after="0" w:line="5" w:lineRule="exact"/>
        <w:rPr>
          <w:sz w:val="20"/>
          <w:szCs w:val="20"/>
          <w:color w:val="auto"/>
        </w:rPr>
      </w:pPr>
    </w:p>
    <w:p>
      <w:pPr>
        <w:ind w:left="170" w:hanging="170"/>
        <w:spacing w:after="0"/>
        <w:tabs>
          <w:tab w:leader="none" w:pos="17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8" w:lineRule="exact"/>
        <w:rPr>
          <w:rFonts w:ascii="Courier New" w:cs="Courier New" w:eastAsia="Courier New" w:hAnsi="Courier New"/>
          <w:sz w:val="14"/>
          <w:szCs w:val="14"/>
          <w:color w:val="auto"/>
        </w:rPr>
      </w:pPr>
    </w:p>
    <w:p>
      <w:pPr>
        <w:ind w:left="890" w:right="3260" w:hanging="449"/>
        <w:spacing w:after="0" w:line="235" w:lineRule="auto"/>
        <w:tabs>
          <w:tab w:leader="none" w:pos="89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geographical area was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Year Ended May 31,</w:t>
            </w:r>
          </w:p>
        </w:tc>
        <w:tc>
          <w:tcPr>
            <w:tcW w:w="760" w:type="dxa"/>
            <w:vAlign w:val="bottom"/>
          </w:tcPr>
          <w:p>
            <w:pPr>
              <w:spacing w:after="0"/>
              <w:rPr>
                <w:sz w:val="14"/>
                <w:szCs w:val="14"/>
                <w:color w:val="auto"/>
              </w:rPr>
            </w:pPr>
          </w:p>
        </w:tc>
      </w:tr>
      <w:tr>
        <w:trPr>
          <w:trHeight w:val="170"/>
        </w:trPr>
        <w:tc>
          <w:tcPr>
            <w:tcW w:w="3540" w:type="dxa"/>
            <w:vAlign w:val="bottom"/>
          </w:tcPr>
          <w:p>
            <w:pPr>
              <w:spacing w:after="0"/>
              <w:rPr>
                <w:sz w:val="14"/>
                <w:szCs w:val="14"/>
                <w:color w:val="auto"/>
              </w:rPr>
            </w:pPr>
          </w:p>
        </w:tc>
        <w:tc>
          <w:tcPr>
            <w:tcW w:w="3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5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r>
      <w:tr>
        <w:trPr>
          <w:trHeight w:val="509"/>
        </w:trPr>
        <w:tc>
          <w:tcPr>
            <w:tcW w:w="354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3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$1,655</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$7,706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$6,532</w:t>
            </w:r>
          </w:p>
        </w:tc>
      </w:t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3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3,250</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(3,397)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1,192</w:t>
            </w:r>
          </w:p>
        </w:tc>
      </w:t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3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6,424</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13,398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17,091</w:t>
            </w:r>
          </w:p>
        </w:tc>
      </w:t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506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$11,076</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$18,213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$24,929</w:t>
            </w:r>
          </w:p>
        </w:tc>
      </w:tr>
    </w:tbl>
    <w:p>
      <w:pPr>
        <w:spacing w:after="0" w:line="5" w:lineRule="exact"/>
        <w:rPr>
          <w:sz w:val="20"/>
          <w:szCs w:val="20"/>
          <w:color w:val="auto"/>
        </w:rPr>
      </w:pPr>
    </w:p>
    <w:p>
      <w:pPr>
        <w:ind w:left="170" w:hanging="170"/>
        <w:spacing w:after="0"/>
        <w:tabs>
          <w:tab w:leader="none" w:pos="17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8" w:lineRule="exact"/>
        <w:rPr>
          <w:rFonts w:ascii="Courier New" w:cs="Courier New" w:eastAsia="Courier New" w:hAnsi="Courier New"/>
          <w:sz w:val="14"/>
          <w:szCs w:val="14"/>
          <w:color w:val="auto"/>
        </w:rPr>
      </w:pPr>
    </w:p>
    <w:p>
      <w:pPr>
        <w:ind w:left="890" w:right="3340" w:hanging="449"/>
        <w:spacing w:after="0" w:line="235" w:lineRule="auto"/>
        <w:tabs>
          <w:tab w:leader="none" w:pos="89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business segment was as follows:</w:t>
      </w:r>
    </w:p>
    <w:p>
      <w:pPr>
        <w:spacing w:after="0" w:line="200" w:lineRule="exact"/>
        <w:rPr>
          <w:sz w:val="20"/>
          <w:szCs w:val="20"/>
          <w:color w:val="auto"/>
        </w:rPr>
      </w:pPr>
    </w:p>
    <w:p>
      <w:pPr>
        <w:spacing w:after="0" w:line="30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 Ended May 31,</w:t>
            </w:r>
          </w:p>
        </w:tc>
        <w:tc>
          <w:tcPr>
            <w:tcW w:w="800" w:type="dxa"/>
            <w:vAlign w:val="bottom"/>
          </w:tcPr>
          <w:p>
            <w:pPr>
              <w:spacing w:after="0"/>
              <w:rPr>
                <w:sz w:val="14"/>
                <w:szCs w:val="14"/>
                <w:color w:val="auto"/>
              </w:rPr>
            </w:pPr>
          </w:p>
        </w:tc>
      </w:tr>
      <w:tr>
        <w:trPr>
          <w:trHeight w:val="170"/>
        </w:trPr>
        <w:tc>
          <w:tcPr>
            <w:tcW w:w="3620" w:type="dxa"/>
            <w:vAlign w:val="bottom"/>
          </w:tcPr>
          <w:p>
            <w:pPr>
              <w:spacing w:after="0"/>
              <w:rPr>
                <w:sz w:val="14"/>
                <w:szCs w:val="14"/>
                <w:color w:val="auto"/>
              </w:rPr>
            </w:pPr>
          </w:p>
        </w:tc>
        <w:tc>
          <w:tcPr>
            <w:tcW w:w="2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6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 thousands)</w:t>
            </w:r>
          </w:p>
        </w:tc>
        <w:tc>
          <w:tcPr>
            <w:tcW w:w="800" w:type="dxa"/>
            <w:vAlign w:val="bottom"/>
          </w:tcPr>
          <w:p>
            <w:pPr>
              <w:spacing w:after="0"/>
              <w:rPr>
                <w:sz w:val="14"/>
                <w:szCs w:val="14"/>
                <w:color w:val="auto"/>
              </w:rPr>
            </w:pPr>
          </w:p>
        </w:tc>
      </w:tr>
      <w:tr>
        <w:trPr>
          <w:trHeight w:val="509"/>
        </w:trPr>
        <w:tc>
          <w:tcPr>
            <w:tcW w:w="362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$(316)</w:t>
            </w:r>
          </w:p>
        </w:tc>
        <w:tc>
          <w:tcPr>
            <w:tcW w:w="19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$3,660</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$115</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11,392</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14,553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24,814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$11,076</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$18,213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$24,929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310"/>
          </w:cols>
          <w:pgMar w:left="230" w:top="961" w:right="1359" w:bottom="0" w:gutter="0" w:footer="0" w:header="0"/>
        </w:sectPr>
      </w:pPr>
    </w:p>
    <w:bookmarkStart w:id="70" w:name="page71"/>
    <w:bookmarkEnd w:id="70"/>
    <w:p>
      <w:pPr>
        <w:ind w:left="890" w:right="4239" w:hanging="449"/>
        <w:spacing w:after="0" w:line="235" w:lineRule="auto"/>
        <w:tabs>
          <w:tab w:leader="none" w:pos="8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geographical area was as follows:</w:t>
      </w:r>
    </w:p>
    <w:p>
      <w:pPr>
        <w:spacing w:after="0" w:line="170"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32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Year Ended May 31,</w:t>
            </w:r>
          </w:p>
        </w:tc>
      </w:tr>
      <w:tr>
        <w:trPr>
          <w:trHeight w:val="170"/>
        </w:trPr>
        <w:tc>
          <w:tcPr>
            <w:tcW w:w="2480" w:type="dxa"/>
            <w:vAlign w:val="bottom"/>
          </w:tcPr>
          <w:p>
            <w:pPr>
              <w:spacing w:after="0"/>
              <w:rPr>
                <w:sz w:val="14"/>
                <w:szCs w:val="14"/>
                <w:color w:val="auto"/>
              </w:rPr>
            </w:pPr>
          </w:p>
        </w:tc>
        <w:tc>
          <w:tcPr>
            <w:tcW w:w="2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480" w:type="dxa"/>
            <w:vAlign w:val="bottom"/>
          </w:tcPr>
          <w:p>
            <w:pPr>
              <w:spacing w:after="0"/>
              <w:rPr>
                <w:sz w:val="14"/>
                <w:szCs w:val="14"/>
                <w:color w:val="auto"/>
              </w:rPr>
            </w:pPr>
          </w:p>
        </w:tc>
        <w:tc>
          <w:tcPr>
            <w:tcW w:w="32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24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$9,795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$17,003</w:t>
            </w:r>
          </w:p>
        </w:tc>
      </w:t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3,581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6,316</w:t>
            </w:r>
          </w:p>
        </w:tc>
      </w:t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11,438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15,066</w:t>
            </w:r>
          </w:p>
        </w:tc>
      </w:t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1,118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$25,482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$39,503</w:t>
            </w:r>
          </w:p>
        </w:tc>
      </w:tr>
    </w:tbl>
    <w:p>
      <w:pPr>
        <w:spacing w:after="0" w:line="5" w:lineRule="exact"/>
        <w:rPr>
          <w:sz w:val="20"/>
          <w:szCs w:val="20"/>
          <w:color w:val="auto"/>
        </w:rPr>
      </w:pPr>
    </w:p>
    <w:p>
      <w:pPr>
        <w:ind w:left="170" w:hanging="170"/>
        <w:spacing w:after="0"/>
        <w:tabs>
          <w:tab w:leader="none" w:pos="17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left="890" w:right="3439" w:hanging="449"/>
        <w:spacing w:after="0" w:line="235" w:lineRule="auto"/>
        <w:tabs>
          <w:tab w:leader="none" w:pos="89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business segment was as follows:</w:t>
      </w:r>
    </w:p>
    <w:p>
      <w:pPr>
        <w:spacing w:after="0" w:line="170"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3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Year Ended May 31,</w:t>
            </w:r>
          </w:p>
        </w:tc>
      </w:tr>
      <w:tr>
        <w:trPr>
          <w:trHeight w:val="170"/>
        </w:trPr>
        <w:tc>
          <w:tcPr>
            <w:tcW w:w="2780" w:type="dxa"/>
            <w:vAlign w:val="bottom"/>
          </w:tcPr>
          <w:p>
            <w:pPr>
              <w:spacing w:after="0"/>
              <w:rPr>
                <w:sz w:val="14"/>
                <w:szCs w:val="14"/>
                <w:color w:val="auto"/>
              </w:rPr>
            </w:pP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780" w:type="dxa"/>
            <w:vAlign w:val="bottom"/>
          </w:tcPr>
          <w:p>
            <w:pPr>
              <w:spacing w:after="0"/>
              <w:rPr>
                <w:sz w:val="14"/>
                <w:szCs w:val="14"/>
                <w:color w:val="auto"/>
              </w:rPr>
            </w:pPr>
          </w:p>
        </w:tc>
        <w:tc>
          <w:tcPr>
            <w:tcW w:w="3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278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$2,721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$3,560</w:t>
            </w:r>
          </w:p>
        </w:tc>
      </w:t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22,761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35,943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$25,482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$39,503</w:t>
            </w:r>
          </w:p>
        </w:tc>
      </w:tr>
    </w:tbl>
    <w:p>
      <w:pPr>
        <w:spacing w:after="0" w:line="5" w:lineRule="exact"/>
        <w:rPr>
          <w:sz w:val="20"/>
          <w:szCs w:val="20"/>
          <w:color w:val="auto"/>
        </w:rPr>
      </w:pPr>
    </w:p>
    <w:p>
      <w:pPr>
        <w:ind w:left="170" w:hanging="170"/>
        <w:spacing w:after="0"/>
        <w:tabs>
          <w:tab w:leader="none" w:pos="17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left="890" w:right="3179" w:hanging="449"/>
        <w:spacing w:after="0" w:line="235" w:lineRule="auto"/>
        <w:tabs>
          <w:tab w:leader="none" w:pos="89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depreciation and amortization by geographical area was as follows:</w:t>
      </w:r>
    </w:p>
    <w:p>
      <w:pPr>
        <w:spacing w:after="0" w:line="170"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Year Ended May 31,</w:t>
            </w:r>
          </w:p>
        </w:tc>
        <w:tc>
          <w:tcPr>
            <w:tcW w:w="740" w:type="dxa"/>
            <w:vAlign w:val="bottom"/>
          </w:tcPr>
          <w:p>
            <w:pPr>
              <w:spacing w:after="0"/>
              <w:rPr>
                <w:sz w:val="14"/>
                <w:szCs w:val="14"/>
                <w:color w:val="auto"/>
              </w:rPr>
            </w:pPr>
          </w:p>
        </w:tc>
      </w:tr>
      <w:tr>
        <w:trPr>
          <w:trHeight w:val="170"/>
        </w:trPr>
        <w:tc>
          <w:tcPr>
            <w:tcW w:w="2040" w:type="dxa"/>
            <w:vAlign w:val="bottom"/>
          </w:tcPr>
          <w:p>
            <w:pPr>
              <w:spacing w:after="0"/>
              <w:rPr>
                <w:sz w:val="14"/>
                <w:szCs w:val="14"/>
                <w:color w:val="auto"/>
              </w:rPr>
            </w:pP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20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r>
      <w:tr>
        <w:trPr>
          <w:trHeight w:val="339"/>
        </w:trPr>
        <w:tc>
          <w:tcPr>
            <w:tcW w:w="204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$973</w:t>
            </w:r>
          </w:p>
        </w:tc>
        <w:tc>
          <w:tcPr>
            <w:tcW w:w="20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$1,302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$2,330</w:t>
            </w:r>
          </w:p>
        </w:tc>
      </w:t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728</w:t>
            </w:r>
          </w:p>
        </w:tc>
        <w:tc>
          <w:tcPr>
            <w:tcW w:w="20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975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1,138</w:t>
            </w:r>
          </w:p>
        </w:tc>
      </w:t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3,136</w:t>
            </w:r>
          </w:p>
        </w:tc>
        <w:tc>
          <w:tcPr>
            <w:tcW w:w="20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3,513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3,535</w:t>
            </w:r>
          </w:p>
        </w:tc>
      </w:t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w:t>
            </w:r>
          </w:p>
        </w:tc>
        <w:tc>
          <w:tcPr>
            <w:tcW w:w="20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6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1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$4,975</w:t>
            </w:r>
          </w:p>
        </w:tc>
        <w:tc>
          <w:tcPr>
            <w:tcW w:w="15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$6,020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$7,305</w:t>
            </w:r>
          </w:p>
        </w:tc>
      </w:tr>
    </w:tbl>
    <w:p>
      <w:pPr>
        <w:spacing w:after="0" w:line="5" w:lineRule="exact"/>
        <w:rPr>
          <w:sz w:val="20"/>
          <w:szCs w:val="20"/>
          <w:color w:val="auto"/>
        </w:rPr>
      </w:pPr>
    </w:p>
    <w:p>
      <w:pPr>
        <w:ind w:left="170" w:hanging="170"/>
        <w:spacing w:after="0"/>
        <w:tabs>
          <w:tab w:leader="none" w:pos="17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9" w:lineRule="exact"/>
        <w:rPr>
          <w:rFonts w:ascii="Courier New" w:cs="Courier New" w:eastAsia="Courier New" w:hAnsi="Courier New"/>
          <w:sz w:val="14"/>
          <w:szCs w:val="14"/>
          <w:color w:val="auto"/>
        </w:rPr>
      </w:pPr>
    </w:p>
    <w:p>
      <w:pPr>
        <w:ind w:left="890" w:right="3259" w:hanging="449"/>
        <w:spacing w:after="0" w:line="235" w:lineRule="auto"/>
        <w:tabs>
          <w:tab w:leader="none" w:pos="89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depreciation and amortization by business segment was as follows:</w:t>
      </w:r>
    </w:p>
    <w:p>
      <w:pPr>
        <w:spacing w:after="0" w:line="170"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Year Ended May 31,</w:t>
            </w:r>
          </w:p>
        </w:tc>
        <w:tc>
          <w:tcPr>
            <w:tcW w:w="70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20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(in thousands)</w:t>
            </w:r>
          </w:p>
        </w:tc>
        <w:tc>
          <w:tcPr>
            <w:tcW w:w="700" w:type="dxa"/>
            <w:vAlign w:val="bottom"/>
          </w:tcPr>
          <w:p>
            <w:pPr>
              <w:spacing w:after="0"/>
              <w:rPr>
                <w:sz w:val="14"/>
                <w:szCs w:val="14"/>
                <w:color w:val="auto"/>
              </w:rPr>
            </w:pPr>
          </w:p>
        </w:tc>
      </w:tr>
      <w:tr>
        <w:trPr>
          <w:trHeight w:val="339"/>
        </w:trPr>
        <w:tc>
          <w:tcPr>
            <w:tcW w:w="216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$737</w:t>
            </w:r>
          </w:p>
        </w:tc>
        <w:tc>
          <w:tcPr>
            <w:tcW w:w="20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$591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$732</w:t>
            </w: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4,238</w:t>
            </w:r>
          </w:p>
        </w:tc>
        <w:tc>
          <w:tcPr>
            <w:tcW w:w="20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5,429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6,573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$4,975</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$7,305</w:t>
            </w:r>
          </w:p>
        </w:tc>
      </w:tr>
    </w:tbl>
    <w:p>
      <w:pPr>
        <w:spacing w:after="0" w:line="5" w:lineRule="exact"/>
        <w:rPr>
          <w:sz w:val="20"/>
          <w:szCs w:val="20"/>
          <w:color w:val="auto"/>
        </w:rPr>
      </w:pPr>
    </w:p>
    <w:p>
      <w:pPr>
        <w:ind w:left="170" w:hanging="170"/>
        <w:spacing w:after="0"/>
        <w:tabs>
          <w:tab w:leader="none" w:pos="17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2"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64</w:t>
      </w:r>
    </w:p>
    <w:p>
      <w:pPr>
        <w:sectPr>
          <w:pgSz w:w="11900" w:h="16838" w:orient="portrait"/>
          <w:cols w:equalWidth="0" w:num="1">
            <w:col w:w="10229"/>
          </w:cols>
          <w:pgMar w:left="230" w:top="966" w:right="1440" w:bottom="1440" w:gutter="0" w:footer="0" w:header="0"/>
        </w:sectPr>
      </w:pPr>
    </w:p>
    <w:bookmarkStart w:id="71" w:name="page72"/>
    <w:bookmarkEnd w:id="71"/>
    <w:p>
      <w:pPr>
        <w:ind w:left="610"/>
        <w:spacing w:after="0"/>
        <w:rPr>
          <w:sz w:val="20"/>
          <w:szCs w:val="20"/>
          <w:color w:val="auto"/>
        </w:rPr>
      </w:pPr>
      <w:r>
        <w:rPr>
          <w:rFonts w:ascii="Courier New" w:cs="Courier New" w:eastAsia="Courier New" w:hAnsi="Courier New"/>
          <w:sz w:val="15"/>
          <w:szCs w:val="15"/>
          <w:color w:val="auto"/>
        </w:rPr>
        <w:t>i) The distribution of total assets by geographical area was as follows:</w:t>
      </w:r>
    </w:p>
    <w:p>
      <w:pPr>
        <w:spacing w:after="0" w:line="33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3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Year Ended May 31,</w:t>
            </w:r>
          </w:p>
        </w:tc>
      </w:tr>
      <w:tr>
        <w:trPr>
          <w:trHeight w:val="170"/>
        </w:trPr>
        <w:tc>
          <w:tcPr>
            <w:tcW w:w="2560" w:type="dxa"/>
            <w:vAlign w:val="bottom"/>
          </w:tcPr>
          <w:p>
            <w:pPr>
              <w:spacing w:after="0"/>
              <w:rPr>
                <w:sz w:val="14"/>
                <w:szCs w:val="14"/>
                <w:color w:val="auto"/>
              </w:rPr>
            </w:pPr>
          </w:p>
        </w:tc>
        <w:tc>
          <w:tcPr>
            <w:tcW w:w="2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560" w:type="dxa"/>
            <w:vAlign w:val="bottom"/>
          </w:tcPr>
          <w:p>
            <w:pPr>
              <w:spacing w:after="0"/>
              <w:rPr>
                <w:sz w:val="14"/>
                <w:szCs w:val="14"/>
                <w:color w:val="auto"/>
              </w:rPr>
            </w:pPr>
          </w:p>
        </w:tc>
        <w:tc>
          <w:tcPr>
            <w:tcW w:w="34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256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$36,549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$59,838</w:t>
            </w: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66,719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60,982</w:t>
            </w: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60,789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110,602</w:t>
            </w: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1,737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3,592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$165,794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bl>
    <w:p>
      <w:pPr>
        <w:spacing w:after="0" w:line="5" w:lineRule="exact"/>
        <w:rPr>
          <w:sz w:val="20"/>
          <w:szCs w:val="20"/>
          <w:color w:val="auto"/>
        </w:rPr>
      </w:pPr>
    </w:p>
    <w:p>
      <w:pPr>
        <w:ind w:left="170" w:hanging="170"/>
        <w:spacing w:after="0"/>
        <w:tabs>
          <w:tab w:leader="none" w:pos="17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890" w:hanging="273"/>
        <w:spacing w:after="0"/>
        <w:tabs>
          <w:tab w:leader="none" w:pos="89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total assets by business segment was as follows:</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32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Year Ended May 31,</w:t>
            </w:r>
          </w:p>
        </w:tc>
      </w:tr>
      <w:tr>
        <w:trPr>
          <w:trHeight w:val="170"/>
        </w:trPr>
        <w:tc>
          <w:tcPr>
            <w:tcW w:w="2700" w:type="dxa"/>
            <w:vAlign w:val="bottom"/>
          </w:tcPr>
          <w:p>
            <w:pPr>
              <w:spacing w:after="0"/>
              <w:rPr>
                <w:sz w:val="14"/>
                <w:szCs w:val="14"/>
                <w:color w:val="auto"/>
              </w:rPr>
            </w:pP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700" w:type="dxa"/>
            <w:vAlign w:val="bottom"/>
          </w:tcPr>
          <w:p>
            <w:pPr>
              <w:spacing w:after="0"/>
              <w:rPr>
                <w:sz w:val="14"/>
                <w:szCs w:val="14"/>
                <w:color w:val="auto"/>
              </w:rPr>
            </w:pPr>
          </w:p>
        </w:tc>
        <w:tc>
          <w:tcPr>
            <w:tcW w:w="3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270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$16,566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$19,175</w:t>
            </w:r>
          </w:p>
        </w:tc>
      </w:t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149,228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215,839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$165,794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bl>
    <w:p>
      <w:pPr>
        <w:spacing w:after="0" w:line="5" w:lineRule="exact"/>
        <w:rPr>
          <w:sz w:val="20"/>
          <w:szCs w:val="20"/>
          <w:color w:val="auto"/>
        </w:rPr>
      </w:pPr>
    </w:p>
    <w:p>
      <w:pPr>
        <w:ind w:left="170" w:hanging="170"/>
        <w:spacing w:after="0"/>
        <w:tabs>
          <w:tab w:leader="none" w:pos="17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left="890" w:right="3359" w:hanging="449"/>
        <w:spacing w:after="0" w:line="235" w:lineRule="auto"/>
        <w:tabs>
          <w:tab w:leader="none" w:pos="89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capital expenditures by geographical area was as follows:</w:t>
      </w:r>
    </w:p>
    <w:p>
      <w:pPr>
        <w:spacing w:after="0" w:line="170"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Year Ended May 31,</w:t>
            </w:r>
          </w:p>
        </w:tc>
        <w:tc>
          <w:tcPr>
            <w:tcW w:w="740" w:type="dxa"/>
            <w:vAlign w:val="bottom"/>
          </w:tcPr>
          <w:p>
            <w:pPr>
              <w:spacing w:after="0"/>
              <w:rPr>
                <w:sz w:val="14"/>
                <w:szCs w:val="14"/>
                <w:color w:val="auto"/>
              </w:rPr>
            </w:pPr>
          </w:p>
        </w:tc>
      </w:tr>
      <w:tr>
        <w:trPr>
          <w:trHeight w:val="170"/>
        </w:trPr>
        <w:tc>
          <w:tcPr>
            <w:tcW w:w="190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r>
      <w:tr>
        <w:trPr>
          <w:trHeight w:val="339"/>
        </w:trPr>
        <w:tc>
          <w:tcPr>
            <w:tcW w:w="19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$1,656</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$3,158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$6,375</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621</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2,563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1,686</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4,341</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4,938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7,274</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291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$6,689</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$10,950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$15,993</w:t>
            </w:r>
          </w:p>
        </w:tc>
      </w:tr>
    </w:tbl>
    <w:p>
      <w:pPr>
        <w:spacing w:after="0" w:line="5" w:lineRule="exact"/>
        <w:rPr>
          <w:sz w:val="20"/>
          <w:szCs w:val="20"/>
          <w:color w:val="auto"/>
        </w:rPr>
      </w:pPr>
    </w:p>
    <w:p>
      <w:pPr>
        <w:ind w:left="170" w:hanging="170"/>
        <w:spacing w:after="0"/>
        <w:tabs>
          <w:tab w:leader="none" w:pos="17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left="890" w:right="3439" w:hanging="449"/>
        <w:spacing w:after="0" w:line="235" w:lineRule="auto"/>
        <w:tabs>
          <w:tab w:leader="none" w:pos="89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capital expenditures by business segment was as follows:</w:t>
      </w:r>
    </w:p>
    <w:p>
      <w:pPr>
        <w:spacing w:after="0" w:line="170"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Year Ended May 31,</w:t>
            </w:r>
          </w:p>
        </w:tc>
        <w:tc>
          <w:tcPr>
            <w:tcW w:w="76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r>
      <w:tr>
        <w:trPr>
          <w:trHeight w:val="339"/>
        </w:trPr>
        <w:tc>
          <w:tcPr>
            <w:tcW w:w="216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$547</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$1,520</w:t>
            </w: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6,142</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8,985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14,473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$6,689</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$10,950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$15,993</w:t>
            </w:r>
          </w:p>
        </w:tc>
      </w:tr>
    </w:tbl>
    <w:p>
      <w:pPr>
        <w:spacing w:after="0" w:line="5" w:lineRule="exact"/>
        <w:rPr>
          <w:sz w:val="20"/>
          <w:szCs w:val="20"/>
          <w:color w:val="auto"/>
        </w:rPr>
      </w:pPr>
    </w:p>
    <w:p>
      <w:pPr>
        <w:ind w:left="170" w:hanging="170"/>
        <w:spacing w:after="0"/>
        <w:tabs>
          <w:tab w:leader="none" w:pos="17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2"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65</w:t>
      </w:r>
    </w:p>
    <w:p>
      <w:pPr>
        <w:sectPr>
          <w:pgSz w:w="11900" w:h="16838" w:orient="portrait"/>
          <w:cols w:equalWidth="0" w:num="1">
            <w:col w:w="10229"/>
          </w:cols>
          <w:pgMar w:left="230" w:top="961" w:right="1440" w:bottom="1440" w:gutter="0" w:footer="0" w:header="0"/>
        </w:sectPr>
      </w:pPr>
    </w:p>
    <w:bookmarkStart w:id="72" w:name="page73"/>
    <w:bookmarkEnd w:id="72"/>
    <w:p>
      <w:pPr>
        <w:ind w:left="970" w:right="3359" w:hanging="353"/>
        <w:spacing w:after="0" w:line="237" w:lineRule="auto"/>
        <w:tabs>
          <w:tab w:leader="none" w:pos="97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clients which represented 10% or more of the Company's net revenue in each of the periods set out below.</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Year Ended May 31,</w:t>
            </w:r>
          </w:p>
        </w:tc>
        <w:tc>
          <w:tcPr>
            <w:tcW w:w="740" w:type="dxa"/>
            <w:vAlign w:val="bottom"/>
          </w:tcPr>
          <w:p>
            <w:pPr>
              <w:spacing w:after="0"/>
              <w:rPr>
                <w:sz w:val="14"/>
                <w:szCs w:val="14"/>
                <w:color w:val="auto"/>
              </w:rPr>
            </w:pPr>
          </w:p>
        </w:tc>
      </w:tr>
      <w:tr>
        <w:trPr>
          <w:trHeight w:val="170"/>
        </w:trPr>
        <w:tc>
          <w:tcPr>
            <w:tcW w:w="1680" w:type="dxa"/>
            <w:vAlign w:val="bottom"/>
          </w:tcPr>
          <w:p>
            <w:pPr>
              <w:spacing w:after="0"/>
              <w:rPr>
                <w:sz w:val="14"/>
                <w:szCs w:val="14"/>
                <w:color w:val="auto"/>
              </w:rPr>
            </w:pP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339"/>
        </w:trPr>
        <w:tc>
          <w:tcPr>
            <w:tcW w:w="1680" w:type="dxa"/>
            <w:vAlign w:val="bottom"/>
          </w:tcPr>
          <w:p>
            <w:pPr>
              <w:spacing w:after="0"/>
              <w:rPr>
                <w:sz w:val="20"/>
                <w:szCs w:val="20"/>
                <w:color w:val="auto"/>
              </w:rPr>
            </w:pPr>
            <w:r>
              <w:rPr>
                <w:rFonts w:ascii="Courier New" w:cs="Courier New" w:eastAsia="Courier New" w:hAnsi="Courier New"/>
                <w:sz w:val="15"/>
                <w:szCs w:val="15"/>
                <w:color w:val="auto"/>
              </w:rPr>
              <w:t>Client A</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w:t>
            </w:r>
          </w:p>
        </w:tc>
        <w:tc>
          <w:tcPr>
            <w:tcW w:w="20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Client B</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Client C</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Client D</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Client E</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bl>
    <w:p>
      <w:pPr>
        <w:spacing w:after="0" w:line="16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 Net Revenue did not exceed 10%</w:t>
      </w:r>
    </w:p>
    <w:p>
      <w:pPr>
        <w:spacing w:after="0" w:line="338" w:lineRule="exact"/>
        <w:rPr>
          <w:sz w:val="20"/>
          <w:szCs w:val="20"/>
          <w:color w:val="auto"/>
        </w:rPr>
      </w:pPr>
    </w:p>
    <w:p>
      <w:pPr>
        <w:ind w:left="610" w:hanging="610"/>
        <w:spacing w:after="0"/>
        <w:tabs>
          <w:tab w:leader="none" w:pos="61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Cash Flow Information</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Year Ended May 31,</w:t>
            </w:r>
          </w:p>
        </w:tc>
        <w:tc>
          <w:tcPr>
            <w:tcW w:w="660" w:type="dxa"/>
            <w:vAlign w:val="bottom"/>
          </w:tcPr>
          <w:p>
            <w:pPr>
              <w:spacing w:after="0"/>
              <w:rPr>
                <w:sz w:val="14"/>
                <w:szCs w:val="14"/>
                <w:color w:val="auto"/>
              </w:rPr>
            </w:pPr>
          </w:p>
        </w:tc>
      </w:tr>
      <w:tr>
        <w:trPr>
          <w:trHeight w:val="170"/>
        </w:trPr>
        <w:tc>
          <w:tcPr>
            <w:tcW w:w="24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r>
      <w:tr>
        <w:trPr>
          <w:trHeight w:val="339"/>
        </w:trPr>
        <w:tc>
          <w:tcPr>
            <w:tcW w:w="2480" w:type="dxa"/>
            <w:vAlign w:val="bottom"/>
          </w:tcPr>
          <w:p>
            <w:pPr>
              <w:spacing w:after="0"/>
              <w:rPr>
                <w:sz w:val="20"/>
                <w:szCs w:val="20"/>
                <w:color w:val="auto"/>
              </w:rPr>
            </w:pPr>
            <w:r>
              <w:rPr>
                <w:rFonts w:ascii="Courier New" w:cs="Courier New" w:eastAsia="Courier New" w:hAnsi="Courier New"/>
                <w:sz w:val="15"/>
                <w:szCs w:val="15"/>
                <w:color w:val="auto"/>
              </w:rPr>
              <w:t>Cash paid for interest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$426</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$462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Cash paid for income taxes</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$727</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$7,186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left="610" w:hanging="610"/>
        <w:spacing w:after="0"/>
        <w:tabs>
          <w:tab w:leader="none" w:pos="61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5" w:lineRule="exact"/>
        <w:rPr>
          <w:rFonts w:ascii="Courier New" w:cs="Courier New" w:eastAsia="Courier New" w:hAnsi="Courier New"/>
          <w:sz w:val="15"/>
          <w:szCs w:val="15"/>
          <w:color w:val="auto"/>
        </w:rPr>
      </w:pPr>
    </w:p>
    <w:p>
      <w:pPr>
        <w:ind w:left="6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2001, the FASB issued SFAS No. 143, "Accounting for Asset Retirement Obligations". SFAS No. 143, which was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The adoption of this standard did not have a material impact on the Company's results of operations and financial position.</w:t>
      </w:r>
    </w:p>
    <w:p>
      <w:pPr>
        <w:spacing w:after="0" w:line="182" w:lineRule="exact"/>
        <w:rPr>
          <w:rFonts w:ascii="Courier New" w:cs="Courier New" w:eastAsia="Courier New" w:hAnsi="Courier New"/>
          <w:sz w:val="15"/>
          <w:szCs w:val="15"/>
          <w:color w:val="auto"/>
        </w:rPr>
      </w:pPr>
    </w:p>
    <w:p>
      <w:pPr>
        <w:ind w:left="61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August 2001, the FASB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 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The Company adopted SFAS No. 144 on June 1, 2002. Adoption of SFAS No. 144 did not have a material impact on the Company's results of operations and financial position.</w:t>
      </w:r>
    </w:p>
    <w:p>
      <w:pPr>
        <w:spacing w:after="0" w:line="163" w:lineRule="exact"/>
        <w:rPr>
          <w:rFonts w:ascii="Courier New" w:cs="Courier New" w:eastAsia="Courier New" w:hAnsi="Courier New"/>
          <w:sz w:val="15"/>
          <w:szCs w:val="15"/>
          <w:color w:val="auto"/>
        </w:rPr>
      </w:pPr>
    </w:p>
    <w:p>
      <w:pPr>
        <w:ind w:left="6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2001, the Emerging Issues Task Force, or EITF, released EITF Issue 01-14, "Income Statement Characterization of Reimbursements Received for `Out of Pocket' Expenses Incurred", requiring companies to report reimbursed costs as part of gross revenues. Reimbursed costs include such items as payments to investigators and travel costs for our clinical research staff. The Company does not generally earn a profit on these costs. The Company has always included such reimbursed costs within the measure of gross revenues and adoption of EITF Issue 01-14 had no effect on the reported results.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29"/>
          </w:cols>
          <w:pgMar w:left="230" w:top="966" w:right="1440" w:bottom="1440" w:gutter="0" w:footer="0" w:header="0"/>
        </w:sectPr>
      </w:pPr>
    </w:p>
    <w:bookmarkStart w:id="73" w:name="page74"/>
    <w:bookmarkEnd w:id="73"/>
    <w:p>
      <w:pPr>
        <w:ind w:right="3179"/>
        <w:spacing w:after="0" w:line="238" w:lineRule="auto"/>
        <w:rPr>
          <w:sz w:val="20"/>
          <w:szCs w:val="20"/>
          <w:color w:val="auto"/>
        </w:rPr>
      </w:pPr>
      <w:r>
        <w:rPr>
          <w:rFonts w:ascii="Courier New" w:cs="Courier New" w:eastAsia="Courier New" w:hAnsi="Courier New"/>
          <w:sz w:val="15"/>
          <w:szCs w:val="15"/>
          <w:color w:val="auto"/>
        </w:rPr>
        <w:t>In April 2002, the FASB issued SFAS No. 145, "Rescission of FASB Statements No. 4, 44 and 64, Amendment of FASB Statement No. 13, and Technical Corrections". SFAS No. 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the Company's results of operations and financial position.</w:t>
      </w:r>
    </w:p>
    <w:p>
      <w:pPr>
        <w:spacing w:after="0" w:line="181"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June 2002, the FASB issued SFAS No. 146, "Accounting for Costs Associated with Exit or Disposal Activities" ("SFAS No. 146"). SFAS 146 addresses financial accounting reporting for costs associated with exit or disposal activities and nullifies EITF Issue 94-3, "Liability Recognition for Certain Employee Termination Benefits and Other Costs to Exit and Activity". SFAS 146 requires that a liability for costs associated with an exit or disposal activity be recognized and measured initially at fair value only when the liability is incurred. SFAS No. 146 is effective for exit or disposal activities that are initiated after December 31, 2002. SFAS No. 146 did not have a material impact on our results of operations and financial postion.</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November 2002, the FASB issued Interpretation No. 45, Guarantor's Accounting and Disclosure Requirements for Guarantees, Including Indirect Guarantees of Indebtedness of Others ("FIN 45"), This interpretation addresses the disclosure to be made by a guarantor in its financial statements about its obligation under guarantees. FIN 45 also requires the guarantor to recognize a liability for the non-contingent component of the guarantee, that is the obligation to stand ready to perform in the event that specified triggering events or conditions occur. The initial measurement of this liability is the fair value of the guarantee at inception. The disclosure requirements in this Interpretation are effective for financial statements of interim and annual periods ending after December 15, 2002. The recognition and measurement provisions are applicable on a prospective basis to guarantees issued or modified after December 31, 2002, irrespective of the guarantors fiscal year-end. Adoption of FIN 45 did not have a significant effect on the Company's financial position or results of operations.</w:t>
      </w:r>
    </w:p>
    <w:p>
      <w:pPr>
        <w:spacing w:after="0" w:line="18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December 2002, the FASB issued SFAS No. 148, "Accounting for Stock Based Compensation - Transition and Disclosure - an amendment of FASB statement No. 123" ("SFAS 148"). SFAS 148 provides alternative methods of transition for a voluntary change to the fair value based method of accounting for stock-based employee compensation. In addition, this statement amends the disclosure requirements of SFAS 123 to require prominent disclosures in both annual and interim financial statements about the method of accounting for stock-based employee compensation and the effect of the method used on reported results. The transition provisions of SFAS 148 are effective for fiscal years ending after December 15, 2002. The enhanced disclosure requirements are included in the financial statements. The Company has decided to continue to account for stock options in accordance with the provisions of APB No. 25.</w:t>
      </w:r>
    </w:p>
    <w:p>
      <w:pPr>
        <w:spacing w:after="0" w:line="18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January 2003, the FASB issued FASB Interpretation No. 46, Consolidation of Variable Interest Entities ("FIN 46"), which interprets Accounting Research Bulletin ("ARB") No. 51, Consolidated Financial Statements. FIN 46 clarifies the application of ARB No. 51 with respect to the consolidation of certain entities (variable interest entities - "VIE's") to which the usual condition for consolidation described in ARB No. 51 does not apply because the controlling financial interest in VIE's may be achieved through arrangements that do not involve voting interests. In addition, FIN 46 requires the primary beneficiary of VIE's and the holder of a significant variable interest in VIE's to disclose certain information relating to their involvement with the VIE's. The provisions of FIN 46 apply immediately to VIE's created after January 31, 2003, and to VIE's in which an enterprise obtains an interest after that date. FIN 46 applies in the first fiscal year beginning after June 15, 2003, to VIE's in which an enterprise holds a variable interest that it acquired before February 1, 2003. The Company did not create or obtain an interest in a VIE after January 31, 2003 and does not expect the impact of fully adopting FIN 46 to have a significant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9779"/>
          </w:cols>
          <w:pgMar w:left="680" w:top="966" w:right="1440" w:bottom="1440" w:gutter="0" w:footer="0" w:header="0"/>
        </w:sectPr>
      </w:pPr>
    </w:p>
    <w:bookmarkStart w:id="74" w:name="page75"/>
    <w:bookmarkEnd w:id="74"/>
    <w:p>
      <w:pPr>
        <w:ind w:left="450" w:right="3179"/>
        <w:spacing w:after="0" w:line="238" w:lineRule="auto"/>
        <w:rPr>
          <w:sz w:val="20"/>
          <w:szCs w:val="20"/>
          <w:color w:val="auto"/>
        </w:rPr>
      </w:pPr>
      <w:r>
        <w:rPr>
          <w:rFonts w:ascii="Courier New" w:cs="Courier New" w:eastAsia="Courier New" w:hAnsi="Courier New"/>
          <w:sz w:val="15"/>
          <w:szCs w:val="15"/>
          <w:color w:val="auto"/>
        </w:rPr>
        <w:t>On April 30, 2003, the FASB issued FASB Statement No. 149, Amendment of Statement 133 on Derivative Instruments and Hedging Activities, which amends FASB Statement No. 133, Accounting for Derivative Instruments and Hedging Activities, to address (1) decisions reached by the Derivatives Implementation Group, (2) developments in other Board projects that address financial instruments, and (3) implementation issues related to the definition of a derivative. Statement 149 has multiple effective date provisions depending on the nature of the amendment to Statement 133. Under SFAS No. 133, the Company's foreign exchange contracts do not qualify for hedge accounting treatment. The Company does not expect the impact of adopting Statement 149 to have a significant impact on our financial statements.</w:t>
      </w:r>
    </w:p>
    <w:p>
      <w:pPr>
        <w:spacing w:after="0" w:line="182"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4"/>
          <w:szCs w:val="14"/>
          <w:color w:val="auto"/>
        </w:rPr>
        <w:t>On May 15, 2003, the FASB issued FASB Statement No. 150, Accounting for Certain Financial Instruments with Characteristics of both Liabilities and Equity. This Statement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This Statement is effective for financial instruments entered into or modified after May 31, 2003, and otherwise is effective at the beginning of the first interim period beginning after June 15, 2003, except for mandatorily redeemable financial instruments of non-public entities. It is to be implemented by reporting the cumulative effect of a change in an accounting principle for financial instruments created before the issuance date of the Statement and still existing at the beginning of the interim period of adoption. Restatement is not permitted. The Company does not expect the impact of adopting Statement 150 to have a significant impact on our financial statements.</w:t>
      </w:r>
    </w:p>
    <w:p>
      <w:pPr>
        <w:spacing w:after="0" w:line="164"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4"/>
          <w:szCs w:val="14"/>
          <w:color w:val="auto"/>
        </w:rPr>
        <w:t>The Emerging Issues Task Force (EITF) has reached a final consensus on EITF Issue No. 00-21, Revenue Arrangements with Multiple Deliverables. This Issue addresses certain aspects of the accounting by a vendor for arrangements under which it will perform multiple revenue-generating activities, specifically how to determine whether an arrangement involving multiple deliverables contains more than one unit of accounting. The Issue also addresses how arrangement consideration should be measured and allocated to the separate units of accounting in the arrangement. The guidance in this Issue is effective for revenue arrangements entered into in fiscal periods beginning after June 15, 2003, with a possible alternative means of adoption by applying the new rules to existing contracts and recording the effect of adoption as a cumulative effect of a change in accounting principle. Early adoption is permitted. The Company will adopt EITF Issue No. 00-21 on June 1, 2003 and does not expect this will have a significant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0" w:hanging="450"/>
        <w:spacing w:after="0"/>
        <w:tabs>
          <w:tab w:leader="none" w:pos="45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Parties</w:t>
      </w:r>
    </w:p>
    <w:p>
      <w:pPr>
        <w:spacing w:after="0" w:line="174"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6, 1998, the Company entered into an Option Agreement with Rosa Investment Limited ("Rosa"). Rosa's sole activity is to hold an investment in Clear Investments Limited ("Clear"), the sole activity of which is to hold Mr. Gray's option to exercise 54,000 ordinary shares. At any time between April 26, 2000 and April 26, 2004, Rosa may sell Clear to the Company in exchange for 54,000 ordinary shares, provided that Clear still holds Mr. Gray's option and cash equal to the exercise price of Mr. Gray's option. Such sale to the Company would be the economic equivalent of an exercise of stock options directly by Mr. Gray. Mr. Gray is a director of Rosa and Clear. Rosa is owned by a trust of which Mr. Gray is a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9"/>
          </w:cols>
          <w:pgMar w:left="230" w:top="966"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Pursuant to the requirements of Section 12 of the Securities Exchange Act of 1934, the Registrant certifies that it meets all of the requirements for filing on Form 20-F and has duly caused this annual report to be signed on its behalf by the undersigned thereunto duly authorized.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ICON public limited company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960" w:type="dxa"/>
            <w:vAlign w:val="bottom"/>
          </w:tcPr>
          <w:p>
            <w:pPr>
              <w:ind w:left="1840"/>
              <w:spacing w:after="0"/>
              <w:rPr>
                <w:sz w:val="20"/>
                <w:szCs w:val="20"/>
                <w:color w:val="auto"/>
              </w:rPr>
            </w:pPr>
            <w:r>
              <w:rPr>
                <w:rFonts w:ascii="Courier New" w:cs="Courier New" w:eastAsia="Courier New" w:hAnsi="Courier New"/>
                <w:sz w:val="15"/>
                <w:szCs w:val="15"/>
                <w:color w:val="auto"/>
              </w:rPr>
              <w:t>/s/ Sean Leech</w:t>
            </w:r>
          </w:p>
        </w:tc>
      </w:tr>
      <w:tr>
        <w:trPr>
          <w:trHeight w:val="170"/>
        </w:trPr>
        <w:tc>
          <w:tcPr>
            <w:tcW w:w="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960" w:type="dxa"/>
            <w:vAlign w:val="bottom"/>
          </w:tcPr>
          <w:p>
            <w:pPr>
              <w:ind w:left="18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July</w:t>
            </w:r>
          </w:p>
        </w:tc>
        <w:tc>
          <w:tcPr>
            <w:tcW w:w="2700" w:type="dxa"/>
            <w:vAlign w:val="bottom"/>
          </w:tcPr>
          <w:p>
            <w:pPr>
              <w:jc w:val="right"/>
              <w:ind w:right="1787"/>
              <w:spacing w:after="0"/>
              <w:rPr>
                <w:sz w:val="20"/>
                <w:szCs w:val="20"/>
                <w:color w:val="auto"/>
              </w:rPr>
            </w:pPr>
            <w:r>
              <w:rPr>
                <w:rFonts w:ascii="Courier New" w:cs="Courier New" w:eastAsia="Courier New" w:hAnsi="Courier New"/>
                <w:sz w:val="15"/>
                <w:szCs w:val="15"/>
                <w:color w:val="auto"/>
              </w:rPr>
              <w:t>25, 2003.</w:t>
            </w:r>
          </w:p>
        </w:tc>
        <w:tc>
          <w:tcPr>
            <w:tcW w:w="3960" w:type="dxa"/>
            <w:vAlign w:val="bottom"/>
          </w:tcPr>
          <w:p>
            <w:pPr>
              <w:ind w:left="1840"/>
              <w:spacing w:after="0"/>
              <w:rPr>
                <w:sz w:val="20"/>
                <w:szCs w:val="20"/>
                <w:color w:val="auto"/>
              </w:rPr>
            </w:pPr>
            <w:r>
              <w:rPr>
                <w:rFonts w:ascii="Courier New" w:cs="Courier New" w:eastAsia="Courier New" w:hAnsi="Courier New"/>
                <w:sz w:val="15"/>
                <w:szCs w:val="15"/>
                <w:color w:val="auto"/>
              </w:rPr>
              <w:t>Sean Leech</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Date</w:t>
            </w:r>
          </w:p>
        </w:tc>
        <w:tc>
          <w:tcPr>
            <w:tcW w:w="2700" w:type="dxa"/>
            <w:vAlign w:val="bottom"/>
          </w:tcPr>
          <w:p>
            <w:pPr>
              <w:spacing w:after="0"/>
              <w:rPr>
                <w:sz w:val="14"/>
                <w:szCs w:val="14"/>
                <w:color w:val="auto"/>
              </w:rPr>
            </w:pPr>
          </w:p>
        </w:tc>
        <w:tc>
          <w:tcPr>
            <w:tcW w:w="3960" w:type="dxa"/>
            <w:vAlign w:val="bottom"/>
          </w:tcPr>
          <w:p>
            <w:pPr>
              <w:ind w:left="1840"/>
              <w:spacing w:after="0"/>
              <w:rPr>
                <w:sz w:val="20"/>
                <w:szCs w:val="20"/>
                <w:color w:val="auto"/>
              </w:rPr>
            </w:pPr>
            <w:r>
              <w:rPr>
                <w:rFonts w:ascii="Courier New" w:cs="Courier New" w:eastAsia="Courier New" w:hAnsi="Courier New"/>
                <w:sz w:val="15"/>
                <w:szCs w:val="15"/>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961" w:right="1440" w:bottom="1440" w:gutter="0" w:footer="0" w:header="0"/>
        </w:sectPr>
      </w:pPr>
    </w:p>
    <w:bookmarkStart w:id="76" w:name="page77"/>
    <w:bookmarkEnd w:id="76"/>
    <w:p>
      <w:pPr>
        <w:ind w:left="10"/>
        <w:spacing w:after="0"/>
        <w:rPr>
          <w:sz w:val="20"/>
          <w:szCs w:val="20"/>
          <w:color w:val="auto"/>
        </w:rPr>
      </w:pPr>
      <w:r>
        <w:rPr>
          <w:rFonts w:ascii="Courier New" w:cs="Courier New" w:eastAsia="Courier New" w:hAnsi="Courier New"/>
          <w:sz w:val="15"/>
          <w:szCs w:val="15"/>
          <w:color w:val="auto"/>
        </w:rPr>
        <w:t>Certification of Chief Executive Officer</w:t>
      </w:r>
    </w:p>
    <w:p>
      <w:pPr>
        <w:ind w:left="610"/>
        <w:spacing w:after="0"/>
        <w:rPr>
          <w:sz w:val="20"/>
          <w:szCs w:val="20"/>
          <w:color w:val="auto"/>
        </w:rPr>
      </w:pPr>
      <w:r>
        <w:rPr>
          <w:rFonts w:ascii="Courier New" w:cs="Courier New" w:eastAsia="Courier New" w:hAnsi="Courier New"/>
          <w:sz w:val="15"/>
          <w:szCs w:val="15"/>
          <w:color w:val="auto"/>
        </w:rPr>
        <w:t>Pursuant to Section 302 of</w:t>
      </w:r>
    </w:p>
    <w:p>
      <w:pPr>
        <w:ind w:left="610"/>
        <w:spacing w:after="0"/>
        <w:rPr>
          <w:sz w:val="20"/>
          <w:szCs w:val="20"/>
          <w:color w:val="auto"/>
        </w:rPr>
      </w:pPr>
      <w:r>
        <w:rPr>
          <w:rFonts w:ascii="Courier New" w:cs="Courier New" w:eastAsia="Courier New" w:hAnsi="Courier New"/>
          <w:sz w:val="15"/>
          <w:szCs w:val="15"/>
          <w:color w:val="auto"/>
        </w:rPr>
        <w:t>the Sarbanes-Oxley Act of 2002</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Peter Gray, certify that:</w:t>
      </w:r>
    </w:p>
    <w:p>
      <w:pPr>
        <w:spacing w:after="0" w:line="175" w:lineRule="exact"/>
        <w:rPr>
          <w:sz w:val="20"/>
          <w:szCs w:val="20"/>
          <w:color w:val="auto"/>
        </w:rPr>
      </w:pPr>
    </w:p>
    <w:p>
      <w:pPr>
        <w:ind w:left="450" w:right="4059" w:hanging="450"/>
        <w:spacing w:after="0" w:line="235" w:lineRule="auto"/>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20-F of ICON plc ("the registrant");</w:t>
      </w:r>
    </w:p>
    <w:p>
      <w:pPr>
        <w:spacing w:after="0" w:line="175"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8" w:lineRule="exact"/>
        <w:rPr>
          <w:rFonts w:ascii="Courier New" w:cs="Courier New" w:eastAsia="Courier New" w:hAnsi="Courier New"/>
          <w:sz w:val="15"/>
          <w:szCs w:val="15"/>
          <w:color w:val="auto"/>
        </w:rPr>
      </w:pPr>
    </w:p>
    <w:p>
      <w:pPr>
        <w:ind w:left="450" w:right="3179" w:hanging="450"/>
        <w:spacing w:after="0" w:line="259" w:lineRule="auto"/>
        <w:tabs>
          <w:tab w:leader="none" w:pos="45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2" w:lineRule="exact"/>
        <w:rPr>
          <w:rFonts w:ascii="Courier New" w:cs="Courier New" w:eastAsia="Courier New" w:hAnsi="Courier New"/>
          <w:sz w:val="14"/>
          <w:szCs w:val="14"/>
          <w:color w:val="auto"/>
        </w:rPr>
      </w:pPr>
    </w:p>
    <w:p>
      <w:pPr>
        <w:ind w:left="450" w:right="3179" w:hanging="450"/>
        <w:spacing w:after="0" w:line="260" w:lineRule="auto"/>
        <w:tabs>
          <w:tab w:leader="none" w:pos="45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13a-14 and 15d-14) for the registrant and have:</w:t>
      </w:r>
    </w:p>
    <w:p>
      <w:pPr>
        <w:spacing w:after="0" w:line="162" w:lineRule="exact"/>
        <w:rPr>
          <w:rFonts w:ascii="Courier New" w:cs="Courier New" w:eastAsia="Courier New" w:hAnsi="Courier New"/>
          <w:sz w:val="14"/>
          <w:szCs w:val="14"/>
          <w:color w:val="auto"/>
        </w:rPr>
      </w:pPr>
    </w:p>
    <w:p>
      <w:pPr>
        <w:ind w:left="890" w:right="3259" w:hanging="449"/>
        <w:spacing w:after="0" w:line="237" w:lineRule="auto"/>
        <w:tabs>
          <w:tab w:leader="none" w:pos="89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8" w:lineRule="exact"/>
        <w:rPr>
          <w:rFonts w:ascii="Courier New" w:cs="Courier New" w:eastAsia="Courier New" w:hAnsi="Courier New"/>
          <w:sz w:val="15"/>
          <w:szCs w:val="15"/>
          <w:color w:val="auto"/>
        </w:rPr>
      </w:pPr>
    </w:p>
    <w:p>
      <w:pPr>
        <w:ind w:left="890" w:right="3179" w:hanging="449"/>
        <w:spacing w:after="0" w:line="237" w:lineRule="auto"/>
        <w:tabs>
          <w:tab w:leader="none" w:pos="89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4" w:lineRule="exact"/>
        <w:rPr>
          <w:rFonts w:ascii="Courier New" w:cs="Courier New" w:eastAsia="Courier New" w:hAnsi="Courier New"/>
          <w:sz w:val="15"/>
          <w:szCs w:val="15"/>
          <w:color w:val="auto"/>
        </w:rPr>
      </w:pPr>
    </w:p>
    <w:p>
      <w:pPr>
        <w:ind w:left="890" w:right="3359" w:hanging="449"/>
        <w:spacing w:after="0" w:line="237" w:lineRule="auto"/>
        <w:tabs>
          <w:tab w:leader="none" w:pos="89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4" w:lineRule="exact"/>
        <w:rPr>
          <w:rFonts w:ascii="Courier New" w:cs="Courier New" w:eastAsia="Courier New" w:hAnsi="Courier New"/>
          <w:sz w:val="15"/>
          <w:szCs w:val="15"/>
          <w:color w:val="auto"/>
        </w:rPr>
      </w:pPr>
    </w:p>
    <w:p>
      <w:pPr>
        <w:ind w:left="450" w:right="3439" w:hanging="450"/>
        <w:spacing w:after="0" w:line="237" w:lineRule="auto"/>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6" w:lineRule="exact"/>
        <w:rPr>
          <w:rFonts w:ascii="Courier New" w:cs="Courier New" w:eastAsia="Courier New" w:hAnsi="Courier New"/>
          <w:sz w:val="15"/>
          <w:szCs w:val="15"/>
          <w:color w:val="auto"/>
        </w:rPr>
      </w:pPr>
    </w:p>
    <w:p>
      <w:pPr>
        <w:ind w:left="890" w:right="3439" w:hanging="449"/>
        <w:spacing w:after="0" w:line="237" w:lineRule="auto"/>
        <w:tabs>
          <w:tab w:leader="none" w:pos="89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8"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4" w:lineRule="exact"/>
        <w:rPr>
          <w:rFonts w:ascii="Courier New" w:cs="Courier New" w:eastAsia="Courier New" w:hAnsi="Courier New"/>
          <w:sz w:val="15"/>
          <w:szCs w:val="15"/>
          <w:color w:val="auto"/>
        </w:rPr>
      </w:pPr>
    </w:p>
    <w:p>
      <w:pPr>
        <w:ind w:left="450" w:right="3179" w:hanging="450"/>
        <w:spacing w:after="0" w:line="238" w:lineRule="auto"/>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0"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October 21, 2003</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Peter Gray</w:t>
      </w:r>
    </w:p>
    <w:p>
      <w:pPr>
        <w:ind w:left="170" w:hanging="170"/>
        <w:spacing w:after="0"/>
        <w:tabs>
          <w:tab w:leader="none" w:pos="17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Gray</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9"/>
          </w:cols>
          <w:pgMar w:left="230" w:top="961" w:right="1440" w:bottom="1440" w:gutter="0" w:footer="0" w:header="0"/>
        </w:sectPr>
      </w:pPr>
    </w:p>
    <w:bookmarkStart w:id="77" w:name="page78"/>
    <w:bookmarkEnd w:id="77"/>
    <w:p>
      <w:pPr>
        <w:ind w:left="10"/>
        <w:spacing w:after="0"/>
        <w:rPr>
          <w:sz w:val="20"/>
          <w:szCs w:val="20"/>
          <w:color w:val="auto"/>
        </w:rPr>
      </w:pPr>
      <w:r>
        <w:rPr>
          <w:rFonts w:ascii="Courier New" w:cs="Courier New" w:eastAsia="Courier New" w:hAnsi="Courier New"/>
          <w:sz w:val="15"/>
          <w:szCs w:val="15"/>
          <w:color w:val="auto"/>
        </w:rPr>
        <w:t>Certification of Chief Financial Officer</w:t>
      </w:r>
    </w:p>
    <w:p>
      <w:pPr>
        <w:ind w:left="610"/>
        <w:spacing w:after="0"/>
        <w:rPr>
          <w:sz w:val="20"/>
          <w:szCs w:val="20"/>
          <w:color w:val="auto"/>
        </w:rPr>
      </w:pPr>
      <w:r>
        <w:rPr>
          <w:rFonts w:ascii="Courier New" w:cs="Courier New" w:eastAsia="Courier New" w:hAnsi="Courier New"/>
          <w:sz w:val="15"/>
          <w:szCs w:val="15"/>
          <w:color w:val="auto"/>
        </w:rPr>
        <w:t>Pursuant to Section 302 of</w:t>
      </w:r>
    </w:p>
    <w:p>
      <w:pPr>
        <w:ind w:left="610"/>
        <w:spacing w:after="0"/>
        <w:rPr>
          <w:sz w:val="20"/>
          <w:szCs w:val="20"/>
          <w:color w:val="auto"/>
        </w:rPr>
      </w:pPr>
      <w:r>
        <w:rPr>
          <w:rFonts w:ascii="Courier New" w:cs="Courier New" w:eastAsia="Courier New" w:hAnsi="Courier New"/>
          <w:sz w:val="15"/>
          <w:szCs w:val="15"/>
          <w:color w:val="auto"/>
        </w:rPr>
        <w:t>the Sarbanes-Oxley Act of 2002</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Sean Leech, certify that:</w:t>
      </w:r>
    </w:p>
    <w:p>
      <w:pPr>
        <w:spacing w:after="0" w:line="175" w:lineRule="exact"/>
        <w:rPr>
          <w:sz w:val="20"/>
          <w:szCs w:val="20"/>
          <w:color w:val="auto"/>
        </w:rPr>
      </w:pPr>
    </w:p>
    <w:p>
      <w:pPr>
        <w:ind w:left="450" w:right="4059" w:hanging="450"/>
        <w:spacing w:after="0" w:line="235" w:lineRule="auto"/>
        <w:tabs>
          <w:tab w:leader="none" w:pos="4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20-F of ICON plc ("the registrant");</w:t>
      </w:r>
    </w:p>
    <w:p>
      <w:pPr>
        <w:spacing w:after="0" w:line="175"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8" w:lineRule="exact"/>
        <w:rPr>
          <w:rFonts w:ascii="Courier New" w:cs="Courier New" w:eastAsia="Courier New" w:hAnsi="Courier New"/>
          <w:sz w:val="15"/>
          <w:szCs w:val="15"/>
          <w:color w:val="auto"/>
        </w:rPr>
      </w:pPr>
    </w:p>
    <w:p>
      <w:pPr>
        <w:ind w:left="450" w:right="3179" w:hanging="450"/>
        <w:spacing w:after="0" w:line="259" w:lineRule="auto"/>
        <w:tabs>
          <w:tab w:leader="none" w:pos="45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2" w:lineRule="exact"/>
        <w:rPr>
          <w:rFonts w:ascii="Courier New" w:cs="Courier New" w:eastAsia="Courier New" w:hAnsi="Courier New"/>
          <w:sz w:val="14"/>
          <w:szCs w:val="14"/>
          <w:color w:val="auto"/>
        </w:rPr>
      </w:pPr>
    </w:p>
    <w:p>
      <w:pPr>
        <w:ind w:left="450" w:right="3179" w:hanging="450"/>
        <w:spacing w:after="0" w:line="260" w:lineRule="auto"/>
        <w:tabs>
          <w:tab w:leader="none" w:pos="45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13a-14 and 15d-14) for the registrant and have:</w:t>
      </w:r>
    </w:p>
    <w:p>
      <w:pPr>
        <w:spacing w:after="0" w:line="162" w:lineRule="exact"/>
        <w:rPr>
          <w:rFonts w:ascii="Courier New" w:cs="Courier New" w:eastAsia="Courier New" w:hAnsi="Courier New"/>
          <w:sz w:val="14"/>
          <w:szCs w:val="14"/>
          <w:color w:val="auto"/>
        </w:rPr>
      </w:pPr>
    </w:p>
    <w:p>
      <w:pPr>
        <w:ind w:left="890" w:right="3259" w:hanging="449"/>
        <w:spacing w:after="0" w:line="237" w:lineRule="auto"/>
        <w:tabs>
          <w:tab w:leader="none" w:pos="89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8" w:lineRule="exact"/>
        <w:rPr>
          <w:rFonts w:ascii="Courier New" w:cs="Courier New" w:eastAsia="Courier New" w:hAnsi="Courier New"/>
          <w:sz w:val="15"/>
          <w:szCs w:val="15"/>
          <w:color w:val="auto"/>
        </w:rPr>
      </w:pPr>
    </w:p>
    <w:p>
      <w:pPr>
        <w:ind w:left="890" w:right="3179" w:hanging="449"/>
        <w:spacing w:after="0" w:line="237" w:lineRule="auto"/>
        <w:tabs>
          <w:tab w:leader="none" w:pos="89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4" w:lineRule="exact"/>
        <w:rPr>
          <w:rFonts w:ascii="Courier New" w:cs="Courier New" w:eastAsia="Courier New" w:hAnsi="Courier New"/>
          <w:sz w:val="15"/>
          <w:szCs w:val="15"/>
          <w:color w:val="auto"/>
        </w:rPr>
      </w:pPr>
    </w:p>
    <w:p>
      <w:pPr>
        <w:ind w:left="890" w:right="3359" w:hanging="449"/>
        <w:spacing w:after="0" w:line="237" w:lineRule="auto"/>
        <w:tabs>
          <w:tab w:leader="none" w:pos="89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4" w:lineRule="exact"/>
        <w:rPr>
          <w:rFonts w:ascii="Courier New" w:cs="Courier New" w:eastAsia="Courier New" w:hAnsi="Courier New"/>
          <w:sz w:val="15"/>
          <w:szCs w:val="15"/>
          <w:color w:val="auto"/>
        </w:rPr>
      </w:pPr>
    </w:p>
    <w:p>
      <w:pPr>
        <w:ind w:left="450" w:right="3439" w:hanging="450"/>
        <w:spacing w:after="0" w:line="237" w:lineRule="auto"/>
        <w:tabs>
          <w:tab w:leader="none" w:pos="4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6" w:lineRule="exact"/>
        <w:rPr>
          <w:rFonts w:ascii="Courier New" w:cs="Courier New" w:eastAsia="Courier New" w:hAnsi="Courier New"/>
          <w:sz w:val="15"/>
          <w:szCs w:val="15"/>
          <w:color w:val="auto"/>
        </w:rPr>
      </w:pPr>
    </w:p>
    <w:p>
      <w:pPr>
        <w:ind w:left="890" w:right="3439" w:hanging="449"/>
        <w:spacing w:after="0" w:line="237" w:lineRule="auto"/>
        <w:tabs>
          <w:tab w:leader="none" w:pos="89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8"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4" w:lineRule="exact"/>
        <w:rPr>
          <w:rFonts w:ascii="Courier New" w:cs="Courier New" w:eastAsia="Courier New" w:hAnsi="Courier New"/>
          <w:sz w:val="15"/>
          <w:szCs w:val="15"/>
          <w:color w:val="auto"/>
        </w:rPr>
      </w:pPr>
    </w:p>
    <w:p>
      <w:pPr>
        <w:ind w:left="450" w:right="3179" w:hanging="450"/>
        <w:spacing w:after="0" w:line="238" w:lineRule="auto"/>
        <w:tabs>
          <w:tab w:leader="none" w:pos="4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0"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October 21, 2003</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Sean Leech</w:t>
      </w:r>
    </w:p>
    <w:p>
      <w:pPr>
        <w:ind w:left="170" w:hanging="170"/>
        <w:spacing w:after="0"/>
        <w:tabs>
          <w:tab w:leader="none" w:pos="17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Sean Leech</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29"/>
          </w:cols>
          <w:pgMar w:left="230" w:top="961"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EXHIBIT INDEX</w:t>
      </w:r>
    </w:p>
    <w:p>
      <w:pPr>
        <w:spacing w:after="0" w:line="175" w:lineRule="exact"/>
        <w:rPr>
          <w:sz w:val="20"/>
          <w:szCs w:val="20"/>
          <w:color w:val="auto"/>
        </w:rPr>
      </w:pPr>
    </w:p>
    <w:p>
      <w:pPr>
        <w:ind w:left="440" w:right="3259" w:hanging="440"/>
        <w:spacing w:after="0" w:line="235" w:lineRule="auto"/>
        <w:rPr>
          <w:sz w:val="20"/>
          <w:szCs w:val="20"/>
          <w:color w:val="auto"/>
        </w:rPr>
      </w:pPr>
      <w:r>
        <w:rPr>
          <w:rFonts w:ascii="Courier New" w:cs="Courier New" w:eastAsia="Courier New" w:hAnsi="Courier New"/>
          <w:sz w:val="15"/>
          <w:szCs w:val="15"/>
          <w:color w:val="auto"/>
        </w:rPr>
        <w:t>99.1 Certifications of the Company's CEO and CFO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961" w:right="1440" w:bottom="1440" w:gutter="0" w:footer="0" w:header="0"/>
        </w:sectPr>
      </w:pPr>
    </w:p>
    <w:bookmarkStart w:id="79" w:name="page80"/>
    <w:bookmarkEnd w:id="79"/>
    <w:p>
      <w:pPr>
        <w:ind w:left="10"/>
        <w:spacing w:after="0"/>
        <w:rPr>
          <w:sz w:val="20"/>
          <w:szCs w:val="20"/>
          <w:color w:val="auto"/>
        </w:rPr>
      </w:pPr>
      <w:r>
        <w:rPr>
          <w:rFonts w:ascii="Courier New" w:cs="Courier New" w:eastAsia="Courier New" w:hAnsi="Courier New"/>
          <w:sz w:val="15"/>
          <w:szCs w:val="15"/>
          <w:color w:val="auto"/>
        </w:rPr>
        <w:t>Certification Pursuant to 18 U.S.C. Section 1350,</w:t>
      </w:r>
    </w:p>
    <w:p>
      <w:pPr>
        <w:ind w:left="610"/>
        <w:spacing w:after="0"/>
        <w:rPr>
          <w:sz w:val="20"/>
          <w:szCs w:val="20"/>
          <w:color w:val="auto"/>
        </w:rPr>
      </w:pPr>
      <w:r>
        <w:rPr>
          <w:rFonts w:ascii="Courier New" w:cs="Courier New" w:eastAsia="Courier New" w:hAnsi="Courier New"/>
          <w:sz w:val="15"/>
          <w:szCs w:val="15"/>
          <w:color w:val="auto"/>
        </w:rPr>
        <w:t>As Adopted Pursuant to Section 906 of the Sarbanes-Oxley Act of 2002</w:t>
      </w:r>
    </w:p>
    <w:p>
      <w:pPr>
        <w:spacing w:after="0" w:line="174" w:lineRule="exact"/>
        <w:rPr>
          <w:sz w:val="20"/>
          <w:szCs w:val="20"/>
          <w:color w:val="auto"/>
        </w:rPr>
      </w:pPr>
    </w:p>
    <w:p>
      <w:pPr>
        <w:ind w:left="10" w:right="3439"/>
        <w:spacing w:after="0" w:line="258" w:lineRule="auto"/>
        <w:rPr>
          <w:sz w:val="20"/>
          <w:szCs w:val="20"/>
          <w:color w:val="auto"/>
        </w:rPr>
      </w:pPr>
      <w:r>
        <w:rPr>
          <w:rFonts w:ascii="Courier New" w:cs="Courier New" w:eastAsia="Courier New" w:hAnsi="Courier New"/>
          <w:sz w:val="14"/>
          <w:szCs w:val="14"/>
          <w:color w:val="auto"/>
        </w:rPr>
        <w:t>In connection with the Annual Report of ICON plc (the "Company") on Form 20-F for the period ending May 31, 2003, as filed with the Securities and Exchange Commission on the date hereof (the "Report"), I, Peter Gray, Chief Executive Officer of the Company, certify, pursuant to 18 U.S.C. ss. 1350, as adopted pursuant to ss. 906 of the Sarbanes-Oxley Act of 2002, that to my knowledge:</w:t>
      </w:r>
    </w:p>
    <w:p>
      <w:pPr>
        <w:spacing w:after="0" w:line="165" w:lineRule="exact"/>
        <w:rPr>
          <w:sz w:val="20"/>
          <w:szCs w:val="20"/>
          <w:color w:val="auto"/>
        </w:rPr>
      </w:pPr>
    </w:p>
    <w:p>
      <w:pPr>
        <w:ind w:left="450" w:right="3359" w:hanging="450"/>
        <w:spacing w:after="0" w:line="235" w:lineRule="auto"/>
        <w:tabs>
          <w:tab w:leader="none" w:pos="45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5" w:lineRule="exact"/>
        <w:rPr>
          <w:rFonts w:ascii="Courier New" w:cs="Courier New" w:eastAsia="Courier New" w:hAnsi="Courier New"/>
          <w:sz w:val="15"/>
          <w:szCs w:val="15"/>
          <w:color w:val="auto"/>
        </w:rPr>
      </w:pPr>
    </w:p>
    <w:p>
      <w:pPr>
        <w:ind w:left="450" w:right="3259" w:hanging="450"/>
        <w:spacing w:after="0" w:line="265" w:lineRule="auto"/>
        <w:tabs>
          <w:tab w:leader="none" w:pos="45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 of operations of the Company.</w:t>
      </w:r>
    </w:p>
    <w:p>
      <w:pPr>
        <w:spacing w:after="0" w:line="153"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October 21, 2003</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Peter Gray</w:t>
      </w:r>
    </w:p>
    <w:p>
      <w:pPr>
        <w:ind w:left="170" w:hanging="170"/>
        <w:spacing w:after="0"/>
        <w:tabs>
          <w:tab w:leader="none" w:pos="17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Gray</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Chief Executive Officer</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Certification Pursuant to 18 U.S.C. Section 1350,</w:t>
      </w:r>
    </w:p>
    <w:p>
      <w:pPr>
        <w:jc w:val="center"/>
        <w:ind w:right="3170"/>
        <w:spacing w:after="0"/>
        <w:rPr>
          <w:sz w:val="20"/>
          <w:szCs w:val="20"/>
          <w:color w:val="auto"/>
        </w:rPr>
      </w:pPr>
      <w:r>
        <w:rPr>
          <w:rFonts w:ascii="Courier New" w:cs="Courier New" w:eastAsia="Courier New" w:hAnsi="Courier New"/>
          <w:sz w:val="15"/>
          <w:szCs w:val="15"/>
          <w:color w:val="auto"/>
        </w:rPr>
        <w:t>As Adopted Pursuant to Section 906 of the Sarbanes-Oxley Act of 2002</w:t>
      </w:r>
    </w:p>
    <w:p>
      <w:pPr>
        <w:spacing w:after="0" w:line="174" w:lineRule="exact"/>
        <w:rPr>
          <w:sz w:val="20"/>
          <w:szCs w:val="20"/>
          <w:color w:val="auto"/>
        </w:rPr>
      </w:pPr>
    </w:p>
    <w:p>
      <w:pPr>
        <w:ind w:left="10" w:right="3439"/>
        <w:spacing w:after="0" w:line="258" w:lineRule="auto"/>
        <w:rPr>
          <w:sz w:val="20"/>
          <w:szCs w:val="20"/>
          <w:color w:val="auto"/>
        </w:rPr>
      </w:pPr>
      <w:r>
        <w:rPr>
          <w:rFonts w:ascii="Courier New" w:cs="Courier New" w:eastAsia="Courier New" w:hAnsi="Courier New"/>
          <w:sz w:val="14"/>
          <w:szCs w:val="14"/>
          <w:color w:val="auto"/>
        </w:rPr>
        <w:t>In connection with the Annual Report of ICON plc (the "Company") on Form 20-F for the period ending May 31, 2003, as filed with the Securities and Exchange Commission on the date hereof (the "Report"), I, Sean Leech, Chief Financial Officer of the Company, certify, pursuant to 18 U.S.C. ss. 1350, as adopted pursuant to ss. 906 of the Sarbanes-Oxley Act of 2002, that to my knowledge:</w:t>
      </w:r>
    </w:p>
    <w:p>
      <w:pPr>
        <w:spacing w:after="0" w:line="165" w:lineRule="exact"/>
        <w:rPr>
          <w:sz w:val="20"/>
          <w:szCs w:val="20"/>
          <w:color w:val="auto"/>
        </w:rPr>
      </w:pPr>
    </w:p>
    <w:p>
      <w:pPr>
        <w:ind w:left="450" w:right="3359" w:hanging="450"/>
        <w:spacing w:after="0" w:line="235" w:lineRule="auto"/>
        <w:tabs>
          <w:tab w:leader="none" w:pos="45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5" w:lineRule="exact"/>
        <w:rPr>
          <w:rFonts w:ascii="Courier New" w:cs="Courier New" w:eastAsia="Courier New" w:hAnsi="Courier New"/>
          <w:sz w:val="15"/>
          <w:szCs w:val="15"/>
          <w:color w:val="auto"/>
        </w:rPr>
      </w:pPr>
    </w:p>
    <w:p>
      <w:pPr>
        <w:ind w:left="450" w:right="3259" w:hanging="450"/>
        <w:spacing w:after="0" w:line="265" w:lineRule="auto"/>
        <w:tabs>
          <w:tab w:leader="none" w:pos="4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 of operations of the Company.</w:t>
      </w:r>
    </w:p>
    <w:p>
      <w:pPr>
        <w:spacing w:after="0" w:line="153"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October 21, 2003</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Sean Leech</w:t>
      </w:r>
    </w:p>
    <w:p>
      <w:pPr>
        <w:ind w:left="170" w:hanging="170"/>
        <w:spacing w:after="0"/>
        <w:tabs>
          <w:tab w:leader="none" w:pos="17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Sean Leech</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Chief Financial Officer</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31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73</w:t>
      </w:r>
    </w:p>
    <w:sectPr>
      <w:pgSz w:w="11900" w:h="16838" w:orient="portrait"/>
      <w:cols w:equalWidth="0" w:num="1">
        <w:col w:w="10229"/>
      </w:cols>
      <w:pgMar w:left="230" w:top="9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o"/>
      <w:numFmt w:val="bullet"/>
      <w:start w:val="1"/>
    </w:lvl>
  </w:abstractNum>
  <w:abstractNum w:abstractNumId="8">
    <w:nsid w:val="6A2342EC"/>
    <w:multiLevelType w:val="hybridMultilevel"/>
    <w:lvl w:ilvl="0">
      <w:lvlJc w:val="left"/>
      <w:lvlText w:val="o"/>
      <w:numFmt w:val="bullet"/>
      <w:start w:val="1"/>
    </w:lvl>
  </w:abstractNum>
  <w:abstractNum w:abstractNumId="9">
    <w:nsid w:val="2A487CB0"/>
    <w:multiLevelType w:val="hybridMultilevel"/>
    <w:lvl w:ilvl="0">
      <w:lvlJc w:val="left"/>
      <w:lvlText w:val="o"/>
      <w:numFmt w:val="bullet"/>
      <w:start w:val="1"/>
    </w:lvl>
  </w:abstractNum>
  <w:abstractNum w:abstractNumId="10">
    <w:nsid w:val="1D4ED43B"/>
    <w:multiLevelType w:val="hybridMultilevel"/>
    <w:lvl w:ilvl="0">
      <w:lvlJc w:val="left"/>
      <w:lvlText w:val="o"/>
      <w:numFmt w:val="bullet"/>
      <w:start w:val="1"/>
    </w:lvl>
  </w:abstractNum>
  <w:abstractNum w:abstractNumId="11">
    <w:nsid w:val="725A06FB"/>
    <w:multiLevelType w:val="hybridMultilevel"/>
    <w:lvl w:ilvl="0">
      <w:lvlJc w:val="left"/>
      <w:lvlText w:val="o"/>
      <w:numFmt w:val="bullet"/>
      <w:start w:val="1"/>
    </w:lvl>
  </w:abstractNum>
  <w:abstractNum w:abstractNumId="12">
    <w:nsid w:val="2CD89A32"/>
    <w:multiLevelType w:val="hybridMultilevel"/>
    <w:lvl w:ilvl="0">
      <w:lvlJc w:val="left"/>
      <w:lvlText w:val="o"/>
      <w:numFmt w:val="bullet"/>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lvl w:ilvl="1">
      <w:lvlJc w:val="left"/>
      <w:lvlText w:val="(%2)"/>
      <w:numFmt w:val="decimal"/>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1)"/>
      <w:numFmt w:val="lowerLetter"/>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o"/>
      <w:numFmt w:val="bullet"/>
      <w:start w:val="1"/>
    </w:lvl>
  </w:abstractNum>
  <w:abstractNum w:abstractNumId="21">
    <w:nsid w:val="684A481A"/>
    <w:multiLevelType w:val="hybridMultilevel"/>
    <w:lvl w:ilvl="0">
      <w:lvlJc w:val="left"/>
      <w:lvlText w:val="o"/>
      <w:numFmt w:val="bullet"/>
      <w:start w:val="1"/>
    </w:lvl>
  </w:abstractNum>
  <w:abstractNum w:abstractNumId="22">
    <w:nsid w:val="579478FE"/>
    <w:multiLevelType w:val="hybridMultilevel"/>
    <w:lvl w:ilvl="0">
      <w:lvlJc w:val="left"/>
      <w:lvlText w:val="o"/>
      <w:numFmt w:val="bullet"/>
      <w:start w:val="1"/>
    </w:lvl>
  </w:abstractNum>
  <w:abstractNum w:abstractNumId="23">
    <w:nsid w:val="749ABB43"/>
    <w:multiLevelType w:val="hybridMultilevel"/>
    <w:lvl w:ilvl="0">
      <w:lvlJc w:val="left"/>
      <w:lvlText w:val="o"/>
      <w:numFmt w:val="bullet"/>
      <w:start w:val="1"/>
    </w:lvl>
  </w:abstractNum>
  <w:abstractNum w:abstractNumId="24">
    <w:nsid w:val="3DC240FB"/>
    <w:multiLevelType w:val="hybridMultilevel"/>
    <w:lvl w:ilvl="0">
      <w:lvlJc w:val="left"/>
      <w:lvlText w:val="o"/>
      <w:numFmt w:val="bullet"/>
      <w:start w:val="1"/>
    </w:lvl>
  </w:abstractNum>
  <w:abstractNum w:abstractNumId="25">
    <w:nsid w:val="1BA026FA"/>
    <w:multiLevelType w:val="hybridMultilevel"/>
    <w:lvl w:ilvl="0">
      <w:lvlJc w:val="left"/>
      <w:lvlText w:val="o"/>
      <w:numFmt w:val="bullet"/>
      <w:start w:val="1"/>
    </w:lvl>
  </w:abstractNum>
  <w:abstractNum w:abstractNumId="26">
    <w:nsid w:val="79A1DEAA"/>
    <w:multiLevelType w:val="hybridMultilevel"/>
    <w:lvl w:ilvl="0">
      <w:lvlJc w:val="left"/>
      <w:lvlText w:val="o"/>
      <w:numFmt w:val="bullet"/>
      <w:start w:val="1"/>
    </w:lvl>
  </w:abstractNum>
  <w:abstractNum w:abstractNumId="27">
    <w:nsid w:val="75C6C33A"/>
    <w:multiLevelType w:val="hybridMultilevel"/>
    <w:lvl w:ilvl="0">
      <w:lvlJc w:val="left"/>
      <w:lvlText w:val="o"/>
      <w:numFmt w:val="bullet"/>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lowerLetter"/>
      <w:start w:val="1"/>
    </w:lvl>
  </w:abstractNum>
  <w:abstractNum w:abstractNumId="30">
    <w:nsid w:val="520EEDD1"/>
    <w:multiLevelType w:val="hybridMultilevel"/>
    <w:lvl w:ilvl="0">
      <w:lvlJc w:val="left"/>
      <w:lvlText w:val="(%1)"/>
      <w:numFmt w:val="lowerLetter"/>
      <w:start w:val="4"/>
    </w:lvl>
  </w:abstractNum>
  <w:abstractNum w:abstractNumId="31">
    <w:nsid w:val="374A3FE6"/>
    <w:multiLevelType w:val="hybridMultilevel"/>
    <w:lvl w:ilvl="0">
      <w:lvlJc w:val="left"/>
      <w:lvlText w:val="(%1)"/>
      <w:numFmt w:val="lowerLetter"/>
      <w:start w:val="9"/>
    </w:lvl>
  </w:abstractNum>
  <w:abstractNum w:abstractNumId="32">
    <w:nsid w:val="4F4EF005"/>
    <w:multiLevelType w:val="hybridMultilevel"/>
    <w:lvl w:ilvl="0">
      <w:lvlJc w:val="left"/>
      <w:lvlText w:val="(%1)"/>
      <w:numFmt w:val="lowerLetter"/>
      <w:start w:val="15"/>
    </w:lvl>
  </w:abstractNum>
  <w:abstractNum w:abstractNumId="33">
    <w:nsid w:val="23F9C13C"/>
    <w:multiLevelType w:val="hybridMultilevel"/>
    <w:lvl w:ilvl="0">
      <w:lvlJc w:val="left"/>
      <w:lvlText w:val="(%1)"/>
      <w:numFmt w:val="lowerLetter"/>
      <w:start w:val="19"/>
    </w:lvl>
  </w:abstractNum>
  <w:abstractNum w:abstractNumId="34">
    <w:nsid w:val="649BB77C"/>
    <w:multiLevelType w:val="hybridMultilevel"/>
    <w:lvl w:ilvl="0">
      <w:lvlJc w:val="left"/>
      <w:lvlText w:val="(%1)"/>
      <w:numFmt w:val="lowerLetter"/>
      <w:start w:val="20"/>
    </w:lvl>
  </w:abstractNum>
  <w:abstractNum w:abstractNumId="35">
    <w:nsid w:val="275AC794"/>
    <w:multiLevelType w:val="hybridMultilevel"/>
    <w:lvl w:ilvl="0">
      <w:lvlJc w:val="left"/>
      <w:lvlText w:val="%1."/>
      <w:numFmt w:val="decimal"/>
      <w:start w:val="3"/>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lowerLetter"/>
      <w:start w:val="1"/>
    </w:lvl>
  </w:abstractNum>
  <w:abstractNum w:abstractNumId="38">
    <w:nsid w:val="180115BE"/>
    <w:multiLevelType w:val="hybridMultilevel"/>
    <w:lvl w:ilvl="0">
      <w:lvlJc w:val="left"/>
      <w:lvlText w:val="(%1)"/>
      <w:numFmt w:val="lowerLetter"/>
      <w:start w:val="2"/>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lowerLetter"/>
      <w:start w:val="3"/>
    </w:lvl>
  </w:abstractNum>
  <w:abstractNum w:abstractNumId="41">
    <w:nsid w:val="354FE9F9"/>
    <w:multiLevelType w:val="hybridMultilevel"/>
    <w:lvl w:ilvl="0">
      <w:lvlJc w:val="left"/>
      <w:lvlText w:val="(%1)"/>
      <w:numFmt w:val="lowerLetter"/>
      <w:start w:val="4"/>
    </w:lvl>
  </w:abstractNum>
  <w:abstractNum w:abstractNumId="42">
    <w:nsid w:val="15B5AF5C"/>
    <w:multiLevelType w:val="hybridMultilevel"/>
    <w:lvl w:ilvl="0">
      <w:lvlJc w:val="left"/>
      <w:lvlText w:val="(%1)"/>
      <w:numFmt w:val="lowerLetter"/>
      <w:start w:val="5"/>
    </w:lvl>
  </w:abstractNum>
  <w:abstractNum w:abstractNumId="43">
    <w:nsid w:val="741226BB"/>
    <w:multiLevelType w:val="hybridMultilevel"/>
    <w:lvl w:ilvl="0">
      <w:lvlJc w:val="left"/>
      <w:lvlText w:val="%1."/>
      <w:numFmt w:val="decimal"/>
      <w:start w:val="7"/>
    </w:lvl>
  </w:abstractNum>
  <w:abstractNum w:abstractNumId="44">
    <w:nsid w:val="D34B6A8"/>
    <w:multiLevelType w:val="hybridMultilevel"/>
    <w:lvl w:ilvl="0">
      <w:lvlJc w:val="left"/>
      <w:lvlText w:val="(%1)"/>
      <w:numFmt w:val="lowerLetter"/>
      <w:start w:val="1"/>
    </w:lvl>
  </w:abstractNum>
  <w:abstractNum w:abstractNumId="45">
    <w:nsid w:val="10233C99"/>
    <w:multiLevelType w:val="hybridMultilevel"/>
    <w:lvl w:ilvl="0">
      <w:lvlJc w:val="left"/>
      <w:lvlText w:val="%1."/>
      <w:numFmt w:val="decimal"/>
      <w:start w:val="8"/>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1."/>
      <w:numFmt w:val="decimal"/>
      <w:start w:val="9"/>
    </w:lvl>
  </w:abstractNum>
  <w:abstractNum w:abstractNumId="48">
    <w:nsid w:val="7E0C57B1"/>
    <w:multiLevelType w:val="hybridMultilevel"/>
    <w:lvl w:ilvl="0">
      <w:lvlJc w:val="left"/>
      <w:lvlText w:val="%1."/>
      <w:numFmt w:val="decimal"/>
      <w:start w:val="11"/>
    </w:lvl>
  </w:abstractNum>
  <w:abstractNum w:abstractNumId="49">
    <w:nsid w:val="77AE35EB"/>
    <w:multiLevelType w:val="hybridMultilevel"/>
    <w:lvl w:ilvl="0">
      <w:lvlJc w:val="left"/>
      <w:lvlText w:val="%1."/>
      <w:numFmt w:val="decimal"/>
      <w:start w:val="12"/>
    </w:lvl>
  </w:abstractNum>
  <w:abstractNum w:abstractNumId="50">
    <w:nsid w:val="579BE4F1"/>
    <w:multiLevelType w:val="hybridMultilevel"/>
    <w:lvl w:ilvl="0">
      <w:lvlJc w:val="left"/>
      <w:lvlText w:val="%1."/>
      <w:numFmt w:val="decimal"/>
      <w:start w:val="13"/>
    </w:lvl>
  </w:abstractNum>
  <w:abstractNum w:abstractNumId="51">
    <w:nsid w:val="310C50B3"/>
    <w:multiLevelType w:val="hybridMultilevel"/>
    <w:lvl w:ilvl="0">
      <w:lvlJc w:val="left"/>
      <w:lvlText w:val="%1."/>
      <w:numFmt w:val="decimal"/>
      <w:start w:val="15"/>
    </w:lvl>
  </w:abstractNum>
  <w:abstractNum w:abstractNumId="52">
    <w:nsid w:val="5FF87E05"/>
    <w:multiLevelType w:val="hybridMultilevel"/>
    <w:lvl w:ilvl="0">
      <w:lvlJc w:val="left"/>
      <w:lvlText w:val="-"/>
      <w:numFmt w:val="bullet"/>
      <w:start w:val="1"/>
    </w:lvl>
    <w:lvl w:ilvl="1">
      <w:lvlJc w:val="left"/>
      <w:lvlText w:val="%2)"/>
      <w:numFmt w:val="lowerLetter"/>
      <w:start w:val="2"/>
    </w:lvl>
    <w:lvl w:ilvl="2">
      <w:lvlJc w:val="left"/>
      <w:lvlText w:val="*"/>
      <w:numFmt w:val="bullet"/>
      <w:start w:val="1"/>
    </w:lvl>
  </w:abstractNum>
  <w:abstractNum w:abstractNumId="53">
    <w:nsid w:val="2F305DEF"/>
    <w:multiLevelType w:val="hybridMultilevel"/>
    <w:lvl w:ilvl="0">
      <w:lvlJc w:val="left"/>
      <w:lvlText w:val="-"/>
      <w:numFmt w:val="bullet"/>
      <w:start w:val="1"/>
    </w:lvl>
    <w:lvl w:ilvl="1">
      <w:lvlJc w:val="left"/>
      <w:lvlText w:val="%2)"/>
      <w:numFmt w:val="lowerLetter"/>
      <w:start w:val="3"/>
    </w:lvl>
  </w:abstractNum>
  <w:abstractNum w:abstractNumId="54">
    <w:nsid w:val="25A70BF7"/>
    <w:multiLevelType w:val="hybridMultilevel"/>
    <w:lvl w:ilvl="0">
      <w:lvlJc w:val="left"/>
      <w:lvlText w:val="-"/>
      <w:numFmt w:val="bullet"/>
      <w:start w:val="1"/>
    </w:lvl>
    <w:lvl w:ilvl="1">
      <w:lvlJc w:val="left"/>
      <w:lvlText w:val="%2)"/>
      <w:numFmt w:val="lowerLetter"/>
      <w:start w:val="4"/>
    </w:lvl>
  </w:abstractNum>
  <w:abstractNum w:abstractNumId="55">
    <w:nsid w:val="1DBABF00"/>
    <w:multiLevelType w:val="hybridMultilevel"/>
    <w:lvl w:ilvl="0">
      <w:lvlJc w:val="left"/>
      <w:lvlText w:val="%1)"/>
      <w:numFmt w:val="lowerLetter"/>
      <w:start w:val="5"/>
    </w:lvl>
  </w:abstractNum>
  <w:abstractNum w:abstractNumId="56">
    <w:nsid w:val="4AD084E9"/>
    <w:multiLevelType w:val="hybridMultilevel"/>
    <w:lvl w:ilvl="0">
      <w:lvlJc w:val="left"/>
      <w:lvlText w:val="-"/>
      <w:numFmt w:val="bullet"/>
      <w:start w:val="1"/>
    </w:lvl>
    <w:lvl w:ilvl="1">
      <w:lvlJc w:val="left"/>
      <w:lvlText w:val="%2)"/>
      <w:numFmt w:val="lowerLetter"/>
      <w:start w:val="6"/>
    </w:lvl>
  </w:abstractNum>
  <w:abstractNum w:abstractNumId="57">
    <w:nsid w:val="1F48EAA1"/>
    <w:multiLevelType w:val="hybridMultilevel"/>
    <w:lvl w:ilvl="0">
      <w:lvlJc w:val="left"/>
      <w:lvlText w:val="-"/>
      <w:numFmt w:val="bullet"/>
      <w:start w:val="1"/>
    </w:lvl>
    <w:lvl w:ilvl="1">
      <w:lvlJc w:val="left"/>
      <w:lvlText w:val="%2)"/>
      <w:numFmt w:val="lowerLetter"/>
      <w:start w:val="7"/>
    </w:lvl>
  </w:abstractNum>
  <w:abstractNum w:abstractNumId="58">
    <w:nsid w:val="1381823A"/>
    <w:multiLevelType w:val="hybridMultilevel"/>
    <w:lvl w:ilvl="0">
      <w:lvlJc w:val="left"/>
      <w:lvlText w:val="-"/>
      <w:numFmt w:val="bullet"/>
      <w:start w:val="1"/>
    </w:lvl>
    <w:lvl w:ilvl="1">
      <w:lvlJc w:val="left"/>
      <w:lvlText w:val="%2)"/>
      <w:numFmt w:val="lowerLetter"/>
      <w:start w:val="8"/>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lvl w:ilvl="1">
      <w:lvlJc w:val="left"/>
      <w:lvlText w:val="%2)"/>
      <w:numFmt w:val="lowerLetter"/>
      <w:start w:val="10"/>
    </w:lvl>
  </w:abstractNum>
  <w:abstractNum w:abstractNumId="61">
    <w:nsid w:val="6590700B"/>
    <w:multiLevelType w:val="hybridMultilevel"/>
    <w:lvl w:ilvl="0">
      <w:lvlJc w:val="left"/>
      <w:lvlText w:val="-"/>
      <w:numFmt w:val="bullet"/>
      <w:start w:val="1"/>
    </w:lvl>
    <w:lvl w:ilvl="1">
      <w:lvlJc w:val="left"/>
      <w:lvlText w:val="%2)"/>
      <w:numFmt w:val="lowerLetter"/>
      <w:start w:val="11"/>
    </w:lvl>
  </w:abstractNum>
  <w:abstractNum w:abstractNumId="62">
    <w:nsid w:val="15014ACB"/>
    <w:multiLevelType w:val="hybridMultilevel"/>
    <w:lvl w:ilvl="0">
      <w:lvlJc w:val="left"/>
      <w:lvlText w:val="-"/>
      <w:numFmt w:val="bullet"/>
      <w:start w:val="1"/>
    </w:lvl>
    <w:lvl w:ilvl="1">
      <w:lvlJc w:val="left"/>
      <w:lvlText w:val="%2)"/>
      <w:numFmt w:val="lowerLetter"/>
      <w:start w:val="12"/>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1)"/>
      <w:numFmt w:val="lowerLetter"/>
      <w:start w:val="13"/>
    </w:lvl>
  </w:abstractNum>
  <w:abstractNum w:abstractNumId="65">
    <w:nsid w:val="799D0247"/>
    <w:multiLevelType w:val="hybridMultilevel"/>
    <w:lvl w:ilvl="0">
      <w:lvlJc w:val="left"/>
      <w:lvlText w:val="%1."/>
      <w:numFmt w:val="decimal"/>
      <w:start w:val="16"/>
    </w:lvl>
  </w:abstractNum>
  <w:abstractNum w:abstractNumId="66">
    <w:nsid w:val="6B94764"/>
    <w:multiLevelType w:val="hybridMultilevel"/>
    <w:lvl w:ilvl="0">
      <w:lvlJc w:val="left"/>
      <w:lvlText w:val="%1."/>
      <w:numFmt w:val="decimal"/>
      <w:start w:val="17"/>
    </w:lvl>
  </w:abstractNum>
  <w:abstractNum w:abstractNumId="67">
    <w:nsid w:val="42C296BD"/>
    <w:multiLevelType w:val="hybridMultilevel"/>
    <w:lvl w:ilvl="0">
      <w:lvlJc w:val="left"/>
      <w:lvlText w:val="%1."/>
      <w:numFmt w:val="decimal"/>
      <w:start w:val="18"/>
    </w:lvl>
  </w:abstractNum>
  <w:abstractNum w:abstractNumId="68">
    <w:nsid w:val="168E121F"/>
    <w:multiLevelType w:val="hybridMultilevel"/>
    <w:lvl w:ilvl="0">
      <w:lvlJc w:val="left"/>
      <w:lvlText w:val="%1."/>
      <w:numFmt w:val="decimal"/>
      <w:start w:val="1"/>
    </w:lvl>
    <w:lvl w:ilvl="1">
      <w:lvlJc w:val="left"/>
      <w:lvlText w:val="%2)"/>
      <w:numFmt w:val="lowerLetter"/>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1."/>
      <w:numFmt w:val="decimal"/>
      <w:start w:val="1"/>
    </w:lvl>
    <w:lvl w:ilvl="1">
      <w:lvlJc w:val="left"/>
      <w:lvlText w:val="%2)"/>
      <w:numFmt w:val="lowerLetter"/>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1)"/>
      <w:numFmt w:val="decimal"/>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2019-12-14T20:33:11Z</dcterms:created>
  <dcterms:modified xsi:type="dcterms:W3CDTF">2019-12-14T20:33:11Z</dcterms:modified>
</cp:coreProperties>
</file>