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65"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For the month ended October, 2014</w:t>
      </w:r>
    </w:p>
    <w:p>
      <w:pPr>
        <w:spacing w:after="0" w:line="234"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7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0-29714</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00-353-1-291-2000</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600"/>
        <w:spacing w:after="0"/>
        <w:tabs>
          <w:tab w:leader="none" w:pos="650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60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60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60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215" w:right="10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EXHIBIT LIST</w:t>
            </w:r>
          </w:p>
        </w:tc>
      </w:tr>
      <w:tr>
        <w:trPr>
          <w:trHeight w:val="412"/>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Exhibit</w:t>
            </w:r>
          </w:p>
        </w:tc>
        <w:tc>
          <w:tcPr>
            <w:tcW w:w="108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5100" w:type="dxa"/>
            <w:vAlign w:val="bottom"/>
          </w:tcPr>
          <w:p>
            <w:pPr>
              <w:spacing w:after="0"/>
              <w:rPr>
                <w:sz w:val="24"/>
                <w:szCs w:val="24"/>
                <w:color w:val="auto"/>
              </w:rPr>
            </w:pPr>
          </w:p>
        </w:tc>
      </w:tr>
      <w:tr>
        <w:trPr>
          <w:trHeight w:val="438"/>
        </w:trPr>
        <w:tc>
          <w:tcPr>
            <w:tcW w:w="540" w:type="dxa"/>
            <w:vAlign w:val="bottom"/>
          </w:tcPr>
          <w:p>
            <w:pPr>
              <w:spacing w:after="0"/>
              <w:rPr>
                <w:sz w:val="20"/>
                <w:szCs w:val="20"/>
                <w:color w:val="auto"/>
              </w:rPr>
            </w:pPr>
            <w:r>
              <w:rPr>
                <w:rFonts w:ascii="Arial" w:cs="Arial" w:eastAsia="Arial" w:hAnsi="Arial"/>
                <w:sz w:val="18"/>
                <w:szCs w:val="18"/>
                <w:color w:val="auto"/>
              </w:rPr>
              <w:t>99.1</w:t>
            </w:r>
          </w:p>
        </w:tc>
        <w:tc>
          <w:tcPr>
            <w:tcW w:w="108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w w:val="91"/>
              </w:rPr>
              <w:t>Form No. 28</w:t>
            </w:r>
          </w:p>
        </w:tc>
        <w:tc>
          <w:tcPr>
            <w:tcW w:w="380" w:type="dxa"/>
            <w:vAlign w:val="bottom"/>
          </w:tcPr>
          <w:p>
            <w:pPr>
              <w:ind w:left="20"/>
              <w:spacing w:after="0"/>
              <w:rPr>
                <w:sz w:val="20"/>
                <w:szCs w:val="20"/>
                <w:color w:val="auto"/>
              </w:rPr>
            </w:pPr>
            <w:r>
              <w:rPr>
                <w:rFonts w:ascii="Arial" w:cs="Arial" w:eastAsia="Arial" w:hAnsi="Arial"/>
                <w:sz w:val="18"/>
                <w:szCs w:val="18"/>
                <w:color w:val="auto"/>
                <w:w w:val="99"/>
              </w:rPr>
              <w:t>(B7)</w:t>
            </w:r>
          </w:p>
        </w:tc>
        <w:tc>
          <w:tcPr>
            <w:tcW w:w="8480" w:type="dxa"/>
            <w:vAlign w:val="bottom"/>
            <w:gridSpan w:val="3"/>
          </w:tcPr>
          <w:p>
            <w:pPr>
              <w:ind w:left="20"/>
              <w:spacing w:after="0"/>
              <w:rPr>
                <w:sz w:val="20"/>
                <w:szCs w:val="20"/>
                <w:color w:val="auto"/>
              </w:rPr>
            </w:pPr>
            <w:r>
              <w:rPr>
                <w:rFonts w:ascii="Arial" w:cs="Arial" w:eastAsia="Arial" w:hAnsi="Arial"/>
                <w:sz w:val="18"/>
                <w:szCs w:val="18"/>
                <w:color w:val="auto"/>
                <w:w w:val="98"/>
              </w:rPr>
              <w:t>Notice of Redemption of Shares during September 2014 filed in Companies Registration Office in Ireland on</w:t>
            </w:r>
          </w:p>
        </w:tc>
      </w:tr>
      <w:tr>
        <w:trPr>
          <w:trHeight w:val="230"/>
        </w:trPr>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w w:val="93"/>
              </w:rPr>
              <w:t>October 24, 2014</w:t>
            </w:r>
          </w:p>
        </w:tc>
        <w:tc>
          <w:tcPr>
            <w:tcW w:w="2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100" w:type="dxa"/>
            <w:vAlign w:val="bottom"/>
          </w:tcPr>
          <w:p>
            <w:pPr>
              <w:spacing w:after="0"/>
              <w:rPr>
                <w:sz w:val="20"/>
                <w:szCs w:val="20"/>
                <w:color w:val="auto"/>
              </w:rPr>
            </w:pP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99.2</w:t>
            </w:r>
          </w:p>
        </w:tc>
        <w:tc>
          <w:tcPr>
            <w:tcW w:w="108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w w:val="91"/>
              </w:rPr>
              <w:t>Form No. 28</w:t>
            </w:r>
          </w:p>
        </w:tc>
        <w:tc>
          <w:tcPr>
            <w:tcW w:w="380" w:type="dxa"/>
            <w:vAlign w:val="bottom"/>
          </w:tcPr>
          <w:p>
            <w:pPr>
              <w:ind w:left="20"/>
              <w:spacing w:after="0"/>
              <w:rPr>
                <w:sz w:val="20"/>
                <w:szCs w:val="20"/>
                <w:color w:val="auto"/>
              </w:rPr>
            </w:pPr>
            <w:r>
              <w:rPr>
                <w:rFonts w:ascii="Arial" w:cs="Arial" w:eastAsia="Arial" w:hAnsi="Arial"/>
                <w:sz w:val="18"/>
                <w:szCs w:val="18"/>
                <w:color w:val="auto"/>
                <w:w w:val="99"/>
              </w:rPr>
              <w:t>(B7)</w:t>
            </w:r>
          </w:p>
        </w:tc>
        <w:tc>
          <w:tcPr>
            <w:tcW w:w="8480" w:type="dxa"/>
            <w:vAlign w:val="bottom"/>
            <w:gridSpan w:val="3"/>
          </w:tcPr>
          <w:p>
            <w:pPr>
              <w:ind w:left="20"/>
              <w:spacing w:after="0"/>
              <w:rPr>
                <w:sz w:val="20"/>
                <w:szCs w:val="20"/>
                <w:color w:val="auto"/>
              </w:rPr>
            </w:pPr>
            <w:r>
              <w:rPr>
                <w:rFonts w:ascii="Arial" w:cs="Arial" w:eastAsia="Arial" w:hAnsi="Arial"/>
                <w:sz w:val="18"/>
                <w:szCs w:val="18"/>
                <w:color w:val="auto"/>
                <w:w w:val="93"/>
              </w:rPr>
              <w:t>Notice of Redemption of Shares during October 2014 filed in Companies Registration Office in Ireland on October</w:t>
            </w:r>
          </w:p>
        </w:tc>
      </w:tr>
      <w:tr>
        <w:trPr>
          <w:trHeight w:val="230"/>
        </w:trPr>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24, 2014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100" w:type="dxa"/>
            <w:vAlign w:val="bottom"/>
          </w:tcPr>
          <w:p>
            <w:pPr>
              <w:spacing w:after="0"/>
              <w:rPr>
                <w:sz w:val="20"/>
                <w:szCs w:val="20"/>
                <w:color w:val="auto"/>
              </w:rPr>
            </w:pPr>
          </w:p>
        </w:tc>
      </w:tr>
      <w:tr>
        <w:trPr>
          <w:trHeight w:val="875"/>
        </w:trPr>
        <w:tc>
          <w:tcPr>
            <w:tcW w:w="5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5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16"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620"/>
        <w:spacing w:after="0"/>
        <w:rPr>
          <w:sz w:val="20"/>
          <w:szCs w:val="20"/>
          <w:color w:val="auto"/>
        </w:rPr>
      </w:pPr>
      <w:r>
        <w:rPr>
          <w:rFonts w:ascii="Arial" w:cs="Arial" w:eastAsia="Arial" w:hAnsi="Arial"/>
          <w:sz w:val="18"/>
          <w:szCs w:val="18"/>
          <w:u w:val="single" w:color="auto"/>
          <w:color w:val="auto"/>
        </w:rPr>
        <w:t>/s/ Brendan Brennan</w:t>
      </w:r>
    </w:p>
    <w:p>
      <w:pPr>
        <w:spacing w:after="0" w:line="23" w:lineRule="exact"/>
        <w:rPr>
          <w:sz w:val="20"/>
          <w:szCs w:val="20"/>
          <w:color w:val="auto"/>
        </w:rPr>
      </w:pPr>
    </w:p>
    <w:p>
      <w:pPr>
        <w:ind w:left="7620" w:right="2000" w:hanging="7602"/>
        <w:spacing w:after="0" w:line="323" w:lineRule="auto"/>
        <w:tabs>
          <w:tab w:leader="none" w:pos="7600" w:val="left"/>
        </w:tabs>
        <w:rPr>
          <w:sz w:val="20"/>
          <w:szCs w:val="20"/>
          <w:color w:val="auto"/>
        </w:rPr>
      </w:pPr>
      <w:r>
        <w:rPr>
          <w:rFonts w:ascii="Arial" w:cs="Arial" w:eastAsia="Arial" w:hAnsi="Arial"/>
          <w:sz w:val="18"/>
          <w:szCs w:val="18"/>
          <w:color w:val="auto"/>
        </w:rPr>
        <w:t>Date: October 24, 2014</w:t>
      </w:r>
      <w:r>
        <w:rPr>
          <w:sz w:val="20"/>
          <w:szCs w:val="20"/>
          <w:color w:val="auto"/>
        </w:rPr>
        <w:tab/>
      </w:r>
      <w:r>
        <w:rPr>
          <w:rFonts w:ascii="Arial" w:cs="Arial" w:eastAsia="Arial" w:hAnsi="Arial"/>
          <w:sz w:val="16"/>
          <w:szCs w:val="16"/>
          <w:color w:val="auto"/>
        </w:rPr>
        <w:t>Brendan Brennan Chief Financial Officer</w:t>
      </w:r>
    </w:p>
    <w:p>
      <w:pPr>
        <w:sectPr>
          <w:pgSz w:w="11900" w:h="16838" w:orient="portrait"/>
          <w:cols w:equalWidth="0" w:num="1">
            <w:col w:w="11280"/>
          </w:cols>
          <w:pgMar w:left="240" w:top="486"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Form No. 28.(B7)</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Certificate No 145835</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47"/>
          <w:szCs w:val="47"/>
          <w:b w:val="1"/>
          <w:bCs w:val="1"/>
          <w:u w:val="single" w:color="auto"/>
          <w:color w:val="auto"/>
        </w:rPr>
        <w:t>COMPANIES ACTS, 1963 TO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24765</wp:posOffset>
            </wp:positionV>
            <wp:extent cx="1389380" cy="1320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9380"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9"/>
          <w:szCs w:val="19"/>
          <w:color w:val="auto"/>
        </w:rPr>
        <w:t>NOTICE OF CONSOLIDATION and DIVISION, or CONVERSION into STOCK of SHARES, or of the Re-conversion into Share of Stock, or of the Subdivision or Redemption or Cancellation of Shares of ICON Public Limited Company specifying, as the case may be, the shares consolidated, divided, converted, subdivided, redeemed or cancelled, or the Stock reconverted.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Pursuant to Section 69 of the Companies Act, 1963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76200</wp:posOffset>
            </wp:positionV>
            <wp:extent cx="746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This Notice is to be signed by a Director, or the Secretary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Presented by</w:t>
      </w:r>
    </w:p>
    <w:p>
      <w:pPr>
        <w:spacing w:after="0" w:line="233" w:lineRule="exact"/>
        <w:rPr>
          <w:sz w:val="20"/>
          <w:szCs w:val="20"/>
          <w:color w:val="auto"/>
        </w:rPr>
      </w:pPr>
    </w:p>
    <w:p>
      <w:pPr>
        <w:ind w:left="820"/>
        <w:spacing w:after="0"/>
        <w:rPr>
          <w:sz w:val="20"/>
          <w:szCs w:val="20"/>
          <w:color w:val="auto"/>
        </w:rPr>
      </w:pPr>
      <w:r>
        <w:rPr>
          <w:rFonts w:ascii="Arial" w:cs="Arial" w:eastAsia="Arial" w:hAnsi="Arial"/>
          <w:sz w:val="22"/>
          <w:szCs w:val="22"/>
          <w:color w:val="auto"/>
        </w:rPr>
        <w:t>A&amp;L Goodbody</w:t>
      </w:r>
    </w:p>
    <w:p>
      <w:pPr>
        <w:spacing w:after="0" w:line="233" w:lineRule="exact"/>
        <w:rPr>
          <w:sz w:val="20"/>
          <w:szCs w:val="20"/>
          <w:color w:val="auto"/>
        </w:rPr>
      </w:pPr>
    </w:p>
    <w:p>
      <w:pPr>
        <w:ind w:left="820"/>
        <w:spacing w:after="0"/>
        <w:rPr>
          <w:sz w:val="20"/>
          <w:szCs w:val="20"/>
          <w:color w:val="auto"/>
        </w:rPr>
      </w:pPr>
      <w:r>
        <w:rPr>
          <w:rFonts w:ascii="Arial" w:cs="Arial" w:eastAsia="Arial" w:hAnsi="Arial"/>
          <w:sz w:val="22"/>
          <w:szCs w:val="22"/>
          <w:color w:val="auto"/>
        </w:rPr>
        <w:t>25/28 North Wall Quay</w:t>
      </w:r>
    </w:p>
    <w:p>
      <w:pPr>
        <w:spacing w:after="0" w:line="233" w:lineRule="exact"/>
        <w:rPr>
          <w:sz w:val="20"/>
          <w:szCs w:val="20"/>
          <w:color w:val="auto"/>
        </w:rPr>
      </w:pPr>
    </w:p>
    <w:p>
      <w:pPr>
        <w:ind w:left="820"/>
        <w:spacing w:after="0"/>
        <w:rPr>
          <w:sz w:val="20"/>
          <w:szCs w:val="20"/>
          <w:color w:val="auto"/>
        </w:rPr>
      </w:pPr>
      <w:r>
        <w:rPr>
          <w:rFonts w:ascii="Arial" w:cs="Arial" w:eastAsia="Arial" w:hAnsi="Arial"/>
          <w:sz w:val="22"/>
          <w:szCs w:val="22"/>
          <w:color w:val="auto"/>
        </w:rPr>
        <w:t>IFSC, Dublin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22"/>
          <w:szCs w:val="22"/>
          <w:color w:val="auto"/>
        </w:rPr>
        <w:t>TO THE REGISTRAR OF JOINT STOCK COMPANIES ICON PUBLIC LIMITED COMPANY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hereby gives you notice in accordance with S.69 of the Companies Acts, 1963 - 2013, that*</w:t>
      </w:r>
    </w:p>
    <w:p>
      <w:pPr>
        <w:spacing w:after="0" w:line="233" w:lineRule="exact"/>
        <w:rPr>
          <w:sz w:val="20"/>
          <w:szCs w:val="20"/>
          <w:color w:val="auto"/>
        </w:rPr>
      </w:pPr>
    </w:p>
    <w:p>
      <w:pPr>
        <w:ind w:firstLine="324"/>
        <w:spacing w:after="0"/>
        <w:rPr>
          <w:sz w:val="20"/>
          <w:szCs w:val="20"/>
          <w:color w:val="auto"/>
        </w:rPr>
      </w:pPr>
      <w:r>
        <w:rPr>
          <w:rFonts w:ascii="Arial" w:cs="Arial" w:eastAsia="Arial" w:hAnsi="Arial"/>
          <w:sz w:val="22"/>
          <w:szCs w:val="22"/>
          <w:color w:val="auto"/>
        </w:rPr>
        <w:t>In a series of transactions during September 2014, as set out below, 79,781 shares in the capital of the Company were redeemed by ICON Public Limited Company (the "Company") and upon redemption were subsequently cancelled out of the issued share capital by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w w:val="89"/>
              </w:rPr>
              <w:t>25-Sept-14..........</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20,000</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w w:val="89"/>
              </w:rPr>
              <w:t>26-Sept-14..........</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20,000</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w w:val="89"/>
              </w:rPr>
              <w:t>29-Sept-14..........</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19,781</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w w:val="89"/>
              </w:rPr>
              <w:t>30-Sept-14..........</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291465</wp:posOffset>
            </wp:positionV>
            <wp:extent cx="1981200"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8120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 xml:space="preserve">Dated the 22 </w:t>
      </w:r>
      <w:r>
        <w:rPr>
          <w:rFonts w:ascii="Arial" w:cs="Arial" w:eastAsia="Arial" w:hAnsi="Arial"/>
          <w:sz w:val="17"/>
          <w:szCs w:val="17"/>
          <w:color w:val="auto"/>
        </w:rPr>
        <w:t>day</w:t>
      </w:r>
      <w:r>
        <w:rPr>
          <w:sz w:val="20"/>
          <w:szCs w:val="20"/>
          <w:color w:val="auto"/>
        </w:rPr>
        <w:tab/>
      </w:r>
      <w:r>
        <w:rPr>
          <w:rFonts w:ascii="Arial" w:cs="Arial" w:eastAsia="Arial" w:hAnsi="Arial"/>
          <w:sz w:val="16"/>
          <w:szCs w:val="16"/>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4560" w:val="left"/>
          <w:tab w:leader="none" w:pos="6260" w:val="left"/>
        </w:tabs>
        <w:rPr>
          <w:sz w:val="20"/>
          <w:szCs w:val="20"/>
          <w:color w:val="auto"/>
        </w:rPr>
      </w:pPr>
      <w:r>
        <w:rPr>
          <w:rFonts w:ascii="Arial" w:cs="Arial" w:eastAsia="Arial" w:hAnsi="Arial"/>
          <w:sz w:val="18"/>
          <w:szCs w:val="18"/>
          <w:color w:val="auto"/>
        </w:rPr>
        <w:t>of October 2014</w:t>
      </w:r>
      <w:r>
        <w:rPr>
          <w:sz w:val="20"/>
          <w:szCs w:val="20"/>
          <w:color w:val="auto"/>
        </w:rPr>
        <w:tab/>
      </w:r>
      <w:r>
        <w:rPr>
          <w:rFonts w:ascii="Arial" w:cs="Arial" w:eastAsia="Arial" w:hAnsi="Arial"/>
          <w:sz w:val="18"/>
          <w:szCs w:val="18"/>
          <w:color w:val="auto"/>
        </w:rPr>
        <w:t>Officer</w:t>
      </w:r>
      <w:r>
        <w:rPr>
          <w:sz w:val="20"/>
          <w:szCs w:val="20"/>
          <w:color w:val="auto"/>
        </w:rPr>
        <w:tab/>
      </w:r>
      <w:r>
        <w:rPr>
          <w:rFonts w:ascii="Arial" w:cs="Arial" w:eastAsia="Arial" w:hAnsi="Arial"/>
          <w:sz w:val="16"/>
          <w:szCs w:val="16"/>
          <w:color w:val="auto"/>
        </w:rPr>
        <w:t>Diarmaid Cunningham,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0"/>
        <w:spacing w:after="0" w:line="297" w:lineRule="auto"/>
        <w:rPr>
          <w:sz w:val="20"/>
          <w:szCs w:val="20"/>
          <w:color w:val="auto"/>
        </w:rPr>
      </w:pPr>
      <w:r>
        <w:rPr>
          <w:rFonts w:ascii="Arial" w:cs="Arial" w:eastAsia="Arial" w:hAnsi="Arial"/>
          <w:sz w:val="19"/>
          <w:szCs w:val="19"/>
          <w:color w:val="auto"/>
        </w:rPr>
        <w:t>*eg. (In the Case of Conversion into Stock) "the 10,000 Ordinary €5 Shares of this Company, numbered 1 to 10,000, have been Converted into €50,000 Ordinary Stock". (In the case of Consolidation and Division) "the 1,000 Preference £10 Shares of this Company, numbered 1 to 1,000 have been Consolidated and Divided into 50 Preference Shares of €20 each, numbered 1 to 500".</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Form No. 28(B7)</w:t>
      </w:r>
    </w:p>
    <w:p>
      <w:pPr>
        <w:sectPr>
          <w:pgSz w:w="11900" w:h="16838" w:orient="portrait"/>
          <w:cols w:equalWidth="0" w:num="1">
            <w:col w:w="11380"/>
          </w:cols>
          <w:pgMar w:left="240" w:top="510" w:right="27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99.2</w:t>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Form No. 28.(B7)</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Certificate No 145835</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47"/>
          <w:szCs w:val="47"/>
          <w:b w:val="1"/>
          <w:bCs w:val="1"/>
          <w:u w:val="single" w:color="auto"/>
          <w:color w:val="auto"/>
        </w:rPr>
        <w:t>COMPANIES ACTS, 1963 TO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24765</wp:posOffset>
            </wp:positionV>
            <wp:extent cx="1389380" cy="132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89380"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9"/>
          <w:szCs w:val="19"/>
          <w:color w:val="auto"/>
        </w:rPr>
        <w:t>NOTICE OF CONSOLIDATION and DIVISION, or CONVERSION into STOCK of SHARES, or of the Re-conversion into Share of Stock, or of the Subdivision or Redemption or Cancellation of Shares of ICON Public Limited Company specifying, as the case may be, the shares consolidated, divided, converted, subdivided, redeemed or cancelled, or the Stock reconverted.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Pursuant to Section 69 of the Companies Act, 1963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76200</wp:posOffset>
            </wp:positionV>
            <wp:extent cx="7461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This Notice is to be signed by a Director, or the Secretary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Presented by</w:t>
      </w:r>
    </w:p>
    <w:p>
      <w:pPr>
        <w:spacing w:after="0" w:line="233" w:lineRule="exact"/>
        <w:rPr>
          <w:sz w:val="20"/>
          <w:szCs w:val="20"/>
          <w:color w:val="auto"/>
        </w:rPr>
      </w:pPr>
    </w:p>
    <w:p>
      <w:pPr>
        <w:ind w:left="820"/>
        <w:spacing w:after="0"/>
        <w:rPr>
          <w:sz w:val="20"/>
          <w:szCs w:val="20"/>
          <w:color w:val="auto"/>
        </w:rPr>
      </w:pPr>
      <w:r>
        <w:rPr>
          <w:rFonts w:ascii="Arial" w:cs="Arial" w:eastAsia="Arial" w:hAnsi="Arial"/>
          <w:sz w:val="22"/>
          <w:szCs w:val="22"/>
          <w:color w:val="auto"/>
        </w:rPr>
        <w:t>A&amp;L Goodbody</w:t>
      </w:r>
    </w:p>
    <w:p>
      <w:pPr>
        <w:spacing w:after="0" w:line="233" w:lineRule="exact"/>
        <w:rPr>
          <w:sz w:val="20"/>
          <w:szCs w:val="20"/>
          <w:color w:val="auto"/>
        </w:rPr>
      </w:pPr>
    </w:p>
    <w:p>
      <w:pPr>
        <w:ind w:left="820"/>
        <w:spacing w:after="0"/>
        <w:rPr>
          <w:sz w:val="20"/>
          <w:szCs w:val="20"/>
          <w:color w:val="auto"/>
        </w:rPr>
      </w:pPr>
      <w:r>
        <w:rPr>
          <w:rFonts w:ascii="Arial" w:cs="Arial" w:eastAsia="Arial" w:hAnsi="Arial"/>
          <w:sz w:val="22"/>
          <w:szCs w:val="22"/>
          <w:color w:val="auto"/>
        </w:rPr>
        <w:t>25/28 North Wall Quay</w:t>
      </w:r>
    </w:p>
    <w:p>
      <w:pPr>
        <w:spacing w:after="0" w:line="233" w:lineRule="exact"/>
        <w:rPr>
          <w:sz w:val="20"/>
          <w:szCs w:val="20"/>
          <w:color w:val="auto"/>
        </w:rPr>
      </w:pPr>
    </w:p>
    <w:p>
      <w:pPr>
        <w:ind w:left="820"/>
        <w:spacing w:after="0"/>
        <w:rPr>
          <w:sz w:val="20"/>
          <w:szCs w:val="20"/>
          <w:color w:val="auto"/>
        </w:rPr>
      </w:pPr>
      <w:r>
        <w:rPr>
          <w:rFonts w:ascii="Arial" w:cs="Arial" w:eastAsia="Arial" w:hAnsi="Arial"/>
          <w:sz w:val="22"/>
          <w:szCs w:val="22"/>
          <w:color w:val="auto"/>
        </w:rPr>
        <w:t>IFSC, Dublin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ind w:left="1460"/>
        <w:spacing w:after="0"/>
        <w:rPr>
          <w:sz w:val="20"/>
          <w:szCs w:val="20"/>
          <w:color w:val="auto"/>
        </w:rPr>
      </w:pPr>
      <w:r>
        <w:rPr>
          <w:rFonts w:ascii="Arial" w:cs="Arial" w:eastAsia="Arial" w:hAnsi="Arial"/>
          <w:sz w:val="22"/>
          <w:szCs w:val="22"/>
          <w:color w:val="auto"/>
        </w:rPr>
        <w:t>TO THE REGISTRAR OF JOINT STOCK COMPANIES ICON PUBLIC LIMITED COMPANY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hereby gives you notice in accordance with S.69 of the Companies Acts, 1963 - 2013, that*</w:t>
      </w:r>
    </w:p>
    <w:p>
      <w:pPr>
        <w:spacing w:after="0" w:line="233" w:lineRule="exact"/>
        <w:rPr>
          <w:sz w:val="20"/>
          <w:szCs w:val="20"/>
          <w:color w:val="auto"/>
        </w:rPr>
      </w:pPr>
    </w:p>
    <w:p>
      <w:pPr>
        <w:ind w:firstLine="324"/>
        <w:spacing w:after="0"/>
        <w:rPr>
          <w:sz w:val="20"/>
          <w:szCs w:val="20"/>
          <w:color w:val="auto"/>
        </w:rPr>
      </w:pPr>
      <w:r>
        <w:rPr>
          <w:rFonts w:ascii="Arial" w:cs="Arial" w:eastAsia="Arial" w:hAnsi="Arial"/>
          <w:sz w:val="22"/>
          <w:szCs w:val="22"/>
          <w:color w:val="auto"/>
        </w:rPr>
        <w:t>In a series of transactions during October 2014, as set out below, 593,068 shares in the capital of the Company were redeemed by ICON Public Limited Company (the "Company") and upon redemption were subsequently cancelled out of the issued share capital by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w w:val="90"/>
              </w:rPr>
              <w:t>01-Oct-14..........</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w w:val="87"/>
              </w:rPr>
              <w:t>40,000</w:t>
            </w:r>
          </w:p>
        </w:tc>
        <w:tc>
          <w:tcPr>
            <w:tcW w:w="1780" w:type="dxa"/>
            <w:vAlign w:val="bottom"/>
          </w:tcPr>
          <w:p>
            <w:pPr>
              <w:ind w:left="1040"/>
              <w:spacing w:after="0"/>
              <w:rPr>
                <w:sz w:val="20"/>
                <w:szCs w:val="20"/>
                <w:color w:val="auto"/>
              </w:rPr>
            </w:pPr>
            <w:r>
              <w:rPr>
                <w:rFonts w:ascii="Arial" w:cs="Arial" w:eastAsia="Arial" w:hAnsi="Arial"/>
                <w:sz w:val="18"/>
                <w:szCs w:val="18"/>
                <w:color w:val="auto"/>
                <w:w w:val="89"/>
              </w:rPr>
              <w:t>08-Oct-14</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w w:val="87"/>
              </w:rPr>
              <w:t>..........23,068</w:t>
            </w:r>
          </w:p>
        </w:tc>
        <w:tc>
          <w:tcPr>
            <w:tcW w:w="2980" w:type="dxa"/>
            <w:vAlign w:val="bottom"/>
          </w:tcPr>
          <w:p>
            <w:pPr>
              <w:ind w:left="1780"/>
              <w:spacing w:after="0"/>
              <w:rPr>
                <w:sz w:val="20"/>
                <w:szCs w:val="20"/>
                <w:color w:val="auto"/>
              </w:rPr>
            </w:pPr>
            <w:r>
              <w:rPr>
                <w:rFonts w:ascii="Arial" w:cs="Arial" w:eastAsia="Arial" w:hAnsi="Arial"/>
                <w:sz w:val="18"/>
                <w:szCs w:val="18"/>
                <w:color w:val="auto"/>
                <w:w w:val="90"/>
              </w:rPr>
              <w:t>15-Oct-14..........</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50,000</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w w:val="90"/>
              </w:rPr>
              <w:t>02-Oct-14..........</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w w:val="87"/>
              </w:rPr>
              <w:t>40,000</w:t>
            </w:r>
          </w:p>
        </w:tc>
        <w:tc>
          <w:tcPr>
            <w:tcW w:w="1780" w:type="dxa"/>
            <w:vAlign w:val="bottom"/>
          </w:tcPr>
          <w:p>
            <w:pPr>
              <w:ind w:left="1040"/>
              <w:spacing w:after="0"/>
              <w:rPr>
                <w:sz w:val="20"/>
                <w:szCs w:val="20"/>
                <w:color w:val="auto"/>
              </w:rPr>
            </w:pPr>
            <w:r>
              <w:rPr>
                <w:rFonts w:ascii="Arial" w:cs="Arial" w:eastAsia="Arial" w:hAnsi="Arial"/>
                <w:sz w:val="18"/>
                <w:szCs w:val="18"/>
                <w:color w:val="auto"/>
                <w:w w:val="89"/>
              </w:rPr>
              <w:t>09-Oct-14</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w w:val="87"/>
              </w:rPr>
              <w:t>..........20,000</w:t>
            </w:r>
          </w:p>
        </w:tc>
        <w:tc>
          <w:tcPr>
            <w:tcW w:w="2980" w:type="dxa"/>
            <w:vAlign w:val="bottom"/>
          </w:tcPr>
          <w:p>
            <w:pPr>
              <w:ind w:left="1780"/>
              <w:spacing w:after="0"/>
              <w:rPr>
                <w:sz w:val="20"/>
                <w:szCs w:val="20"/>
                <w:color w:val="auto"/>
              </w:rPr>
            </w:pPr>
            <w:r>
              <w:rPr>
                <w:rFonts w:ascii="Arial" w:cs="Arial" w:eastAsia="Arial" w:hAnsi="Arial"/>
                <w:sz w:val="18"/>
                <w:szCs w:val="18"/>
                <w:color w:val="auto"/>
                <w:w w:val="90"/>
              </w:rPr>
              <w:t>16-Oct-14..........</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80,000</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w w:val="90"/>
              </w:rPr>
              <w:t>03-Oct-14..........</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w w:val="87"/>
              </w:rPr>
              <w:t>40,000</w:t>
            </w:r>
          </w:p>
        </w:tc>
        <w:tc>
          <w:tcPr>
            <w:tcW w:w="1780" w:type="dxa"/>
            <w:vAlign w:val="bottom"/>
          </w:tcPr>
          <w:p>
            <w:pPr>
              <w:ind w:left="1040"/>
              <w:spacing w:after="0"/>
              <w:rPr>
                <w:sz w:val="20"/>
                <w:szCs w:val="20"/>
                <w:color w:val="auto"/>
              </w:rPr>
            </w:pPr>
            <w:r>
              <w:rPr>
                <w:rFonts w:ascii="Arial" w:cs="Arial" w:eastAsia="Arial" w:hAnsi="Arial"/>
                <w:sz w:val="18"/>
                <w:szCs w:val="18"/>
                <w:color w:val="auto"/>
                <w:w w:val="89"/>
              </w:rPr>
              <w:t>10-Oct-14</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w w:val="87"/>
              </w:rPr>
              <w:t>..........20,000</w:t>
            </w:r>
          </w:p>
        </w:tc>
        <w:tc>
          <w:tcPr>
            <w:tcW w:w="2980" w:type="dxa"/>
            <w:vAlign w:val="bottom"/>
          </w:tcPr>
          <w:p>
            <w:pPr>
              <w:ind w:left="1780"/>
              <w:spacing w:after="0"/>
              <w:rPr>
                <w:sz w:val="20"/>
                <w:szCs w:val="20"/>
                <w:color w:val="auto"/>
              </w:rPr>
            </w:pPr>
            <w:r>
              <w:rPr>
                <w:rFonts w:ascii="Arial" w:cs="Arial" w:eastAsia="Arial" w:hAnsi="Arial"/>
                <w:sz w:val="18"/>
                <w:szCs w:val="18"/>
                <w:color w:val="auto"/>
                <w:w w:val="90"/>
              </w:rPr>
              <w:t>17-Oct-14..........</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80,000</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w w:val="90"/>
              </w:rPr>
              <w:t>06-Oct-14..........</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w w:val="87"/>
              </w:rPr>
              <w:t>30,000</w:t>
            </w:r>
          </w:p>
        </w:tc>
        <w:tc>
          <w:tcPr>
            <w:tcW w:w="1780" w:type="dxa"/>
            <w:vAlign w:val="bottom"/>
          </w:tcPr>
          <w:p>
            <w:pPr>
              <w:ind w:left="1040"/>
              <w:spacing w:after="0"/>
              <w:rPr>
                <w:sz w:val="20"/>
                <w:szCs w:val="20"/>
                <w:color w:val="auto"/>
              </w:rPr>
            </w:pPr>
            <w:r>
              <w:rPr>
                <w:rFonts w:ascii="Arial" w:cs="Arial" w:eastAsia="Arial" w:hAnsi="Arial"/>
                <w:sz w:val="18"/>
                <w:szCs w:val="18"/>
                <w:color w:val="auto"/>
                <w:w w:val="89"/>
              </w:rPr>
              <w:t>13-Oct-14</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w w:val="87"/>
              </w:rPr>
              <w:t>..........40,000</w:t>
            </w:r>
          </w:p>
        </w:tc>
        <w:tc>
          <w:tcPr>
            <w:tcW w:w="2980" w:type="dxa"/>
            <w:vAlign w:val="bottom"/>
          </w:tcPr>
          <w:p>
            <w:pPr>
              <w:ind w:left="1780"/>
              <w:spacing w:after="0"/>
              <w:rPr>
                <w:sz w:val="20"/>
                <w:szCs w:val="20"/>
                <w:color w:val="auto"/>
              </w:rPr>
            </w:pPr>
            <w:r>
              <w:rPr>
                <w:rFonts w:ascii="Arial" w:cs="Arial" w:eastAsia="Arial" w:hAnsi="Arial"/>
                <w:sz w:val="18"/>
                <w:szCs w:val="18"/>
                <w:color w:val="auto"/>
                <w:w w:val="90"/>
              </w:rPr>
              <w:t>20-Oct-14..........</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40,000</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w w:val="90"/>
              </w:rPr>
              <w:t>07-Oct-14..........</w:t>
            </w:r>
          </w:p>
        </w:tc>
        <w:tc>
          <w:tcPr>
            <w:tcW w:w="1540" w:type="dxa"/>
            <w:vAlign w:val="bottom"/>
          </w:tcPr>
          <w:p>
            <w:pPr>
              <w:jc w:val="right"/>
              <w:ind w:right="950"/>
              <w:spacing w:after="0"/>
              <w:rPr>
                <w:sz w:val="20"/>
                <w:szCs w:val="20"/>
                <w:color w:val="auto"/>
              </w:rPr>
            </w:pPr>
            <w:r>
              <w:rPr>
                <w:rFonts w:ascii="Arial" w:cs="Arial" w:eastAsia="Arial" w:hAnsi="Arial"/>
                <w:sz w:val="18"/>
                <w:szCs w:val="18"/>
                <w:color w:val="auto"/>
                <w:w w:val="87"/>
              </w:rPr>
              <w:t>50,000</w:t>
            </w:r>
          </w:p>
        </w:tc>
        <w:tc>
          <w:tcPr>
            <w:tcW w:w="1780" w:type="dxa"/>
            <w:vAlign w:val="bottom"/>
          </w:tcPr>
          <w:p>
            <w:pPr>
              <w:ind w:left="1040"/>
              <w:spacing w:after="0"/>
              <w:rPr>
                <w:sz w:val="20"/>
                <w:szCs w:val="20"/>
                <w:color w:val="auto"/>
              </w:rPr>
            </w:pPr>
            <w:r>
              <w:rPr>
                <w:rFonts w:ascii="Arial" w:cs="Arial" w:eastAsia="Arial" w:hAnsi="Arial"/>
                <w:sz w:val="18"/>
                <w:szCs w:val="18"/>
                <w:color w:val="auto"/>
                <w:w w:val="89"/>
              </w:rPr>
              <w:t>14-Oct-14</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w w:val="87"/>
              </w:rPr>
              <w:t>..........40,000</w:t>
            </w:r>
          </w:p>
        </w:tc>
        <w:tc>
          <w:tcPr>
            <w:tcW w:w="29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824"/>
        </w:trPr>
        <w:tc>
          <w:tcPr>
            <w:tcW w:w="2740" w:type="dxa"/>
            <w:vAlign w:val="bottom"/>
            <w:gridSpan w:val="2"/>
          </w:tcPr>
          <w:p>
            <w:pPr>
              <w:spacing w:after="0"/>
              <w:rPr>
                <w:sz w:val="20"/>
                <w:szCs w:val="20"/>
                <w:color w:val="auto"/>
              </w:rPr>
            </w:pPr>
            <w:r>
              <w:rPr>
                <w:rFonts w:ascii="Arial" w:cs="Arial" w:eastAsia="Arial" w:hAnsi="Arial"/>
                <w:sz w:val="18"/>
                <w:szCs w:val="18"/>
                <w:color w:val="auto"/>
              </w:rPr>
              <w:t xml:space="preserve">Dated the 22 </w:t>
            </w:r>
            <w:r>
              <w:rPr>
                <w:rFonts w:ascii="Arial" w:cs="Arial" w:eastAsia="Arial" w:hAnsi="Arial"/>
                <w:sz w:val="17"/>
                <w:szCs w:val="17"/>
                <w:color w:val="auto"/>
              </w:rPr>
              <w:t>day</w:t>
            </w:r>
          </w:p>
        </w:tc>
        <w:tc>
          <w:tcPr>
            <w:tcW w:w="17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8"/>
                <w:szCs w:val="18"/>
                <w:color w:val="auto"/>
              </w:rPr>
              <w:t>Signature</w:t>
            </w:r>
          </w:p>
        </w:tc>
        <w:tc>
          <w:tcPr>
            <w:tcW w:w="29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013"/>
        </w:trPr>
        <w:tc>
          <w:tcPr>
            <w:tcW w:w="1200" w:type="dxa"/>
            <w:vAlign w:val="bottom"/>
          </w:tcPr>
          <w:p>
            <w:pPr>
              <w:spacing w:after="0"/>
              <w:rPr>
                <w:sz w:val="20"/>
                <w:szCs w:val="20"/>
                <w:color w:val="auto"/>
              </w:rPr>
            </w:pPr>
            <w:r>
              <w:rPr>
                <w:rFonts w:ascii="Arial" w:cs="Arial" w:eastAsia="Arial" w:hAnsi="Arial"/>
                <w:sz w:val="18"/>
                <w:szCs w:val="18"/>
                <w:color w:val="auto"/>
                <w:w w:val="91"/>
              </w:rPr>
              <w:t>of October 2014</w:t>
            </w:r>
          </w:p>
        </w:tc>
        <w:tc>
          <w:tcPr>
            <w:tcW w:w="1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Arial" w:cs="Arial" w:eastAsia="Arial" w:hAnsi="Arial"/>
                <w:sz w:val="18"/>
                <w:szCs w:val="18"/>
                <w:color w:val="auto"/>
              </w:rPr>
              <w:t>Officer</w:t>
            </w:r>
          </w:p>
        </w:tc>
        <w:tc>
          <w:tcPr>
            <w:tcW w:w="3580" w:type="dxa"/>
            <w:vAlign w:val="bottom"/>
            <w:gridSpan w:val="2"/>
          </w:tcPr>
          <w:p>
            <w:pPr>
              <w:ind w:left="400"/>
              <w:spacing w:after="0"/>
              <w:rPr>
                <w:sz w:val="20"/>
                <w:szCs w:val="20"/>
                <w:color w:val="auto"/>
              </w:rPr>
            </w:pPr>
            <w:r>
              <w:rPr>
                <w:rFonts w:ascii="Arial" w:cs="Arial" w:eastAsia="Arial" w:hAnsi="Arial"/>
                <w:sz w:val="18"/>
                <w:szCs w:val="18"/>
                <w:color w:val="auto"/>
                <w:w w:val="90"/>
              </w:rPr>
              <w:t>Diarmaid Cunningham, Company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-1011555</wp:posOffset>
            </wp:positionV>
            <wp:extent cx="1981200" cy="600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8120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color w:val="auto"/>
        </w:rPr>
        <w:t>*eg. (In the Case of Conversion into Stock) "the 10,000 Ordinary €5 Shares of this Company, numbered 1 to 10,000, have been Converted into €50,000 Ordinary Stock". (In the case of Consolidation and Division) "the 1,000 Preference £10 Shares of this Company, numbered 1 to 1,000 have been Consolidated and Divided into 50 Preference Shares of €20 each, numbered 1 to 500".</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Form No. 28(B7)</w:t>
      </w:r>
    </w:p>
    <w:sectPr>
      <w:pgSz w:w="11900" w:h="16838" w:orient="portrait"/>
      <w:cols w:equalWidth="0" w:num="1">
        <w:col w:w="11260"/>
      </w:cols>
      <w:pgMar w:left="240" w:top="51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2019-12-06T19:35:16Z</dcterms:created>
  <dcterms:modified xsi:type="dcterms:W3CDTF">2019-12-06T19:35:16Z</dcterms:modified>
</cp:coreProperties>
</file>