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13G/A</w:t>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American Depositary Shares, representing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45103T107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34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800" w:hanging="14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79" w:lineRule="exact"/>
        <w:rPr>
          <w:rFonts w:ascii="Arial" w:cs="Arial" w:eastAsia="Arial" w:hAnsi="Arial"/>
          <w:sz w:val="18"/>
          <w:szCs w:val="18"/>
          <w:color w:val="auto"/>
        </w:rPr>
      </w:pPr>
    </w:p>
    <w:p>
      <w:pPr>
        <w:jc w:val="both"/>
        <w:ind w:left="660" w:right="9440" w:hanging="4"/>
        <w:spacing w:after="0" w:line="596" w:lineRule="auto"/>
        <w:tabs>
          <w:tab w:leader="none" w:pos="810"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13d-1(c) [X] Rule 13d-1(d)</w:t>
      </w:r>
    </w:p>
    <w:p>
      <w:pPr>
        <w:spacing w:after="0" w:line="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857250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color w:val="auto"/>
        </w:rPr>
        <w:t>SCHEDULE 13G</w:t>
      </w:r>
    </w:p>
    <w:p>
      <w:pPr>
        <w:spacing w:after="0" w:line="22" w:lineRule="exact"/>
        <w:rPr>
          <w:sz w:val="20"/>
          <w:szCs w:val="20"/>
          <w:color w:val="auto"/>
        </w:rPr>
      </w:pPr>
    </w:p>
    <w:p>
      <w:pPr>
        <w:ind w:left="760" w:hanging="435"/>
        <w:spacing w:after="0"/>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Dr. John Climax</w:t>
      </w:r>
    </w:p>
    <w:p>
      <w:pPr>
        <w:spacing w:after="0" w:line="18"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I.R.S. Identification Nos. of above persons (entities only). n/a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082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Check the Appropriate Box if a Member of a Group   (a) [ ]</w:t>
            </w:r>
          </w:p>
        </w:tc>
      </w:tr>
      <w:tr>
        <w:trPr>
          <w:trHeight w:val="206"/>
        </w:trPr>
        <w:tc>
          <w:tcPr>
            <w:tcW w:w="600" w:type="dxa"/>
            <w:vAlign w:val="bottom"/>
          </w:tcPr>
          <w:p>
            <w:pPr>
              <w:spacing w:after="0"/>
              <w:rPr>
                <w:sz w:val="17"/>
                <w:szCs w:val="17"/>
                <w:color w:val="auto"/>
              </w:rPr>
            </w:pPr>
          </w:p>
        </w:tc>
        <w:tc>
          <w:tcPr>
            <w:tcW w:w="10820" w:type="dxa"/>
            <w:vAlign w:val="bottom"/>
          </w:tcPr>
          <w:p>
            <w:pPr>
              <w:ind w:left="3820"/>
              <w:spacing w:after="0"/>
              <w:rPr>
                <w:sz w:val="20"/>
                <w:szCs w:val="20"/>
                <w:color w:val="auto"/>
              </w:rPr>
            </w:pPr>
            <w:r>
              <w:rPr>
                <w:rFonts w:ascii="Arial" w:cs="Arial" w:eastAsia="Arial" w:hAnsi="Arial"/>
                <w:sz w:val="16"/>
                <w:szCs w:val="16"/>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760" w:hanging="435"/>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302" w:lineRule="exact"/>
        <w:rPr>
          <w:rFonts w:ascii="Arial" w:cs="Arial" w:eastAsia="Arial" w:hAnsi="Arial"/>
          <w:sz w:val="16"/>
          <w:szCs w:val="16"/>
          <w:color w:val="auto"/>
        </w:rPr>
      </w:pPr>
    </w:p>
    <w:p>
      <w:pPr>
        <w:ind w:left="760" w:hanging="435"/>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jc w:val="right"/>
        <w:ind w:right="4700"/>
        <w:spacing w:after="0"/>
        <w:rPr>
          <w:sz w:val="20"/>
          <w:szCs w:val="20"/>
          <w:color w:val="auto"/>
        </w:rPr>
      </w:pPr>
      <w:r>
        <w:rPr>
          <w:rFonts w:ascii="Arial" w:cs="Arial" w:eastAsia="Arial" w:hAnsi="Arial"/>
          <w:sz w:val="16"/>
          <w:szCs w:val="16"/>
          <w:color w:val="auto"/>
        </w:rPr>
        <w:t>Republic of Ireland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840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462"/>
        </w:trPr>
        <w:tc>
          <w:tcPr>
            <w:tcW w:w="24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1,491,892</w:t>
            </w:r>
          </w:p>
        </w:tc>
        <w:tc>
          <w:tcPr>
            <w:tcW w:w="0" w:type="dxa"/>
            <w:vAlign w:val="bottom"/>
          </w:tcPr>
          <w:p>
            <w:pPr>
              <w:spacing w:after="0"/>
              <w:rPr>
                <w:sz w:val="1"/>
                <w:szCs w:val="1"/>
                <w:color w:val="auto"/>
              </w:rPr>
            </w:pPr>
          </w:p>
        </w:tc>
      </w:tr>
      <w:tr>
        <w:trPr>
          <w:trHeight w:val="192"/>
        </w:trPr>
        <w:tc>
          <w:tcPr>
            <w:tcW w:w="2420" w:type="dxa"/>
            <w:vAlign w:val="bottom"/>
          </w:tcPr>
          <w:p>
            <w:pPr>
              <w:jc w:val="center"/>
              <w:spacing w:after="0"/>
              <w:rPr>
                <w:sz w:val="20"/>
                <w:szCs w:val="20"/>
                <w:color w:val="auto"/>
              </w:rPr>
            </w:pPr>
            <w:r>
              <w:rPr>
                <w:rFonts w:ascii="Arial" w:cs="Arial" w:eastAsia="Arial" w:hAnsi="Arial"/>
                <w:sz w:val="16"/>
                <w:szCs w:val="16"/>
                <w:color w:val="auto"/>
                <w:w w:val="96"/>
              </w:rPr>
              <w:t>Number of</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40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203"/>
        </w:trPr>
        <w:tc>
          <w:tcPr>
            <w:tcW w:w="2420" w:type="dxa"/>
            <w:vAlign w:val="bottom"/>
          </w:tcPr>
          <w:p>
            <w:pPr>
              <w:jc w:val="center"/>
              <w:spacing w:after="0"/>
              <w:rPr>
                <w:sz w:val="20"/>
                <w:szCs w:val="20"/>
                <w:color w:val="auto"/>
              </w:rPr>
            </w:pPr>
            <w:r>
              <w:rPr>
                <w:rFonts w:ascii="Arial" w:cs="Arial" w:eastAsia="Arial" w:hAnsi="Arial"/>
                <w:sz w:val="16"/>
                <w:szCs w:val="16"/>
                <w:color w:val="auto"/>
                <w:w w:val="86"/>
              </w:rPr>
              <w:t>Shares</w:t>
            </w:r>
          </w:p>
        </w:tc>
        <w:tc>
          <w:tcPr>
            <w:tcW w:w="60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20" w:type="dxa"/>
            <w:vAlign w:val="bottom"/>
          </w:tcPr>
          <w:p>
            <w:pPr>
              <w:jc w:val="center"/>
              <w:spacing w:after="0"/>
              <w:rPr>
                <w:sz w:val="20"/>
                <w:szCs w:val="20"/>
                <w:color w:val="auto"/>
              </w:rPr>
            </w:pPr>
            <w:r>
              <w:rPr>
                <w:rFonts w:ascii="Arial" w:cs="Arial" w:eastAsia="Arial" w:hAnsi="Arial"/>
                <w:sz w:val="16"/>
                <w:szCs w:val="16"/>
                <w:color w:val="auto"/>
                <w:w w:val="98"/>
              </w:rPr>
              <w:t>Beneficially</w:t>
            </w:r>
          </w:p>
        </w:tc>
        <w:tc>
          <w:tcPr>
            <w:tcW w:w="600" w:type="dxa"/>
            <w:vAlign w:val="bottom"/>
          </w:tcPr>
          <w:p>
            <w:pPr>
              <w:spacing w:after="0"/>
              <w:rPr>
                <w:sz w:val="17"/>
                <w:szCs w:val="17"/>
                <w:color w:val="auto"/>
              </w:rPr>
            </w:pPr>
          </w:p>
        </w:tc>
        <w:tc>
          <w:tcPr>
            <w:tcW w:w="840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Pr>
          <w:p>
            <w:pPr>
              <w:jc w:val="center"/>
              <w:spacing w:after="0"/>
              <w:rPr>
                <w:sz w:val="20"/>
                <w:szCs w:val="20"/>
                <w:color w:val="auto"/>
              </w:rPr>
            </w:pPr>
            <w:r>
              <w:rPr>
                <w:rFonts w:ascii="Arial" w:cs="Arial" w:eastAsia="Arial" w:hAnsi="Arial"/>
                <w:sz w:val="16"/>
                <w:szCs w:val="16"/>
                <w:color w:val="auto"/>
                <w:w w:val="92"/>
              </w:rPr>
              <w:t>Owned by Each</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8400" w:type="dxa"/>
            <w:vAlign w:val="bottom"/>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206"/>
        </w:trPr>
        <w:tc>
          <w:tcPr>
            <w:tcW w:w="2420" w:type="dxa"/>
            <w:vAlign w:val="bottom"/>
          </w:tcPr>
          <w:p>
            <w:pPr>
              <w:jc w:val="center"/>
              <w:spacing w:after="0"/>
              <w:rPr>
                <w:sz w:val="20"/>
                <w:szCs w:val="20"/>
                <w:color w:val="auto"/>
              </w:rPr>
            </w:pPr>
            <w:r>
              <w:rPr>
                <w:rFonts w:ascii="Arial" w:cs="Arial" w:eastAsia="Arial" w:hAnsi="Arial"/>
                <w:sz w:val="16"/>
                <w:szCs w:val="16"/>
                <w:color w:val="auto"/>
                <w:w w:val="92"/>
              </w:rPr>
              <w:t>Reporting</w:t>
            </w:r>
          </w:p>
        </w:tc>
        <w:tc>
          <w:tcPr>
            <w:tcW w:w="60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06"/>
        </w:trPr>
        <w:tc>
          <w:tcPr>
            <w:tcW w:w="1620" w:type="dxa"/>
            <w:vAlign w:val="bottom"/>
          </w:tcPr>
          <w:p>
            <w:pPr>
              <w:spacing w:after="0"/>
              <w:rPr>
                <w:sz w:val="20"/>
                <w:szCs w:val="20"/>
                <w:color w:val="auto"/>
              </w:rPr>
            </w:pPr>
            <w:r>
              <w:rPr>
                <w:rFonts w:ascii="Arial" w:cs="Arial" w:eastAsia="Arial" w:hAnsi="Arial"/>
                <w:sz w:val="16"/>
                <w:szCs w:val="16"/>
                <w:color w:val="auto"/>
              </w:rPr>
              <w:t>Person With:</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1,491,892</w:t>
            </w: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3810</wp:posOffset>
            </wp:positionV>
            <wp:extent cx="5711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ind w:left="3180" w:right="6560" w:hanging="437"/>
        <w:spacing w:after="0" w:line="449" w:lineRule="auto"/>
        <w:tabs>
          <w:tab w:leader="none" w:pos="318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0</w:t>
      </w:r>
    </w:p>
    <w:p>
      <w:pPr>
        <w:ind w:left="760" w:hanging="435"/>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1,491,892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760" w:hanging="475"/>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box if the Aggregate Amount in Row (9) Excludes Certain Shares [ ]</w:t>
      </w:r>
    </w:p>
    <w:p>
      <w:pPr>
        <w:spacing w:after="0" w:line="302" w:lineRule="exact"/>
        <w:rPr>
          <w:rFonts w:ascii="Arial" w:cs="Arial" w:eastAsia="Arial" w:hAnsi="Arial"/>
          <w:sz w:val="16"/>
          <w:szCs w:val="16"/>
          <w:color w:val="auto"/>
        </w:rPr>
      </w:pPr>
    </w:p>
    <w:p>
      <w:pPr>
        <w:ind w:left="760" w:hanging="472"/>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80"/>
        <w:spacing w:after="0"/>
        <w:tabs>
          <w:tab w:leader="none" w:pos="7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Type of Reporting Person</w:t>
      </w:r>
    </w:p>
    <w:p>
      <w:pPr>
        <w:spacing w:after="0" w:line="22"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553720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324" w:lineRule="exact"/>
        <w:rPr>
          <w:sz w:val="20"/>
          <w:szCs w:val="20"/>
          <w:color w:val="auto"/>
        </w:rPr>
      </w:pPr>
    </w:p>
    <w:p>
      <w:pPr>
        <w:ind w:left="1400" w:hanging="744"/>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0" w:hanging="744"/>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9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The principal executive offices of the Issuer are located at South County Business Park, Leopardstown, Dublin 18, Ireland.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324" w:lineRule="exact"/>
        <w:rPr>
          <w:sz w:val="20"/>
          <w:szCs w:val="20"/>
          <w:color w:val="auto"/>
        </w:rPr>
      </w:pPr>
    </w:p>
    <w:p>
      <w:pPr>
        <w:ind w:left="1400" w:hanging="74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right="4439" w:hanging="644"/>
        <w:spacing w:after="0" w:line="571" w:lineRule="auto"/>
        <w:tabs>
          <w:tab w:leader="none" w:pos="14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South County Business Park, Leopardstown</w:t>
      </w:r>
    </w:p>
    <w:p>
      <w:pPr>
        <w:ind w:left="1300"/>
        <w:spacing w:after="0"/>
        <w:rPr>
          <w:rFonts w:ascii="Arial" w:cs="Arial" w:eastAsia="Arial" w:hAnsi="Arial"/>
          <w:sz w:val="18"/>
          <w:szCs w:val="18"/>
          <w:color w:val="auto"/>
        </w:rPr>
      </w:pPr>
      <w:r>
        <w:rPr>
          <w:rFonts w:ascii="Arial" w:cs="Arial" w:eastAsia="Arial" w:hAnsi="Arial"/>
          <w:sz w:val="18"/>
          <w:szCs w:val="18"/>
          <w:color w:val="auto"/>
        </w:rPr>
        <w:t>Dublin, Ireland</w:t>
      </w:r>
    </w:p>
    <w:p>
      <w:pPr>
        <w:spacing w:after="0" w:line="319" w:lineRule="exact"/>
        <w:rPr>
          <w:rFonts w:ascii="Arial" w:cs="Arial" w:eastAsia="Arial" w:hAnsi="Arial"/>
          <w:sz w:val="18"/>
          <w:szCs w:val="18"/>
          <w:color w:val="auto"/>
        </w:rPr>
      </w:pPr>
    </w:p>
    <w:p>
      <w:pPr>
        <w:ind w:left="1400" w:hanging="74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00" w:hanging="74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American Depositary Shares, representing Ordinary Shares.</w:t>
      </w:r>
    </w:p>
    <w:p>
      <w:pPr>
        <w:spacing w:after="0" w:line="320" w:lineRule="exact"/>
        <w:rPr>
          <w:sz w:val="20"/>
          <w:szCs w:val="20"/>
          <w:color w:val="auto"/>
        </w:rPr>
      </w:pPr>
    </w:p>
    <w:p>
      <w:pPr>
        <w:ind w:left="660"/>
        <w:spacing w:after="0"/>
        <w:tabs>
          <w:tab w:leader="none" w:pos="1380" w:val="left"/>
          <w:tab w:leader="none" w:pos="40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CUSIP Number:</w:t>
      </w:r>
      <w:r>
        <w:rPr>
          <w:sz w:val="20"/>
          <w:szCs w:val="20"/>
          <w:color w:val="auto"/>
        </w:rPr>
        <w:tab/>
      </w:r>
      <w:r>
        <w:rPr>
          <w:rFonts w:ascii="Arial" w:cs="Arial" w:eastAsia="Arial" w:hAnsi="Arial"/>
          <w:sz w:val="16"/>
          <w:szCs w:val="16"/>
          <w:color w:val="auto"/>
        </w:rPr>
        <w:t>45103T107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9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U.S.C. 78o);</w:t>
      </w:r>
    </w:p>
    <w:p>
      <w:pPr>
        <w:spacing w:after="0" w:line="279"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U.S.C. 78c);</w:t>
      </w:r>
    </w:p>
    <w:p>
      <w:pPr>
        <w:spacing w:after="0" w:line="279"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Section 240.13d-1(b)(1)(ii)(E);</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Section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613410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07" w:right="1440" w:bottom="1440" w:gutter="0" w:footer="0" w:header="0"/>
        </w:sectPr>
      </w:pPr>
    </w:p>
    <w:bookmarkStart w:id="3" w:name="page4"/>
    <w:bookmarkEnd w:id="3"/>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Section 240.13d-1(b)(1)(ii)(G);</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333" w:lineRule="exact"/>
        <w:rPr>
          <w:rFonts w:ascii="Arial" w:cs="Arial" w:eastAsia="Arial" w:hAnsi="Arial"/>
          <w:sz w:val="18"/>
          <w:szCs w:val="18"/>
          <w:color w:val="auto"/>
        </w:rPr>
      </w:pPr>
    </w:p>
    <w:p>
      <w:pPr>
        <w:ind w:left="1960" w:right="40" w:hanging="1304"/>
        <w:spacing w:after="0" w:line="277" w:lineRule="auto"/>
        <w:tabs>
          <w:tab w:leader="none" w:pos="13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Section 240.13d-1(b)(1)(ii)(J).</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24" w:lineRule="exact"/>
        <w:rPr>
          <w:sz w:val="20"/>
          <w:szCs w:val="20"/>
          <w:color w:val="auto"/>
        </w:rPr>
      </w:pPr>
    </w:p>
    <w:p>
      <w:pPr>
        <w:ind w:left="1300" w:right="7800" w:hanging="644"/>
        <w:spacing w:after="0" w:line="595" w:lineRule="auto"/>
        <w:tabs>
          <w:tab w:leader="none" w:pos="13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1,491,892</w:t>
      </w:r>
    </w:p>
    <w:p>
      <w:pPr>
        <w:ind w:left="1400" w:hanging="744"/>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10.7%</w:t>
      </w:r>
    </w:p>
    <w:p>
      <w:pPr>
        <w:spacing w:after="0" w:line="320" w:lineRule="exact"/>
        <w:rPr>
          <w:sz w:val="20"/>
          <w:szCs w:val="20"/>
          <w:color w:val="auto"/>
        </w:rPr>
      </w:pPr>
    </w:p>
    <w:p>
      <w:pPr>
        <w:ind w:left="1400" w:hanging="744"/>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Voting and dispositive power:</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1,491,892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8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611" w:right="39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30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9, 2005</w:t>
      </w:r>
    </w:p>
    <w:p>
      <w:pPr>
        <w:spacing w:after="0" w:line="293"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John Climax</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Dr. John Climax</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Chairman of the Board</w:t>
      </w:r>
    </w:p>
    <w:sectPr>
      <w:pgSz w:w="11900" w:h="16838" w:orient="portrait"/>
      <w:cols w:equalWidth="0" w:num="1">
        <w:col w:w="11080"/>
      </w:cols>
      <w:pgMar w:left="240" w:top="6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lvl w:ilvl="1">
      <w:lvlJc w:val="left"/>
      <w:lvlText w:val="%2."/>
      <w:numFmt w:val="decimal"/>
      <w:start w:val="8"/>
    </w:lvl>
  </w:abstractNum>
  <w:abstractNum w:abstractNumId="4">
    <w:nsid w:val="1F16E9E8"/>
    <w:multiLevelType w:val="hybridMultilevel"/>
    <w:lvl w:ilvl="0">
      <w:lvlJc w:val="left"/>
      <w:lvlText w:val="%1."/>
      <w:numFmt w:val="decimal"/>
      <w:start w:val="9"/>
    </w:lvl>
    <w:lvl w:ilvl="1">
      <w:lvlJc w:val="left"/>
      <w:lvlText w:val="%2"/>
      <w:numFmt w:val="decimal"/>
      <w:start w:val="1"/>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2"/>
    </w:lvl>
  </w:abstractNum>
  <w:abstractNum w:abstractNumId="10">
    <w:nsid w:val="DED7263"/>
    <w:multiLevelType w:val="hybridMultilevel"/>
    <w:lvl w:ilvl="0">
      <w:lvlJc w:val="left"/>
      <w:lvlText w:val="(%1)"/>
      <w:numFmt w:val="lowerLetter"/>
      <w:start w:val="4"/>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lowerLetter"/>
      <w:start w:val="4"/>
    </w:lvl>
  </w:abstractNum>
  <w:abstractNum w:abstractNumId="14">
    <w:nsid w:val="6B68079A"/>
    <w:multiLevelType w:val="hybridMultilevel"/>
    <w:lvl w:ilvl="0">
      <w:lvlJc w:val="left"/>
      <w:lvlText w:val="(%1)"/>
      <w:numFmt w:val="lowerLetter"/>
      <w:start w:val="7"/>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2019-12-14T20:31:51Z</dcterms:created>
  <dcterms:modified xsi:type="dcterms:W3CDTF">2019-12-14T20:31:51Z</dcterms:modified>
</cp:coreProperties>
</file>