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3)*</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u w:val="single" w:color="auto"/>
          <w:color w:val="auto"/>
        </w:rPr>
        <w:t>ICON PLC</w:t>
      </w:r>
    </w:p>
    <w:p>
      <w:pPr>
        <w:spacing w:after="0" w:line="3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5260"/>
        <w:spacing w:after="0"/>
        <w:rPr>
          <w:sz w:val="20"/>
          <w:szCs w:val="20"/>
          <w:color w:val="auto"/>
        </w:rPr>
      </w:pPr>
      <w:r>
        <w:rPr>
          <w:rFonts w:ascii="Arial" w:cs="Arial" w:eastAsia="Arial" w:hAnsi="Arial"/>
          <w:sz w:val="22"/>
          <w:szCs w:val="22"/>
          <w:b w:val="1"/>
          <w:bCs w:val="1"/>
          <w:u w:val="single" w:color="auto"/>
          <w:color w:val="auto"/>
        </w:rPr>
        <w:t>Common</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140"/>
        <w:spacing w:after="0"/>
        <w:rPr>
          <w:sz w:val="20"/>
          <w:szCs w:val="20"/>
          <w:color w:val="auto"/>
        </w:rPr>
      </w:pPr>
      <w:r>
        <w:rPr>
          <w:rFonts w:ascii="Arial" w:cs="Arial" w:eastAsia="Arial" w:hAnsi="Arial"/>
          <w:sz w:val="22"/>
          <w:szCs w:val="22"/>
          <w:b w:val="1"/>
          <w:bCs w:val="1"/>
          <w:u w:val="single" w:color="auto"/>
          <w:color w:val="auto"/>
        </w:rPr>
        <w:t>G4705A100</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December 31, 2017</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60" w:hanging="1"/>
        <w:spacing w:after="0" w:line="504" w:lineRule="auto"/>
        <w:tabs>
          <w:tab w:leader="none" w:pos="934"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58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22"/>
          <w:szCs w:val="22"/>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44907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205740"/>
                    </a:xfrm>
                    <a:prstGeom prst="rect">
                      <a:avLst/>
                    </a:prstGeom>
                    <a:noFill/>
                  </pic:spPr>
                </pic:pic>
              </a:graphicData>
            </a:graphic>
          </wp:anchor>
        </w:drawing>
      </w:r>
    </w:p>
    <w:p>
      <w:pPr>
        <w:spacing w:after="0" w:line="250"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G4705A100</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w:t>
            </w:r>
          </w:p>
        </w:tc>
        <w:tc>
          <w:tcPr>
            <w:tcW w:w="40" w:type="dxa"/>
            <w:vAlign w:val="bottom"/>
            <w:tcBorders>
              <w:top w:val="single" w:sz="8" w:color="auto"/>
            </w:tcBorders>
          </w:tcPr>
          <w:p>
            <w:pPr>
              <w:spacing w:after="0"/>
              <w:rPr>
                <w:sz w:val="23"/>
                <w:szCs w:val="23"/>
                <w:color w:val="auto"/>
              </w:rPr>
            </w:pPr>
          </w:p>
        </w:tc>
        <w:tc>
          <w:tcPr>
            <w:tcW w:w="104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Names of Reporting Persons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WCM Investment Management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400" w:type="dxa"/>
            <w:vAlign w:val="bottom"/>
            <w:tcBorders>
              <w:bottom w:val="single" w:sz="8" w:color="auto"/>
              <w:right w:val="single" w:sz="8" w:color="auto"/>
            </w:tcBorders>
            <w:gridSpan w:val="3"/>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(a) [ ]</w:t>
            </w:r>
          </w:p>
        </w:tc>
        <w:tc>
          <w:tcPr>
            <w:tcW w:w="6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(b) [ ]</w:t>
            </w:r>
          </w:p>
        </w:tc>
        <w:tc>
          <w:tcPr>
            <w:tcW w:w="6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Sec Use Only</w:t>
            </w:r>
          </w:p>
        </w:tc>
        <w:tc>
          <w:tcPr>
            <w:tcW w:w="91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98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5</w:t>
            </w: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4,281,211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640" w:type="dxa"/>
            <w:vAlign w:val="bottom"/>
            <w:tcBorders>
              <w:left w:val="single" w:sz="8" w:color="auto"/>
              <w:right w:val="single" w:sz="8" w:color="auto"/>
            </w:tcBorders>
            <w:gridSpan w:val="3"/>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6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6</w:t>
            </w: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Shares</w:t>
            </w:r>
          </w:p>
        </w:tc>
        <w:tc>
          <w:tcPr>
            <w:tcW w:w="680" w:type="dxa"/>
            <w:vAlign w:val="bottom"/>
            <w:tcBorders>
              <w:right w:val="single" w:sz="8" w:color="auto"/>
            </w:tcBorders>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680" w:type="dxa"/>
            <w:vAlign w:val="bottom"/>
            <w:tcBorders>
              <w:bottom w:val="single" w:sz="8" w:color="auto"/>
              <w:right w:val="single" w:sz="8" w:color="auto"/>
            </w:tcBorders>
          </w:tcPr>
          <w:p>
            <w:pPr>
              <w:spacing w:after="0"/>
              <w:rPr>
                <w:sz w:val="20"/>
                <w:szCs w:val="20"/>
                <w:color w:val="auto"/>
              </w:rPr>
            </w:pPr>
          </w:p>
        </w:tc>
        <w:tc>
          <w:tcPr>
            <w:tcW w:w="910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0"/>
              </w:rPr>
              <w:t>Owned by Each</w:t>
            </w:r>
          </w:p>
        </w:tc>
        <w:tc>
          <w:tcPr>
            <w:tcW w:w="680" w:type="dxa"/>
            <w:vAlign w:val="bottom"/>
            <w:tcBorders>
              <w:right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w w:val="99"/>
              </w:rPr>
              <w:t>7</w:t>
            </w:r>
          </w:p>
        </w:tc>
        <w:tc>
          <w:tcPr>
            <w:tcW w:w="910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Sole Dispositive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40" w:type="dxa"/>
            <w:vAlign w:val="bottom"/>
            <w:tcBorders>
              <w:left w:val="single" w:sz="8" w:color="auto"/>
              <w:right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Reporting Person</w:t>
            </w:r>
          </w:p>
        </w:tc>
        <w:tc>
          <w:tcPr>
            <w:tcW w:w="680" w:type="dxa"/>
            <w:vAlign w:val="bottom"/>
            <w:tcBorders>
              <w:right w:val="single" w:sz="8" w:color="auto"/>
            </w:tcBorders>
          </w:tcPr>
          <w:p>
            <w:pPr>
              <w:spacing w:after="0"/>
              <w:rPr>
                <w:sz w:val="17"/>
                <w:szCs w:val="17"/>
                <w:color w:val="auto"/>
              </w:rPr>
            </w:pPr>
          </w:p>
        </w:tc>
        <w:tc>
          <w:tcPr>
            <w:tcW w:w="9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020" w:type="dxa"/>
            <w:vAlign w:val="bottom"/>
            <w:tcBorders>
              <w:left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97"/>
              </w:rPr>
              <w:t>With:</w:t>
            </w: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4,281,211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8</w:t>
            </w: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4,281,211</w:t>
            </w: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w:t>
            </w:r>
          </w:p>
        </w:tc>
        <w:tc>
          <w:tcPr>
            <w:tcW w:w="6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11</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7.92%</w:t>
            </w:r>
          </w:p>
        </w:tc>
        <w:tc>
          <w:tcPr>
            <w:tcW w:w="6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21"/>
                <w:szCs w:val="21"/>
                <w:color w:val="auto"/>
              </w:rPr>
            </w:pPr>
          </w:p>
        </w:tc>
        <w:tc>
          <w:tcPr>
            <w:tcW w:w="104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IA</w:t>
            </w:r>
          </w:p>
        </w:tc>
        <w:tc>
          <w:tcPr>
            <w:tcW w:w="6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3"/>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100" w:type="dxa"/>
            <w:vAlign w:val="bottom"/>
          </w:tcPr>
          <w:p>
            <w:pPr>
              <w:ind w:left="2900"/>
              <w:spacing w:after="0"/>
              <w:rPr>
                <w:sz w:val="20"/>
                <w:szCs w:val="20"/>
                <w:color w:val="auto"/>
              </w:rPr>
            </w:pPr>
            <w:r>
              <w:rPr>
                <w:rFonts w:ascii="Arial" w:cs="Arial" w:eastAsia="Arial" w:hAnsi="Arial"/>
                <w:sz w:val="22"/>
                <w:szCs w:val="22"/>
                <w:color w:val="auto"/>
              </w:rPr>
              <w:t>Page 2 of 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980" w:type="dxa"/>
            <w:vAlign w:val="bottom"/>
            <w:tcBorders>
              <w:left w:val="single" w:sz="8" w:color="auto"/>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620" w:type="dxa"/>
            <w:vAlign w:val="bottom"/>
            <w:tcBorders>
              <w:right w:val="single" w:sz="8" w:color="auto"/>
            </w:tcBorders>
            <w:shd w:val="clear" w:color="auto" w:fill="000000"/>
          </w:tcPr>
          <w:p>
            <w:pPr>
              <w:spacing w:after="0"/>
              <w:rPr>
                <w:sz w:val="6"/>
                <w:szCs w:val="6"/>
                <w:color w:val="auto"/>
              </w:rPr>
            </w:pPr>
          </w:p>
        </w:tc>
        <w:tc>
          <w:tcPr>
            <w:tcW w:w="680" w:type="dxa"/>
            <w:vAlign w:val="bottom"/>
            <w:tcBorders>
              <w:right w:val="single" w:sz="8" w:color="auto"/>
            </w:tcBorders>
            <w:shd w:val="clear" w:color="auto" w:fill="000000"/>
          </w:tcPr>
          <w:p>
            <w:pPr>
              <w:spacing w:after="0"/>
              <w:rPr>
                <w:sz w:val="6"/>
                <w:szCs w:val="6"/>
                <w:color w:val="auto"/>
              </w:rPr>
            </w:pPr>
          </w:p>
        </w:tc>
        <w:tc>
          <w:tcPr>
            <w:tcW w:w="910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1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 ICON PLC</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 SOUTH COUNTY BUSINESS PARK, LEOPARDSTOWN DUBLIN 18 IRELAND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 WCM Investment Management</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 281 Brooks Street, Laguna Beach, California 92651</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California</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 Common</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CUSIP No.: G4705A100</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56" w:lineRule="exact"/>
        <w:rPr>
          <w:sz w:val="20"/>
          <w:szCs w:val="20"/>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20" w:right="60" w:hanging="1145"/>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25" w:lineRule="exact"/>
        <w:rPr>
          <w:rFonts w:ascii="Arial" w:cs="Arial" w:eastAsia="Arial" w:hAnsi="Arial"/>
          <w:sz w:val="18"/>
          <w:szCs w:val="18"/>
          <w:color w:val="auto"/>
        </w:rPr>
      </w:pPr>
    </w:p>
    <w:p>
      <w:pPr>
        <w:ind w:left="1720" w:hanging="1145"/>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[_]Group, in accordance with Rule 240.13d-1(b)(1)(ii)(K). If filing as a non-U.S. institution in accordance with Rule 240.13d-1(b)(1)(ii) (J), please specify the type of institution: ______</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4,281,211</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3" w:name="page4"/>
    <w:bookmarkEnd w:id="3"/>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7.92%</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4,281,211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 0</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4,281,211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 0</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left="580" w:right="4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w w:val="92"/>
              </w:rPr>
              <w:t>Identification and classification of the subsidiary which acquired the security being reported on by the parent holding company or</w:t>
            </w:r>
          </w:p>
        </w:tc>
      </w:tr>
      <w:tr>
        <w:trPr>
          <w:trHeight w:val="234"/>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control person.</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r>
      <w:tr>
        <w:trPr>
          <w:trHeight w:val="469"/>
        </w:trPr>
        <w:tc>
          <w:tcPr>
            <w:tcW w:w="900" w:type="dxa"/>
            <w:vAlign w:val="bottom"/>
          </w:tcPr>
          <w:p>
            <w:pPr>
              <w:spacing w:after="0"/>
              <w:rPr>
                <w:sz w:val="24"/>
                <w:szCs w:val="24"/>
                <w:color w:val="auto"/>
              </w:rPr>
            </w:pPr>
          </w:p>
        </w:tc>
        <w:tc>
          <w:tcPr>
            <w:tcW w:w="10560" w:type="dxa"/>
            <w:vAlign w:val="bottom"/>
          </w:tcPr>
          <w:p>
            <w:pPr>
              <w:ind w:left="4320"/>
              <w:spacing w:after="0"/>
              <w:rPr>
                <w:sz w:val="20"/>
                <w:szCs w:val="20"/>
                <w:color w:val="auto"/>
              </w:rPr>
            </w:pPr>
            <w:r>
              <w:rPr>
                <w:rFonts w:ascii="Arial" w:cs="Arial" w:eastAsia="Arial" w:hAnsi="Arial"/>
                <w:sz w:val="22"/>
                <w:szCs w:val="22"/>
                <w:color w:val="auto"/>
              </w:rPr>
              <w:t>Page 4 of 5</w:t>
            </w:r>
          </w:p>
        </w:tc>
      </w:tr>
      <w:tr>
        <w:trPr>
          <w:trHeight w:val="203"/>
        </w:trPr>
        <w:tc>
          <w:tcPr>
            <w:tcW w:w="900" w:type="dxa"/>
            <w:vAlign w:val="bottom"/>
          </w:tcPr>
          <w:p>
            <w:pPr>
              <w:spacing w:after="0"/>
              <w:rPr>
                <w:sz w:val="17"/>
                <w:szCs w:val="17"/>
                <w:color w:val="auto"/>
              </w:rPr>
            </w:pPr>
          </w:p>
        </w:tc>
        <w:tc>
          <w:tcPr>
            <w:tcW w:w="10560" w:type="dxa"/>
            <w:vAlign w:val="bottom"/>
          </w:tcPr>
          <w:p>
            <w:pPr>
              <w:spacing w:after="0"/>
              <w:rPr>
                <w:sz w:val="17"/>
                <w:szCs w:val="17"/>
                <w:color w:val="auto"/>
              </w:rPr>
            </w:pPr>
          </w:p>
        </w:tc>
      </w:tr>
      <w:tr>
        <w:trPr>
          <w:trHeight w:val="74"/>
        </w:trPr>
        <w:tc>
          <w:tcPr>
            <w:tcW w:w="900" w:type="dxa"/>
            <w:vAlign w:val="bottom"/>
            <w:shd w:val="clear" w:color="auto" w:fill="000000"/>
          </w:tcPr>
          <w:p>
            <w:pPr>
              <w:spacing w:after="0"/>
              <w:rPr>
                <w:sz w:val="6"/>
                <w:szCs w:val="6"/>
                <w:color w:val="auto"/>
              </w:rPr>
            </w:pPr>
          </w:p>
        </w:tc>
        <w:tc>
          <w:tcPr>
            <w:tcW w:w="1056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4" w:right="19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 David A. Brewer, Chief Compliance Officer</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47"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2019-12-06T12:17:32Z</dcterms:created>
  <dcterms:modified xsi:type="dcterms:W3CDTF">2019-12-06T12:17:32Z</dcterms:modified>
</cp:coreProperties>
</file>