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19"/>
        <w:spacing w:after="0"/>
        <w:rPr>
          <w:sz w:val="20"/>
          <w:szCs w:val="20"/>
          <w:color w:val="auto"/>
        </w:rPr>
      </w:pPr>
      <w:r>
        <w:rPr>
          <w:rFonts w:ascii="Arial" w:cs="Arial" w:eastAsia="Arial" w:hAnsi="Arial"/>
          <w:sz w:val="29"/>
          <w:szCs w:val="29"/>
          <w:b w:val="1"/>
          <w:bCs w:val="1"/>
          <w:color w:val="auto"/>
        </w:rPr>
        <w:t>FORM 6-K</w:t>
      </w:r>
    </w:p>
    <w:p>
      <w:pPr>
        <w:spacing w:after="0" w:line="252" w:lineRule="exact"/>
        <w:rPr>
          <w:sz w:val="24"/>
          <w:szCs w:val="24"/>
          <w:color w:val="auto"/>
        </w:rPr>
      </w:pPr>
    </w:p>
    <w:p>
      <w:pPr>
        <w:jc w:val="center"/>
        <w:ind w:right="-619"/>
        <w:spacing w:after="0"/>
        <w:rPr>
          <w:sz w:val="20"/>
          <w:szCs w:val="20"/>
          <w:color w:val="auto"/>
        </w:rPr>
      </w:pPr>
      <w:r>
        <w:rPr>
          <w:rFonts w:ascii="Arial" w:cs="Arial" w:eastAsia="Arial" w:hAnsi="Arial"/>
          <w:sz w:val="22"/>
          <w:szCs w:val="22"/>
          <w:b w:val="1"/>
          <w:bCs w:val="1"/>
          <w:color w:val="auto"/>
        </w:rPr>
        <w:t>SECURITIES AND EXCHANGE COMMISSION</w:t>
      </w:r>
    </w:p>
    <w:p>
      <w:pPr>
        <w:spacing w:after="0" w:line="239" w:lineRule="exact"/>
        <w:rPr>
          <w:sz w:val="24"/>
          <w:szCs w:val="24"/>
          <w:color w:val="auto"/>
        </w:rPr>
      </w:pPr>
    </w:p>
    <w:p>
      <w:pPr>
        <w:jc w:val="center"/>
        <w:ind w:right="-619"/>
        <w:spacing w:after="0"/>
        <w:rPr>
          <w:sz w:val="20"/>
          <w:szCs w:val="20"/>
          <w:color w:val="auto"/>
        </w:rPr>
      </w:pPr>
      <w:r>
        <w:rPr>
          <w:rFonts w:ascii="Arial" w:cs="Arial" w:eastAsia="Arial" w:hAnsi="Arial"/>
          <w:sz w:val="22"/>
          <w:szCs w:val="22"/>
          <w:color w:val="auto"/>
        </w:rPr>
        <w:t>Washington, D.C. 20549</w:t>
      </w:r>
    </w:p>
    <w:p>
      <w:pPr>
        <w:spacing w:after="0" w:line="227" w:lineRule="exact"/>
        <w:rPr>
          <w:sz w:val="24"/>
          <w:szCs w:val="24"/>
          <w:color w:val="auto"/>
        </w:rPr>
      </w:pPr>
    </w:p>
    <w:p>
      <w:pPr>
        <w:jc w:val="center"/>
        <w:ind w:right="-619"/>
        <w:spacing w:after="0"/>
        <w:rPr>
          <w:sz w:val="20"/>
          <w:szCs w:val="20"/>
          <w:color w:val="auto"/>
        </w:rPr>
      </w:pPr>
      <w:r>
        <w:rPr>
          <w:rFonts w:ascii="Arial" w:cs="Arial" w:eastAsia="Arial" w:hAnsi="Arial"/>
          <w:sz w:val="22"/>
          <w:szCs w:val="22"/>
          <w:b w:val="1"/>
          <w:bCs w:val="1"/>
          <w:color w:val="auto"/>
        </w:rPr>
        <w:t>Report of Foreign Private Issuer</w:t>
      </w:r>
    </w:p>
    <w:p>
      <w:pPr>
        <w:spacing w:after="0" w:line="4" w:lineRule="exact"/>
        <w:rPr>
          <w:sz w:val="24"/>
          <w:szCs w:val="24"/>
          <w:color w:val="auto"/>
        </w:rPr>
      </w:pPr>
    </w:p>
    <w:p>
      <w:pPr>
        <w:jc w:val="center"/>
        <w:ind w:right="-619"/>
        <w:spacing w:after="0"/>
        <w:rPr>
          <w:sz w:val="20"/>
          <w:szCs w:val="20"/>
          <w:color w:val="auto"/>
        </w:rPr>
      </w:pPr>
      <w:r>
        <w:rPr>
          <w:rFonts w:ascii="Arial" w:cs="Arial" w:eastAsia="Arial" w:hAnsi="Arial"/>
          <w:sz w:val="22"/>
          <w:szCs w:val="22"/>
          <w:b w:val="1"/>
          <w:bCs w:val="1"/>
          <w:color w:val="auto"/>
        </w:rPr>
        <w:t>Pursuant to Rule 13a-16 under</w:t>
      </w:r>
    </w:p>
    <w:p>
      <w:pPr>
        <w:jc w:val="center"/>
        <w:ind w:right="-619"/>
        <w:spacing w:after="0"/>
        <w:rPr>
          <w:sz w:val="20"/>
          <w:szCs w:val="20"/>
          <w:color w:val="auto"/>
        </w:rPr>
      </w:pPr>
      <w:r>
        <w:rPr>
          <w:rFonts w:ascii="Arial" w:cs="Arial" w:eastAsia="Arial" w:hAnsi="Arial"/>
          <w:sz w:val="22"/>
          <w:szCs w:val="22"/>
          <w:color w:val="auto"/>
        </w:rPr>
        <w:t>t</w:t>
      </w:r>
      <w:r>
        <w:rPr>
          <w:rFonts w:ascii="Arial" w:cs="Arial" w:eastAsia="Arial" w:hAnsi="Arial"/>
          <w:sz w:val="22"/>
          <w:szCs w:val="22"/>
          <w:b w:val="1"/>
          <w:bCs w:val="1"/>
          <w:color w:val="auto"/>
        </w:rPr>
        <w:t>he Securities Exchange Act of 1934</w:t>
      </w:r>
    </w:p>
    <w:p>
      <w:pPr>
        <w:spacing w:after="0" w:line="200" w:lineRule="exact"/>
        <w:rPr>
          <w:sz w:val="24"/>
          <w:szCs w:val="24"/>
          <w:color w:val="auto"/>
        </w:rPr>
      </w:pPr>
    </w:p>
    <w:p>
      <w:pPr>
        <w:spacing w:after="0" w:line="258" w:lineRule="exact"/>
        <w:rPr>
          <w:sz w:val="24"/>
          <w:szCs w:val="24"/>
          <w:color w:val="auto"/>
        </w:rPr>
      </w:pPr>
    </w:p>
    <w:p>
      <w:pPr>
        <w:ind w:left="4260"/>
        <w:spacing w:after="0"/>
        <w:rPr>
          <w:sz w:val="20"/>
          <w:szCs w:val="20"/>
          <w:color w:val="auto"/>
        </w:rPr>
      </w:pPr>
      <w:r>
        <w:rPr>
          <w:rFonts w:ascii="Arial" w:cs="Arial" w:eastAsia="Arial" w:hAnsi="Arial"/>
          <w:sz w:val="22"/>
          <w:szCs w:val="22"/>
          <w:color w:val="auto"/>
        </w:rPr>
        <w:t>For the month ended July, 2020</w:t>
      </w:r>
    </w:p>
    <w:p>
      <w:pPr>
        <w:spacing w:after="0" w:line="200" w:lineRule="exact"/>
        <w:rPr>
          <w:sz w:val="24"/>
          <w:szCs w:val="24"/>
          <w:color w:val="auto"/>
        </w:rPr>
      </w:pPr>
    </w:p>
    <w:p>
      <w:pPr>
        <w:spacing w:after="0" w:line="265" w:lineRule="exact"/>
        <w:rPr>
          <w:sz w:val="24"/>
          <w:szCs w:val="24"/>
          <w:color w:val="auto"/>
        </w:rPr>
      </w:pPr>
    </w:p>
    <w:p>
      <w:pPr>
        <w:jc w:val="center"/>
        <w:ind w:right="-619"/>
        <w:spacing w:after="0"/>
        <w:rPr>
          <w:sz w:val="20"/>
          <w:szCs w:val="20"/>
          <w:color w:val="auto"/>
        </w:rPr>
      </w:pPr>
      <w:r>
        <w:rPr>
          <w:rFonts w:ascii="Arial" w:cs="Arial" w:eastAsia="Arial" w:hAnsi="Arial"/>
          <w:sz w:val="29"/>
          <w:szCs w:val="29"/>
          <w:b w:val="1"/>
          <w:bCs w:val="1"/>
          <w:color w:val="auto"/>
        </w:rPr>
        <w:t>ICON plc</w:t>
      </w:r>
    </w:p>
    <w:p>
      <w:pPr>
        <w:spacing w:after="0" w:line="33" w:lineRule="exact"/>
        <w:rPr>
          <w:sz w:val="24"/>
          <w:szCs w:val="24"/>
          <w:color w:val="auto"/>
        </w:rPr>
      </w:pPr>
    </w:p>
    <w:p>
      <w:pPr>
        <w:ind w:left="4780"/>
        <w:spacing w:after="0"/>
        <w:rPr>
          <w:sz w:val="20"/>
          <w:szCs w:val="20"/>
          <w:color w:val="auto"/>
        </w:rPr>
      </w:pPr>
      <w:r>
        <w:rPr>
          <w:rFonts w:ascii="Arial" w:cs="Arial" w:eastAsia="Arial" w:hAnsi="Arial"/>
          <w:sz w:val="22"/>
          <w:szCs w:val="22"/>
          <w:color w:val="auto"/>
        </w:rPr>
        <w:t>(Registrant's name)</w:t>
      </w:r>
    </w:p>
    <w:p>
      <w:pPr>
        <w:spacing w:after="0" w:line="200" w:lineRule="exact"/>
        <w:rPr>
          <w:sz w:val="24"/>
          <w:szCs w:val="24"/>
          <w:color w:val="auto"/>
        </w:rPr>
      </w:pPr>
    </w:p>
    <w:p>
      <w:pPr>
        <w:spacing w:after="0" w:line="252" w:lineRule="exact"/>
        <w:rPr>
          <w:sz w:val="24"/>
          <w:szCs w:val="24"/>
          <w:color w:val="auto"/>
        </w:rPr>
      </w:pPr>
    </w:p>
    <w:p>
      <w:pPr>
        <w:jc w:val="center"/>
        <w:ind w:right="-619"/>
        <w:spacing w:after="0"/>
        <w:rPr>
          <w:sz w:val="20"/>
          <w:szCs w:val="20"/>
          <w:color w:val="auto"/>
        </w:rPr>
      </w:pPr>
      <w:r>
        <w:rPr>
          <w:rFonts w:ascii="Arial" w:cs="Arial" w:eastAsia="Arial" w:hAnsi="Arial"/>
          <w:sz w:val="22"/>
          <w:szCs w:val="22"/>
          <w:b w:val="1"/>
          <w:bCs w:val="1"/>
          <w:color w:val="auto"/>
        </w:rPr>
        <w:t>333-08704</w:t>
      </w:r>
    </w:p>
    <w:p>
      <w:pPr>
        <w:spacing w:after="0" w:line="14" w:lineRule="exact"/>
        <w:rPr>
          <w:sz w:val="24"/>
          <w:szCs w:val="24"/>
          <w:color w:val="auto"/>
        </w:rPr>
      </w:pPr>
    </w:p>
    <w:p>
      <w:pPr>
        <w:jc w:val="center"/>
        <w:ind w:right="-679"/>
        <w:spacing w:after="0"/>
        <w:rPr>
          <w:sz w:val="20"/>
          <w:szCs w:val="20"/>
          <w:color w:val="auto"/>
        </w:rPr>
      </w:pPr>
      <w:r>
        <w:rPr>
          <w:rFonts w:ascii="Arial" w:cs="Arial" w:eastAsia="Arial" w:hAnsi="Arial"/>
          <w:sz w:val="22"/>
          <w:szCs w:val="22"/>
          <w:color w:val="auto"/>
        </w:rPr>
        <w:t>(Commission file number)</w:t>
      </w:r>
    </w:p>
    <w:p>
      <w:pPr>
        <w:spacing w:after="0" w:line="200" w:lineRule="exact"/>
        <w:rPr>
          <w:sz w:val="24"/>
          <w:szCs w:val="24"/>
          <w:color w:val="auto"/>
        </w:rPr>
      </w:pPr>
    </w:p>
    <w:p>
      <w:pPr>
        <w:spacing w:after="0" w:line="258" w:lineRule="exact"/>
        <w:rPr>
          <w:sz w:val="24"/>
          <w:szCs w:val="24"/>
          <w:color w:val="auto"/>
        </w:rPr>
      </w:pPr>
    </w:p>
    <w:p>
      <w:pPr>
        <w:jc w:val="center"/>
        <w:ind w:right="-619"/>
        <w:spacing w:after="0"/>
        <w:rPr>
          <w:sz w:val="20"/>
          <w:szCs w:val="20"/>
          <w:color w:val="auto"/>
        </w:rPr>
      </w:pPr>
      <w:r>
        <w:rPr>
          <w:rFonts w:ascii="Arial" w:cs="Arial" w:eastAsia="Arial" w:hAnsi="Arial"/>
          <w:sz w:val="22"/>
          <w:szCs w:val="22"/>
          <w:color w:val="auto"/>
        </w:rPr>
        <w:t>South County Business Park, Leopardstown, Dublin 18, Ireland</w:t>
      </w:r>
    </w:p>
    <w:p>
      <w:pPr>
        <w:spacing w:after="0" w:line="8" w:lineRule="exact"/>
        <w:rPr>
          <w:sz w:val="24"/>
          <w:szCs w:val="24"/>
          <w:color w:val="auto"/>
        </w:rPr>
      </w:pPr>
    </w:p>
    <w:p>
      <w:pPr>
        <w:jc w:val="center"/>
        <w:ind w:right="-619"/>
        <w:spacing w:after="0"/>
        <w:rPr>
          <w:sz w:val="20"/>
          <w:szCs w:val="20"/>
          <w:color w:val="auto"/>
        </w:rPr>
      </w:pPr>
      <w:r>
        <w:rPr>
          <w:rFonts w:ascii="Arial" w:cs="Arial" w:eastAsia="Arial" w:hAnsi="Arial"/>
          <w:sz w:val="22"/>
          <w:szCs w:val="22"/>
          <w:color w:val="auto"/>
        </w:rPr>
        <w:t>(Address of principal executive offices)</w:t>
      </w:r>
    </w:p>
    <w:p>
      <w:pPr>
        <w:spacing w:after="0" w:line="200" w:lineRule="exact"/>
        <w:rPr>
          <w:sz w:val="24"/>
          <w:szCs w:val="24"/>
          <w:color w:val="auto"/>
        </w:rPr>
      </w:pPr>
    </w:p>
    <w:p>
      <w:pPr>
        <w:spacing w:after="0" w:line="258" w:lineRule="exact"/>
        <w:rPr>
          <w:sz w:val="24"/>
          <w:szCs w:val="24"/>
          <w:color w:val="auto"/>
        </w:rPr>
      </w:pPr>
    </w:p>
    <w:p>
      <w:pPr>
        <w:jc w:val="center"/>
        <w:ind w:right="-619"/>
        <w:spacing w:after="0"/>
        <w:rPr>
          <w:sz w:val="20"/>
          <w:szCs w:val="20"/>
          <w:color w:val="auto"/>
        </w:rPr>
      </w:pPr>
      <w:r>
        <w:rPr>
          <w:rFonts w:ascii="Arial" w:cs="Arial" w:eastAsia="Arial" w:hAnsi="Arial"/>
          <w:sz w:val="22"/>
          <w:szCs w:val="22"/>
          <w:color w:val="auto"/>
        </w:rPr>
        <w:t>Brendan Brennan, CFO</w:t>
      </w:r>
    </w:p>
    <w:p>
      <w:pPr>
        <w:jc w:val="center"/>
        <w:ind w:right="-619"/>
        <w:spacing w:after="0" w:line="238" w:lineRule="auto"/>
        <w:rPr>
          <w:sz w:val="20"/>
          <w:szCs w:val="20"/>
          <w:color w:val="auto"/>
        </w:rPr>
      </w:pPr>
      <w:r>
        <w:rPr>
          <w:rFonts w:ascii="Arial" w:cs="Arial" w:eastAsia="Arial" w:hAnsi="Arial"/>
          <w:sz w:val="22"/>
          <w:szCs w:val="22"/>
          <w:color w:val="auto"/>
        </w:rPr>
        <w:t>South County Business Park, Leopardstown, Dublin 18, Ireland.</w:t>
      </w:r>
    </w:p>
    <w:p>
      <w:pPr>
        <w:jc w:val="center"/>
        <w:ind w:right="-619"/>
        <w:spacing w:after="0" w:line="230" w:lineRule="auto"/>
        <w:rPr>
          <w:sz w:val="20"/>
          <w:szCs w:val="20"/>
          <w:color w:val="auto"/>
        </w:rPr>
      </w:pPr>
      <w:r>
        <w:rPr>
          <w:rFonts w:ascii="Arial" w:cs="Arial" w:eastAsia="Arial" w:hAnsi="Arial"/>
          <w:sz w:val="22"/>
          <w:szCs w:val="22"/>
          <w:color w:val="auto"/>
        </w:rPr>
        <w:t>Brendan.Brennan@iconplc.com</w:t>
      </w:r>
    </w:p>
    <w:p>
      <w:pPr>
        <w:jc w:val="center"/>
        <w:ind w:right="-619"/>
        <w:spacing w:after="0" w:line="231" w:lineRule="auto"/>
        <w:rPr>
          <w:sz w:val="20"/>
          <w:szCs w:val="20"/>
          <w:color w:val="auto"/>
        </w:rPr>
      </w:pPr>
      <w:r>
        <w:rPr>
          <w:rFonts w:ascii="Arial" w:cs="Arial" w:eastAsia="Arial" w:hAnsi="Arial"/>
          <w:sz w:val="22"/>
          <w:szCs w:val="22"/>
          <w:color w:val="auto"/>
        </w:rPr>
        <w:t>00-353-1-291-2000</w:t>
      </w:r>
    </w:p>
    <w:p>
      <w:pPr>
        <w:jc w:val="center"/>
        <w:ind w:right="-679"/>
        <w:spacing w:after="0"/>
        <w:rPr>
          <w:sz w:val="20"/>
          <w:szCs w:val="20"/>
          <w:color w:val="auto"/>
        </w:rPr>
      </w:pPr>
      <w:r>
        <w:rPr>
          <w:rFonts w:ascii="Arial" w:cs="Arial" w:eastAsia="Arial" w:hAnsi="Arial"/>
          <w:sz w:val="22"/>
          <w:szCs w:val="22"/>
          <w:color w:val="auto"/>
        </w:rPr>
        <w:t>(Name, telephone number, email and/or facsimile number and address of Company contact person)</w:t>
      </w:r>
    </w:p>
    <w:p>
      <w:pPr>
        <w:spacing w:after="0" w:line="200" w:lineRule="exact"/>
        <w:rPr>
          <w:sz w:val="24"/>
          <w:szCs w:val="24"/>
          <w:color w:val="auto"/>
        </w:rPr>
      </w:pPr>
    </w:p>
    <w:p>
      <w:pPr>
        <w:spacing w:after="0" w:line="200" w:lineRule="exact"/>
        <w:rPr>
          <w:sz w:val="24"/>
          <w:szCs w:val="24"/>
          <w:color w:val="auto"/>
        </w:rPr>
      </w:pPr>
    </w:p>
    <w:p>
      <w:pPr>
        <w:spacing w:after="0" w:line="308"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Form 20-F or Form 40-F.</w:t>
      </w:r>
    </w:p>
    <w:p>
      <w:pPr>
        <w:spacing w:after="0" w:line="23" w:lineRule="exact"/>
        <w:rPr>
          <w:sz w:val="24"/>
          <w:szCs w:val="24"/>
          <w:color w:val="auto"/>
        </w:rPr>
      </w:pPr>
    </w:p>
    <w:p>
      <w:pPr>
        <w:ind w:left="4500"/>
        <w:spacing w:after="0"/>
        <w:tabs>
          <w:tab w:leader="none" w:pos="6740" w:val="left"/>
        </w:tabs>
        <w:rPr>
          <w:sz w:val="20"/>
          <w:szCs w:val="20"/>
          <w:color w:val="auto"/>
        </w:rPr>
      </w:pPr>
      <w:r>
        <w:rPr>
          <w:rFonts w:ascii="Arial" w:cs="Arial" w:eastAsia="Arial" w:hAnsi="Arial"/>
          <w:sz w:val="18"/>
          <w:szCs w:val="18"/>
          <w:color w:val="auto"/>
        </w:rPr>
        <w:t>Form 20-F __</w:t>
      </w:r>
      <w:r>
        <w:rPr>
          <w:rFonts w:ascii="Arial" w:cs="Arial" w:eastAsia="Arial" w:hAnsi="Arial"/>
          <w:sz w:val="18"/>
          <w:szCs w:val="18"/>
          <w:b w:val="1"/>
          <w:bCs w:val="1"/>
          <w:color w:val="auto"/>
        </w:rPr>
        <w:t>X</w:t>
      </w:r>
      <w:r>
        <w:rPr>
          <w:rFonts w:ascii="Arial" w:cs="Arial" w:eastAsia="Arial" w:hAnsi="Arial"/>
          <w:sz w:val="18"/>
          <w:szCs w:val="18"/>
          <w:color w:val="auto"/>
        </w:rPr>
        <w:t>___</w:t>
      </w:r>
      <w:r>
        <w:rPr>
          <w:sz w:val="20"/>
          <w:szCs w:val="20"/>
          <w:color w:val="auto"/>
        </w:rPr>
        <w:tab/>
      </w:r>
      <w:r>
        <w:rPr>
          <w:rFonts w:ascii="Arial" w:cs="Arial" w:eastAsia="Arial" w:hAnsi="Arial"/>
          <w:sz w:val="16"/>
          <w:szCs w:val="16"/>
          <w:color w:val="auto"/>
        </w:rPr>
        <w:t>Form 40-F ______</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submitting the Form 6-K in paper as permitted by Regulation S-T Rule 101(b)(1):</w:t>
      </w:r>
    </w:p>
    <w:p>
      <w:pPr>
        <w:spacing w:after="0" w:line="23" w:lineRule="exact"/>
        <w:rPr>
          <w:sz w:val="24"/>
          <w:szCs w:val="24"/>
          <w:color w:val="auto"/>
        </w:rPr>
      </w:pPr>
    </w:p>
    <w:p>
      <w:pPr>
        <w:ind w:left="4500"/>
        <w:spacing w:after="0"/>
        <w:tabs>
          <w:tab w:leader="none" w:pos="6740" w:val="left"/>
        </w:tabs>
        <w:rPr>
          <w:sz w:val="20"/>
          <w:szCs w:val="20"/>
          <w:color w:val="auto"/>
        </w:rPr>
      </w:pPr>
      <w:r>
        <w:rPr>
          <w:rFonts w:ascii="Arial" w:cs="Arial" w:eastAsia="Arial" w:hAnsi="Arial"/>
          <w:sz w:val="18"/>
          <w:szCs w:val="18"/>
          <w:color w:val="auto"/>
        </w:rPr>
        <w:t>Yes______</w:t>
      </w:r>
      <w:r>
        <w:rPr>
          <w:sz w:val="20"/>
          <w:szCs w:val="20"/>
          <w:color w:val="auto"/>
        </w:rPr>
        <w:tab/>
      </w:r>
      <w:r>
        <w:rPr>
          <w:rFonts w:ascii="Arial" w:cs="Arial" w:eastAsia="Arial" w:hAnsi="Arial"/>
          <w:sz w:val="16"/>
          <w:szCs w:val="16"/>
          <w:color w:val="auto"/>
        </w:rPr>
        <w:t>No___</w:t>
      </w:r>
      <w:r>
        <w:rPr>
          <w:rFonts w:ascii="Arial" w:cs="Arial" w:eastAsia="Arial" w:hAnsi="Arial"/>
          <w:sz w:val="16"/>
          <w:szCs w:val="16"/>
          <w:b w:val="1"/>
          <w:bCs w:val="1"/>
          <w:color w:val="auto"/>
        </w:rPr>
        <w:t>X</w:t>
      </w:r>
      <w:r>
        <w:rPr>
          <w:rFonts w:ascii="Arial" w:cs="Arial" w:eastAsia="Arial" w:hAnsi="Arial"/>
          <w:sz w:val="16"/>
          <w:szCs w:val="16"/>
          <w:color w:val="auto"/>
        </w:rPr>
        <w:t>___</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submitting the Form 6-K in paper as permitted by Regulation S-T Rule 101(b)(7):</w:t>
      </w:r>
    </w:p>
    <w:p>
      <w:pPr>
        <w:spacing w:after="0" w:line="23" w:lineRule="exact"/>
        <w:rPr>
          <w:sz w:val="24"/>
          <w:szCs w:val="24"/>
          <w:color w:val="auto"/>
        </w:rPr>
      </w:pPr>
    </w:p>
    <w:p>
      <w:pPr>
        <w:ind w:left="4500"/>
        <w:spacing w:after="0"/>
        <w:tabs>
          <w:tab w:leader="none" w:pos="6740" w:val="left"/>
        </w:tabs>
        <w:rPr>
          <w:sz w:val="20"/>
          <w:szCs w:val="20"/>
          <w:color w:val="auto"/>
        </w:rPr>
      </w:pPr>
      <w:r>
        <w:rPr>
          <w:rFonts w:ascii="Arial" w:cs="Arial" w:eastAsia="Arial" w:hAnsi="Arial"/>
          <w:sz w:val="18"/>
          <w:szCs w:val="18"/>
          <w:color w:val="auto"/>
        </w:rPr>
        <w:t>Yes______</w:t>
      </w:r>
      <w:r>
        <w:rPr>
          <w:sz w:val="20"/>
          <w:szCs w:val="20"/>
          <w:color w:val="auto"/>
        </w:rPr>
        <w:tab/>
      </w:r>
      <w:r>
        <w:rPr>
          <w:rFonts w:ascii="Arial" w:cs="Arial" w:eastAsia="Arial" w:hAnsi="Arial"/>
          <w:sz w:val="16"/>
          <w:szCs w:val="16"/>
          <w:color w:val="auto"/>
        </w:rPr>
        <w:t>No___</w:t>
      </w:r>
      <w:r>
        <w:rPr>
          <w:rFonts w:ascii="Arial" w:cs="Arial" w:eastAsia="Arial" w:hAnsi="Arial"/>
          <w:sz w:val="16"/>
          <w:szCs w:val="16"/>
          <w:b w:val="1"/>
          <w:bCs w:val="1"/>
          <w:color w:val="auto"/>
        </w:rPr>
        <w:t>X</w:t>
      </w:r>
      <w:r>
        <w:rPr>
          <w:rFonts w:ascii="Arial" w:cs="Arial" w:eastAsia="Arial" w:hAnsi="Arial"/>
          <w:sz w:val="16"/>
          <w:szCs w:val="16"/>
          <w:color w:val="auto"/>
        </w:rPr>
        <w:t>___</w:t>
      </w:r>
    </w:p>
    <w:p>
      <w:pPr>
        <w:spacing w:after="0" w:line="211" w:lineRule="exact"/>
        <w:rPr>
          <w:sz w:val="24"/>
          <w:szCs w:val="24"/>
          <w:color w:val="auto"/>
        </w:rPr>
      </w:pPr>
    </w:p>
    <w:p>
      <w:pPr>
        <w:spacing w:after="0" w:line="258" w:lineRule="auto"/>
        <w:rPr>
          <w:sz w:val="20"/>
          <w:szCs w:val="20"/>
          <w:color w:val="auto"/>
        </w:rPr>
      </w:pPr>
      <w:r>
        <w:rPr>
          <w:rFonts w:ascii="Arial" w:cs="Arial" w:eastAsia="Arial" w:hAnsi="Arial"/>
          <w:sz w:val="18"/>
          <w:szCs w:val="18"/>
          <w:color w:val="auto"/>
        </w:rPr>
        <w:t>Indicate by check mark whether the registrant by furnishing the information contained in this Form is also thereby furnishing the information to the Commission pursuant to Rule12g3-2(b) under the Securities Exchange Act of 1934.</w:t>
      </w:r>
    </w:p>
    <w:p>
      <w:pPr>
        <w:spacing w:after="0" w:line="1" w:lineRule="exact"/>
        <w:rPr>
          <w:sz w:val="24"/>
          <w:szCs w:val="24"/>
          <w:color w:val="auto"/>
        </w:rPr>
      </w:pPr>
    </w:p>
    <w:p>
      <w:pPr>
        <w:ind w:left="4500"/>
        <w:spacing w:after="0"/>
        <w:tabs>
          <w:tab w:leader="none" w:pos="6740" w:val="left"/>
        </w:tabs>
        <w:rPr>
          <w:sz w:val="20"/>
          <w:szCs w:val="20"/>
          <w:color w:val="auto"/>
        </w:rPr>
      </w:pPr>
      <w:r>
        <w:rPr>
          <w:rFonts w:ascii="Arial" w:cs="Arial" w:eastAsia="Arial" w:hAnsi="Arial"/>
          <w:sz w:val="18"/>
          <w:szCs w:val="18"/>
          <w:color w:val="auto"/>
        </w:rPr>
        <w:t>Yes______</w:t>
      </w:r>
      <w:r>
        <w:rPr>
          <w:sz w:val="20"/>
          <w:szCs w:val="20"/>
          <w:color w:val="auto"/>
        </w:rPr>
        <w:tab/>
      </w:r>
      <w:r>
        <w:rPr>
          <w:rFonts w:ascii="Arial" w:cs="Arial" w:eastAsia="Arial" w:hAnsi="Arial"/>
          <w:sz w:val="16"/>
          <w:szCs w:val="16"/>
          <w:color w:val="auto"/>
        </w:rPr>
        <w:t>No___</w:t>
      </w:r>
      <w:r>
        <w:rPr>
          <w:rFonts w:ascii="Arial" w:cs="Arial" w:eastAsia="Arial" w:hAnsi="Arial"/>
          <w:sz w:val="16"/>
          <w:szCs w:val="16"/>
          <w:b w:val="1"/>
          <w:bCs w:val="1"/>
          <w:color w:val="auto"/>
        </w:rPr>
        <w:t>X</w:t>
      </w:r>
      <w:r>
        <w:rPr>
          <w:rFonts w:ascii="Arial" w:cs="Arial" w:eastAsia="Arial" w:hAnsi="Arial"/>
          <w:sz w:val="16"/>
          <w:szCs w:val="16"/>
          <w:color w:val="auto"/>
        </w:rPr>
        <w:t>___</w:t>
      </w:r>
    </w:p>
    <w:p>
      <w:pPr>
        <w:spacing w:after="0" w:line="207"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If "Yes" is marked, indicate below the file number assigned to the registrant in connection with Rule 12g3-2(b):82 </w:t>
      </w:r>
      <w:r>
        <w:rPr>
          <w:rFonts w:ascii="Arial" w:cs="Arial" w:eastAsia="Arial" w:hAnsi="Arial"/>
          <w:sz w:val="18"/>
          <w:szCs w:val="18"/>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620"/>
          </w:cols>
          <w:pgMar w:left="320" w:top="215" w:right="959" w:bottom="1440" w:gutter="0" w:footer="0" w:header="0"/>
        </w:sectPr>
      </w:pPr>
    </w:p>
    <w:bookmarkStart w:id="1" w:name="page2"/>
    <w:bookmarkEnd w:id="1"/>
    <w:p>
      <w:pPr>
        <w:ind w:left="4880"/>
        <w:spacing w:after="0"/>
        <w:rPr>
          <w:sz w:val="20"/>
          <w:szCs w:val="20"/>
          <w:color w:val="auto"/>
        </w:rPr>
      </w:pPr>
      <w:r>
        <w:rPr>
          <w:rFonts w:ascii="Arial" w:cs="Arial" w:eastAsia="Arial" w:hAnsi="Arial"/>
          <w:sz w:val="22"/>
          <w:szCs w:val="22"/>
          <w:b w:val="1"/>
          <w:bCs w:val="1"/>
          <w:u w:val="single" w:color="auto"/>
          <w:color w:val="auto"/>
        </w:rPr>
        <w:t>EXHIBIT LIST</w:t>
      </w:r>
    </w:p>
    <w:p>
      <w:pPr>
        <w:spacing w:after="0" w:line="247" w:lineRule="exact"/>
        <w:rPr>
          <w:sz w:val="20"/>
          <w:szCs w:val="20"/>
          <w:color w:val="auto"/>
        </w:rPr>
      </w:pPr>
    </w:p>
    <w:p>
      <w:pPr>
        <w:spacing w:after="0"/>
        <w:tabs>
          <w:tab w:leader="none" w:pos="1340" w:val="left"/>
        </w:tabs>
        <w:rPr>
          <w:sz w:val="20"/>
          <w:szCs w:val="20"/>
          <w:color w:val="auto"/>
        </w:rPr>
      </w:pPr>
      <w:r>
        <w:rPr>
          <w:rFonts w:ascii="Arial" w:cs="Arial" w:eastAsia="Arial" w:hAnsi="Arial"/>
          <w:sz w:val="18"/>
          <w:szCs w:val="18"/>
          <w:u w:val="single" w:color="auto"/>
          <w:color w:val="auto"/>
        </w:rPr>
        <w:t>Exhibit</w:t>
      </w:r>
      <w:r>
        <w:rPr>
          <w:sz w:val="20"/>
          <w:szCs w:val="20"/>
          <w:color w:val="auto"/>
        </w:rPr>
        <w:tab/>
      </w:r>
      <w:r>
        <w:rPr>
          <w:rFonts w:ascii="Arial" w:cs="Arial" w:eastAsia="Arial" w:hAnsi="Arial"/>
          <w:sz w:val="18"/>
          <w:szCs w:val="18"/>
          <w:u w:val="single" w:color="auto"/>
          <w:color w:val="auto"/>
        </w:rPr>
        <w:t>Description</w:t>
      </w:r>
    </w:p>
    <w:p>
      <w:pPr>
        <w:spacing w:after="0" w:line="225" w:lineRule="exact"/>
        <w:rPr>
          <w:sz w:val="20"/>
          <w:szCs w:val="20"/>
          <w:color w:val="auto"/>
        </w:rPr>
      </w:pPr>
    </w:p>
    <w:p>
      <w:pPr>
        <w:spacing w:after="0"/>
        <w:tabs>
          <w:tab w:leader="none" w:pos="1340" w:val="left"/>
        </w:tabs>
        <w:rPr>
          <w:rFonts w:ascii="Arial" w:cs="Arial" w:eastAsia="Arial" w:hAnsi="Arial"/>
          <w:sz w:val="16"/>
          <w:szCs w:val="16"/>
          <w:u w:val="single" w:color="auto"/>
          <w:color w:val="0000EE"/>
        </w:rPr>
      </w:pPr>
      <w:hyperlink w:anchor="page4">
        <w:r>
          <w:rPr>
            <w:rFonts w:ascii="Arial" w:cs="Arial" w:eastAsia="Arial" w:hAnsi="Arial"/>
            <w:sz w:val="18"/>
            <w:szCs w:val="18"/>
            <w:u w:val="single" w:color="auto"/>
            <w:color w:val="0000EE"/>
          </w:rPr>
          <w:t>99.1</w:t>
        </w:r>
      </w:hyperlink>
      <w:r>
        <w:rPr>
          <w:rFonts w:ascii="Arial" w:cs="Arial" w:eastAsia="Arial" w:hAnsi="Arial"/>
          <w:sz w:val="18"/>
          <w:szCs w:val="18"/>
          <w:u w:val="single" w:color="auto"/>
          <w:color w:val="0000EE"/>
        </w:rPr>
        <w:tab/>
      </w:r>
      <w:hyperlink w:anchor="page4">
        <w:r>
          <w:rPr>
            <w:rFonts w:ascii="Arial" w:cs="Arial" w:eastAsia="Arial" w:hAnsi="Arial"/>
            <w:sz w:val="16"/>
            <w:szCs w:val="16"/>
            <w:u w:val="single" w:color="auto"/>
            <w:color w:val="0000EE"/>
          </w:rPr>
          <w:t>ICON plc Press Release issued July 22, 2020 - ICON Reports Second Quarter 2020 Results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11" w:right="1440"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22"/>
          <w:szCs w:val="22"/>
          <w:b w:val="1"/>
          <w:bCs w:val="1"/>
          <w:color w:val="auto"/>
        </w:rPr>
        <w:t>SIGNATURES</w:t>
      </w:r>
    </w:p>
    <w:p>
      <w:pPr>
        <w:spacing w:after="0" w:line="240"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48"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ICON plc</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 Brendan Brennan</w:t>
      </w:r>
    </w:p>
    <w:p>
      <w:pPr>
        <w:spacing w:after="0" w:line="23" w:lineRule="exact"/>
        <w:rPr>
          <w:sz w:val="20"/>
          <w:szCs w:val="20"/>
          <w:color w:val="auto"/>
        </w:rPr>
      </w:pPr>
    </w:p>
    <w:p>
      <w:pPr>
        <w:ind w:left="6760" w:right="2800" w:hanging="6749"/>
        <w:spacing w:after="0" w:line="290" w:lineRule="auto"/>
        <w:tabs>
          <w:tab w:leader="none" w:pos="6740" w:val="left"/>
        </w:tabs>
        <w:rPr>
          <w:sz w:val="20"/>
          <w:szCs w:val="20"/>
          <w:color w:val="auto"/>
        </w:rPr>
      </w:pPr>
      <w:r>
        <w:rPr>
          <w:rFonts w:ascii="Arial" w:cs="Arial" w:eastAsia="Arial" w:hAnsi="Arial"/>
          <w:sz w:val="18"/>
          <w:szCs w:val="18"/>
          <w:color w:val="auto"/>
        </w:rPr>
        <w:t>Date: July 22, 2020</w:t>
      </w:r>
      <w:r>
        <w:rPr>
          <w:sz w:val="20"/>
          <w:szCs w:val="20"/>
          <w:color w:val="auto"/>
        </w:rPr>
        <w:tab/>
      </w:r>
      <w:r>
        <w:rPr>
          <w:rFonts w:ascii="Arial" w:cs="Arial" w:eastAsia="Arial" w:hAnsi="Arial"/>
          <w:sz w:val="17"/>
          <w:szCs w:val="17"/>
          <w:color w:val="auto"/>
        </w:rPr>
        <w:t>Brendan Brennan Chief Financial Officer</w:t>
      </w:r>
    </w:p>
    <w:p>
      <w:pPr>
        <w:sectPr>
          <w:pgSz w:w="11900" w:h="16838" w:orient="portrait"/>
          <w:cols w:equalWidth="0" w:num="1">
            <w:col w:w="11240"/>
          </w:cols>
          <w:pgMar w:left="320" w:top="111"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ICON Reports Second Quarter 2020 Results</w:t>
      </w:r>
    </w:p>
    <w:p>
      <w:pPr>
        <w:spacing w:after="0" w:line="22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Highlights</w:t>
      </w:r>
    </w:p>
    <w:p>
      <w:pPr>
        <w:spacing w:after="0" w:line="206" w:lineRule="exact"/>
        <w:rPr>
          <w:sz w:val="20"/>
          <w:szCs w:val="20"/>
          <w:color w:val="auto"/>
        </w:rPr>
      </w:pPr>
    </w:p>
    <w:p>
      <w:pPr>
        <w:ind w:left="540"/>
        <w:spacing w:after="0"/>
        <w:rPr>
          <w:sz w:val="20"/>
          <w:szCs w:val="20"/>
          <w:color w:val="auto"/>
        </w:rPr>
      </w:pPr>
      <w:r>
        <w:rPr>
          <w:rFonts w:ascii="Arial" w:cs="Arial" w:eastAsia="Arial" w:hAnsi="Arial"/>
          <w:sz w:val="22"/>
          <w:szCs w:val="22"/>
          <w:b w:val="1"/>
          <w:bCs w:val="1"/>
          <w:color w:val="auto"/>
        </w:rPr>
        <w:t>Robust net business wins in the quarter of $910 million; a book to bill of 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-82550</wp:posOffset>
            </wp:positionV>
            <wp:extent cx="42545" cy="431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2545" cy="43180"/>
                    </a:xfrm>
                    <a:prstGeom prst="rect">
                      <a:avLst/>
                    </a:prstGeom>
                    <a:noFill/>
                  </pic:spPr>
                </pic:pic>
              </a:graphicData>
            </a:graphic>
          </wp:anchor>
        </w:drawing>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22"/>
          <w:szCs w:val="22"/>
          <w:b w:val="1"/>
          <w:bCs w:val="1"/>
          <w:color w:val="auto"/>
        </w:rPr>
        <w:t>Record closing backlog of $9.1 billion, an increase of 11% year on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-82550</wp:posOffset>
            </wp:positionV>
            <wp:extent cx="42545"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2545" cy="43180"/>
                    </a:xfrm>
                    <a:prstGeom prst="rect">
                      <a:avLst/>
                    </a:prstGeom>
                    <a:noFill/>
                  </pic:spPr>
                </pic:pic>
              </a:graphicData>
            </a:graphic>
          </wp:anchor>
        </w:drawing>
      </w:r>
    </w:p>
    <w:p>
      <w:pPr>
        <w:spacing w:after="0" w:line="186" w:lineRule="exact"/>
        <w:rPr>
          <w:sz w:val="20"/>
          <w:szCs w:val="20"/>
          <w:color w:val="auto"/>
        </w:rPr>
      </w:pPr>
    </w:p>
    <w:p>
      <w:pPr>
        <w:ind w:left="540" w:right="60"/>
        <w:spacing w:after="0" w:line="256" w:lineRule="auto"/>
        <w:rPr>
          <w:sz w:val="20"/>
          <w:szCs w:val="20"/>
          <w:color w:val="auto"/>
        </w:rPr>
      </w:pPr>
      <w:r>
        <w:rPr>
          <w:rFonts w:ascii="Arial" w:cs="Arial" w:eastAsia="Arial" w:hAnsi="Arial"/>
          <w:sz w:val="22"/>
          <w:szCs w:val="22"/>
          <w:b w:val="1"/>
          <w:bCs w:val="1"/>
          <w:color w:val="auto"/>
        </w:rPr>
        <w:t>Quarter 2 reported revenue of $620.2 million representing a year on year decrease of 10.8% or 10.3% on a constant currency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-264795</wp:posOffset>
            </wp:positionV>
            <wp:extent cx="42545" cy="43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2545" cy="43180"/>
                    </a:xfrm>
                    <a:prstGeom prst="rect">
                      <a:avLst/>
                    </a:prstGeom>
                    <a:noFill/>
                  </pic:spPr>
                </pic:pic>
              </a:graphicData>
            </a:graphic>
          </wp:anchor>
        </w:drawing>
      </w:r>
    </w:p>
    <w:p>
      <w:pPr>
        <w:spacing w:after="0" w:line="142" w:lineRule="exact"/>
        <w:rPr>
          <w:sz w:val="20"/>
          <w:szCs w:val="20"/>
          <w:color w:val="auto"/>
        </w:rPr>
      </w:pPr>
    </w:p>
    <w:p>
      <w:pPr>
        <w:ind w:left="540" w:right="40"/>
        <w:spacing w:after="0" w:line="243" w:lineRule="auto"/>
        <w:rPr>
          <w:sz w:val="20"/>
          <w:szCs w:val="20"/>
          <w:color w:val="auto"/>
        </w:rPr>
      </w:pPr>
      <w:r>
        <w:rPr>
          <w:rFonts w:ascii="Arial" w:cs="Arial" w:eastAsia="Arial" w:hAnsi="Arial"/>
          <w:sz w:val="22"/>
          <w:szCs w:val="22"/>
          <w:b w:val="1"/>
          <w:bCs w:val="1"/>
          <w:color w:val="auto"/>
        </w:rPr>
        <w:t>Adjusted earnings per share* attributable to the Group for the quarter of $1.20, compared to $1.69 in Quarter 2 2019. Year to date earnings per share* attributable to the group of $2.89, compared to $3.31 for the equivalent prior year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-409575</wp:posOffset>
            </wp:positionV>
            <wp:extent cx="42545" cy="431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2545" cy="43180"/>
                    </a:xfrm>
                    <a:prstGeom prst="rect">
                      <a:avLst/>
                    </a:prstGeom>
                    <a:noFill/>
                  </pic:spPr>
                </pic:pic>
              </a:graphicData>
            </a:graphic>
          </wp:anchor>
        </w:drawing>
      </w:r>
    </w:p>
    <w:p>
      <w:pPr>
        <w:spacing w:after="0" w:line="157" w:lineRule="exact"/>
        <w:rPr>
          <w:sz w:val="20"/>
          <w:szCs w:val="20"/>
          <w:color w:val="auto"/>
        </w:rPr>
      </w:pPr>
    </w:p>
    <w:p>
      <w:pPr>
        <w:ind w:left="540" w:right="240"/>
        <w:spacing w:after="0" w:line="256" w:lineRule="auto"/>
        <w:rPr>
          <w:sz w:val="20"/>
          <w:szCs w:val="20"/>
          <w:color w:val="auto"/>
        </w:rPr>
      </w:pPr>
      <w:r>
        <w:rPr>
          <w:rFonts w:ascii="Arial" w:cs="Arial" w:eastAsia="Arial" w:hAnsi="Arial"/>
          <w:sz w:val="22"/>
          <w:szCs w:val="22"/>
          <w:b w:val="1"/>
          <w:bCs w:val="1"/>
          <w:color w:val="auto"/>
        </w:rPr>
        <w:t>Strong balance sheet and liquidity position remains, exceptional cash generation delivers net cash position of $244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-264795</wp:posOffset>
            </wp:positionV>
            <wp:extent cx="42545" cy="431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2545" cy="43180"/>
                    </a:xfrm>
                    <a:prstGeom prst="rect">
                      <a:avLst/>
                    </a:prstGeom>
                    <a:noFill/>
                  </pic:spPr>
                </pic:pic>
              </a:graphicData>
            </a:graphic>
          </wp:anchor>
        </w:drawing>
      </w:r>
    </w:p>
    <w:p>
      <w:pPr>
        <w:spacing w:after="0" w:line="142" w:lineRule="exact"/>
        <w:rPr>
          <w:sz w:val="20"/>
          <w:szCs w:val="20"/>
          <w:color w:val="auto"/>
        </w:rPr>
      </w:pPr>
    </w:p>
    <w:p>
      <w:pPr>
        <w:ind w:left="540" w:right="100"/>
        <w:spacing w:after="0" w:line="256" w:lineRule="auto"/>
        <w:rPr>
          <w:sz w:val="20"/>
          <w:szCs w:val="20"/>
          <w:color w:val="auto"/>
        </w:rPr>
      </w:pPr>
      <w:r>
        <w:rPr>
          <w:rFonts w:ascii="Arial" w:cs="Arial" w:eastAsia="Arial" w:hAnsi="Arial"/>
          <w:sz w:val="22"/>
          <w:szCs w:val="22"/>
          <w:b w:val="1"/>
          <w:bCs w:val="1"/>
          <w:color w:val="auto"/>
        </w:rPr>
        <w:t>Full year 2020 revenue guidance in the range of $2,650 - $2,750 million. Full Year 2020 earnings per share guidance in the range of $6.00 - $6.50.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-264795</wp:posOffset>
            </wp:positionV>
            <wp:extent cx="42545" cy="431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2545" cy="43180"/>
                    </a:xfrm>
                    <a:prstGeom prst="rect">
                      <a:avLst/>
                    </a:prstGeom>
                    <a:noFill/>
                  </pic:spPr>
                </pic:pic>
              </a:graphicData>
            </a:graphic>
          </wp:anchor>
        </w:drawing>
      </w:r>
    </w:p>
    <w:p>
      <w:pPr>
        <w:spacing w:after="0" w:line="14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*before non-recurring charges.</w:t>
      </w:r>
    </w:p>
    <w:p>
      <w:pPr>
        <w:spacing w:after="0" w:line="206" w:lineRule="exact"/>
        <w:rPr>
          <w:sz w:val="20"/>
          <w:szCs w:val="20"/>
          <w:color w:val="auto"/>
        </w:rPr>
      </w:pPr>
    </w:p>
    <w:p>
      <w:pPr>
        <w:jc w:val="both"/>
        <w:ind w:right="20"/>
        <w:spacing w:after="0" w:line="260" w:lineRule="auto"/>
        <w:rPr>
          <w:sz w:val="20"/>
          <w:szCs w:val="20"/>
          <w:color w:val="auto"/>
        </w:rPr>
      </w:pPr>
      <w:r>
        <w:rPr>
          <w:rFonts w:ascii="Arial" w:cs="Arial" w:eastAsia="Arial" w:hAnsi="Arial"/>
          <w:sz w:val="21"/>
          <w:szCs w:val="21"/>
          <w:color w:val="auto"/>
        </w:rPr>
        <w:t>DUBLIN--(BUSINESS WIRE)--July 22, 2020--</w:t>
      </w:r>
      <w:r>
        <w:rPr>
          <w:rFonts w:ascii="Arial" w:cs="Arial" w:eastAsia="Arial" w:hAnsi="Arial"/>
          <w:sz w:val="21"/>
          <w:szCs w:val="21"/>
          <w:b w:val="1"/>
          <w:bCs w:val="1"/>
          <w:color w:val="auto"/>
        </w:rPr>
        <w:t>ICON plc (NASDAQ: ICLR),</w:t>
      </w:r>
      <w:r>
        <w:rPr>
          <w:rFonts w:ascii="Arial" w:cs="Arial" w:eastAsia="Arial" w:hAnsi="Arial"/>
          <w:sz w:val="21"/>
          <w:szCs w:val="21"/>
          <w:color w:val="auto"/>
        </w:rPr>
        <w:t xml:space="preserve"> a global provider of outsourced drug and device development and commercialisation services to pharmaceutical, biotechnology, medical device and government and public health organisations, today reported its financial results for the second quarter ended June 30,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3022600</wp:posOffset>
            </wp:positionH>
            <wp:positionV relativeFrom="paragraph">
              <wp:posOffset>-351790</wp:posOffset>
            </wp:positionV>
            <wp:extent cx="3429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146" w:lineRule="exact"/>
        <w:rPr>
          <w:sz w:val="20"/>
          <w:szCs w:val="20"/>
          <w:color w:val="auto"/>
        </w:rPr>
      </w:pPr>
    </w:p>
    <w:p>
      <w:pPr>
        <w:ind w:right="100"/>
        <w:spacing w:after="0" w:line="249" w:lineRule="auto"/>
        <w:rPr>
          <w:sz w:val="20"/>
          <w:szCs w:val="20"/>
          <w:color w:val="auto"/>
        </w:rPr>
      </w:pPr>
      <w:r>
        <w:rPr>
          <w:rFonts w:ascii="Arial" w:cs="Arial" w:eastAsia="Arial" w:hAnsi="Arial"/>
          <w:sz w:val="21"/>
          <w:szCs w:val="21"/>
          <w:color w:val="auto"/>
        </w:rPr>
        <w:t xml:space="preserve">CEO Dr. Steve Cutler commented, </w:t>
      </w:r>
      <w:r>
        <w:rPr>
          <w:rFonts w:ascii="Arial" w:cs="Arial" w:eastAsia="Arial" w:hAnsi="Arial"/>
          <w:sz w:val="21"/>
          <w:szCs w:val="21"/>
          <w:i w:val="1"/>
          <w:iCs w:val="1"/>
          <w:color w:val="auto"/>
        </w:rPr>
        <w:t>“During the quarter we generated robust net business bookings of $910 million and we</w:t>
      </w:r>
      <w:r>
        <w:rPr>
          <w:rFonts w:ascii="Arial" w:cs="Arial" w:eastAsia="Arial" w:hAnsi="Arial"/>
          <w:sz w:val="21"/>
          <w:szCs w:val="21"/>
          <w:color w:val="auto"/>
        </w:rPr>
        <w:t xml:space="preserve"> </w:t>
      </w:r>
      <w:r>
        <w:rPr>
          <w:rFonts w:ascii="Arial" w:cs="Arial" w:eastAsia="Arial" w:hAnsi="Arial"/>
          <w:sz w:val="21"/>
          <w:szCs w:val="21"/>
          <w:i w:val="1"/>
          <w:iCs w:val="1"/>
          <w:color w:val="auto"/>
        </w:rPr>
        <w:t>consequently grew our backlog by 11% to a record $9.1 billion. With new business opportunities continuing to be robust and our strong balance sheet enhanced by solid cash collection during the quarter, we remain well placed to face the challenges of COVID-19 and take advantage of opportunities into the future. I am incredibly proud of our entire workforce and would like to thank them for their tireless efforts and on-going resilience during this difficult period.</w:t>
      </w:r>
    </w:p>
    <w:p>
      <w:pPr>
        <w:spacing w:after="0" w:line="178" w:lineRule="exact"/>
        <w:rPr>
          <w:sz w:val="20"/>
          <w:szCs w:val="20"/>
          <w:color w:val="auto"/>
        </w:rPr>
      </w:pPr>
    </w:p>
    <w:p>
      <w:pPr>
        <w:ind w:right="100"/>
        <w:spacing w:after="0" w:line="287" w:lineRule="auto"/>
        <w:rPr>
          <w:sz w:val="20"/>
          <w:szCs w:val="20"/>
          <w:color w:val="auto"/>
        </w:rPr>
      </w:pPr>
      <w:r>
        <w:rPr>
          <w:rFonts w:ascii="Arial" w:cs="Arial" w:eastAsia="Arial" w:hAnsi="Arial"/>
          <w:sz w:val="19"/>
          <w:szCs w:val="19"/>
          <w:i w:val="1"/>
          <w:iCs w:val="1"/>
          <w:color w:val="auto"/>
        </w:rPr>
        <w:t>However, as expected, the impact from COVID-19 materially challenged our second quarter results with revenue decreasing 10.8% year over year to $620 million and EPS by 28.9% to $1.20. Although uncertainty remains, we are seeing improvements to site re-openings and patient recruitment and we expect results to improve sequentially during the second half of this year. We are therefore issuing full year 2020 revenue guidance of $2,650 - $2,750 million and earnings guidance of $6.00 - $6.50.”</w:t>
      </w:r>
    </w:p>
    <w:p>
      <w:pPr>
        <w:spacing w:after="0" w:line="13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Second Quarter 2020 Results</w:t>
      </w:r>
    </w:p>
    <w:p>
      <w:pPr>
        <w:spacing w:after="0" w:line="212" w:lineRule="exact"/>
        <w:rPr>
          <w:sz w:val="20"/>
          <w:szCs w:val="20"/>
          <w:color w:val="auto"/>
        </w:rPr>
      </w:pPr>
    </w:p>
    <w:p>
      <w:pPr>
        <w:ind w:right="360"/>
        <w:spacing w:after="0" w:line="250" w:lineRule="auto"/>
        <w:rPr>
          <w:sz w:val="20"/>
          <w:szCs w:val="20"/>
          <w:color w:val="auto"/>
        </w:rPr>
      </w:pPr>
      <w:r>
        <w:rPr>
          <w:rFonts w:ascii="Arial" w:cs="Arial" w:eastAsia="Arial" w:hAnsi="Arial"/>
          <w:sz w:val="22"/>
          <w:szCs w:val="22"/>
          <w:color w:val="auto"/>
        </w:rPr>
        <w:t>Gross business wins in the second quarter were $1.1 billion and cancellations were $170 million. This resulted in net business wins of $910 million and a book to bill of 1.47.</w:t>
      </w:r>
    </w:p>
    <w:p>
      <w:pPr>
        <w:spacing w:after="0" w:line="175" w:lineRule="exact"/>
        <w:rPr>
          <w:sz w:val="20"/>
          <w:szCs w:val="20"/>
          <w:color w:val="auto"/>
        </w:rPr>
      </w:pPr>
    </w:p>
    <w:p>
      <w:pPr>
        <w:ind w:right="420"/>
        <w:spacing w:after="0" w:line="250" w:lineRule="auto"/>
        <w:rPr>
          <w:sz w:val="20"/>
          <w:szCs w:val="20"/>
          <w:color w:val="auto"/>
        </w:rPr>
      </w:pPr>
      <w:r>
        <w:rPr>
          <w:rFonts w:ascii="Arial" w:cs="Arial" w:eastAsia="Arial" w:hAnsi="Arial"/>
          <w:sz w:val="22"/>
          <w:szCs w:val="22"/>
          <w:color w:val="auto"/>
        </w:rPr>
        <w:t>Reported revenue for Quarter 2 was $620.2 million. This represents a year on year decrease of 10.8% or 10.3% on a constant currency basis.</w:t>
      </w:r>
    </w:p>
    <w:p>
      <w:pPr>
        <w:spacing w:after="0" w:line="175" w:lineRule="exact"/>
        <w:rPr>
          <w:sz w:val="20"/>
          <w:szCs w:val="20"/>
          <w:color w:val="auto"/>
        </w:rPr>
      </w:pPr>
    </w:p>
    <w:p>
      <w:pPr>
        <w:ind w:right="40"/>
        <w:spacing w:after="0" w:line="250" w:lineRule="auto"/>
        <w:rPr>
          <w:sz w:val="20"/>
          <w:szCs w:val="20"/>
          <w:color w:val="auto"/>
        </w:rPr>
      </w:pPr>
      <w:r>
        <w:rPr>
          <w:rFonts w:ascii="Arial" w:cs="Arial" w:eastAsia="Arial" w:hAnsi="Arial"/>
          <w:sz w:val="22"/>
          <w:szCs w:val="22"/>
          <w:color w:val="auto"/>
        </w:rPr>
        <w:t>Reported income from operations* in the quarter was $75.0 million or 12.1% of revenue compared to $106.1 million or 15.3% of revenue for Quarter 2 2019.</w:t>
      </w:r>
    </w:p>
    <w:p>
      <w:pPr>
        <w:spacing w:after="0" w:line="175" w:lineRule="exact"/>
        <w:rPr>
          <w:sz w:val="20"/>
          <w:szCs w:val="20"/>
          <w:color w:val="auto"/>
        </w:rPr>
      </w:pPr>
    </w:p>
    <w:p>
      <w:pPr>
        <w:ind w:right="540"/>
        <w:spacing w:after="0" w:line="250" w:lineRule="auto"/>
        <w:rPr>
          <w:sz w:val="20"/>
          <w:szCs w:val="20"/>
          <w:color w:val="auto"/>
        </w:rPr>
      </w:pPr>
      <w:r>
        <w:rPr>
          <w:rFonts w:ascii="Arial" w:cs="Arial" w:eastAsia="Arial" w:hAnsi="Arial"/>
          <w:sz w:val="22"/>
          <w:szCs w:val="22"/>
          <w:color w:val="auto"/>
        </w:rPr>
        <w:t>Reported net income* attributable to the Group for the quarter was $63.6 million or 10.3% of revenue compared with $91.9 million or 13.2% of revenue in Quarter 2 2019.</w:t>
      </w:r>
    </w:p>
    <w:p>
      <w:pPr>
        <w:spacing w:after="0" w:line="175" w:lineRule="exact"/>
        <w:rPr>
          <w:sz w:val="20"/>
          <w:szCs w:val="20"/>
          <w:color w:val="auto"/>
        </w:rPr>
      </w:pPr>
    </w:p>
    <w:p>
      <w:pPr>
        <w:ind w:right="60"/>
        <w:spacing w:after="0"/>
        <w:rPr>
          <w:sz w:val="20"/>
          <w:szCs w:val="20"/>
          <w:color w:val="auto"/>
        </w:rPr>
      </w:pPr>
      <w:r>
        <w:rPr>
          <w:rFonts w:ascii="Arial" w:cs="Arial" w:eastAsia="Arial" w:hAnsi="Arial"/>
          <w:sz w:val="22"/>
          <w:szCs w:val="22"/>
          <w:color w:val="auto"/>
        </w:rPr>
        <w:t>Adjusted earnings per share* attributable to the Group on a diluted basis was $1.20, compared to $1.69 per share for Quarter 2 2019. GAAP earnings per share attributable to the Group on a diluted basis was $0.90, compared to $1.69 per share for Quarter 2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132080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4" w:name="page5"/>
    <w:bookmarkEnd w:id="4"/>
    <w:p>
      <w:pPr>
        <w:ind w:right="220"/>
        <w:spacing w:after="0" w:line="250" w:lineRule="auto"/>
        <w:rPr>
          <w:sz w:val="20"/>
          <w:szCs w:val="20"/>
          <w:color w:val="auto"/>
        </w:rPr>
      </w:pPr>
      <w:r>
        <w:rPr>
          <w:rFonts w:ascii="Arial" w:cs="Arial" w:eastAsia="Arial" w:hAnsi="Arial"/>
          <w:sz w:val="22"/>
          <w:szCs w:val="22"/>
          <w:color w:val="auto"/>
        </w:rPr>
        <w:t>On a comparative basis, non-GAAP days sales outstanding were 53 days at June 30, 2020, compared with 55 days at the end of March 2020 and 61 Days at the end of June 2019.</w:t>
      </w:r>
    </w:p>
    <w:p>
      <w:pPr>
        <w:spacing w:after="0" w:line="175" w:lineRule="exact"/>
        <w:rPr>
          <w:sz w:val="20"/>
          <w:szCs w:val="20"/>
          <w:color w:val="auto"/>
        </w:rPr>
      </w:pPr>
    </w:p>
    <w:p>
      <w:pPr>
        <w:ind w:right="80"/>
        <w:spacing w:after="0"/>
        <w:rPr>
          <w:sz w:val="20"/>
          <w:szCs w:val="20"/>
          <w:color w:val="auto"/>
        </w:rPr>
      </w:pPr>
      <w:r>
        <w:rPr>
          <w:rFonts w:ascii="Arial" w:cs="Arial" w:eastAsia="Arial" w:hAnsi="Arial"/>
          <w:sz w:val="22"/>
          <w:szCs w:val="22"/>
          <w:color w:val="auto"/>
        </w:rPr>
        <w:t>Cash generated from operating activities for the quarter was $117.9 million and capital expenditure was $9.9 million. As a result, at June 30, 2020, the Group had net cash of $244.0 million, compared to net cash of $134.4 million at March 31, 2020 and net cash of $81.8 million at the end of June 2019.</w:t>
      </w:r>
    </w:p>
    <w:p>
      <w:pPr>
        <w:spacing w:after="0" w:line="186" w:lineRule="exact"/>
        <w:rPr>
          <w:sz w:val="20"/>
          <w:szCs w:val="20"/>
          <w:color w:val="auto"/>
        </w:rPr>
      </w:pPr>
    </w:p>
    <w:p>
      <w:pPr>
        <w:jc w:val="both"/>
        <w:ind w:right="440"/>
        <w:spacing w:after="0"/>
        <w:rPr>
          <w:sz w:val="20"/>
          <w:szCs w:val="20"/>
          <w:color w:val="auto"/>
        </w:rPr>
      </w:pPr>
      <w:r>
        <w:rPr>
          <w:rFonts w:ascii="Arial" w:cs="Arial" w:eastAsia="Arial" w:hAnsi="Arial"/>
          <w:sz w:val="22"/>
          <w:szCs w:val="22"/>
          <w:color w:val="auto"/>
        </w:rPr>
        <w:t>During the quarter the company recorded a charge of $18.1 million in relation to restructuring costs. US GAAP income from operations after these items amounted to $56.9 million or 9.2% of revenue. US GAAP net income for the quarter was $47.8 million or $0.90 per diluted share.</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Year to date 2020 Results</w:t>
      </w:r>
    </w:p>
    <w:p>
      <w:pPr>
        <w:spacing w:after="0" w:line="212" w:lineRule="exact"/>
        <w:rPr>
          <w:sz w:val="20"/>
          <w:szCs w:val="20"/>
          <w:color w:val="auto"/>
        </w:rPr>
      </w:pPr>
    </w:p>
    <w:p>
      <w:pPr>
        <w:ind w:right="20"/>
        <w:spacing w:after="0" w:line="250" w:lineRule="auto"/>
        <w:rPr>
          <w:sz w:val="20"/>
          <w:szCs w:val="20"/>
          <w:color w:val="auto"/>
        </w:rPr>
      </w:pPr>
      <w:r>
        <w:rPr>
          <w:rFonts w:ascii="Arial" w:cs="Arial" w:eastAsia="Arial" w:hAnsi="Arial"/>
          <w:sz w:val="22"/>
          <w:szCs w:val="22"/>
          <w:color w:val="auto"/>
        </w:rPr>
        <w:t>Gross business wins year to date were $2.1 billion and cancellations were $330 million. This resulted in net business wins of $1.8 billion and a book to bill of 1.33.</w:t>
      </w:r>
    </w:p>
    <w:p>
      <w:pPr>
        <w:spacing w:after="0" w:line="175"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Year to date reported revenue was $1,335 million. This represents a year on year decrease of 2.5% or 2.0% on a constant currency basis.</w:t>
      </w:r>
    </w:p>
    <w:p>
      <w:pPr>
        <w:spacing w:after="0" w:line="175" w:lineRule="exact"/>
        <w:rPr>
          <w:sz w:val="20"/>
          <w:szCs w:val="20"/>
          <w:color w:val="auto"/>
        </w:rPr>
      </w:pPr>
    </w:p>
    <w:p>
      <w:pPr>
        <w:ind w:right="80"/>
        <w:spacing w:after="0" w:line="250" w:lineRule="auto"/>
        <w:rPr>
          <w:sz w:val="20"/>
          <w:szCs w:val="20"/>
          <w:color w:val="auto"/>
        </w:rPr>
      </w:pPr>
      <w:r>
        <w:rPr>
          <w:rFonts w:ascii="Arial" w:cs="Arial" w:eastAsia="Arial" w:hAnsi="Arial"/>
          <w:sz w:val="22"/>
          <w:szCs w:val="22"/>
          <w:color w:val="auto"/>
        </w:rPr>
        <w:t>Reported income from operations* year to date was $181.3 million or 13.6% of revenue compared to $208.0 million or 15.2% of revenue for the equivalent prior year period.</w:t>
      </w:r>
    </w:p>
    <w:p>
      <w:pPr>
        <w:spacing w:after="0" w:line="175" w:lineRule="exact"/>
        <w:rPr>
          <w:sz w:val="20"/>
          <w:szCs w:val="20"/>
          <w:color w:val="auto"/>
        </w:rPr>
      </w:pPr>
    </w:p>
    <w:p>
      <w:pPr>
        <w:ind w:right="560"/>
        <w:spacing w:after="0" w:line="250" w:lineRule="auto"/>
        <w:rPr>
          <w:sz w:val="20"/>
          <w:szCs w:val="20"/>
          <w:color w:val="auto"/>
        </w:rPr>
      </w:pPr>
      <w:r>
        <w:rPr>
          <w:rFonts w:ascii="Arial" w:cs="Arial" w:eastAsia="Arial" w:hAnsi="Arial"/>
          <w:sz w:val="22"/>
          <w:szCs w:val="22"/>
          <w:color w:val="auto"/>
        </w:rPr>
        <w:t>Reported net income* attributable to the Group year to date was $155.3 million or 11.6% of revenue compared with $180.2 million or 13.2% of revenue for the equivalent prior year period.</w:t>
      </w:r>
    </w:p>
    <w:p>
      <w:pPr>
        <w:spacing w:after="0" w:line="175" w:lineRule="exact"/>
        <w:rPr>
          <w:sz w:val="20"/>
          <w:szCs w:val="20"/>
          <w:color w:val="auto"/>
        </w:rPr>
      </w:pPr>
    </w:p>
    <w:p>
      <w:pPr>
        <w:ind w:right="120"/>
        <w:spacing w:after="0"/>
        <w:rPr>
          <w:sz w:val="20"/>
          <w:szCs w:val="20"/>
          <w:color w:val="auto"/>
        </w:rPr>
      </w:pPr>
      <w:r>
        <w:rPr>
          <w:rFonts w:ascii="Arial" w:cs="Arial" w:eastAsia="Arial" w:hAnsi="Arial"/>
          <w:sz w:val="22"/>
          <w:szCs w:val="22"/>
          <w:color w:val="auto"/>
        </w:rPr>
        <w:t>Adjusted earnings per share* attributable to the Group on a diluted basis was $2.89, compared to $3.31 per share for the equivalent prior year period. GAAP earnings per share attributable to the Group on a diluted basis was $2.51, compared to $3.31 per share for the equivalent prior year period.</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color w:val="auto"/>
        </w:rPr>
        <w:t>*before non-recurring charges.</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COVID-19 Update</w:t>
      </w:r>
    </w:p>
    <w:p>
      <w:pPr>
        <w:spacing w:after="0" w:line="212" w:lineRule="exact"/>
        <w:rPr>
          <w:sz w:val="20"/>
          <w:szCs w:val="20"/>
          <w:color w:val="auto"/>
        </w:rPr>
      </w:pPr>
    </w:p>
    <w:p>
      <w:pPr>
        <w:ind w:right="100"/>
        <w:spacing w:after="0" w:line="236" w:lineRule="auto"/>
        <w:rPr>
          <w:sz w:val="20"/>
          <w:szCs w:val="20"/>
          <w:color w:val="auto"/>
        </w:rPr>
      </w:pPr>
      <w:r>
        <w:rPr>
          <w:rFonts w:ascii="Arial" w:cs="Arial" w:eastAsia="Arial" w:hAnsi="Arial"/>
          <w:sz w:val="22"/>
          <w:szCs w:val="22"/>
          <w:color w:val="auto"/>
        </w:rPr>
        <w:t>ICON continues to closely monitor and assess the evolving pandemic situation. The welfare and safety of ICON’s employees, customers and patients remains the Company’s highest priority. ICON is taking guidance from global health authorities, such as World Health Organisation (WHO) and Centers for Disease Control and Prevention (CDC), as well as regional health authorities and governments to ensure that ICON protects the safety and welfare of our employees and abides by government directives in various jurisdictions.</w:t>
      </w:r>
    </w:p>
    <w:p>
      <w:pPr>
        <w:spacing w:after="0" w:line="187" w:lineRule="exact"/>
        <w:rPr>
          <w:sz w:val="20"/>
          <w:szCs w:val="20"/>
          <w:color w:val="auto"/>
        </w:rPr>
      </w:pPr>
    </w:p>
    <w:p>
      <w:pPr>
        <w:ind w:right="20"/>
        <w:spacing w:after="0" w:line="238" w:lineRule="auto"/>
        <w:rPr>
          <w:sz w:val="20"/>
          <w:szCs w:val="20"/>
          <w:color w:val="auto"/>
        </w:rPr>
      </w:pPr>
      <w:r>
        <w:rPr>
          <w:rFonts w:ascii="Arial" w:cs="Arial" w:eastAsia="Arial" w:hAnsi="Arial"/>
          <w:sz w:val="22"/>
          <w:szCs w:val="22"/>
          <w:color w:val="auto"/>
        </w:rPr>
        <w:t>COVID-19 continues to affect our global business, and in particular our clinical business. However, sites are reopening and where this is not the case we seek to use alternative approaches including remote and risk based monitoring and ‘at home’ services delivered through our Symphony Clinical Research group. Patient recruitment challenges remain however there has been a gradual improvement in enrolment as restrictions ease.</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Other Information</w:t>
      </w:r>
    </w:p>
    <w:p>
      <w:pPr>
        <w:spacing w:after="0" w:line="212" w:lineRule="exact"/>
        <w:rPr>
          <w:sz w:val="20"/>
          <w:szCs w:val="20"/>
          <w:color w:val="auto"/>
        </w:rPr>
      </w:pPr>
    </w:p>
    <w:p>
      <w:pPr>
        <w:jc w:val="both"/>
        <w:ind w:right="180"/>
        <w:spacing w:after="0" w:line="287" w:lineRule="auto"/>
        <w:rPr>
          <w:sz w:val="20"/>
          <w:szCs w:val="20"/>
          <w:color w:val="auto"/>
        </w:rPr>
      </w:pPr>
      <w:r>
        <w:rPr>
          <w:rFonts w:ascii="Arial" w:cs="Arial" w:eastAsia="Arial" w:hAnsi="Arial"/>
          <w:sz w:val="19"/>
          <w:szCs w:val="19"/>
          <w:color w:val="auto"/>
        </w:rPr>
        <w:t>In addition to the financial measures prepared in accordance with generally accepted accounting principles (GAAP), this press release contains certain non-GAAP financial measures, including non-GAAP operating and net income and non-GAAP diluted earnings per share. While non-GAAP financial measures are not superior to or a substitute for the comparable GAAP measures, ICON believes certain non-GAAP information is useful to investors for historical comparison purposes.</w:t>
      </w:r>
    </w:p>
    <w:p>
      <w:pPr>
        <w:spacing w:after="0" w:line="143" w:lineRule="exact"/>
        <w:rPr>
          <w:sz w:val="20"/>
          <w:szCs w:val="20"/>
          <w:color w:val="auto"/>
        </w:rPr>
      </w:pPr>
    </w:p>
    <w:p>
      <w:pPr>
        <w:ind w:right="120"/>
        <w:spacing w:after="0" w:line="248" w:lineRule="auto"/>
        <w:rPr>
          <w:sz w:val="20"/>
          <w:szCs w:val="20"/>
          <w:color w:val="auto"/>
        </w:rPr>
      </w:pPr>
      <w:r>
        <w:rPr>
          <w:rFonts w:ascii="Arial" w:cs="Arial" w:eastAsia="Arial" w:hAnsi="Arial"/>
          <w:sz w:val="21"/>
          <w:szCs w:val="21"/>
          <w:color w:val="auto"/>
        </w:rPr>
        <w:t>Adjusted earnings per share attributable to the Group (Non-GAAP) has been computed by dividing non-GAAP net income attributable to the Group by the weighted average number of shares outstanding. GAAP earnings per share attributable to the Group has been computed by dividing net income attributable to the Group plus a GAAP charge associated with non-controlling interest in MeDiNova Research (“MeDiNova”) by the weighted average number of shares outstanding. ICON purchased a majority shareholding in MeDiNova on May 23, 2019. ICON exercised its call on the outstanding shares in MeDiNova and derecognized the non-controlling interest effective from March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5" w:name="page6"/>
    <w:bookmarkEnd w:id="5"/>
    <w:p>
      <w:pPr>
        <w:ind w:right="140"/>
        <w:spacing w:after="0" w:line="229" w:lineRule="auto"/>
        <w:rPr>
          <w:sz w:val="20"/>
          <w:szCs w:val="20"/>
          <w:color w:val="auto"/>
        </w:rPr>
      </w:pPr>
      <w:r>
        <w:rPr>
          <w:rFonts w:ascii="Arial" w:cs="Arial" w:eastAsia="Arial" w:hAnsi="Arial"/>
          <w:sz w:val="20"/>
          <w:szCs w:val="20"/>
          <w:color w:val="auto"/>
        </w:rPr>
        <w:t>ICON will hold its second quarter conference call tomorrow, July 23</w:t>
      </w:r>
      <w:r>
        <w:rPr>
          <w:rFonts w:ascii="Arial" w:cs="Arial" w:eastAsia="Arial" w:hAnsi="Arial"/>
          <w:sz w:val="32"/>
          <w:szCs w:val="32"/>
          <w:color w:val="auto"/>
          <w:vertAlign w:val="superscript"/>
        </w:rPr>
        <w:t>rd</w:t>
      </w:r>
      <w:r>
        <w:rPr>
          <w:rFonts w:ascii="Arial" w:cs="Arial" w:eastAsia="Arial" w:hAnsi="Arial"/>
          <w:sz w:val="20"/>
          <w:szCs w:val="20"/>
          <w:color w:val="auto"/>
        </w:rPr>
        <w:t>, 2020 at 9:00 EDT [14:00 Ireland &amp; UK]. This call and linked slide presentation can be accessed live from our website at http://investor.iconplc.com. A recording will also be available on the website for 90 days following the call. In addition, a calendar of company events, including upcoming conference presentations, is available on our website, under “Investors”. This calendar will be updated regularly.</w:t>
      </w:r>
    </w:p>
    <w:p>
      <w:pPr>
        <w:spacing w:after="0" w:line="185" w:lineRule="exact"/>
        <w:rPr>
          <w:sz w:val="20"/>
          <w:szCs w:val="20"/>
          <w:color w:val="auto"/>
        </w:rPr>
      </w:pPr>
    </w:p>
    <w:p>
      <w:pPr>
        <w:spacing w:after="0" w:line="271" w:lineRule="auto"/>
        <w:rPr>
          <w:sz w:val="20"/>
          <w:szCs w:val="20"/>
          <w:color w:val="auto"/>
        </w:rPr>
      </w:pPr>
      <w:r>
        <w:rPr>
          <w:rFonts w:ascii="Arial" w:cs="Arial" w:eastAsia="Arial" w:hAnsi="Arial"/>
          <w:sz w:val="19"/>
          <w:szCs w:val="19"/>
          <w:color w:val="auto"/>
        </w:rPr>
        <w:t>This press release contains forward-looking statements. These statements are based on management's current expectations and information currently available, including current economic and industry conditions. These statements are not guarantees of future performance or actual results, and actual results, developments and business decisions may differ from those stated in this press release. The forward-looking statements are subject to future events, risks, uncertainties and other factors that could cause actual results to differ materially from those projected in the statements, including, but not limited to, the ability to enter into new contracts, maintain client relationships, manage the opening of new offices and offering of new services, the integration of new business mergers and acquisitions, the impact of COVID-19 on our business, as well as other economic and global market conditions and other risks and uncertainties detailed from time to time in SEC reports filed by ICON, all of which are difficult to predict and some of which are beyond our control. For these reasons, you should not place undue reliance on these forward-looking statements when making investment decisions. The word "expected" and variations of such words and similar expressions are intended to identify forward-looking statements. Forward-looking statements are only as of the date they are made and we do not undertake any obligation to update publicly any forward-looking statement, either as a result of new information, future events or otherwise. More information about the risks and uncertainties relating to these forward-looking statements may be found in SEC reports filed by ICON, including its Form 20-F, F-1, S-8 and F-3, which are available on the SEC's website at http://www.sec.gov.</w:t>
      </w:r>
    </w:p>
    <w:p>
      <w:pPr>
        <w:spacing w:after="0" w:line="200" w:lineRule="exact"/>
        <w:rPr>
          <w:sz w:val="20"/>
          <w:szCs w:val="20"/>
          <w:color w:val="auto"/>
        </w:rPr>
      </w:pPr>
    </w:p>
    <w:p>
      <w:pPr>
        <w:spacing w:after="0" w:line="207" w:lineRule="exact"/>
        <w:rPr>
          <w:sz w:val="20"/>
          <w:szCs w:val="20"/>
          <w:color w:val="auto"/>
        </w:rPr>
      </w:pPr>
    </w:p>
    <w:p>
      <w:pPr>
        <w:ind w:right="100"/>
        <w:spacing w:after="0" w:line="282" w:lineRule="auto"/>
        <w:rPr>
          <w:sz w:val="20"/>
          <w:szCs w:val="20"/>
          <w:color w:val="auto"/>
        </w:rPr>
      </w:pPr>
      <w:r>
        <w:rPr>
          <w:rFonts w:ascii="Arial" w:cs="Arial" w:eastAsia="Arial" w:hAnsi="Arial"/>
          <w:sz w:val="19"/>
          <w:szCs w:val="19"/>
          <w:color w:val="auto"/>
        </w:rPr>
        <w:t>ICON plc is a global provider of outsourced drug and device development and commercialisation services to pharmaceutical, biotechnology, medical device and government and public health organisations. The Company specialises in the strategic development, management and analysis of programs that support clinical development - from compound selection to Phase I-IV clinical studies. With headquarters in Dublin, Ireland, ICON employed approximately 15,150 employees in 94 locations in 40 countries as at June 30, 2020. Further information is available at www.iconplc.com.</w:t>
      </w:r>
    </w:p>
    <w:p>
      <w:pPr>
        <w:spacing w:after="0" w:line="147" w:lineRule="exact"/>
        <w:rPr>
          <w:sz w:val="20"/>
          <w:szCs w:val="20"/>
          <w:color w:val="auto"/>
        </w:rPr>
      </w:pPr>
    </w:p>
    <w:p>
      <w:pPr>
        <w:spacing w:after="0"/>
        <w:rPr>
          <w:sz w:val="20"/>
          <w:szCs w:val="20"/>
          <w:color w:val="auto"/>
        </w:rPr>
      </w:pPr>
      <w:r>
        <w:rPr>
          <w:rFonts w:ascii="Arial" w:cs="Arial" w:eastAsia="Arial" w:hAnsi="Arial"/>
          <w:sz w:val="22"/>
          <w:szCs w:val="22"/>
          <w:color w:val="auto"/>
        </w:rPr>
        <w:t>Source: ICON plc</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Contact: Investor Relations +1888 381 7923 or</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Brendan Brennan Chief Financial Officer +353 1 291 2000</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Jonathan Curtain Vice President Corporate Finance and Investor Relations +353 1 291 2000</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All at ICON.</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ICON plc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328" w:right="399" w:bottom="1440" w:gutter="0" w:footer="0" w:header="0"/>
        </w:sectPr>
      </w:pPr>
    </w:p>
    <w:bookmarkStart w:id="6" w:name="page7"/>
    <w:bookmarkEnd w:id="6"/>
    <w:p>
      <w:pPr>
        <w:jc w:val="center"/>
        <w:spacing w:after="0"/>
        <w:rPr>
          <w:sz w:val="20"/>
          <w:szCs w:val="20"/>
          <w:color w:val="auto"/>
        </w:rPr>
      </w:pPr>
      <w:r>
        <w:rPr>
          <w:rFonts w:ascii="Arial" w:cs="Arial" w:eastAsia="Arial" w:hAnsi="Arial"/>
          <w:sz w:val="22"/>
          <w:szCs w:val="22"/>
          <w:b w:val="1"/>
          <w:bCs w:val="1"/>
          <w:color w:val="auto"/>
        </w:rPr>
        <w:t>Condensed Consolidated Statements of Operations</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(Non-GAAP)</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Three and Six Months ended June 30, 2020 and June 30, 2019</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(Dollars, in thousands, except share and per share data)</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(Unaudited)</w:t>
      </w:r>
    </w:p>
    <w:p>
      <w:pPr>
        <w:spacing w:after="0" w:line="229" w:lineRule="exact"/>
        <w:rPr>
          <w:sz w:val="20"/>
          <w:szCs w:val="20"/>
          <w:color w:val="auto"/>
        </w:rPr>
      </w:pPr>
    </w:p>
    <w:tbl>
      <w:tblPr>
        <w:tblLayout w:type="fixed"/>
        <w:tblInd w:w="1420" w:type="dxa"/>
        <w:tblCellMar>
          <w:top w:w="0" w:type="dxa"/>
          <w:left w:w="0" w:type="dxa"/>
          <w:bottom w:w="0" w:type="dxa"/>
          <w:right w:w="0" w:type="dxa"/>
        </w:tblCellMar>
      </w:tblPr>
      <w:tr>
        <w:trPr>
          <w:trHeight w:val="234"/>
        </w:trPr>
        <w:tc>
          <w:tcPr>
            <w:tcW w:w="4260" w:type="dxa"/>
            <w:vAlign w:val="bottom"/>
          </w:tcPr>
          <w:p>
            <w:pPr>
              <w:spacing w:after="0"/>
              <w:rPr>
                <w:sz w:val="20"/>
                <w:szCs w:val="20"/>
                <w:color w:val="auto"/>
              </w:rPr>
            </w:pPr>
          </w:p>
        </w:tc>
        <w:tc>
          <w:tcPr>
            <w:tcW w:w="2300" w:type="dxa"/>
            <w:vAlign w:val="bottom"/>
            <w:gridSpan w:val="2"/>
          </w:tcPr>
          <w:p>
            <w:pPr>
              <w:jc w:val="right"/>
              <w:spacing w:after="0"/>
              <w:rPr>
                <w:sz w:val="20"/>
                <w:szCs w:val="20"/>
                <w:color w:val="auto"/>
              </w:rPr>
            </w:pPr>
            <w:r>
              <w:rPr>
                <w:rFonts w:ascii="Arial" w:cs="Arial" w:eastAsia="Arial" w:hAnsi="Arial"/>
                <w:sz w:val="18"/>
                <w:szCs w:val="18"/>
                <w:b w:val="1"/>
                <w:bCs w:val="1"/>
                <w:color w:val="auto"/>
              </w:rPr>
              <w:t>Three Months Ended</w:t>
            </w:r>
          </w:p>
        </w:tc>
        <w:tc>
          <w:tcPr>
            <w:tcW w:w="40" w:type="dxa"/>
            <w:vAlign w:val="bottom"/>
          </w:tcPr>
          <w:p>
            <w:pPr>
              <w:spacing w:after="0"/>
              <w:rPr>
                <w:sz w:val="20"/>
                <w:szCs w:val="20"/>
                <w:color w:val="auto"/>
              </w:rPr>
            </w:pPr>
          </w:p>
        </w:tc>
        <w:tc>
          <w:tcPr>
            <w:tcW w:w="1720" w:type="dxa"/>
            <w:vAlign w:val="bottom"/>
            <w:gridSpan w:val="3"/>
          </w:tcPr>
          <w:p>
            <w:pPr>
              <w:jc w:val="right"/>
              <w:ind w:right="70"/>
              <w:spacing w:after="0"/>
              <w:rPr>
                <w:sz w:val="20"/>
                <w:szCs w:val="20"/>
                <w:color w:val="auto"/>
              </w:rPr>
            </w:pPr>
            <w:r>
              <w:rPr>
                <w:rFonts w:ascii="Arial" w:cs="Arial" w:eastAsia="Arial" w:hAnsi="Arial"/>
                <w:sz w:val="18"/>
                <w:szCs w:val="18"/>
                <w:b w:val="1"/>
                <w:bCs w:val="1"/>
                <w:color w:val="auto"/>
                <w:w w:val="98"/>
              </w:rPr>
              <w:t>Six Months Ended</w:t>
            </w:r>
          </w:p>
        </w:tc>
      </w:tr>
      <w:tr>
        <w:trPr>
          <w:trHeight w:val="243"/>
        </w:trPr>
        <w:tc>
          <w:tcPr>
            <w:tcW w:w="4260" w:type="dxa"/>
            <w:vAlign w:val="bottom"/>
          </w:tcPr>
          <w:p>
            <w:pPr>
              <w:spacing w:after="0"/>
              <w:rPr>
                <w:sz w:val="21"/>
                <w:szCs w:val="21"/>
                <w:color w:val="auto"/>
              </w:rPr>
            </w:pPr>
          </w:p>
        </w:tc>
        <w:tc>
          <w:tcPr>
            <w:tcW w:w="1500" w:type="dxa"/>
            <w:vAlign w:val="bottom"/>
          </w:tcPr>
          <w:p>
            <w:pPr>
              <w:jc w:val="right"/>
              <w:ind w:right="210"/>
              <w:spacing w:after="0"/>
              <w:rPr>
                <w:sz w:val="20"/>
                <w:szCs w:val="20"/>
                <w:color w:val="auto"/>
              </w:rPr>
            </w:pPr>
            <w:r>
              <w:rPr>
                <w:rFonts w:ascii="Arial" w:cs="Arial" w:eastAsia="Arial" w:hAnsi="Arial"/>
                <w:sz w:val="18"/>
                <w:szCs w:val="18"/>
                <w:b w:val="1"/>
                <w:bCs w:val="1"/>
                <w:color w:val="auto"/>
              </w:rPr>
              <w:t>June</w:t>
            </w:r>
          </w:p>
        </w:tc>
        <w:tc>
          <w:tcPr>
            <w:tcW w:w="800" w:type="dxa"/>
            <w:vAlign w:val="bottom"/>
          </w:tcPr>
          <w:p>
            <w:pPr>
              <w:jc w:val="right"/>
              <w:ind w:right="130"/>
              <w:spacing w:after="0"/>
              <w:rPr>
                <w:sz w:val="20"/>
                <w:szCs w:val="20"/>
                <w:color w:val="auto"/>
              </w:rPr>
            </w:pPr>
            <w:r>
              <w:rPr>
                <w:rFonts w:ascii="Arial" w:cs="Arial" w:eastAsia="Arial" w:hAnsi="Arial"/>
                <w:sz w:val="18"/>
                <w:szCs w:val="18"/>
                <w:b w:val="1"/>
                <w:bCs w:val="1"/>
                <w:color w:val="auto"/>
              </w:rPr>
              <w:t>June</w:t>
            </w:r>
          </w:p>
        </w:tc>
        <w:tc>
          <w:tcPr>
            <w:tcW w:w="40" w:type="dxa"/>
            <w:vAlign w:val="bottom"/>
          </w:tcPr>
          <w:p>
            <w:pPr>
              <w:spacing w:after="0"/>
              <w:rPr>
                <w:sz w:val="21"/>
                <w:szCs w:val="21"/>
                <w:color w:val="auto"/>
              </w:rPr>
            </w:pPr>
          </w:p>
        </w:tc>
        <w:tc>
          <w:tcPr>
            <w:tcW w:w="88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90"/>
              </w:rPr>
              <w:t>June</w:t>
            </w:r>
          </w:p>
        </w:tc>
        <w:tc>
          <w:tcPr>
            <w:tcW w:w="840" w:type="dxa"/>
            <w:vAlign w:val="bottom"/>
          </w:tcPr>
          <w:p>
            <w:pPr>
              <w:jc w:val="right"/>
              <w:ind w:right="150"/>
              <w:spacing w:after="0"/>
              <w:rPr>
                <w:sz w:val="20"/>
                <w:szCs w:val="20"/>
                <w:color w:val="auto"/>
              </w:rPr>
            </w:pPr>
            <w:r>
              <w:rPr>
                <w:rFonts w:ascii="Arial" w:cs="Arial" w:eastAsia="Arial" w:hAnsi="Arial"/>
                <w:sz w:val="18"/>
                <w:szCs w:val="18"/>
                <w:b w:val="1"/>
                <w:bCs w:val="1"/>
                <w:color w:val="auto"/>
              </w:rPr>
              <w:t>June</w:t>
            </w:r>
          </w:p>
        </w:tc>
      </w:tr>
      <w:tr>
        <w:trPr>
          <w:trHeight w:val="243"/>
        </w:trPr>
        <w:tc>
          <w:tcPr>
            <w:tcW w:w="4260" w:type="dxa"/>
            <w:vAlign w:val="bottom"/>
          </w:tcPr>
          <w:p>
            <w:pPr>
              <w:spacing w:after="0"/>
              <w:rPr>
                <w:sz w:val="21"/>
                <w:szCs w:val="21"/>
                <w:color w:val="auto"/>
              </w:rPr>
            </w:pPr>
          </w:p>
        </w:tc>
        <w:tc>
          <w:tcPr>
            <w:tcW w:w="1500" w:type="dxa"/>
            <w:vAlign w:val="bottom"/>
          </w:tcPr>
          <w:p>
            <w:pPr>
              <w:jc w:val="right"/>
              <w:ind w:right="70"/>
              <w:spacing w:after="0"/>
              <w:rPr>
                <w:sz w:val="20"/>
                <w:szCs w:val="20"/>
                <w:color w:val="auto"/>
              </w:rPr>
            </w:pPr>
            <w:r>
              <w:rPr>
                <w:rFonts w:ascii="Arial" w:cs="Arial" w:eastAsia="Arial" w:hAnsi="Arial"/>
                <w:sz w:val="18"/>
                <w:szCs w:val="18"/>
                <w:b w:val="1"/>
                <w:bCs w:val="1"/>
                <w:color w:val="auto"/>
              </w:rPr>
              <w:t>30, 2020</w:t>
            </w: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w w:val="99"/>
              </w:rPr>
              <w:t>30, 2019</w:t>
            </w:r>
          </w:p>
        </w:tc>
        <w:tc>
          <w:tcPr>
            <w:tcW w:w="88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30, 2020</w:t>
            </w:r>
          </w:p>
        </w:tc>
        <w:tc>
          <w:tcPr>
            <w:tcW w:w="4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b w:val="1"/>
                <w:bCs w:val="1"/>
                <w:color w:val="auto"/>
              </w:rPr>
              <w:t>30, 2019</w:t>
            </w:r>
          </w:p>
        </w:tc>
      </w:tr>
      <w:tr>
        <w:trPr>
          <w:trHeight w:val="243"/>
        </w:trPr>
        <w:tc>
          <w:tcPr>
            <w:tcW w:w="4260" w:type="dxa"/>
            <w:vAlign w:val="bottom"/>
          </w:tcPr>
          <w:p>
            <w:pPr>
              <w:spacing w:after="0"/>
              <w:rPr>
                <w:sz w:val="20"/>
                <w:szCs w:val="20"/>
                <w:color w:val="auto"/>
              </w:rPr>
            </w:pPr>
            <w:r>
              <w:rPr>
                <w:rFonts w:ascii="Arial" w:cs="Arial" w:eastAsia="Arial" w:hAnsi="Arial"/>
                <w:sz w:val="18"/>
                <w:szCs w:val="18"/>
                <w:b w:val="1"/>
                <w:bCs w:val="1"/>
                <w:color w:val="auto"/>
              </w:rPr>
              <w:t>Revenue</w:t>
            </w:r>
          </w:p>
        </w:tc>
        <w:tc>
          <w:tcPr>
            <w:tcW w:w="1500" w:type="dxa"/>
            <w:vAlign w:val="bottom"/>
          </w:tcPr>
          <w:p>
            <w:pPr>
              <w:jc w:val="right"/>
              <w:spacing w:after="0"/>
              <w:rPr>
                <w:sz w:val="20"/>
                <w:szCs w:val="20"/>
                <w:color w:val="auto"/>
              </w:rPr>
            </w:pPr>
            <w:r>
              <w:rPr>
                <w:rFonts w:ascii="Arial" w:cs="Arial" w:eastAsia="Arial" w:hAnsi="Arial"/>
                <w:sz w:val="18"/>
                <w:szCs w:val="18"/>
                <w:color w:val="auto"/>
              </w:rPr>
              <w:t>620,228</w:t>
            </w:r>
          </w:p>
        </w:tc>
        <w:tc>
          <w:tcPr>
            <w:tcW w:w="800" w:type="dxa"/>
            <w:vAlign w:val="bottom"/>
          </w:tcPr>
          <w:p>
            <w:pPr>
              <w:jc w:val="right"/>
              <w:spacing w:after="0"/>
              <w:rPr>
                <w:sz w:val="20"/>
                <w:szCs w:val="20"/>
                <w:color w:val="auto"/>
              </w:rPr>
            </w:pPr>
            <w:r>
              <w:rPr>
                <w:rFonts w:ascii="Arial" w:cs="Arial" w:eastAsia="Arial" w:hAnsi="Arial"/>
                <w:sz w:val="18"/>
                <w:szCs w:val="18"/>
                <w:color w:val="auto"/>
              </w:rPr>
              <w:t>695,137</w:t>
            </w:r>
          </w:p>
        </w:tc>
        <w:tc>
          <w:tcPr>
            <w:tcW w:w="920" w:type="dxa"/>
            <w:vAlign w:val="bottom"/>
            <w:gridSpan w:val="3"/>
          </w:tcPr>
          <w:p>
            <w:pPr>
              <w:jc w:val="right"/>
              <w:ind w:right="40"/>
              <w:spacing w:after="0"/>
              <w:rPr>
                <w:sz w:val="20"/>
                <w:szCs w:val="20"/>
                <w:color w:val="auto"/>
              </w:rPr>
            </w:pPr>
            <w:r>
              <w:rPr>
                <w:rFonts w:ascii="Arial" w:cs="Arial" w:eastAsia="Arial" w:hAnsi="Arial"/>
                <w:sz w:val="18"/>
                <w:szCs w:val="18"/>
                <w:color w:val="auto"/>
              </w:rPr>
              <w:t>1,335,330</w:t>
            </w:r>
          </w:p>
        </w:tc>
        <w:tc>
          <w:tcPr>
            <w:tcW w:w="840" w:type="dxa"/>
            <w:vAlign w:val="bottom"/>
          </w:tcPr>
          <w:p>
            <w:pPr>
              <w:jc w:val="right"/>
              <w:spacing w:after="0"/>
              <w:rPr>
                <w:sz w:val="20"/>
                <w:szCs w:val="20"/>
                <w:color w:val="auto"/>
              </w:rPr>
            </w:pPr>
            <w:r>
              <w:rPr>
                <w:rFonts w:ascii="Arial" w:cs="Arial" w:eastAsia="Arial" w:hAnsi="Arial"/>
                <w:sz w:val="18"/>
                <w:szCs w:val="18"/>
                <w:color w:val="auto"/>
              </w:rPr>
              <w:t>1,369,989</w:t>
            </w:r>
          </w:p>
        </w:tc>
      </w:tr>
      <w:tr>
        <w:trPr>
          <w:trHeight w:val="486"/>
        </w:trPr>
        <w:tc>
          <w:tcPr>
            <w:tcW w:w="4260" w:type="dxa"/>
            <w:vAlign w:val="bottom"/>
          </w:tcPr>
          <w:p>
            <w:pPr>
              <w:spacing w:after="0"/>
              <w:rPr>
                <w:sz w:val="20"/>
                <w:szCs w:val="20"/>
                <w:color w:val="auto"/>
              </w:rPr>
            </w:pPr>
            <w:r>
              <w:rPr>
                <w:rFonts w:ascii="Arial" w:cs="Arial" w:eastAsia="Arial" w:hAnsi="Arial"/>
                <w:sz w:val="18"/>
                <w:szCs w:val="18"/>
                <w:b w:val="1"/>
                <w:bCs w:val="1"/>
                <w:color w:val="auto"/>
              </w:rPr>
              <w:t>Costs and expenses:</w:t>
            </w:r>
          </w:p>
        </w:tc>
        <w:tc>
          <w:tcPr>
            <w:tcW w:w="15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43"/>
        </w:trPr>
        <w:tc>
          <w:tcPr>
            <w:tcW w:w="4260" w:type="dxa"/>
            <w:vAlign w:val="bottom"/>
          </w:tcPr>
          <w:p>
            <w:pPr>
              <w:spacing w:after="0"/>
              <w:rPr>
                <w:sz w:val="20"/>
                <w:szCs w:val="20"/>
                <w:color w:val="auto"/>
              </w:rPr>
            </w:pPr>
            <w:r>
              <w:rPr>
                <w:rFonts w:ascii="Arial" w:cs="Arial" w:eastAsia="Arial" w:hAnsi="Arial"/>
                <w:sz w:val="18"/>
                <w:szCs w:val="18"/>
                <w:color w:val="auto"/>
              </w:rPr>
              <w:t>Direct costs</w:t>
            </w:r>
          </w:p>
        </w:tc>
        <w:tc>
          <w:tcPr>
            <w:tcW w:w="1500" w:type="dxa"/>
            <w:vAlign w:val="bottom"/>
          </w:tcPr>
          <w:p>
            <w:pPr>
              <w:jc w:val="right"/>
              <w:spacing w:after="0"/>
              <w:rPr>
                <w:sz w:val="20"/>
                <w:szCs w:val="20"/>
                <w:color w:val="auto"/>
              </w:rPr>
            </w:pPr>
            <w:r>
              <w:rPr>
                <w:rFonts w:ascii="Arial" w:cs="Arial" w:eastAsia="Arial" w:hAnsi="Arial"/>
                <w:sz w:val="18"/>
                <w:szCs w:val="18"/>
                <w:color w:val="auto"/>
              </w:rPr>
              <w:t>(445,833)</w:t>
            </w:r>
          </w:p>
        </w:tc>
        <w:tc>
          <w:tcPr>
            <w:tcW w:w="800" w:type="dxa"/>
            <w:vAlign w:val="bottom"/>
          </w:tcPr>
          <w:p>
            <w:pPr>
              <w:jc w:val="right"/>
              <w:spacing w:after="0"/>
              <w:rPr>
                <w:sz w:val="20"/>
                <w:szCs w:val="20"/>
                <w:color w:val="auto"/>
              </w:rPr>
            </w:pPr>
            <w:r>
              <w:rPr>
                <w:rFonts w:ascii="Arial" w:cs="Arial" w:eastAsia="Arial" w:hAnsi="Arial"/>
                <w:sz w:val="18"/>
                <w:szCs w:val="18"/>
                <w:color w:val="auto"/>
              </w:rPr>
              <w:t>(490,656)</w:t>
            </w:r>
          </w:p>
        </w:tc>
        <w:tc>
          <w:tcPr>
            <w:tcW w:w="920" w:type="dxa"/>
            <w:vAlign w:val="bottom"/>
            <w:gridSpan w:val="3"/>
          </w:tcPr>
          <w:p>
            <w:pPr>
              <w:jc w:val="right"/>
              <w:ind w:right="40"/>
              <w:spacing w:after="0"/>
              <w:rPr>
                <w:sz w:val="20"/>
                <w:szCs w:val="20"/>
                <w:color w:val="auto"/>
              </w:rPr>
            </w:pPr>
            <w:r>
              <w:rPr>
                <w:rFonts w:ascii="Arial" w:cs="Arial" w:eastAsia="Arial" w:hAnsi="Arial"/>
                <w:sz w:val="18"/>
                <w:szCs w:val="18"/>
                <w:color w:val="auto"/>
              </w:rPr>
              <w:t>(951,126)</w:t>
            </w:r>
          </w:p>
        </w:tc>
        <w:tc>
          <w:tcPr>
            <w:tcW w:w="840" w:type="dxa"/>
            <w:vAlign w:val="bottom"/>
          </w:tcPr>
          <w:p>
            <w:pPr>
              <w:jc w:val="right"/>
              <w:spacing w:after="0"/>
              <w:rPr>
                <w:sz w:val="20"/>
                <w:szCs w:val="20"/>
                <w:color w:val="auto"/>
              </w:rPr>
            </w:pPr>
            <w:r>
              <w:rPr>
                <w:rFonts w:ascii="Arial" w:cs="Arial" w:eastAsia="Arial" w:hAnsi="Arial"/>
                <w:sz w:val="18"/>
                <w:szCs w:val="18"/>
                <w:color w:val="auto"/>
              </w:rPr>
              <w:t>(966,153)</w:t>
            </w:r>
          </w:p>
        </w:tc>
      </w:tr>
      <w:tr>
        <w:trPr>
          <w:trHeight w:val="243"/>
        </w:trPr>
        <w:tc>
          <w:tcPr>
            <w:tcW w:w="4260" w:type="dxa"/>
            <w:vAlign w:val="bottom"/>
          </w:tcPr>
          <w:p>
            <w:pPr>
              <w:spacing w:after="0"/>
              <w:rPr>
                <w:sz w:val="20"/>
                <w:szCs w:val="20"/>
                <w:color w:val="auto"/>
              </w:rPr>
            </w:pPr>
            <w:r>
              <w:rPr>
                <w:rFonts w:ascii="Arial" w:cs="Arial" w:eastAsia="Arial" w:hAnsi="Arial"/>
                <w:sz w:val="18"/>
                <w:szCs w:val="18"/>
                <w:color w:val="auto"/>
              </w:rPr>
              <w:t>Selling, general and administrative expense</w:t>
            </w:r>
          </w:p>
        </w:tc>
        <w:tc>
          <w:tcPr>
            <w:tcW w:w="1500" w:type="dxa"/>
            <w:vAlign w:val="bottom"/>
          </w:tcPr>
          <w:p>
            <w:pPr>
              <w:jc w:val="right"/>
              <w:spacing w:after="0"/>
              <w:rPr>
                <w:sz w:val="20"/>
                <w:szCs w:val="20"/>
                <w:color w:val="auto"/>
              </w:rPr>
            </w:pPr>
            <w:r>
              <w:rPr>
                <w:rFonts w:ascii="Arial" w:cs="Arial" w:eastAsia="Arial" w:hAnsi="Arial"/>
                <w:sz w:val="18"/>
                <w:szCs w:val="18"/>
                <w:color w:val="auto"/>
              </w:rPr>
              <w:t>(83,499)</w:t>
            </w:r>
          </w:p>
        </w:tc>
        <w:tc>
          <w:tcPr>
            <w:tcW w:w="800" w:type="dxa"/>
            <w:vAlign w:val="bottom"/>
          </w:tcPr>
          <w:p>
            <w:pPr>
              <w:jc w:val="right"/>
              <w:spacing w:after="0"/>
              <w:rPr>
                <w:sz w:val="20"/>
                <w:szCs w:val="20"/>
                <w:color w:val="auto"/>
              </w:rPr>
            </w:pPr>
            <w:r>
              <w:rPr>
                <w:rFonts w:ascii="Arial" w:cs="Arial" w:eastAsia="Arial" w:hAnsi="Arial"/>
                <w:sz w:val="18"/>
                <w:szCs w:val="18"/>
                <w:color w:val="auto"/>
              </w:rPr>
              <w:t>(83,203)</w:t>
            </w:r>
          </w:p>
        </w:tc>
        <w:tc>
          <w:tcPr>
            <w:tcW w:w="920" w:type="dxa"/>
            <w:vAlign w:val="bottom"/>
            <w:gridSpan w:val="3"/>
          </w:tcPr>
          <w:p>
            <w:pPr>
              <w:jc w:val="right"/>
              <w:ind w:right="40"/>
              <w:spacing w:after="0"/>
              <w:rPr>
                <w:sz w:val="20"/>
                <w:szCs w:val="20"/>
                <w:color w:val="auto"/>
              </w:rPr>
            </w:pPr>
            <w:r>
              <w:rPr>
                <w:rFonts w:ascii="Arial" w:cs="Arial" w:eastAsia="Arial" w:hAnsi="Arial"/>
                <w:sz w:val="18"/>
                <w:szCs w:val="18"/>
                <w:color w:val="auto"/>
              </w:rPr>
              <w:t>(170,695)</w:t>
            </w:r>
          </w:p>
        </w:tc>
        <w:tc>
          <w:tcPr>
            <w:tcW w:w="840" w:type="dxa"/>
            <w:vAlign w:val="bottom"/>
          </w:tcPr>
          <w:p>
            <w:pPr>
              <w:jc w:val="right"/>
              <w:spacing w:after="0"/>
              <w:rPr>
                <w:sz w:val="20"/>
                <w:szCs w:val="20"/>
                <w:color w:val="auto"/>
              </w:rPr>
            </w:pPr>
            <w:r>
              <w:rPr>
                <w:rFonts w:ascii="Arial" w:cs="Arial" w:eastAsia="Arial" w:hAnsi="Arial"/>
                <w:sz w:val="18"/>
                <w:szCs w:val="18"/>
                <w:color w:val="auto"/>
              </w:rPr>
              <w:t>(165,115)</w:t>
            </w:r>
          </w:p>
        </w:tc>
      </w:tr>
      <w:tr>
        <w:trPr>
          <w:trHeight w:val="250"/>
        </w:trPr>
        <w:tc>
          <w:tcPr>
            <w:tcW w:w="426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500" w:type="dxa"/>
            <w:vAlign w:val="bottom"/>
          </w:tcPr>
          <w:p>
            <w:pPr>
              <w:jc w:val="right"/>
              <w:spacing w:after="0"/>
              <w:rPr>
                <w:sz w:val="20"/>
                <w:szCs w:val="20"/>
                <w:color w:val="auto"/>
              </w:rPr>
            </w:pPr>
            <w:r>
              <w:rPr>
                <w:rFonts w:ascii="Arial" w:cs="Arial" w:eastAsia="Arial" w:hAnsi="Arial"/>
                <w:sz w:val="18"/>
                <w:szCs w:val="18"/>
                <w:color w:val="auto"/>
              </w:rPr>
              <w:t>(15,858)</w:t>
            </w:r>
          </w:p>
        </w:tc>
        <w:tc>
          <w:tcPr>
            <w:tcW w:w="800" w:type="dxa"/>
            <w:vAlign w:val="bottom"/>
          </w:tcPr>
          <w:p>
            <w:pPr>
              <w:jc w:val="right"/>
              <w:spacing w:after="0"/>
              <w:rPr>
                <w:sz w:val="20"/>
                <w:szCs w:val="20"/>
                <w:color w:val="auto"/>
              </w:rPr>
            </w:pPr>
            <w:r>
              <w:rPr>
                <w:rFonts w:ascii="Arial" w:cs="Arial" w:eastAsia="Arial" w:hAnsi="Arial"/>
                <w:sz w:val="18"/>
                <w:szCs w:val="18"/>
                <w:color w:val="auto"/>
              </w:rPr>
              <w:t>(15,188)</w:t>
            </w:r>
          </w:p>
        </w:tc>
        <w:tc>
          <w:tcPr>
            <w:tcW w:w="40" w:type="dxa"/>
            <w:vAlign w:val="bottom"/>
          </w:tcPr>
          <w:p>
            <w:pPr>
              <w:spacing w:after="0"/>
              <w:rPr>
                <w:sz w:val="21"/>
                <w:szCs w:val="21"/>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(32,180)</w:t>
            </w:r>
          </w:p>
        </w:tc>
        <w:tc>
          <w:tcPr>
            <w:tcW w:w="840" w:type="dxa"/>
            <w:vAlign w:val="bottom"/>
          </w:tcPr>
          <w:p>
            <w:pPr>
              <w:jc w:val="right"/>
              <w:spacing w:after="0"/>
              <w:rPr>
                <w:sz w:val="20"/>
                <w:szCs w:val="20"/>
                <w:color w:val="auto"/>
              </w:rPr>
            </w:pPr>
            <w:r>
              <w:rPr>
                <w:rFonts w:ascii="Arial" w:cs="Arial" w:eastAsia="Arial" w:hAnsi="Arial"/>
                <w:sz w:val="18"/>
                <w:szCs w:val="18"/>
                <w:color w:val="auto"/>
              </w:rPr>
              <w:t>(30,685)</w:t>
            </w:r>
          </w:p>
        </w:tc>
      </w:tr>
      <w:tr>
        <w:trPr>
          <w:trHeight w:val="20"/>
        </w:trPr>
        <w:tc>
          <w:tcPr>
            <w:tcW w:w="426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r>
      <w:tr>
        <w:trPr>
          <w:trHeight w:val="479"/>
        </w:trPr>
        <w:tc>
          <w:tcPr>
            <w:tcW w:w="4260" w:type="dxa"/>
            <w:vAlign w:val="bottom"/>
          </w:tcPr>
          <w:p>
            <w:pPr>
              <w:spacing w:after="0"/>
              <w:rPr>
                <w:sz w:val="20"/>
                <w:szCs w:val="20"/>
                <w:color w:val="auto"/>
              </w:rPr>
            </w:pPr>
            <w:r>
              <w:rPr>
                <w:rFonts w:ascii="Arial" w:cs="Arial" w:eastAsia="Arial" w:hAnsi="Arial"/>
                <w:sz w:val="18"/>
                <w:szCs w:val="18"/>
                <w:b w:val="1"/>
                <w:bCs w:val="1"/>
                <w:color w:val="auto"/>
              </w:rPr>
              <w:t>Total costs and expenses</w:t>
            </w:r>
          </w:p>
        </w:tc>
        <w:tc>
          <w:tcPr>
            <w:tcW w:w="1500" w:type="dxa"/>
            <w:vAlign w:val="bottom"/>
          </w:tcPr>
          <w:p>
            <w:pPr>
              <w:jc w:val="right"/>
              <w:spacing w:after="0"/>
              <w:rPr>
                <w:sz w:val="20"/>
                <w:szCs w:val="20"/>
                <w:color w:val="auto"/>
              </w:rPr>
            </w:pPr>
            <w:r>
              <w:rPr>
                <w:rFonts w:ascii="Arial" w:cs="Arial" w:eastAsia="Arial" w:hAnsi="Arial"/>
                <w:sz w:val="18"/>
                <w:szCs w:val="18"/>
                <w:color w:val="auto"/>
              </w:rPr>
              <w:t>(545,190)</w:t>
            </w:r>
          </w:p>
        </w:tc>
        <w:tc>
          <w:tcPr>
            <w:tcW w:w="800" w:type="dxa"/>
            <w:vAlign w:val="bottom"/>
          </w:tcPr>
          <w:p>
            <w:pPr>
              <w:jc w:val="right"/>
              <w:spacing w:after="0"/>
              <w:rPr>
                <w:sz w:val="20"/>
                <w:szCs w:val="20"/>
                <w:color w:val="auto"/>
              </w:rPr>
            </w:pPr>
            <w:r>
              <w:rPr>
                <w:rFonts w:ascii="Arial" w:cs="Arial" w:eastAsia="Arial" w:hAnsi="Arial"/>
                <w:sz w:val="18"/>
                <w:szCs w:val="18"/>
                <w:color w:val="auto"/>
              </w:rPr>
              <w:t>(589,047)</w:t>
            </w:r>
          </w:p>
        </w:tc>
        <w:tc>
          <w:tcPr>
            <w:tcW w:w="40" w:type="dxa"/>
            <w:vAlign w:val="bottom"/>
          </w:tcPr>
          <w:p>
            <w:pPr>
              <w:spacing w:after="0"/>
              <w:rPr>
                <w:sz w:val="24"/>
                <w:szCs w:val="24"/>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(1,154,001)</w:t>
            </w:r>
          </w:p>
        </w:tc>
        <w:tc>
          <w:tcPr>
            <w:tcW w:w="840" w:type="dxa"/>
            <w:vAlign w:val="bottom"/>
          </w:tcPr>
          <w:p>
            <w:pPr>
              <w:jc w:val="right"/>
              <w:spacing w:after="0"/>
              <w:rPr>
                <w:sz w:val="20"/>
                <w:szCs w:val="20"/>
                <w:color w:val="auto"/>
              </w:rPr>
            </w:pPr>
            <w:r>
              <w:rPr>
                <w:rFonts w:ascii="Arial" w:cs="Arial" w:eastAsia="Arial" w:hAnsi="Arial"/>
                <w:sz w:val="18"/>
                <w:szCs w:val="18"/>
                <w:color w:val="auto"/>
                <w:w w:val="89"/>
              </w:rPr>
              <w:t>(1,161,953)</w:t>
            </w:r>
          </w:p>
        </w:tc>
      </w:tr>
      <w:tr>
        <w:trPr>
          <w:trHeight w:val="20"/>
        </w:trPr>
        <w:tc>
          <w:tcPr>
            <w:tcW w:w="426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r>
      <w:tr>
        <w:trPr>
          <w:trHeight w:val="473"/>
        </w:trPr>
        <w:tc>
          <w:tcPr>
            <w:tcW w:w="4260" w:type="dxa"/>
            <w:vAlign w:val="bottom"/>
          </w:tcPr>
          <w:p>
            <w:pPr>
              <w:spacing w:after="0"/>
              <w:rPr>
                <w:sz w:val="20"/>
                <w:szCs w:val="20"/>
                <w:color w:val="auto"/>
              </w:rPr>
            </w:pPr>
            <w:r>
              <w:rPr>
                <w:rFonts w:ascii="Arial" w:cs="Arial" w:eastAsia="Arial" w:hAnsi="Arial"/>
                <w:sz w:val="18"/>
                <w:szCs w:val="18"/>
                <w:b w:val="1"/>
                <w:bCs w:val="1"/>
                <w:color w:val="auto"/>
              </w:rPr>
              <w:t>Income from operations</w:t>
            </w:r>
          </w:p>
        </w:tc>
        <w:tc>
          <w:tcPr>
            <w:tcW w:w="1500" w:type="dxa"/>
            <w:vAlign w:val="bottom"/>
          </w:tcPr>
          <w:p>
            <w:pPr>
              <w:jc w:val="right"/>
              <w:spacing w:after="0"/>
              <w:rPr>
                <w:sz w:val="20"/>
                <w:szCs w:val="20"/>
                <w:color w:val="auto"/>
              </w:rPr>
            </w:pPr>
            <w:r>
              <w:rPr>
                <w:rFonts w:ascii="Arial" w:cs="Arial" w:eastAsia="Arial" w:hAnsi="Arial"/>
                <w:sz w:val="18"/>
                <w:szCs w:val="18"/>
                <w:color w:val="auto"/>
              </w:rPr>
              <w:t>75,038</w:t>
            </w:r>
          </w:p>
        </w:tc>
        <w:tc>
          <w:tcPr>
            <w:tcW w:w="800" w:type="dxa"/>
            <w:vAlign w:val="bottom"/>
          </w:tcPr>
          <w:p>
            <w:pPr>
              <w:jc w:val="right"/>
              <w:spacing w:after="0"/>
              <w:rPr>
                <w:sz w:val="20"/>
                <w:szCs w:val="20"/>
                <w:color w:val="auto"/>
              </w:rPr>
            </w:pPr>
            <w:r>
              <w:rPr>
                <w:rFonts w:ascii="Arial" w:cs="Arial" w:eastAsia="Arial" w:hAnsi="Arial"/>
                <w:sz w:val="18"/>
                <w:szCs w:val="18"/>
                <w:color w:val="auto"/>
              </w:rPr>
              <w:t>106,090</w:t>
            </w:r>
          </w:p>
        </w:tc>
        <w:tc>
          <w:tcPr>
            <w:tcW w:w="40" w:type="dxa"/>
            <w:vAlign w:val="bottom"/>
          </w:tcPr>
          <w:p>
            <w:pPr>
              <w:spacing w:after="0"/>
              <w:rPr>
                <w:sz w:val="24"/>
                <w:szCs w:val="24"/>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181,329</w:t>
            </w:r>
          </w:p>
        </w:tc>
        <w:tc>
          <w:tcPr>
            <w:tcW w:w="840" w:type="dxa"/>
            <w:vAlign w:val="bottom"/>
          </w:tcPr>
          <w:p>
            <w:pPr>
              <w:jc w:val="right"/>
              <w:spacing w:after="0"/>
              <w:rPr>
                <w:sz w:val="20"/>
                <w:szCs w:val="20"/>
                <w:color w:val="auto"/>
              </w:rPr>
            </w:pPr>
            <w:r>
              <w:rPr>
                <w:rFonts w:ascii="Arial" w:cs="Arial" w:eastAsia="Arial" w:hAnsi="Arial"/>
                <w:sz w:val="18"/>
                <w:szCs w:val="18"/>
                <w:color w:val="auto"/>
              </w:rPr>
              <w:t>208,036</w:t>
            </w:r>
          </w:p>
        </w:tc>
      </w:tr>
      <w:tr>
        <w:trPr>
          <w:trHeight w:val="493"/>
        </w:trPr>
        <w:tc>
          <w:tcPr>
            <w:tcW w:w="4260" w:type="dxa"/>
            <w:vAlign w:val="bottom"/>
          </w:tcPr>
          <w:p>
            <w:pPr>
              <w:spacing w:after="0"/>
              <w:rPr>
                <w:sz w:val="20"/>
                <w:szCs w:val="20"/>
                <w:color w:val="auto"/>
              </w:rPr>
            </w:pPr>
            <w:r>
              <w:rPr>
                <w:rFonts w:ascii="Arial" w:cs="Arial" w:eastAsia="Arial" w:hAnsi="Arial"/>
                <w:sz w:val="18"/>
                <w:szCs w:val="18"/>
                <w:color w:val="auto"/>
              </w:rPr>
              <w:t>Net interest expense</w:t>
            </w:r>
          </w:p>
        </w:tc>
        <w:tc>
          <w:tcPr>
            <w:tcW w:w="1500" w:type="dxa"/>
            <w:vAlign w:val="bottom"/>
          </w:tcPr>
          <w:p>
            <w:pPr>
              <w:jc w:val="right"/>
              <w:spacing w:after="0"/>
              <w:rPr>
                <w:sz w:val="20"/>
                <w:szCs w:val="20"/>
                <w:color w:val="auto"/>
              </w:rPr>
            </w:pPr>
            <w:r>
              <w:rPr>
                <w:rFonts w:ascii="Arial" w:cs="Arial" w:eastAsia="Arial" w:hAnsi="Arial"/>
                <w:sz w:val="18"/>
                <w:szCs w:val="18"/>
                <w:color w:val="auto"/>
              </w:rPr>
              <w:t>(2,779)</w:t>
            </w:r>
          </w:p>
        </w:tc>
        <w:tc>
          <w:tcPr>
            <w:tcW w:w="800" w:type="dxa"/>
            <w:vAlign w:val="bottom"/>
          </w:tcPr>
          <w:p>
            <w:pPr>
              <w:jc w:val="right"/>
              <w:spacing w:after="0"/>
              <w:rPr>
                <w:sz w:val="20"/>
                <w:szCs w:val="20"/>
                <w:color w:val="auto"/>
              </w:rPr>
            </w:pPr>
            <w:r>
              <w:rPr>
                <w:rFonts w:ascii="Arial" w:cs="Arial" w:eastAsia="Arial" w:hAnsi="Arial"/>
                <w:sz w:val="18"/>
                <w:szCs w:val="18"/>
                <w:color w:val="auto"/>
              </w:rPr>
              <w:t>(1,419)</w:t>
            </w:r>
          </w:p>
        </w:tc>
        <w:tc>
          <w:tcPr>
            <w:tcW w:w="40" w:type="dxa"/>
            <w:vAlign w:val="bottom"/>
          </w:tcPr>
          <w:p>
            <w:pPr>
              <w:spacing w:after="0"/>
              <w:rPr>
                <w:sz w:val="24"/>
                <w:szCs w:val="24"/>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(4,151)</w:t>
            </w:r>
          </w:p>
        </w:tc>
        <w:tc>
          <w:tcPr>
            <w:tcW w:w="840" w:type="dxa"/>
            <w:vAlign w:val="bottom"/>
          </w:tcPr>
          <w:p>
            <w:pPr>
              <w:jc w:val="right"/>
              <w:spacing w:after="0"/>
              <w:rPr>
                <w:sz w:val="20"/>
                <w:szCs w:val="20"/>
                <w:color w:val="auto"/>
              </w:rPr>
            </w:pPr>
            <w:r>
              <w:rPr>
                <w:rFonts w:ascii="Arial" w:cs="Arial" w:eastAsia="Arial" w:hAnsi="Arial"/>
                <w:sz w:val="18"/>
                <w:szCs w:val="18"/>
                <w:color w:val="auto"/>
              </w:rPr>
              <w:t>(3,028)</w:t>
            </w:r>
          </w:p>
        </w:tc>
      </w:tr>
      <w:tr>
        <w:trPr>
          <w:trHeight w:val="20"/>
        </w:trPr>
        <w:tc>
          <w:tcPr>
            <w:tcW w:w="426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r>
      <w:tr>
        <w:trPr>
          <w:trHeight w:val="473"/>
        </w:trPr>
        <w:tc>
          <w:tcPr>
            <w:tcW w:w="4260" w:type="dxa"/>
            <w:vAlign w:val="bottom"/>
          </w:tcPr>
          <w:p>
            <w:pPr>
              <w:spacing w:after="0"/>
              <w:rPr>
                <w:sz w:val="20"/>
                <w:szCs w:val="20"/>
                <w:color w:val="auto"/>
              </w:rPr>
            </w:pPr>
            <w:r>
              <w:rPr>
                <w:rFonts w:ascii="Arial" w:cs="Arial" w:eastAsia="Arial" w:hAnsi="Arial"/>
                <w:sz w:val="18"/>
                <w:szCs w:val="18"/>
                <w:b w:val="1"/>
                <w:bCs w:val="1"/>
                <w:color w:val="auto"/>
              </w:rPr>
              <w:t>Income before provision for income taxes</w:t>
            </w:r>
          </w:p>
        </w:tc>
        <w:tc>
          <w:tcPr>
            <w:tcW w:w="1500" w:type="dxa"/>
            <w:vAlign w:val="bottom"/>
          </w:tcPr>
          <w:p>
            <w:pPr>
              <w:jc w:val="right"/>
              <w:spacing w:after="0"/>
              <w:rPr>
                <w:sz w:val="20"/>
                <w:szCs w:val="20"/>
                <w:color w:val="auto"/>
              </w:rPr>
            </w:pPr>
            <w:r>
              <w:rPr>
                <w:rFonts w:ascii="Arial" w:cs="Arial" w:eastAsia="Arial" w:hAnsi="Arial"/>
                <w:sz w:val="18"/>
                <w:szCs w:val="18"/>
                <w:color w:val="auto"/>
              </w:rPr>
              <w:t>72,259</w:t>
            </w:r>
          </w:p>
        </w:tc>
        <w:tc>
          <w:tcPr>
            <w:tcW w:w="800" w:type="dxa"/>
            <w:vAlign w:val="bottom"/>
          </w:tcPr>
          <w:p>
            <w:pPr>
              <w:jc w:val="right"/>
              <w:spacing w:after="0"/>
              <w:rPr>
                <w:sz w:val="20"/>
                <w:szCs w:val="20"/>
                <w:color w:val="auto"/>
              </w:rPr>
            </w:pPr>
            <w:r>
              <w:rPr>
                <w:rFonts w:ascii="Arial" w:cs="Arial" w:eastAsia="Arial" w:hAnsi="Arial"/>
                <w:sz w:val="18"/>
                <w:szCs w:val="18"/>
                <w:color w:val="auto"/>
              </w:rPr>
              <w:t>104,671</w:t>
            </w:r>
          </w:p>
        </w:tc>
        <w:tc>
          <w:tcPr>
            <w:tcW w:w="40" w:type="dxa"/>
            <w:vAlign w:val="bottom"/>
          </w:tcPr>
          <w:p>
            <w:pPr>
              <w:spacing w:after="0"/>
              <w:rPr>
                <w:sz w:val="24"/>
                <w:szCs w:val="24"/>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177,178</w:t>
            </w:r>
          </w:p>
        </w:tc>
        <w:tc>
          <w:tcPr>
            <w:tcW w:w="840" w:type="dxa"/>
            <w:vAlign w:val="bottom"/>
          </w:tcPr>
          <w:p>
            <w:pPr>
              <w:jc w:val="right"/>
              <w:spacing w:after="0"/>
              <w:rPr>
                <w:sz w:val="20"/>
                <w:szCs w:val="20"/>
                <w:color w:val="auto"/>
              </w:rPr>
            </w:pPr>
            <w:r>
              <w:rPr>
                <w:rFonts w:ascii="Arial" w:cs="Arial" w:eastAsia="Arial" w:hAnsi="Arial"/>
                <w:sz w:val="18"/>
                <w:szCs w:val="18"/>
                <w:color w:val="auto"/>
              </w:rPr>
              <w:t>205,008</w:t>
            </w:r>
          </w:p>
        </w:tc>
      </w:tr>
      <w:tr>
        <w:trPr>
          <w:trHeight w:val="493"/>
        </w:trPr>
        <w:tc>
          <w:tcPr>
            <w:tcW w:w="426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1500" w:type="dxa"/>
            <w:vAlign w:val="bottom"/>
          </w:tcPr>
          <w:p>
            <w:pPr>
              <w:jc w:val="right"/>
              <w:spacing w:after="0"/>
              <w:rPr>
                <w:sz w:val="20"/>
                <w:szCs w:val="20"/>
                <w:color w:val="auto"/>
              </w:rPr>
            </w:pPr>
            <w:r>
              <w:rPr>
                <w:rFonts w:ascii="Arial" w:cs="Arial" w:eastAsia="Arial" w:hAnsi="Arial"/>
                <w:sz w:val="18"/>
                <w:szCs w:val="18"/>
                <w:color w:val="auto"/>
              </w:rPr>
              <w:t>(8,671)</w:t>
            </w:r>
          </w:p>
        </w:tc>
        <w:tc>
          <w:tcPr>
            <w:tcW w:w="800" w:type="dxa"/>
            <w:vAlign w:val="bottom"/>
          </w:tcPr>
          <w:p>
            <w:pPr>
              <w:jc w:val="right"/>
              <w:spacing w:after="0"/>
              <w:rPr>
                <w:sz w:val="20"/>
                <w:szCs w:val="20"/>
                <w:color w:val="auto"/>
              </w:rPr>
            </w:pPr>
            <w:r>
              <w:rPr>
                <w:rFonts w:ascii="Arial" w:cs="Arial" w:eastAsia="Arial" w:hAnsi="Arial"/>
                <w:sz w:val="18"/>
                <w:szCs w:val="18"/>
                <w:color w:val="auto"/>
              </w:rPr>
              <w:t>(12,456)</w:t>
            </w:r>
          </w:p>
        </w:tc>
        <w:tc>
          <w:tcPr>
            <w:tcW w:w="40" w:type="dxa"/>
            <w:vAlign w:val="bottom"/>
          </w:tcPr>
          <w:p>
            <w:pPr>
              <w:spacing w:after="0"/>
              <w:rPr>
                <w:sz w:val="24"/>
                <w:szCs w:val="24"/>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(21,261)</w:t>
            </w:r>
          </w:p>
        </w:tc>
        <w:tc>
          <w:tcPr>
            <w:tcW w:w="840" w:type="dxa"/>
            <w:vAlign w:val="bottom"/>
          </w:tcPr>
          <w:p>
            <w:pPr>
              <w:jc w:val="right"/>
              <w:spacing w:after="0"/>
              <w:rPr>
                <w:sz w:val="20"/>
                <w:szCs w:val="20"/>
                <w:color w:val="auto"/>
              </w:rPr>
            </w:pPr>
            <w:r>
              <w:rPr>
                <w:rFonts w:ascii="Arial" w:cs="Arial" w:eastAsia="Arial" w:hAnsi="Arial"/>
                <w:sz w:val="18"/>
                <w:szCs w:val="18"/>
                <w:color w:val="auto"/>
              </w:rPr>
              <w:t>(24,496)</w:t>
            </w:r>
          </w:p>
        </w:tc>
      </w:tr>
      <w:tr>
        <w:trPr>
          <w:trHeight w:val="20"/>
        </w:trPr>
        <w:tc>
          <w:tcPr>
            <w:tcW w:w="426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r>
      <w:tr>
        <w:trPr>
          <w:trHeight w:val="473"/>
        </w:trPr>
        <w:tc>
          <w:tcPr>
            <w:tcW w:w="4260" w:type="dxa"/>
            <w:vAlign w:val="bottom"/>
          </w:tcPr>
          <w:p>
            <w:pPr>
              <w:spacing w:after="0"/>
              <w:rPr>
                <w:sz w:val="20"/>
                <w:szCs w:val="20"/>
                <w:color w:val="auto"/>
              </w:rPr>
            </w:pPr>
            <w:r>
              <w:rPr>
                <w:rFonts w:ascii="Arial" w:cs="Arial" w:eastAsia="Arial" w:hAnsi="Arial"/>
                <w:sz w:val="18"/>
                <w:szCs w:val="18"/>
                <w:b w:val="1"/>
                <w:bCs w:val="1"/>
                <w:color w:val="auto"/>
              </w:rPr>
              <w:t>Net income</w:t>
            </w:r>
          </w:p>
        </w:tc>
        <w:tc>
          <w:tcPr>
            <w:tcW w:w="1500" w:type="dxa"/>
            <w:vAlign w:val="bottom"/>
          </w:tcPr>
          <w:p>
            <w:pPr>
              <w:jc w:val="right"/>
              <w:spacing w:after="0"/>
              <w:rPr>
                <w:sz w:val="20"/>
                <w:szCs w:val="20"/>
                <w:color w:val="auto"/>
              </w:rPr>
            </w:pPr>
            <w:r>
              <w:rPr>
                <w:rFonts w:ascii="Arial" w:cs="Arial" w:eastAsia="Arial" w:hAnsi="Arial"/>
                <w:sz w:val="18"/>
                <w:szCs w:val="18"/>
                <w:color w:val="auto"/>
              </w:rPr>
              <w:t>63,588</w:t>
            </w:r>
          </w:p>
        </w:tc>
        <w:tc>
          <w:tcPr>
            <w:tcW w:w="800" w:type="dxa"/>
            <w:vAlign w:val="bottom"/>
          </w:tcPr>
          <w:p>
            <w:pPr>
              <w:jc w:val="right"/>
              <w:spacing w:after="0"/>
              <w:rPr>
                <w:sz w:val="20"/>
                <w:szCs w:val="20"/>
                <w:color w:val="auto"/>
              </w:rPr>
            </w:pPr>
            <w:r>
              <w:rPr>
                <w:rFonts w:ascii="Arial" w:cs="Arial" w:eastAsia="Arial" w:hAnsi="Arial"/>
                <w:sz w:val="18"/>
                <w:szCs w:val="18"/>
                <w:color w:val="auto"/>
              </w:rPr>
              <w:t>92,215</w:t>
            </w:r>
          </w:p>
        </w:tc>
        <w:tc>
          <w:tcPr>
            <w:tcW w:w="40" w:type="dxa"/>
            <w:vAlign w:val="bottom"/>
          </w:tcPr>
          <w:p>
            <w:pPr>
              <w:spacing w:after="0"/>
              <w:rPr>
                <w:sz w:val="24"/>
                <w:szCs w:val="24"/>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155,917</w:t>
            </w:r>
          </w:p>
        </w:tc>
        <w:tc>
          <w:tcPr>
            <w:tcW w:w="840" w:type="dxa"/>
            <w:vAlign w:val="bottom"/>
          </w:tcPr>
          <w:p>
            <w:pPr>
              <w:jc w:val="right"/>
              <w:spacing w:after="0"/>
              <w:rPr>
                <w:sz w:val="20"/>
                <w:szCs w:val="20"/>
                <w:color w:val="auto"/>
              </w:rPr>
            </w:pPr>
            <w:r>
              <w:rPr>
                <w:rFonts w:ascii="Arial" w:cs="Arial" w:eastAsia="Arial" w:hAnsi="Arial"/>
                <w:sz w:val="18"/>
                <w:szCs w:val="18"/>
                <w:color w:val="auto"/>
              </w:rPr>
              <w:t>180,512</w:t>
            </w:r>
          </w:p>
        </w:tc>
      </w:tr>
      <w:tr>
        <w:trPr>
          <w:trHeight w:val="493"/>
        </w:trPr>
        <w:tc>
          <w:tcPr>
            <w:tcW w:w="4260" w:type="dxa"/>
            <w:vAlign w:val="bottom"/>
          </w:tcPr>
          <w:p>
            <w:pPr>
              <w:spacing w:after="0"/>
              <w:rPr>
                <w:sz w:val="20"/>
                <w:szCs w:val="20"/>
                <w:color w:val="auto"/>
              </w:rPr>
            </w:pPr>
            <w:r>
              <w:rPr>
                <w:rFonts w:ascii="Arial" w:cs="Arial" w:eastAsia="Arial" w:hAnsi="Arial"/>
                <w:sz w:val="18"/>
                <w:szCs w:val="18"/>
                <w:color w:val="auto"/>
              </w:rPr>
              <w:t>Net income attributable to non-controlling interest</w:t>
            </w:r>
          </w:p>
        </w:tc>
        <w:tc>
          <w:tcPr>
            <w:tcW w:w="150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(358)</w:t>
            </w:r>
          </w:p>
        </w:tc>
        <w:tc>
          <w:tcPr>
            <w:tcW w:w="40" w:type="dxa"/>
            <w:vAlign w:val="bottom"/>
          </w:tcPr>
          <w:p>
            <w:pPr>
              <w:spacing w:after="0"/>
              <w:rPr>
                <w:sz w:val="24"/>
                <w:szCs w:val="24"/>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(633)</w:t>
            </w:r>
          </w:p>
        </w:tc>
        <w:tc>
          <w:tcPr>
            <w:tcW w:w="840" w:type="dxa"/>
            <w:vAlign w:val="bottom"/>
          </w:tcPr>
          <w:p>
            <w:pPr>
              <w:jc w:val="right"/>
              <w:spacing w:after="0"/>
              <w:rPr>
                <w:sz w:val="20"/>
                <w:szCs w:val="20"/>
                <w:color w:val="auto"/>
              </w:rPr>
            </w:pPr>
            <w:r>
              <w:rPr>
                <w:rFonts w:ascii="Arial" w:cs="Arial" w:eastAsia="Arial" w:hAnsi="Arial"/>
                <w:sz w:val="18"/>
                <w:szCs w:val="18"/>
                <w:color w:val="auto"/>
              </w:rPr>
              <w:t>(358)</w:t>
            </w:r>
          </w:p>
        </w:tc>
      </w:tr>
      <w:tr>
        <w:trPr>
          <w:trHeight w:val="20"/>
        </w:trPr>
        <w:tc>
          <w:tcPr>
            <w:tcW w:w="426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r>
      <w:tr>
        <w:trPr>
          <w:trHeight w:val="479"/>
        </w:trPr>
        <w:tc>
          <w:tcPr>
            <w:tcW w:w="4260" w:type="dxa"/>
            <w:vAlign w:val="bottom"/>
          </w:tcPr>
          <w:p>
            <w:pPr>
              <w:spacing w:after="0"/>
              <w:rPr>
                <w:sz w:val="20"/>
                <w:szCs w:val="20"/>
                <w:color w:val="auto"/>
              </w:rPr>
            </w:pPr>
            <w:r>
              <w:rPr>
                <w:rFonts w:ascii="Arial" w:cs="Arial" w:eastAsia="Arial" w:hAnsi="Arial"/>
                <w:sz w:val="18"/>
                <w:szCs w:val="18"/>
                <w:b w:val="1"/>
                <w:bCs w:val="1"/>
                <w:color w:val="auto"/>
              </w:rPr>
              <w:t>Net income attributable to the Group</w:t>
            </w:r>
          </w:p>
        </w:tc>
        <w:tc>
          <w:tcPr>
            <w:tcW w:w="1500" w:type="dxa"/>
            <w:vAlign w:val="bottom"/>
          </w:tcPr>
          <w:p>
            <w:pPr>
              <w:jc w:val="right"/>
              <w:spacing w:after="0"/>
              <w:rPr>
                <w:sz w:val="20"/>
                <w:szCs w:val="20"/>
                <w:color w:val="auto"/>
              </w:rPr>
            </w:pPr>
            <w:r>
              <w:rPr>
                <w:rFonts w:ascii="Arial" w:cs="Arial" w:eastAsia="Arial" w:hAnsi="Arial"/>
                <w:sz w:val="18"/>
                <w:szCs w:val="18"/>
                <w:color w:val="auto"/>
              </w:rPr>
              <w:t>63,588</w:t>
            </w:r>
          </w:p>
        </w:tc>
        <w:tc>
          <w:tcPr>
            <w:tcW w:w="800" w:type="dxa"/>
            <w:vAlign w:val="bottom"/>
          </w:tcPr>
          <w:p>
            <w:pPr>
              <w:jc w:val="right"/>
              <w:spacing w:after="0"/>
              <w:rPr>
                <w:sz w:val="20"/>
                <w:szCs w:val="20"/>
                <w:color w:val="auto"/>
              </w:rPr>
            </w:pPr>
            <w:r>
              <w:rPr>
                <w:rFonts w:ascii="Arial" w:cs="Arial" w:eastAsia="Arial" w:hAnsi="Arial"/>
                <w:sz w:val="18"/>
                <w:szCs w:val="18"/>
                <w:color w:val="auto"/>
              </w:rPr>
              <w:t>91,857</w:t>
            </w:r>
          </w:p>
        </w:tc>
        <w:tc>
          <w:tcPr>
            <w:tcW w:w="40" w:type="dxa"/>
            <w:vAlign w:val="bottom"/>
          </w:tcPr>
          <w:p>
            <w:pPr>
              <w:spacing w:after="0"/>
              <w:rPr>
                <w:sz w:val="24"/>
                <w:szCs w:val="24"/>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155,284</w:t>
            </w:r>
          </w:p>
        </w:tc>
        <w:tc>
          <w:tcPr>
            <w:tcW w:w="840" w:type="dxa"/>
            <w:vAlign w:val="bottom"/>
          </w:tcPr>
          <w:p>
            <w:pPr>
              <w:jc w:val="right"/>
              <w:spacing w:after="0"/>
              <w:rPr>
                <w:sz w:val="20"/>
                <w:szCs w:val="20"/>
                <w:color w:val="auto"/>
              </w:rPr>
            </w:pPr>
            <w:r>
              <w:rPr>
                <w:rFonts w:ascii="Arial" w:cs="Arial" w:eastAsia="Arial" w:hAnsi="Arial"/>
                <w:sz w:val="18"/>
                <w:szCs w:val="18"/>
                <w:color w:val="auto"/>
              </w:rPr>
              <w:t>180,154</w:t>
            </w:r>
          </w:p>
        </w:tc>
      </w:tr>
      <w:tr>
        <w:trPr>
          <w:trHeight w:val="20"/>
        </w:trPr>
        <w:tc>
          <w:tcPr>
            <w:tcW w:w="426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r>
    </w:tbl>
    <w:p>
      <w:pPr>
        <w:spacing w:after="0" w:line="242"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Adjusted net income per Ordinary Share attributable to the Group:</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1420" w:type="dxa"/>
            <w:vAlign w:val="bottom"/>
          </w:tcPr>
          <w:p>
            <w:pPr>
              <w:spacing w:after="0"/>
              <w:rPr>
                <w:sz w:val="20"/>
                <w:szCs w:val="20"/>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Adjusted basic (non-GAAP)</w:t>
            </w:r>
          </w:p>
        </w:tc>
        <w:tc>
          <w:tcPr>
            <w:tcW w:w="1160" w:type="dxa"/>
            <w:vAlign w:val="bottom"/>
          </w:tcPr>
          <w:p>
            <w:pPr>
              <w:jc w:val="right"/>
              <w:spacing w:after="0"/>
              <w:rPr>
                <w:sz w:val="20"/>
                <w:szCs w:val="20"/>
                <w:color w:val="auto"/>
              </w:rPr>
            </w:pPr>
            <w:r>
              <w:rPr>
                <w:rFonts w:ascii="Arial" w:cs="Arial" w:eastAsia="Arial" w:hAnsi="Arial"/>
                <w:sz w:val="18"/>
                <w:szCs w:val="18"/>
                <w:color w:val="auto"/>
              </w:rPr>
              <w:t>$1.21</w:t>
            </w:r>
          </w:p>
        </w:tc>
        <w:tc>
          <w:tcPr>
            <w:tcW w:w="840" w:type="dxa"/>
            <w:vAlign w:val="bottom"/>
          </w:tcPr>
          <w:p>
            <w:pPr>
              <w:jc w:val="right"/>
              <w:spacing w:after="0"/>
              <w:rPr>
                <w:sz w:val="20"/>
                <w:szCs w:val="20"/>
                <w:color w:val="auto"/>
              </w:rPr>
            </w:pPr>
            <w:r>
              <w:rPr>
                <w:rFonts w:ascii="Arial" w:cs="Arial" w:eastAsia="Arial" w:hAnsi="Arial"/>
                <w:sz w:val="18"/>
                <w:szCs w:val="18"/>
                <w:color w:val="auto"/>
              </w:rPr>
              <w:t>$1.70</w:t>
            </w:r>
          </w:p>
        </w:tc>
        <w:tc>
          <w:tcPr>
            <w:tcW w:w="40" w:type="dxa"/>
            <w:vAlign w:val="bottom"/>
          </w:tcPr>
          <w:p>
            <w:pPr>
              <w:spacing w:after="0"/>
              <w:rPr>
                <w:sz w:val="20"/>
                <w:szCs w:val="20"/>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$2.93</w:t>
            </w:r>
          </w:p>
        </w:tc>
        <w:tc>
          <w:tcPr>
            <w:tcW w:w="2340" w:type="dxa"/>
            <w:vAlign w:val="bottom"/>
            <w:gridSpan w:val="2"/>
          </w:tcPr>
          <w:p>
            <w:pPr>
              <w:jc w:val="right"/>
              <w:ind w:right="1500"/>
              <w:spacing w:after="0"/>
              <w:rPr>
                <w:sz w:val="20"/>
                <w:szCs w:val="20"/>
                <w:color w:val="auto"/>
              </w:rPr>
            </w:pPr>
            <w:r>
              <w:rPr>
                <w:rFonts w:ascii="Arial" w:cs="Arial" w:eastAsia="Arial" w:hAnsi="Arial"/>
                <w:sz w:val="18"/>
                <w:szCs w:val="18"/>
                <w:color w:val="auto"/>
              </w:rPr>
              <w:t>$3.34</w:t>
            </w:r>
          </w:p>
        </w:tc>
      </w:tr>
      <w:tr>
        <w:trPr>
          <w:trHeight w:val="20"/>
        </w:trPr>
        <w:tc>
          <w:tcPr>
            <w:tcW w:w="1420" w:type="dxa"/>
            <w:vAlign w:val="bottom"/>
          </w:tcPr>
          <w:p>
            <w:pPr>
              <w:spacing w:after="0" w:line="20" w:lineRule="exact"/>
              <w:rPr>
                <w:sz w:val="1"/>
                <w:szCs w:val="1"/>
                <w:color w:val="auto"/>
              </w:rPr>
            </w:pPr>
          </w:p>
        </w:tc>
        <w:tc>
          <w:tcPr>
            <w:tcW w:w="456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r>
        <w:trPr>
          <w:trHeight w:val="480"/>
        </w:trPr>
        <w:tc>
          <w:tcPr>
            <w:tcW w:w="1420" w:type="dxa"/>
            <w:vAlign w:val="bottom"/>
          </w:tcPr>
          <w:p>
            <w:pPr>
              <w:spacing w:after="0"/>
              <w:rPr>
                <w:sz w:val="24"/>
                <w:szCs w:val="24"/>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Adjusted diluted (non-GAAP)</w:t>
            </w:r>
          </w:p>
        </w:tc>
        <w:tc>
          <w:tcPr>
            <w:tcW w:w="1160" w:type="dxa"/>
            <w:vAlign w:val="bottom"/>
          </w:tcPr>
          <w:p>
            <w:pPr>
              <w:jc w:val="right"/>
              <w:spacing w:after="0"/>
              <w:rPr>
                <w:sz w:val="20"/>
                <w:szCs w:val="20"/>
                <w:color w:val="auto"/>
              </w:rPr>
            </w:pPr>
            <w:r>
              <w:rPr>
                <w:rFonts w:ascii="Arial" w:cs="Arial" w:eastAsia="Arial" w:hAnsi="Arial"/>
                <w:sz w:val="18"/>
                <w:szCs w:val="18"/>
                <w:color w:val="auto"/>
              </w:rPr>
              <w:t>$1.20</w:t>
            </w:r>
          </w:p>
        </w:tc>
        <w:tc>
          <w:tcPr>
            <w:tcW w:w="840" w:type="dxa"/>
            <w:vAlign w:val="bottom"/>
          </w:tcPr>
          <w:p>
            <w:pPr>
              <w:jc w:val="right"/>
              <w:spacing w:after="0"/>
              <w:rPr>
                <w:sz w:val="20"/>
                <w:szCs w:val="20"/>
                <w:color w:val="auto"/>
              </w:rPr>
            </w:pPr>
            <w:r>
              <w:rPr>
                <w:rFonts w:ascii="Arial" w:cs="Arial" w:eastAsia="Arial" w:hAnsi="Arial"/>
                <w:sz w:val="18"/>
                <w:szCs w:val="18"/>
                <w:color w:val="auto"/>
              </w:rPr>
              <w:t>$1.69</w:t>
            </w:r>
          </w:p>
        </w:tc>
        <w:tc>
          <w:tcPr>
            <w:tcW w:w="40" w:type="dxa"/>
            <w:vAlign w:val="bottom"/>
          </w:tcPr>
          <w:p>
            <w:pPr>
              <w:spacing w:after="0"/>
              <w:rPr>
                <w:sz w:val="24"/>
                <w:szCs w:val="24"/>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$2.89</w:t>
            </w:r>
          </w:p>
        </w:tc>
        <w:tc>
          <w:tcPr>
            <w:tcW w:w="2340" w:type="dxa"/>
            <w:vAlign w:val="bottom"/>
            <w:gridSpan w:val="2"/>
          </w:tcPr>
          <w:p>
            <w:pPr>
              <w:jc w:val="right"/>
              <w:ind w:right="1500"/>
              <w:spacing w:after="0"/>
              <w:rPr>
                <w:sz w:val="20"/>
                <w:szCs w:val="20"/>
                <w:color w:val="auto"/>
              </w:rPr>
            </w:pPr>
            <w:r>
              <w:rPr>
                <w:rFonts w:ascii="Arial" w:cs="Arial" w:eastAsia="Arial" w:hAnsi="Arial"/>
                <w:sz w:val="18"/>
                <w:szCs w:val="18"/>
                <w:color w:val="auto"/>
              </w:rPr>
              <w:t>$3.31</w:t>
            </w:r>
          </w:p>
        </w:tc>
      </w:tr>
      <w:tr>
        <w:trPr>
          <w:trHeight w:val="473"/>
        </w:trPr>
        <w:tc>
          <w:tcPr>
            <w:tcW w:w="1420" w:type="dxa"/>
            <w:vAlign w:val="bottom"/>
          </w:tcPr>
          <w:p>
            <w:pPr>
              <w:spacing w:after="0"/>
              <w:rPr>
                <w:sz w:val="24"/>
                <w:szCs w:val="24"/>
                <w:color w:val="auto"/>
              </w:rPr>
            </w:pPr>
          </w:p>
        </w:tc>
        <w:tc>
          <w:tcPr>
            <w:tcW w:w="456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6"/>
              </w:rPr>
              <w:t>Weighted average number of Ordinary Shares outstanding:</w:t>
            </w:r>
          </w:p>
        </w:tc>
        <w:tc>
          <w:tcPr>
            <w:tcW w:w="116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500" w:type="dxa"/>
            <w:vAlign w:val="bottom"/>
          </w:tcPr>
          <w:p>
            <w:pPr>
              <w:spacing w:after="0"/>
              <w:rPr>
                <w:sz w:val="24"/>
                <w:szCs w:val="24"/>
                <w:color w:val="auto"/>
              </w:rPr>
            </w:pPr>
          </w:p>
        </w:tc>
      </w:tr>
      <w:tr>
        <w:trPr>
          <w:trHeight w:val="493"/>
        </w:trPr>
        <w:tc>
          <w:tcPr>
            <w:tcW w:w="1420" w:type="dxa"/>
            <w:vAlign w:val="bottom"/>
          </w:tcPr>
          <w:p>
            <w:pPr>
              <w:spacing w:after="0"/>
              <w:rPr>
                <w:sz w:val="24"/>
                <w:szCs w:val="24"/>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Basic</w:t>
            </w:r>
          </w:p>
        </w:tc>
        <w:tc>
          <w:tcPr>
            <w:tcW w:w="1160" w:type="dxa"/>
            <w:vAlign w:val="bottom"/>
          </w:tcPr>
          <w:p>
            <w:pPr>
              <w:jc w:val="right"/>
              <w:spacing w:after="0"/>
              <w:rPr>
                <w:sz w:val="20"/>
                <w:szCs w:val="20"/>
                <w:color w:val="auto"/>
              </w:rPr>
            </w:pPr>
            <w:r>
              <w:rPr>
                <w:rFonts w:ascii="Arial" w:cs="Arial" w:eastAsia="Arial" w:hAnsi="Arial"/>
                <w:sz w:val="18"/>
                <w:szCs w:val="18"/>
                <w:color w:val="auto"/>
              </w:rPr>
              <w:t>52,570,104</w:t>
            </w:r>
          </w:p>
        </w:tc>
        <w:tc>
          <w:tcPr>
            <w:tcW w:w="840" w:type="dxa"/>
            <w:vAlign w:val="bottom"/>
          </w:tcPr>
          <w:p>
            <w:pPr>
              <w:jc w:val="right"/>
              <w:spacing w:after="0"/>
              <w:rPr>
                <w:sz w:val="20"/>
                <w:szCs w:val="20"/>
                <w:color w:val="auto"/>
              </w:rPr>
            </w:pPr>
            <w:r>
              <w:rPr>
                <w:rFonts w:ascii="Arial" w:cs="Arial" w:eastAsia="Arial" w:hAnsi="Arial"/>
                <w:sz w:val="18"/>
                <w:szCs w:val="18"/>
                <w:color w:val="auto"/>
                <w:w w:val="90"/>
              </w:rPr>
              <w:t>53,957,446</w:t>
            </w:r>
          </w:p>
        </w:tc>
        <w:tc>
          <w:tcPr>
            <w:tcW w:w="40" w:type="dxa"/>
            <w:vAlign w:val="bottom"/>
          </w:tcPr>
          <w:p>
            <w:pPr>
              <w:spacing w:after="0"/>
              <w:rPr>
                <w:sz w:val="24"/>
                <w:szCs w:val="24"/>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w w:val="90"/>
              </w:rPr>
              <w:t>52,959,229</w:t>
            </w:r>
          </w:p>
        </w:tc>
        <w:tc>
          <w:tcPr>
            <w:tcW w:w="2340" w:type="dxa"/>
            <w:vAlign w:val="bottom"/>
            <w:gridSpan w:val="2"/>
          </w:tcPr>
          <w:p>
            <w:pPr>
              <w:jc w:val="right"/>
              <w:ind w:right="1500"/>
              <w:spacing w:after="0"/>
              <w:rPr>
                <w:sz w:val="20"/>
                <w:szCs w:val="20"/>
                <w:color w:val="auto"/>
              </w:rPr>
            </w:pPr>
            <w:r>
              <w:rPr>
                <w:rFonts w:ascii="Arial" w:cs="Arial" w:eastAsia="Arial" w:hAnsi="Arial"/>
                <w:sz w:val="18"/>
                <w:szCs w:val="18"/>
                <w:color w:val="auto"/>
                <w:w w:val="90"/>
              </w:rPr>
              <w:t>53,901,427</w:t>
            </w:r>
          </w:p>
        </w:tc>
      </w:tr>
      <w:tr>
        <w:trPr>
          <w:trHeight w:val="20"/>
        </w:trPr>
        <w:tc>
          <w:tcPr>
            <w:tcW w:w="1420" w:type="dxa"/>
            <w:vAlign w:val="bottom"/>
          </w:tcPr>
          <w:p>
            <w:pPr>
              <w:spacing w:after="0" w:line="20" w:lineRule="exact"/>
              <w:rPr>
                <w:sz w:val="1"/>
                <w:szCs w:val="1"/>
                <w:color w:val="auto"/>
              </w:rPr>
            </w:pPr>
          </w:p>
        </w:tc>
        <w:tc>
          <w:tcPr>
            <w:tcW w:w="456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r>
        <w:trPr>
          <w:trHeight w:val="479"/>
        </w:trPr>
        <w:tc>
          <w:tcPr>
            <w:tcW w:w="1420" w:type="dxa"/>
            <w:vAlign w:val="bottom"/>
          </w:tcPr>
          <w:p>
            <w:pPr>
              <w:spacing w:after="0"/>
              <w:rPr>
                <w:sz w:val="24"/>
                <w:szCs w:val="24"/>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Diluted</w:t>
            </w:r>
          </w:p>
        </w:tc>
        <w:tc>
          <w:tcPr>
            <w:tcW w:w="1160" w:type="dxa"/>
            <w:vAlign w:val="bottom"/>
          </w:tcPr>
          <w:p>
            <w:pPr>
              <w:jc w:val="right"/>
              <w:spacing w:after="0"/>
              <w:rPr>
                <w:sz w:val="20"/>
                <w:szCs w:val="20"/>
                <w:color w:val="auto"/>
              </w:rPr>
            </w:pPr>
            <w:r>
              <w:rPr>
                <w:rFonts w:ascii="Arial" w:cs="Arial" w:eastAsia="Arial" w:hAnsi="Arial"/>
                <w:sz w:val="18"/>
                <w:szCs w:val="18"/>
                <w:color w:val="auto"/>
              </w:rPr>
              <w:t>53,028,567</w:t>
            </w:r>
          </w:p>
        </w:tc>
        <w:tc>
          <w:tcPr>
            <w:tcW w:w="840" w:type="dxa"/>
            <w:vAlign w:val="bottom"/>
          </w:tcPr>
          <w:p>
            <w:pPr>
              <w:jc w:val="right"/>
              <w:spacing w:after="0"/>
              <w:rPr>
                <w:sz w:val="20"/>
                <w:szCs w:val="20"/>
                <w:color w:val="auto"/>
              </w:rPr>
            </w:pPr>
            <w:r>
              <w:rPr>
                <w:rFonts w:ascii="Arial" w:cs="Arial" w:eastAsia="Arial" w:hAnsi="Arial"/>
                <w:sz w:val="18"/>
                <w:szCs w:val="18"/>
                <w:color w:val="auto"/>
                <w:w w:val="90"/>
              </w:rPr>
              <w:t>54,449,117</w:t>
            </w:r>
          </w:p>
        </w:tc>
        <w:tc>
          <w:tcPr>
            <w:tcW w:w="40" w:type="dxa"/>
            <w:vAlign w:val="bottom"/>
          </w:tcPr>
          <w:p>
            <w:pPr>
              <w:spacing w:after="0"/>
              <w:rPr>
                <w:sz w:val="24"/>
                <w:szCs w:val="24"/>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w w:val="90"/>
              </w:rPr>
              <w:t>53,691,138</w:t>
            </w:r>
          </w:p>
        </w:tc>
        <w:tc>
          <w:tcPr>
            <w:tcW w:w="2340" w:type="dxa"/>
            <w:vAlign w:val="bottom"/>
            <w:gridSpan w:val="2"/>
          </w:tcPr>
          <w:p>
            <w:pPr>
              <w:jc w:val="right"/>
              <w:ind w:right="1500"/>
              <w:spacing w:after="0"/>
              <w:rPr>
                <w:sz w:val="20"/>
                <w:szCs w:val="20"/>
                <w:color w:val="auto"/>
              </w:rPr>
            </w:pPr>
            <w:r>
              <w:rPr>
                <w:rFonts w:ascii="Arial" w:cs="Arial" w:eastAsia="Arial" w:hAnsi="Arial"/>
                <w:sz w:val="18"/>
                <w:szCs w:val="18"/>
                <w:color w:val="auto"/>
                <w:w w:val="90"/>
              </w:rPr>
              <w:t>54,355,705</w:t>
            </w:r>
          </w:p>
        </w:tc>
      </w:tr>
      <w:tr>
        <w:trPr>
          <w:trHeight w:val="911"/>
        </w:trPr>
        <w:tc>
          <w:tcPr>
            <w:tcW w:w="1420" w:type="dxa"/>
            <w:vAlign w:val="bottom"/>
            <w:tcBorders>
              <w:bottom w:val="single" w:sz="8" w:color="auto"/>
            </w:tcBorders>
          </w:tcPr>
          <w:p>
            <w:pPr>
              <w:spacing w:after="0"/>
              <w:rPr>
                <w:sz w:val="24"/>
                <w:szCs w:val="24"/>
                <w:color w:val="auto"/>
              </w:rPr>
            </w:pPr>
          </w:p>
        </w:tc>
        <w:tc>
          <w:tcPr>
            <w:tcW w:w="4560" w:type="dxa"/>
            <w:vAlign w:val="bottom"/>
            <w:tcBorders>
              <w:top w:val="single" w:sz="8" w:color="auto"/>
              <w:bottom w:val="single" w:sz="8" w:color="auto"/>
            </w:tcBorders>
          </w:tcPr>
          <w:p>
            <w:pPr>
              <w:spacing w:after="0"/>
              <w:rPr>
                <w:sz w:val="24"/>
                <w:szCs w:val="24"/>
                <w:color w:val="auto"/>
              </w:rPr>
            </w:pPr>
          </w:p>
        </w:tc>
        <w:tc>
          <w:tcPr>
            <w:tcW w:w="1160" w:type="dxa"/>
            <w:vAlign w:val="bottom"/>
            <w:tcBorders>
              <w:top w:val="single" w:sz="8" w:color="auto"/>
              <w:bottom w:val="single" w:sz="8" w:color="auto"/>
            </w:tcBorders>
          </w:tcPr>
          <w:p>
            <w:pPr>
              <w:spacing w:after="0"/>
              <w:rPr>
                <w:sz w:val="24"/>
                <w:szCs w:val="24"/>
                <w:color w:val="auto"/>
              </w:rPr>
            </w:pPr>
          </w:p>
        </w:tc>
        <w:tc>
          <w:tcPr>
            <w:tcW w:w="840" w:type="dxa"/>
            <w:vAlign w:val="bottom"/>
            <w:tcBorders>
              <w:top w:val="single" w:sz="8" w:color="auto"/>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40" w:type="dxa"/>
            <w:vAlign w:val="bottom"/>
            <w:tcBorders>
              <w:top w:val="single" w:sz="8" w:color="auto"/>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40" w:type="dxa"/>
            <w:vAlign w:val="bottom"/>
            <w:tcBorders>
              <w:top w:val="single" w:sz="8" w:color="auto"/>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28"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22"/>
          <w:szCs w:val="22"/>
          <w:b w:val="1"/>
          <w:bCs w:val="1"/>
          <w:color w:val="auto"/>
        </w:rPr>
        <w:t>ICON plc</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Condensed Consolidated Statements of Operations</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(US GAAP)</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Three and Six Months ended June 30, 2020 and June 30, 2019</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(Dollars, in thousands, except share and per share data)</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(Unaudited)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720" w:type="dxa"/>
            <w:vAlign w:val="bottom"/>
          </w:tcPr>
          <w:p>
            <w:pPr>
              <w:spacing w:after="0"/>
              <w:rPr>
                <w:sz w:val="20"/>
                <w:szCs w:val="20"/>
                <w:color w:val="auto"/>
              </w:rPr>
            </w:pPr>
          </w:p>
        </w:tc>
        <w:tc>
          <w:tcPr>
            <w:tcW w:w="4280" w:type="dxa"/>
            <w:vAlign w:val="bottom"/>
          </w:tcPr>
          <w:p>
            <w:pPr>
              <w:spacing w:after="0"/>
              <w:rPr>
                <w:sz w:val="20"/>
                <w:szCs w:val="20"/>
                <w:color w:val="auto"/>
              </w:rPr>
            </w:pPr>
          </w:p>
        </w:tc>
        <w:tc>
          <w:tcPr>
            <w:tcW w:w="1740" w:type="dxa"/>
            <w:vAlign w:val="bottom"/>
            <w:gridSpan w:val="2"/>
          </w:tcPr>
          <w:p>
            <w:pPr>
              <w:jc w:val="right"/>
              <w:spacing w:after="0"/>
              <w:rPr>
                <w:sz w:val="20"/>
                <w:szCs w:val="20"/>
                <w:color w:val="auto"/>
              </w:rPr>
            </w:pPr>
            <w:r>
              <w:rPr>
                <w:rFonts w:ascii="Arial" w:cs="Arial" w:eastAsia="Arial" w:hAnsi="Arial"/>
                <w:sz w:val="18"/>
                <w:szCs w:val="18"/>
                <w:b w:val="1"/>
                <w:bCs w:val="1"/>
                <w:color w:val="auto"/>
                <w:w w:val="94"/>
              </w:rPr>
              <w:t>Three Months Ended</w:t>
            </w:r>
          </w:p>
        </w:tc>
        <w:tc>
          <w:tcPr>
            <w:tcW w:w="40" w:type="dxa"/>
            <w:vAlign w:val="bottom"/>
          </w:tcPr>
          <w:p>
            <w:pPr>
              <w:spacing w:after="0"/>
              <w:rPr>
                <w:sz w:val="20"/>
                <w:szCs w:val="20"/>
                <w:color w:val="auto"/>
              </w:rPr>
            </w:pPr>
          </w:p>
        </w:tc>
        <w:tc>
          <w:tcPr>
            <w:tcW w:w="1720" w:type="dxa"/>
            <w:vAlign w:val="bottom"/>
            <w:gridSpan w:val="3"/>
          </w:tcPr>
          <w:p>
            <w:pPr>
              <w:jc w:val="right"/>
              <w:ind w:right="70"/>
              <w:spacing w:after="0"/>
              <w:rPr>
                <w:sz w:val="20"/>
                <w:szCs w:val="20"/>
                <w:color w:val="auto"/>
              </w:rPr>
            </w:pPr>
            <w:r>
              <w:rPr>
                <w:rFonts w:ascii="Arial" w:cs="Arial" w:eastAsia="Arial" w:hAnsi="Arial"/>
                <w:sz w:val="18"/>
                <w:szCs w:val="18"/>
                <w:b w:val="1"/>
                <w:bCs w:val="1"/>
                <w:color w:val="auto"/>
                <w:w w:val="98"/>
              </w:rPr>
              <w:t>Six Months Ended</w:t>
            </w:r>
          </w:p>
        </w:tc>
        <w:tc>
          <w:tcPr>
            <w:tcW w:w="1740" w:type="dxa"/>
            <w:vAlign w:val="bottom"/>
          </w:tcPr>
          <w:p>
            <w:pPr>
              <w:spacing w:after="0"/>
              <w:rPr>
                <w:sz w:val="20"/>
                <w:szCs w:val="20"/>
                <w:color w:val="auto"/>
              </w:rPr>
            </w:pPr>
          </w:p>
        </w:tc>
      </w:tr>
      <w:tr>
        <w:trPr>
          <w:trHeight w:val="243"/>
        </w:trPr>
        <w:tc>
          <w:tcPr>
            <w:tcW w:w="1720" w:type="dxa"/>
            <w:vAlign w:val="bottom"/>
          </w:tcPr>
          <w:p>
            <w:pPr>
              <w:spacing w:after="0"/>
              <w:rPr>
                <w:sz w:val="21"/>
                <w:szCs w:val="21"/>
                <w:color w:val="auto"/>
              </w:rPr>
            </w:pPr>
          </w:p>
        </w:tc>
        <w:tc>
          <w:tcPr>
            <w:tcW w:w="4280" w:type="dxa"/>
            <w:vAlign w:val="bottom"/>
          </w:tcPr>
          <w:p>
            <w:pPr>
              <w:spacing w:after="0"/>
              <w:rPr>
                <w:sz w:val="21"/>
                <w:szCs w:val="21"/>
                <w:color w:val="auto"/>
              </w:rPr>
            </w:pPr>
          </w:p>
        </w:tc>
        <w:tc>
          <w:tcPr>
            <w:tcW w:w="900" w:type="dxa"/>
            <w:vAlign w:val="bottom"/>
          </w:tcPr>
          <w:p>
            <w:pPr>
              <w:jc w:val="right"/>
              <w:ind w:right="170"/>
              <w:spacing w:after="0"/>
              <w:rPr>
                <w:sz w:val="20"/>
                <w:szCs w:val="20"/>
                <w:color w:val="auto"/>
              </w:rPr>
            </w:pPr>
            <w:r>
              <w:rPr>
                <w:rFonts w:ascii="Arial" w:cs="Arial" w:eastAsia="Arial" w:hAnsi="Arial"/>
                <w:sz w:val="18"/>
                <w:szCs w:val="18"/>
                <w:b w:val="1"/>
                <w:bCs w:val="1"/>
                <w:color w:val="auto"/>
              </w:rPr>
              <w:t>June</w:t>
            </w:r>
          </w:p>
        </w:tc>
        <w:tc>
          <w:tcPr>
            <w:tcW w:w="840" w:type="dxa"/>
            <w:vAlign w:val="bottom"/>
          </w:tcPr>
          <w:p>
            <w:pPr>
              <w:jc w:val="right"/>
              <w:ind w:right="130"/>
              <w:spacing w:after="0"/>
              <w:rPr>
                <w:sz w:val="20"/>
                <w:szCs w:val="20"/>
                <w:color w:val="auto"/>
              </w:rPr>
            </w:pPr>
            <w:r>
              <w:rPr>
                <w:rFonts w:ascii="Arial" w:cs="Arial" w:eastAsia="Arial" w:hAnsi="Arial"/>
                <w:sz w:val="18"/>
                <w:szCs w:val="18"/>
                <w:b w:val="1"/>
                <w:bCs w:val="1"/>
                <w:color w:val="auto"/>
              </w:rPr>
              <w:t>June</w:t>
            </w:r>
          </w:p>
        </w:tc>
        <w:tc>
          <w:tcPr>
            <w:tcW w:w="40" w:type="dxa"/>
            <w:vAlign w:val="bottom"/>
          </w:tcPr>
          <w:p>
            <w:pPr>
              <w:spacing w:after="0"/>
              <w:rPr>
                <w:sz w:val="21"/>
                <w:szCs w:val="21"/>
                <w:color w:val="auto"/>
              </w:rPr>
            </w:pPr>
          </w:p>
        </w:tc>
        <w:tc>
          <w:tcPr>
            <w:tcW w:w="840" w:type="dxa"/>
            <w:vAlign w:val="bottom"/>
          </w:tcPr>
          <w:p>
            <w:pPr>
              <w:jc w:val="right"/>
              <w:ind w:right="170"/>
              <w:spacing w:after="0"/>
              <w:rPr>
                <w:sz w:val="20"/>
                <w:szCs w:val="20"/>
                <w:color w:val="auto"/>
              </w:rPr>
            </w:pPr>
            <w:r>
              <w:rPr>
                <w:rFonts w:ascii="Arial" w:cs="Arial" w:eastAsia="Arial" w:hAnsi="Arial"/>
                <w:sz w:val="18"/>
                <w:szCs w:val="18"/>
                <w:b w:val="1"/>
                <w:bCs w:val="1"/>
                <w:color w:val="auto"/>
              </w:rPr>
              <w:t>June</w:t>
            </w:r>
          </w:p>
        </w:tc>
        <w:tc>
          <w:tcPr>
            <w:tcW w:w="20" w:type="dxa"/>
            <w:vAlign w:val="bottom"/>
          </w:tcPr>
          <w:p>
            <w:pPr>
              <w:spacing w:after="0"/>
              <w:rPr>
                <w:sz w:val="21"/>
                <w:szCs w:val="21"/>
                <w:color w:val="auto"/>
              </w:rPr>
            </w:pPr>
          </w:p>
        </w:tc>
        <w:tc>
          <w:tcPr>
            <w:tcW w:w="860" w:type="dxa"/>
            <w:vAlign w:val="bottom"/>
          </w:tcPr>
          <w:p>
            <w:pPr>
              <w:jc w:val="right"/>
              <w:ind w:right="170"/>
              <w:spacing w:after="0"/>
              <w:rPr>
                <w:sz w:val="20"/>
                <w:szCs w:val="20"/>
                <w:color w:val="auto"/>
              </w:rPr>
            </w:pPr>
            <w:r>
              <w:rPr>
                <w:rFonts w:ascii="Arial" w:cs="Arial" w:eastAsia="Arial" w:hAnsi="Arial"/>
                <w:sz w:val="18"/>
                <w:szCs w:val="18"/>
                <w:b w:val="1"/>
                <w:bCs w:val="1"/>
                <w:color w:val="auto"/>
              </w:rPr>
              <w:t>June</w:t>
            </w:r>
          </w:p>
        </w:tc>
        <w:tc>
          <w:tcPr>
            <w:tcW w:w="1740" w:type="dxa"/>
            <w:vAlign w:val="bottom"/>
          </w:tcPr>
          <w:p>
            <w:pPr>
              <w:spacing w:after="0"/>
              <w:rPr>
                <w:sz w:val="21"/>
                <w:szCs w:val="21"/>
                <w:color w:val="auto"/>
              </w:rPr>
            </w:pPr>
          </w:p>
        </w:tc>
      </w:tr>
      <w:tr>
        <w:trPr>
          <w:trHeight w:val="243"/>
        </w:trPr>
        <w:tc>
          <w:tcPr>
            <w:tcW w:w="1720" w:type="dxa"/>
            <w:vAlign w:val="bottom"/>
          </w:tcPr>
          <w:p>
            <w:pPr>
              <w:spacing w:after="0"/>
              <w:rPr>
                <w:sz w:val="21"/>
                <w:szCs w:val="21"/>
                <w:color w:val="auto"/>
              </w:rPr>
            </w:pPr>
          </w:p>
        </w:tc>
        <w:tc>
          <w:tcPr>
            <w:tcW w:w="4280" w:type="dxa"/>
            <w:vAlign w:val="bottom"/>
          </w:tcPr>
          <w:p>
            <w:pPr>
              <w:spacing w:after="0"/>
              <w:rPr>
                <w:sz w:val="21"/>
                <w:szCs w:val="21"/>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b w:val="1"/>
                <w:bCs w:val="1"/>
                <w:color w:val="auto"/>
              </w:rPr>
              <w:t>30, 2020</w:t>
            </w:r>
          </w:p>
        </w:tc>
        <w:tc>
          <w:tcPr>
            <w:tcW w:w="840" w:type="dxa"/>
            <w:vAlign w:val="bottom"/>
          </w:tcPr>
          <w:p>
            <w:pPr>
              <w:jc w:val="right"/>
              <w:ind w:right="10"/>
              <w:spacing w:after="0"/>
              <w:rPr>
                <w:sz w:val="20"/>
                <w:szCs w:val="20"/>
                <w:color w:val="auto"/>
              </w:rPr>
            </w:pPr>
            <w:r>
              <w:rPr>
                <w:rFonts w:ascii="Arial" w:cs="Arial" w:eastAsia="Arial" w:hAnsi="Arial"/>
                <w:sz w:val="18"/>
                <w:szCs w:val="18"/>
                <w:b w:val="1"/>
                <w:bCs w:val="1"/>
                <w:color w:val="auto"/>
              </w:rPr>
              <w:t>30, 2019</w:t>
            </w:r>
          </w:p>
        </w:tc>
        <w:tc>
          <w:tcPr>
            <w:tcW w:w="88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rPr>
              <w:t>30, 2020</w:t>
            </w:r>
          </w:p>
        </w:tc>
        <w:tc>
          <w:tcPr>
            <w:tcW w:w="88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rPr>
              <w:t>30, 2019</w:t>
            </w:r>
          </w:p>
        </w:tc>
        <w:tc>
          <w:tcPr>
            <w:tcW w:w="1740" w:type="dxa"/>
            <w:vAlign w:val="bottom"/>
          </w:tcPr>
          <w:p>
            <w:pPr>
              <w:spacing w:after="0"/>
              <w:rPr>
                <w:sz w:val="21"/>
                <w:szCs w:val="21"/>
                <w:color w:val="auto"/>
              </w:rPr>
            </w:pPr>
          </w:p>
        </w:tc>
      </w:tr>
      <w:tr>
        <w:trPr>
          <w:trHeight w:val="243"/>
        </w:trPr>
        <w:tc>
          <w:tcPr>
            <w:tcW w:w="1720" w:type="dxa"/>
            <w:vAlign w:val="bottom"/>
          </w:tcPr>
          <w:p>
            <w:pPr>
              <w:spacing w:after="0"/>
              <w:rPr>
                <w:sz w:val="21"/>
                <w:szCs w:val="21"/>
                <w:color w:val="auto"/>
              </w:rPr>
            </w:pPr>
          </w:p>
        </w:tc>
        <w:tc>
          <w:tcPr>
            <w:tcW w:w="4280" w:type="dxa"/>
            <w:vAlign w:val="bottom"/>
          </w:tcPr>
          <w:p>
            <w:pPr>
              <w:spacing w:after="0"/>
              <w:rPr>
                <w:sz w:val="20"/>
                <w:szCs w:val="20"/>
                <w:color w:val="auto"/>
              </w:rPr>
            </w:pPr>
            <w:r>
              <w:rPr>
                <w:rFonts w:ascii="Arial" w:cs="Arial" w:eastAsia="Arial" w:hAnsi="Arial"/>
                <w:sz w:val="18"/>
                <w:szCs w:val="18"/>
                <w:b w:val="1"/>
                <w:bCs w:val="1"/>
                <w:color w:val="auto"/>
              </w:rPr>
              <w:t>Revenue</w:t>
            </w:r>
          </w:p>
        </w:tc>
        <w:tc>
          <w:tcPr>
            <w:tcW w:w="900" w:type="dxa"/>
            <w:vAlign w:val="bottom"/>
          </w:tcPr>
          <w:p>
            <w:pPr>
              <w:jc w:val="right"/>
              <w:spacing w:after="0"/>
              <w:rPr>
                <w:sz w:val="20"/>
                <w:szCs w:val="20"/>
                <w:color w:val="auto"/>
              </w:rPr>
            </w:pPr>
            <w:r>
              <w:rPr>
                <w:rFonts w:ascii="Arial" w:cs="Arial" w:eastAsia="Arial" w:hAnsi="Arial"/>
                <w:sz w:val="18"/>
                <w:szCs w:val="18"/>
                <w:color w:val="auto"/>
              </w:rPr>
              <w:t>620,228</w:t>
            </w:r>
          </w:p>
        </w:tc>
        <w:tc>
          <w:tcPr>
            <w:tcW w:w="840" w:type="dxa"/>
            <w:vAlign w:val="bottom"/>
          </w:tcPr>
          <w:p>
            <w:pPr>
              <w:jc w:val="right"/>
              <w:spacing w:after="0"/>
              <w:rPr>
                <w:sz w:val="20"/>
                <w:szCs w:val="20"/>
                <w:color w:val="auto"/>
              </w:rPr>
            </w:pPr>
            <w:r>
              <w:rPr>
                <w:rFonts w:ascii="Arial" w:cs="Arial" w:eastAsia="Arial" w:hAnsi="Arial"/>
                <w:sz w:val="18"/>
                <w:szCs w:val="18"/>
                <w:color w:val="auto"/>
              </w:rPr>
              <w:t>695,137</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1,335,330</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1,369,989</w:t>
            </w:r>
          </w:p>
        </w:tc>
        <w:tc>
          <w:tcPr>
            <w:tcW w:w="1740" w:type="dxa"/>
            <w:vAlign w:val="bottom"/>
          </w:tcPr>
          <w:p>
            <w:pPr>
              <w:spacing w:after="0"/>
              <w:rPr>
                <w:sz w:val="21"/>
                <w:szCs w:val="21"/>
                <w:color w:val="auto"/>
              </w:rPr>
            </w:pPr>
          </w:p>
        </w:tc>
      </w:tr>
      <w:tr>
        <w:trPr>
          <w:trHeight w:val="486"/>
        </w:trPr>
        <w:tc>
          <w:tcPr>
            <w:tcW w:w="1720" w:type="dxa"/>
            <w:vAlign w:val="bottom"/>
          </w:tcPr>
          <w:p>
            <w:pPr>
              <w:spacing w:after="0"/>
              <w:rPr>
                <w:sz w:val="24"/>
                <w:szCs w:val="24"/>
                <w:color w:val="auto"/>
              </w:rPr>
            </w:pPr>
          </w:p>
        </w:tc>
        <w:tc>
          <w:tcPr>
            <w:tcW w:w="4280" w:type="dxa"/>
            <w:vAlign w:val="bottom"/>
          </w:tcPr>
          <w:p>
            <w:pPr>
              <w:spacing w:after="0"/>
              <w:rPr>
                <w:sz w:val="20"/>
                <w:szCs w:val="20"/>
                <w:color w:val="auto"/>
              </w:rPr>
            </w:pPr>
            <w:r>
              <w:rPr>
                <w:rFonts w:ascii="Arial" w:cs="Arial" w:eastAsia="Arial" w:hAnsi="Arial"/>
                <w:sz w:val="18"/>
                <w:szCs w:val="18"/>
                <w:b w:val="1"/>
                <w:bCs w:val="1"/>
                <w:color w:val="auto"/>
              </w:rPr>
              <w:t>Costs and expenses:</w:t>
            </w:r>
          </w:p>
        </w:tc>
        <w:tc>
          <w:tcPr>
            <w:tcW w:w="9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243"/>
        </w:trPr>
        <w:tc>
          <w:tcPr>
            <w:tcW w:w="1720" w:type="dxa"/>
            <w:vAlign w:val="bottom"/>
          </w:tcPr>
          <w:p>
            <w:pPr>
              <w:spacing w:after="0"/>
              <w:rPr>
                <w:sz w:val="21"/>
                <w:szCs w:val="21"/>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Direct costs</w:t>
            </w:r>
          </w:p>
        </w:tc>
        <w:tc>
          <w:tcPr>
            <w:tcW w:w="900" w:type="dxa"/>
            <w:vAlign w:val="bottom"/>
          </w:tcPr>
          <w:p>
            <w:pPr>
              <w:jc w:val="right"/>
              <w:spacing w:after="0"/>
              <w:rPr>
                <w:sz w:val="20"/>
                <w:szCs w:val="20"/>
                <w:color w:val="auto"/>
              </w:rPr>
            </w:pPr>
            <w:r>
              <w:rPr>
                <w:rFonts w:ascii="Arial" w:cs="Arial" w:eastAsia="Arial" w:hAnsi="Arial"/>
                <w:sz w:val="18"/>
                <w:szCs w:val="18"/>
                <w:color w:val="auto"/>
              </w:rPr>
              <w:t>(445,833)</w:t>
            </w:r>
          </w:p>
        </w:tc>
        <w:tc>
          <w:tcPr>
            <w:tcW w:w="840" w:type="dxa"/>
            <w:vAlign w:val="bottom"/>
          </w:tcPr>
          <w:p>
            <w:pPr>
              <w:jc w:val="right"/>
              <w:spacing w:after="0"/>
              <w:rPr>
                <w:sz w:val="20"/>
                <w:szCs w:val="20"/>
                <w:color w:val="auto"/>
              </w:rPr>
            </w:pPr>
            <w:r>
              <w:rPr>
                <w:rFonts w:ascii="Arial" w:cs="Arial" w:eastAsia="Arial" w:hAnsi="Arial"/>
                <w:sz w:val="18"/>
                <w:szCs w:val="18"/>
                <w:color w:val="auto"/>
              </w:rPr>
              <w:t>(490,656)</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(951,126)</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(966,153)</w:t>
            </w:r>
          </w:p>
        </w:tc>
        <w:tc>
          <w:tcPr>
            <w:tcW w:w="1740" w:type="dxa"/>
            <w:vAlign w:val="bottom"/>
          </w:tcPr>
          <w:p>
            <w:pPr>
              <w:spacing w:after="0"/>
              <w:rPr>
                <w:sz w:val="21"/>
                <w:szCs w:val="21"/>
                <w:color w:val="auto"/>
              </w:rPr>
            </w:pPr>
          </w:p>
        </w:tc>
      </w:tr>
      <w:tr>
        <w:trPr>
          <w:trHeight w:val="243"/>
        </w:trPr>
        <w:tc>
          <w:tcPr>
            <w:tcW w:w="1720" w:type="dxa"/>
            <w:vAlign w:val="bottom"/>
          </w:tcPr>
          <w:p>
            <w:pPr>
              <w:spacing w:after="0"/>
              <w:rPr>
                <w:sz w:val="21"/>
                <w:szCs w:val="21"/>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Selling, general and administrative expense</w:t>
            </w:r>
          </w:p>
        </w:tc>
        <w:tc>
          <w:tcPr>
            <w:tcW w:w="900" w:type="dxa"/>
            <w:vAlign w:val="bottom"/>
          </w:tcPr>
          <w:p>
            <w:pPr>
              <w:jc w:val="right"/>
              <w:spacing w:after="0"/>
              <w:rPr>
                <w:sz w:val="20"/>
                <w:szCs w:val="20"/>
                <w:color w:val="auto"/>
              </w:rPr>
            </w:pPr>
            <w:r>
              <w:rPr>
                <w:rFonts w:ascii="Arial" w:cs="Arial" w:eastAsia="Arial" w:hAnsi="Arial"/>
                <w:sz w:val="18"/>
                <w:szCs w:val="18"/>
                <w:color w:val="auto"/>
              </w:rPr>
              <w:t>(83,499)</w:t>
            </w:r>
          </w:p>
        </w:tc>
        <w:tc>
          <w:tcPr>
            <w:tcW w:w="840" w:type="dxa"/>
            <w:vAlign w:val="bottom"/>
          </w:tcPr>
          <w:p>
            <w:pPr>
              <w:jc w:val="right"/>
              <w:spacing w:after="0"/>
              <w:rPr>
                <w:sz w:val="20"/>
                <w:szCs w:val="20"/>
                <w:color w:val="auto"/>
              </w:rPr>
            </w:pPr>
            <w:r>
              <w:rPr>
                <w:rFonts w:ascii="Arial" w:cs="Arial" w:eastAsia="Arial" w:hAnsi="Arial"/>
                <w:sz w:val="18"/>
                <w:szCs w:val="18"/>
                <w:color w:val="auto"/>
              </w:rPr>
              <w:t>(83,203)</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(170,695)</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(165,115)</w:t>
            </w:r>
          </w:p>
        </w:tc>
        <w:tc>
          <w:tcPr>
            <w:tcW w:w="1740" w:type="dxa"/>
            <w:vAlign w:val="bottom"/>
          </w:tcPr>
          <w:p>
            <w:pPr>
              <w:spacing w:after="0"/>
              <w:rPr>
                <w:sz w:val="21"/>
                <w:szCs w:val="21"/>
                <w:color w:val="auto"/>
              </w:rPr>
            </w:pPr>
          </w:p>
        </w:tc>
      </w:tr>
      <w:tr>
        <w:trPr>
          <w:trHeight w:val="243"/>
        </w:trPr>
        <w:tc>
          <w:tcPr>
            <w:tcW w:w="1720" w:type="dxa"/>
            <w:vAlign w:val="bottom"/>
          </w:tcPr>
          <w:p>
            <w:pPr>
              <w:spacing w:after="0"/>
              <w:rPr>
                <w:sz w:val="21"/>
                <w:szCs w:val="21"/>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900" w:type="dxa"/>
            <w:vAlign w:val="bottom"/>
          </w:tcPr>
          <w:p>
            <w:pPr>
              <w:jc w:val="right"/>
              <w:spacing w:after="0"/>
              <w:rPr>
                <w:sz w:val="20"/>
                <w:szCs w:val="20"/>
                <w:color w:val="auto"/>
              </w:rPr>
            </w:pPr>
            <w:r>
              <w:rPr>
                <w:rFonts w:ascii="Arial" w:cs="Arial" w:eastAsia="Arial" w:hAnsi="Arial"/>
                <w:sz w:val="18"/>
                <w:szCs w:val="18"/>
                <w:color w:val="auto"/>
              </w:rPr>
              <w:t>(15,858)</w:t>
            </w:r>
          </w:p>
        </w:tc>
        <w:tc>
          <w:tcPr>
            <w:tcW w:w="840" w:type="dxa"/>
            <w:vAlign w:val="bottom"/>
          </w:tcPr>
          <w:p>
            <w:pPr>
              <w:jc w:val="right"/>
              <w:spacing w:after="0"/>
              <w:rPr>
                <w:sz w:val="20"/>
                <w:szCs w:val="20"/>
                <w:color w:val="auto"/>
              </w:rPr>
            </w:pPr>
            <w:r>
              <w:rPr>
                <w:rFonts w:ascii="Arial" w:cs="Arial" w:eastAsia="Arial" w:hAnsi="Arial"/>
                <w:sz w:val="18"/>
                <w:szCs w:val="18"/>
                <w:color w:val="auto"/>
              </w:rPr>
              <w:t>(15,188)</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(32,180)</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(30,685)</w:t>
            </w:r>
          </w:p>
        </w:tc>
        <w:tc>
          <w:tcPr>
            <w:tcW w:w="1740" w:type="dxa"/>
            <w:vAlign w:val="bottom"/>
          </w:tcPr>
          <w:p>
            <w:pPr>
              <w:spacing w:after="0"/>
              <w:rPr>
                <w:sz w:val="21"/>
                <w:szCs w:val="21"/>
                <w:color w:val="auto"/>
              </w:rPr>
            </w:pPr>
          </w:p>
        </w:tc>
      </w:tr>
      <w:tr>
        <w:trPr>
          <w:trHeight w:val="250"/>
        </w:trPr>
        <w:tc>
          <w:tcPr>
            <w:tcW w:w="1720" w:type="dxa"/>
            <w:vAlign w:val="bottom"/>
          </w:tcPr>
          <w:p>
            <w:pPr>
              <w:spacing w:after="0"/>
              <w:rPr>
                <w:sz w:val="21"/>
                <w:szCs w:val="21"/>
                <w:color w:val="auto"/>
              </w:rPr>
            </w:pPr>
          </w:p>
        </w:tc>
        <w:tc>
          <w:tcPr>
            <w:tcW w:w="4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Restructuring costs</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(18,089)</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(18,089)</w:t>
            </w:r>
          </w:p>
        </w:tc>
        <w:tc>
          <w:tcPr>
            <w:tcW w:w="20" w:type="dxa"/>
            <w:vAlign w:val="bottom"/>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740" w:type="dxa"/>
            <w:vAlign w:val="bottom"/>
          </w:tcPr>
          <w:p>
            <w:pPr>
              <w:spacing w:after="0"/>
              <w:rPr>
                <w:sz w:val="21"/>
                <w:szCs w:val="21"/>
                <w:color w:val="auto"/>
              </w:rPr>
            </w:pPr>
          </w:p>
        </w:tc>
      </w:tr>
      <w:tr>
        <w:trPr>
          <w:trHeight w:val="480"/>
        </w:trPr>
        <w:tc>
          <w:tcPr>
            <w:tcW w:w="1720" w:type="dxa"/>
            <w:vAlign w:val="bottom"/>
          </w:tcPr>
          <w:p>
            <w:pPr>
              <w:spacing w:after="0"/>
              <w:rPr>
                <w:sz w:val="24"/>
                <w:szCs w:val="24"/>
                <w:color w:val="auto"/>
              </w:rPr>
            </w:pPr>
          </w:p>
        </w:tc>
        <w:tc>
          <w:tcPr>
            <w:tcW w:w="4280" w:type="dxa"/>
            <w:vAlign w:val="bottom"/>
          </w:tcPr>
          <w:p>
            <w:pPr>
              <w:spacing w:after="0"/>
              <w:rPr>
                <w:sz w:val="20"/>
                <w:szCs w:val="20"/>
                <w:color w:val="auto"/>
              </w:rPr>
            </w:pPr>
            <w:r>
              <w:rPr>
                <w:rFonts w:ascii="Arial" w:cs="Arial" w:eastAsia="Arial" w:hAnsi="Arial"/>
                <w:sz w:val="18"/>
                <w:szCs w:val="18"/>
                <w:b w:val="1"/>
                <w:bCs w:val="1"/>
                <w:color w:val="auto"/>
              </w:rPr>
              <w:t>Total costs and expenses</w:t>
            </w:r>
          </w:p>
        </w:tc>
        <w:tc>
          <w:tcPr>
            <w:tcW w:w="900" w:type="dxa"/>
            <w:vAlign w:val="bottom"/>
          </w:tcPr>
          <w:p>
            <w:pPr>
              <w:jc w:val="right"/>
              <w:spacing w:after="0"/>
              <w:rPr>
                <w:sz w:val="20"/>
                <w:szCs w:val="20"/>
                <w:color w:val="auto"/>
              </w:rPr>
            </w:pPr>
            <w:r>
              <w:rPr>
                <w:rFonts w:ascii="Arial" w:cs="Arial" w:eastAsia="Arial" w:hAnsi="Arial"/>
                <w:sz w:val="18"/>
                <w:szCs w:val="18"/>
                <w:color w:val="auto"/>
              </w:rPr>
              <w:t>(563,279)</w:t>
            </w:r>
          </w:p>
        </w:tc>
        <w:tc>
          <w:tcPr>
            <w:tcW w:w="840" w:type="dxa"/>
            <w:vAlign w:val="bottom"/>
          </w:tcPr>
          <w:p>
            <w:pPr>
              <w:jc w:val="right"/>
              <w:spacing w:after="0"/>
              <w:rPr>
                <w:sz w:val="20"/>
                <w:szCs w:val="20"/>
                <w:color w:val="auto"/>
              </w:rPr>
            </w:pPr>
            <w:r>
              <w:rPr>
                <w:rFonts w:ascii="Arial" w:cs="Arial" w:eastAsia="Arial" w:hAnsi="Arial"/>
                <w:sz w:val="18"/>
                <w:szCs w:val="18"/>
                <w:color w:val="auto"/>
              </w:rPr>
              <w:t>(589,047)</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w w:val="93"/>
              </w:rPr>
              <w:t>(1,172,090)</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w w:val="93"/>
              </w:rPr>
              <w:t>(1,161,953)</w:t>
            </w:r>
          </w:p>
        </w:tc>
        <w:tc>
          <w:tcPr>
            <w:tcW w:w="1740" w:type="dxa"/>
            <w:vAlign w:val="bottom"/>
          </w:tcPr>
          <w:p>
            <w:pPr>
              <w:spacing w:after="0"/>
              <w:rPr>
                <w:sz w:val="24"/>
                <w:szCs w:val="24"/>
                <w:color w:val="auto"/>
              </w:rPr>
            </w:pPr>
          </w:p>
        </w:tc>
      </w:tr>
      <w:tr>
        <w:trPr>
          <w:trHeight w:val="473"/>
        </w:trPr>
        <w:tc>
          <w:tcPr>
            <w:tcW w:w="1720" w:type="dxa"/>
            <w:vAlign w:val="bottom"/>
          </w:tcPr>
          <w:p>
            <w:pPr>
              <w:spacing w:after="0"/>
              <w:rPr>
                <w:sz w:val="24"/>
                <w:szCs w:val="24"/>
                <w:color w:val="auto"/>
              </w:rPr>
            </w:pPr>
          </w:p>
        </w:tc>
        <w:tc>
          <w:tcPr>
            <w:tcW w:w="428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Income from operations</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56,949</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106,090</w:t>
            </w:r>
          </w:p>
        </w:tc>
        <w:tc>
          <w:tcPr>
            <w:tcW w:w="40" w:type="dxa"/>
            <w:vAlign w:val="bottom"/>
          </w:tcPr>
          <w:p>
            <w:pPr>
              <w:spacing w:after="0"/>
              <w:rPr>
                <w:sz w:val="24"/>
                <w:szCs w:val="24"/>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163,240</w:t>
            </w:r>
          </w:p>
        </w:tc>
        <w:tc>
          <w:tcPr>
            <w:tcW w:w="20" w:type="dxa"/>
            <w:vAlign w:val="bottom"/>
          </w:tcPr>
          <w:p>
            <w:pPr>
              <w:spacing w:after="0"/>
              <w:rPr>
                <w:sz w:val="24"/>
                <w:szCs w:val="24"/>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208,036</w:t>
            </w:r>
          </w:p>
        </w:tc>
        <w:tc>
          <w:tcPr>
            <w:tcW w:w="1740" w:type="dxa"/>
            <w:vAlign w:val="bottom"/>
          </w:tcPr>
          <w:p>
            <w:pPr>
              <w:spacing w:after="0"/>
              <w:rPr>
                <w:sz w:val="24"/>
                <w:szCs w:val="24"/>
                <w:color w:val="auto"/>
              </w:rPr>
            </w:pPr>
          </w:p>
        </w:tc>
      </w:tr>
      <w:tr>
        <w:trPr>
          <w:trHeight w:val="493"/>
        </w:trPr>
        <w:tc>
          <w:tcPr>
            <w:tcW w:w="1720" w:type="dxa"/>
            <w:vAlign w:val="bottom"/>
          </w:tcPr>
          <w:p>
            <w:pPr>
              <w:spacing w:after="0"/>
              <w:rPr>
                <w:sz w:val="24"/>
                <w:szCs w:val="24"/>
                <w:color w:val="auto"/>
              </w:rPr>
            </w:pPr>
          </w:p>
        </w:tc>
        <w:tc>
          <w:tcPr>
            <w:tcW w:w="4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Net interest expense</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(2,779)</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(1,419)</w:t>
            </w:r>
          </w:p>
        </w:tc>
        <w:tc>
          <w:tcPr>
            <w:tcW w:w="40" w:type="dxa"/>
            <w:vAlign w:val="bottom"/>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(4,151)</w:t>
            </w:r>
          </w:p>
        </w:tc>
        <w:tc>
          <w:tcPr>
            <w:tcW w:w="20" w:type="dxa"/>
            <w:vAlign w:val="bottom"/>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(3,028)</w:t>
            </w:r>
          </w:p>
        </w:tc>
        <w:tc>
          <w:tcPr>
            <w:tcW w:w="1740" w:type="dxa"/>
            <w:vAlign w:val="bottom"/>
          </w:tcPr>
          <w:p>
            <w:pPr>
              <w:spacing w:after="0"/>
              <w:rPr>
                <w:sz w:val="24"/>
                <w:szCs w:val="24"/>
                <w:color w:val="auto"/>
              </w:rPr>
            </w:pPr>
          </w:p>
        </w:tc>
      </w:tr>
      <w:tr>
        <w:trPr>
          <w:trHeight w:val="473"/>
        </w:trPr>
        <w:tc>
          <w:tcPr>
            <w:tcW w:w="1720" w:type="dxa"/>
            <w:vAlign w:val="bottom"/>
          </w:tcPr>
          <w:p>
            <w:pPr>
              <w:spacing w:after="0"/>
              <w:rPr>
                <w:sz w:val="24"/>
                <w:szCs w:val="24"/>
                <w:color w:val="auto"/>
              </w:rPr>
            </w:pPr>
          </w:p>
        </w:tc>
        <w:tc>
          <w:tcPr>
            <w:tcW w:w="4280" w:type="dxa"/>
            <w:vAlign w:val="bottom"/>
          </w:tcPr>
          <w:p>
            <w:pPr>
              <w:spacing w:after="0"/>
              <w:rPr>
                <w:sz w:val="20"/>
                <w:szCs w:val="20"/>
                <w:color w:val="auto"/>
              </w:rPr>
            </w:pPr>
            <w:r>
              <w:rPr>
                <w:rFonts w:ascii="Arial" w:cs="Arial" w:eastAsia="Arial" w:hAnsi="Arial"/>
                <w:sz w:val="18"/>
                <w:szCs w:val="18"/>
                <w:b w:val="1"/>
                <w:bCs w:val="1"/>
                <w:color w:val="auto"/>
              </w:rPr>
              <w:t>Income before provision for income taxes</w:t>
            </w:r>
          </w:p>
        </w:tc>
        <w:tc>
          <w:tcPr>
            <w:tcW w:w="900" w:type="dxa"/>
            <w:vAlign w:val="bottom"/>
          </w:tcPr>
          <w:p>
            <w:pPr>
              <w:jc w:val="right"/>
              <w:spacing w:after="0"/>
              <w:rPr>
                <w:sz w:val="20"/>
                <w:szCs w:val="20"/>
                <w:color w:val="auto"/>
              </w:rPr>
            </w:pPr>
            <w:r>
              <w:rPr>
                <w:rFonts w:ascii="Arial" w:cs="Arial" w:eastAsia="Arial" w:hAnsi="Arial"/>
                <w:sz w:val="18"/>
                <w:szCs w:val="18"/>
                <w:color w:val="auto"/>
              </w:rPr>
              <w:t>54,170</w:t>
            </w:r>
          </w:p>
        </w:tc>
        <w:tc>
          <w:tcPr>
            <w:tcW w:w="840" w:type="dxa"/>
            <w:vAlign w:val="bottom"/>
          </w:tcPr>
          <w:p>
            <w:pPr>
              <w:jc w:val="right"/>
              <w:spacing w:after="0"/>
              <w:rPr>
                <w:sz w:val="20"/>
                <w:szCs w:val="20"/>
                <w:color w:val="auto"/>
              </w:rPr>
            </w:pPr>
            <w:r>
              <w:rPr>
                <w:rFonts w:ascii="Arial" w:cs="Arial" w:eastAsia="Arial" w:hAnsi="Arial"/>
                <w:sz w:val="18"/>
                <w:szCs w:val="18"/>
                <w:color w:val="auto"/>
              </w:rPr>
              <w:t>104,671</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159,089</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205,008</w:t>
            </w:r>
          </w:p>
        </w:tc>
        <w:tc>
          <w:tcPr>
            <w:tcW w:w="1740" w:type="dxa"/>
            <w:vAlign w:val="bottom"/>
          </w:tcPr>
          <w:p>
            <w:pPr>
              <w:spacing w:after="0"/>
              <w:rPr>
                <w:sz w:val="24"/>
                <w:szCs w:val="24"/>
                <w:color w:val="auto"/>
              </w:rPr>
            </w:pPr>
          </w:p>
        </w:tc>
      </w:tr>
      <w:tr>
        <w:trPr>
          <w:trHeight w:val="493"/>
        </w:trPr>
        <w:tc>
          <w:tcPr>
            <w:tcW w:w="1720" w:type="dxa"/>
            <w:vAlign w:val="bottom"/>
          </w:tcPr>
          <w:p>
            <w:pPr>
              <w:spacing w:after="0"/>
              <w:rPr>
                <w:sz w:val="24"/>
                <w:szCs w:val="24"/>
                <w:color w:val="auto"/>
              </w:rPr>
            </w:pPr>
          </w:p>
        </w:tc>
        <w:tc>
          <w:tcPr>
            <w:tcW w:w="4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Provision for income taxes</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(6,410)</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(12,456)</w:t>
            </w:r>
          </w:p>
        </w:tc>
        <w:tc>
          <w:tcPr>
            <w:tcW w:w="40" w:type="dxa"/>
            <w:vAlign w:val="bottom"/>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(19,000)</w:t>
            </w:r>
          </w:p>
        </w:tc>
        <w:tc>
          <w:tcPr>
            <w:tcW w:w="20" w:type="dxa"/>
            <w:vAlign w:val="bottom"/>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(24,496)</w:t>
            </w:r>
          </w:p>
        </w:tc>
        <w:tc>
          <w:tcPr>
            <w:tcW w:w="1740" w:type="dxa"/>
            <w:vAlign w:val="bottom"/>
          </w:tcPr>
          <w:p>
            <w:pPr>
              <w:spacing w:after="0"/>
              <w:rPr>
                <w:sz w:val="24"/>
                <w:szCs w:val="24"/>
                <w:color w:val="auto"/>
              </w:rPr>
            </w:pPr>
          </w:p>
        </w:tc>
      </w:tr>
      <w:tr>
        <w:trPr>
          <w:trHeight w:val="473"/>
        </w:trPr>
        <w:tc>
          <w:tcPr>
            <w:tcW w:w="1720" w:type="dxa"/>
            <w:vAlign w:val="bottom"/>
          </w:tcPr>
          <w:p>
            <w:pPr>
              <w:spacing w:after="0"/>
              <w:rPr>
                <w:sz w:val="24"/>
                <w:szCs w:val="24"/>
                <w:color w:val="auto"/>
              </w:rPr>
            </w:pPr>
          </w:p>
        </w:tc>
        <w:tc>
          <w:tcPr>
            <w:tcW w:w="4280" w:type="dxa"/>
            <w:vAlign w:val="bottom"/>
          </w:tcPr>
          <w:p>
            <w:pPr>
              <w:spacing w:after="0"/>
              <w:rPr>
                <w:sz w:val="20"/>
                <w:szCs w:val="20"/>
                <w:color w:val="auto"/>
              </w:rPr>
            </w:pPr>
            <w:r>
              <w:rPr>
                <w:rFonts w:ascii="Arial" w:cs="Arial" w:eastAsia="Arial" w:hAnsi="Arial"/>
                <w:sz w:val="18"/>
                <w:szCs w:val="18"/>
                <w:b w:val="1"/>
                <w:bCs w:val="1"/>
                <w:color w:val="auto"/>
              </w:rPr>
              <w:t>Net income</w:t>
            </w:r>
          </w:p>
        </w:tc>
        <w:tc>
          <w:tcPr>
            <w:tcW w:w="900" w:type="dxa"/>
            <w:vAlign w:val="bottom"/>
          </w:tcPr>
          <w:p>
            <w:pPr>
              <w:jc w:val="right"/>
              <w:spacing w:after="0"/>
              <w:rPr>
                <w:sz w:val="20"/>
                <w:szCs w:val="20"/>
                <w:color w:val="auto"/>
              </w:rPr>
            </w:pPr>
            <w:r>
              <w:rPr>
                <w:rFonts w:ascii="Arial" w:cs="Arial" w:eastAsia="Arial" w:hAnsi="Arial"/>
                <w:sz w:val="18"/>
                <w:szCs w:val="18"/>
                <w:color w:val="auto"/>
              </w:rPr>
              <w:t>47,760</w:t>
            </w:r>
          </w:p>
        </w:tc>
        <w:tc>
          <w:tcPr>
            <w:tcW w:w="840" w:type="dxa"/>
            <w:vAlign w:val="bottom"/>
          </w:tcPr>
          <w:p>
            <w:pPr>
              <w:jc w:val="right"/>
              <w:spacing w:after="0"/>
              <w:rPr>
                <w:sz w:val="20"/>
                <w:szCs w:val="20"/>
                <w:color w:val="auto"/>
              </w:rPr>
            </w:pPr>
            <w:r>
              <w:rPr>
                <w:rFonts w:ascii="Arial" w:cs="Arial" w:eastAsia="Arial" w:hAnsi="Arial"/>
                <w:sz w:val="18"/>
                <w:szCs w:val="18"/>
                <w:color w:val="auto"/>
              </w:rPr>
              <w:t>92,215</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140,089</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180,512</w:t>
            </w:r>
          </w:p>
        </w:tc>
        <w:tc>
          <w:tcPr>
            <w:tcW w:w="1740" w:type="dxa"/>
            <w:vAlign w:val="bottom"/>
          </w:tcPr>
          <w:p>
            <w:pPr>
              <w:spacing w:after="0"/>
              <w:rPr>
                <w:sz w:val="24"/>
                <w:szCs w:val="24"/>
                <w:color w:val="auto"/>
              </w:rPr>
            </w:pPr>
          </w:p>
        </w:tc>
      </w:tr>
      <w:tr>
        <w:trPr>
          <w:trHeight w:val="493"/>
        </w:trPr>
        <w:tc>
          <w:tcPr>
            <w:tcW w:w="1720" w:type="dxa"/>
            <w:vAlign w:val="bottom"/>
          </w:tcPr>
          <w:p>
            <w:pPr>
              <w:spacing w:after="0"/>
              <w:rPr>
                <w:sz w:val="24"/>
                <w:szCs w:val="24"/>
                <w:color w:val="auto"/>
              </w:rPr>
            </w:pPr>
          </w:p>
        </w:tc>
        <w:tc>
          <w:tcPr>
            <w:tcW w:w="4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Net income attributable to non-controlling interest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(358)</w:t>
            </w:r>
          </w:p>
        </w:tc>
        <w:tc>
          <w:tcPr>
            <w:tcW w:w="40" w:type="dxa"/>
            <w:vAlign w:val="bottom"/>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(633)</w:t>
            </w:r>
          </w:p>
        </w:tc>
        <w:tc>
          <w:tcPr>
            <w:tcW w:w="20" w:type="dxa"/>
            <w:vAlign w:val="bottom"/>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(358)</w:t>
            </w:r>
          </w:p>
        </w:tc>
        <w:tc>
          <w:tcPr>
            <w:tcW w:w="1740" w:type="dxa"/>
            <w:vAlign w:val="bottom"/>
          </w:tcPr>
          <w:p>
            <w:pPr>
              <w:spacing w:after="0"/>
              <w:rPr>
                <w:sz w:val="24"/>
                <w:szCs w:val="24"/>
                <w:color w:val="auto"/>
              </w:rPr>
            </w:pPr>
          </w:p>
        </w:tc>
      </w:tr>
      <w:tr>
        <w:trPr>
          <w:trHeight w:val="480"/>
        </w:trPr>
        <w:tc>
          <w:tcPr>
            <w:tcW w:w="1720" w:type="dxa"/>
            <w:vAlign w:val="bottom"/>
          </w:tcPr>
          <w:p>
            <w:pPr>
              <w:spacing w:after="0"/>
              <w:rPr>
                <w:sz w:val="24"/>
                <w:szCs w:val="24"/>
                <w:color w:val="auto"/>
              </w:rPr>
            </w:pPr>
          </w:p>
        </w:tc>
        <w:tc>
          <w:tcPr>
            <w:tcW w:w="4280" w:type="dxa"/>
            <w:vAlign w:val="bottom"/>
          </w:tcPr>
          <w:p>
            <w:pPr>
              <w:spacing w:after="0"/>
              <w:rPr>
                <w:sz w:val="20"/>
                <w:szCs w:val="20"/>
                <w:color w:val="auto"/>
              </w:rPr>
            </w:pPr>
            <w:r>
              <w:rPr>
                <w:rFonts w:ascii="Arial" w:cs="Arial" w:eastAsia="Arial" w:hAnsi="Arial"/>
                <w:sz w:val="18"/>
                <w:szCs w:val="18"/>
                <w:b w:val="1"/>
                <w:bCs w:val="1"/>
                <w:color w:val="auto"/>
              </w:rPr>
              <w:t>Net income attributable to the Group</w:t>
            </w:r>
          </w:p>
        </w:tc>
        <w:tc>
          <w:tcPr>
            <w:tcW w:w="900" w:type="dxa"/>
            <w:vAlign w:val="bottom"/>
          </w:tcPr>
          <w:p>
            <w:pPr>
              <w:jc w:val="right"/>
              <w:spacing w:after="0"/>
              <w:rPr>
                <w:sz w:val="20"/>
                <w:szCs w:val="20"/>
                <w:color w:val="auto"/>
              </w:rPr>
            </w:pPr>
            <w:r>
              <w:rPr>
                <w:rFonts w:ascii="Arial" w:cs="Arial" w:eastAsia="Arial" w:hAnsi="Arial"/>
                <w:sz w:val="18"/>
                <w:szCs w:val="18"/>
                <w:color w:val="auto"/>
              </w:rPr>
              <w:t>47,760</w:t>
            </w:r>
          </w:p>
        </w:tc>
        <w:tc>
          <w:tcPr>
            <w:tcW w:w="840" w:type="dxa"/>
            <w:vAlign w:val="bottom"/>
          </w:tcPr>
          <w:p>
            <w:pPr>
              <w:jc w:val="right"/>
              <w:spacing w:after="0"/>
              <w:rPr>
                <w:sz w:val="20"/>
                <w:szCs w:val="20"/>
                <w:color w:val="auto"/>
              </w:rPr>
            </w:pPr>
            <w:r>
              <w:rPr>
                <w:rFonts w:ascii="Arial" w:cs="Arial" w:eastAsia="Arial" w:hAnsi="Arial"/>
                <w:sz w:val="18"/>
                <w:szCs w:val="18"/>
                <w:color w:val="auto"/>
              </w:rPr>
              <w:t>91,857</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139,456</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180,154</w:t>
            </w:r>
          </w:p>
        </w:tc>
        <w:tc>
          <w:tcPr>
            <w:tcW w:w="1740" w:type="dxa"/>
            <w:vAlign w:val="bottom"/>
          </w:tcPr>
          <w:p>
            <w:pPr>
              <w:spacing w:after="0"/>
              <w:rPr>
                <w:sz w:val="24"/>
                <w:szCs w:val="24"/>
                <w:color w:val="auto"/>
              </w:rPr>
            </w:pPr>
          </w:p>
        </w:tc>
      </w:tr>
      <w:tr>
        <w:trPr>
          <w:trHeight w:val="473"/>
        </w:trPr>
        <w:tc>
          <w:tcPr>
            <w:tcW w:w="1720" w:type="dxa"/>
            <w:vAlign w:val="bottom"/>
          </w:tcPr>
          <w:p>
            <w:pPr>
              <w:spacing w:after="0"/>
              <w:rPr>
                <w:sz w:val="24"/>
                <w:szCs w:val="24"/>
                <w:color w:val="auto"/>
              </w:rPr>
            </w:pPr>
          </w:p>
        </w:tc>
        <w:tc>
          <w:tcPr>
            <w:tcW w:w="428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3"/>
              </w:rPr>
              <w:t>Net income per Ordinary Share attributable to the Group:</w:t>
            </w:r>
          </w:p>
        </w:tc>
        <w:tc>
          <w:tcPr>
            <w:tcW w:w="90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740" w:type="dxa"/>
            <w:vAlign w:val="bottom"/>
          </w:tcPr>
          <w:p>
            <w:pPr>
              <w:spacing w:after="0"/>
              <w:rPr>
                <w:sz w:val="24"/>
                <w:szCs w:val="24"/>
                <w:color w:val="auto"/>
              </w:rPr>
            </w:pPr>
          </w:p>
        </w:tc>
      </w:tr>
      <w:tr>
        <w:trPr>
          <w:trHeight w:val="493"/>
        </w:trPr>
        <w:tc>
          <w:tcPr>
            <w:tcW w:w="1720" w:type="dxa"/>
            <w:vAlign w:val="bottom"/>
          </w:tcPr>
          <w:p>
            <w:pPr>
              <w:spacing w:after="0"/>
              <w:rPr>
                <w:sz w:val="24"/>
                <w:szCs w:val="24"/>
                <w:color w:val="auto"/>
              </w:rPr>
            </w:pPr>
          </w:p>
        </w:tc>
        <w:tc>
          <w:tcPr>
            <w:tcW w:w="4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Basic</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$0.91</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w:t>
            </w:r>
          </w:p>
        </w:tc>
        <w:tc>
          <w:tcPr>
            <w:tcW w:w="40" w:type="dxa"/>
            <w:vAlign w:val="bottom"/>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w:t>
            </w:r>
          </w:p>
        </w:tc>
        <w:tc>
          <w:tcPr>
            <w:tcW w:w="20" w:type="dxa"/>
            <w:vAlign w:val="bottom"/>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$3.34</w:t>
            </w:r>
          </w:p>
        </w:tc>
        <w:tc>
          <w:tcPr>
            <w:tcW w:w="1740" w:type="dxa"/>
            <w:vAlign w:val="bottom"/>
          </w:tcPr>
          <w:p>
            <w:pPr>
              <w:spacing w:after="0"/>
              <w:rPr>
                <w:sz w:val="24"/>
                <w:szCs w:val="24"/>
                <w:color w:val="auto"/>
              </w:rPr>
            </w:pPr>
          </w:p>
        </w:tc>
      </w:tr>
      <w:tr>
        <w:trPr>
          <w:trHeight w:val="480"/>
        </w:trPr>
        <w:tc>
          <w:tcPr>
            <w:tcW w:w="1720" w:type="dxa"/>
            <w:vAlign w:val="bottom"/>
          </w:tcPr>
          <w:p>
            <w:pPr>
              <w:spacing w:after="0"/>
              <w:rPr>
                <w:sz w:val="24"/>
                <w:szCs w:val="24"/>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Diluted</w:t>
            </w:r>
          </w:p>
        </w:tc>
        <w:tc>
          <w:tcPr>
            <w:tcW w:w="900" w:type="dxa"/>
            <w:vAlign w:val="bottom"/>
          </w:tcPr>
          <w:p>
            <w:pPr>
              <w:jc w:val="right"/>
              <w:spacing w:after="0"/>
              <w:rPr>
                <w:sz w:val="20"/>
                <w:szCs w:val="20"/>
                <w:color w:val="auto"/>
              </w:rPr>
            </w:pPr>
            <w:r>
              <w:rPr>
                <w:rFonts w:ascii="Arial" w:cs="Arial" w:eastAsia="Arial" w:hAnsi="Arial"/>
                <w:sz w:val="18"/>
                <w:szCs w:val="18"/>
                <w:color w:val="auto"/>
              </w:rPr>
              <w:t>$0.90</w:t>
            </w:r>
          </w:p>
        </w:tc>
        <w:tc>
          <w:tcPr>
            <w:tcW w:w="840" w:type="dxa"/>
            <w:vAlign w:val="bottom"/>
          </w:tcPr>
          <w:p>
            <w:pPr>
              <w:jc w:val="right"/>
              <w:spacing w:after="0"/>
              <w:rPr>
                <w:sz w:val="20"/>
                <w:szCs w:val="20"/>
                <w:color w:val="auto"/>
              </w:rPr>
            </w:pPr>
            <w:r>
              <w:rPr>
                <w:rFonts w:ascii="Arial" w:cs="Arial" w:eastAsia="Arial" w:hAnsi="Arial"/>
                <w:sz w:val="18"/>
                <w:szCs w:val="18"/>
                <w:color w:val="auto"/>
              </w:rPr>
              <w:t>$1.69</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$2.51</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$3.31</w:t>
            </w:r>
          </w:p>
        </w:tc>
        <w:tc>
          <w:tcPr>
            <w:tcW w:w="1740" w:type="dxa"/>
            <w:vAlign w:val="bottom"/>
          </w:tcPr>
          <w:p>
            <w:pPr>
              <w:spacing w:after="0"/>
              <w:rPr>
                <w:sz w:val="24"/>
                <w:szCs w:val="24"/>
                <w:color w:val="auto"/>
              </w:rPr>
            </w:pPr>
          </w:p>
        </w:tc>
      </w:tr>
      <w:tr>
        <w:trPr>
          <w:trHeight w:val="473"/>
        </w:trPr>
        <w:tc>
          <w:tcPr>
            <w:tcW w:w="1720" w:type="dxa"/>
            <w:vAlign w:val="bottom"/>
          </w:tcPr>
          <w:p>
            <w:pPr>
              <w:spacing w:after="0"/>
              <w:rPr>
                <w:sz w:val="24"/>
                <w:szCs w:val="24"/>
                <w:color w:val="auto"/>
              </w:rPr>
            </w:pPr>
          </w:p>
        </w:tc>
        <w:tc>
          <w:tcPr>
            <w:tcW w:w="428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0"/>
              </w:rPr>
              <w:t>Weighted average number of Ordinary Shares outstanding:</w:t>
            </w:r>
          </w:p>
        </w:tc>
        <w:tc>
          <w:tcPr>
            <w:tcW w:w="90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740" w:type="dxa"/>
            <w:vAlign w:val="bottom"/>
          </w:tcPr>
          <w:p>
            <w:pPr>
              <w:spacing w:after="0"/>
              <w:rPr>
                <w:sz w:val="24"/>
                <w:szCs w:val="24"/>
                <w:color w:val="auto"/>
              </w:rPr>
            </w:pPr>
          </w:p>
        </w:tc>
      </w:tr>
      <w:tr>
        <w:trPr>
          <w:trHeight w:val="493"/>
        </w:trPr>
        <w:tc>
          <w:tcPr>
            <w:tcW w:w="1720" w:type="dxa"/>
            <w:vAlign w:val="bottom"/>
          </w:tcPr>
          <w:p>
            <w:pPr>
              <w:spacing w:after="0"/>
              <w:rPr>
                <w:sz w:val="24"/>
                <w:szCs w:val="24"/>
                <w:color w:val="auto"/>
              </w:rPr>
            </w:pPr>
          </w:p>
        </w:tc>
        <w:tc>
          <w:tcPr>
            <w:tcW w:w="4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Basic</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52,570,104</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53,957,446</w:t>
            </w:r>
          </w:p>
        </w:tc>
        <w:tc>
          <w:tcPr>
            <w:tcW w:w="40" w:type="dxa"/>
            <w:vAlign w:val="bottom"/>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52,959,229</w:t>
            </w:r>
          </w:p>
        </w:tc>
        <w:tc>
          <w:tcPr>
            <w:tcW w:w="20" w:type="dxa"/>
            <w:vAlign w:val="bottom"/>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53,901,427</w:t>
            </w:r>
          </w:p>
        </w:tc>
        <w:tc>
          <w:tcPr>
            <w:tcW w:w="1740" w:type="dxa"/>
            <w:vAlign w:val="bottom"/>
          </w:tcPr>
          <w:p>
            <w:pPr>
              <w:spacing w:after="0"/>
              <w:rPr>
                <w:sz w:val="24"/>
                <w:szCs w:val="24"/>
                <w:color w:val="auto"/>
              </w:rPr>
            </w:pPr>
          </w:p>
        </w:tc>
      </w:tr>
      <w:tr>
        <w:trPr>
          <w:trHeight w:val="480"/>
        </w:trPr>
        <w:tc>
          <w:tcPr>
            <w:tcW w:w="1720" w:type="dxa"/>
            <w:vAlign w:val="bottom"/>
          </w:tcPr>
          <w:p>
            <w:pPr>
              <w:spacing w:after="0"/>
              <w:rPr>
                <w:sz w:val="24"/>
                <w:szCs w:val="24"/>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Diluted</w:t>
            </w:r>
          </w:p>
        </w:tc>
        <w:tc>
          <w:tcPr>
            <w:tcW w:w="900" w:type="dxa"/>
            <w:vAlign w:val="bottom"/>
          </w:tcPr>
          <w:p>
            <w:pPr>
              <w:jc w:val="right"/>
              <w:spacing w:after="0"/>
              <w:rPr>
                <w:sz w:val="20"/>
                <w:szCs w:val="20"/>
                <w:color w:val="auto"/>
              </w:rPr>
            </w:pPr>
            <w:r>
              <w:rPr>
                <w:rFonts w:ascii="Arial" w:cs="Arial" w:eastAsia="Arial" w:hAnsi="Arial"/>
                <w:sz w:val="18"/>
                <w:szCs w:val="18"/>
                <w:color w:val="auto"/>
                <w:w w:val="93"/>
              </w:rPr>
              <w:t>53,028,567</w:t>
            </w:r>
          </w:p>
        </w:tc>
        <w:tc>
          <w:tcPr>
            <w:tcW w:w="840" w:type="dxa"/>
            <w:vAlign w:val="bottom"/>
          </w:tcPr>
          <w:p>
            <w:pPr>
              <w:jc w:val="right"/>
              <w:spacing w:after="0"/>
              <w:rPr>
                <w:sz w:val="20"/>
                <w:szCs w:val="20"/>
                <w:color w:val="auto"/>
              </w:rPr>
            </w:pPr>
            <w:r>
              <w:rPr>
                <w:rFonts w:ascii="Arial" w:cs="Arial" w:eastAsia="Arial" w:hAnsi="Arial"/>
                <w:sz w:val="18"/>
                <w:szCs w:val="18"/>
                <w:color w:val="auto"/>
                <w:w w:val="90"/>
              </w:rPr>
              <w:t>54,449,117</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w w:val="95"/>
              </w:rPr>
              <w:t>53,691,138</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w w:val="95"/>
              </w:rPr>
              <w:t>54,355,705</w:t>
            </w:r>
          </w:p>
        </w:tc>
        <w:tc>
          <w:tcPr>
            <w:tcW w:w="1740" w:type="dxa"/>
            <w:vAlign w:val="bottom"/>
          </w:tcPr>
          <w:p>
            <w:pPr>
              <w:spacing w:after="0"/>
              <w:rPr>
                <w:sz w:val="24"/>
                <w:szCs w:val="24"/>
                <w:color w:val="auto"/>
              </w:rPr>
            </w:pPr>
          </w:p>
        </w:tc>
      </w:tr>
      <w:tr>
        <w:trPr>
          <w:trHeight w:val="425"/>
        </w:trPr>
        <w:tc>
          <w:tcPr>
            <w:tcW w:w="1720" w:type="dxa"/>
            <w:vAlign w:val="bottom"/>
            <w:tcBorders>
              <w:bottom w:val="single" w:sz="8" w:color="auto"/>
            </w:tcBorders>
          </w:tcPr>
          <w:p>
            <w:pPr>
              <w:spacing w:after="0"/>
              <w:rPr>
                <w:sz w:val="24"/>
                <w:szCs w:val="24"/>
                <w:color w:val="auto"/>
              </w:rPr>
            </w:pPr>
          </w:p>
        </w:tc>
        <w:tc>
          <w:tcPr>
            <w:tcW w:w="4280" w:type="dxa"/>
            <w:vAlign w:val="bottom"/>
            <w:tcBorders>
              <w:top w:val="single" w:sz="8" w:color="auto"/>
              <w:bottom w:val="single" w:sz="8" w:color="auto"/>
            </w:tcBorders>
          </w:tcPr>
          <w:p>
            <w:pPr>
              <w:spacing w:after="0"/>
              <w:rPr>
                <w:sz w:val="24"/>
                <w:szCs w:val="24"/>
                <w:color w:val="auto"/>
              </w:rPr>
            </w:pPr>
          </w:p>
        </w:tc>
        <w:tc>
          <w:tcPr>
            <w:tcW w:w="900" w:type="dxa"/>
            <w:vAlign w:val="bottom"/>
            <w:tcBorders>
              <w:top w:val="single" w:sz="8" w:color="auto"/>
              <w:bottom w:val="single" w:sz="8" w:color="auto"/>
            </w:tcBorders>
          </w:tcPr>
          <w:p>
            <w:pPr>
              <w:spacing w:after="0"/>
              <w:rPr>
                <w:sz w:val="24"/>
                <w:szCs w:val="24"/>
                <w:color w:val="auto"/>
              </w:rPr>
            </w:pPr>
          </w:p>
        </w:tc>
        <w:tc>
          <w:tcPr>
            <w:tcW w:w="840" w:type="dxa"/>
            <w:vAlign w:val="bottom"/>
            <w:tcBorders>
              <w:top w:val="single" w:sz="8" w:color="auto"/>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40" w:type="dxa"/>
            <w:vAlign w:val="bottom"/>
            <w:tcBorders>
              <w:top w:val="single" w:sz="8" w:color="auto"/>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60" w:type="dxa"/>
            <w:vAlign w:val="bottom"/>
            <w:tcBorders>
              <w:top w:val="single" w:sz="8" w:color="auto"/>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28" w:right="339" w:bottom="1440" w:gutter="0" w:footer="0" w:header="0"/>
        </w:sectPr>
      </w:pPr>
    </w:p>
    <w:bookmarkStart w:id="8" w:name="page9"/>
    <w:bookmarkEnd w:id="8"/>
    <w:p>
      <w:pPr>
        <w:jc w:val="center"/>
        <w:ind w:right="-1100"/>
        <w:spacing w:after="0"/>
        <w:rPr>
          <w:sz w:val="20"/>
          <w:szCs w:val="20"/>
          <w:color w:val="auto"/>
        </w:rPr>
      </w:pPr>
      <w:r>
        <w:rPr>
          <w:rFonts w:ascii="Arial" w:cs="Arial" w:eastAsia="Arial" w:hAnsi="Arial"/>
          <w:sz w:val="22"/>
          <w:szCs w:val="22"/>
          <w:b w:val="1"/>
          <w:bCs w:val="1"/>
          <w:color w:val="auto"/>
        </w:rPr>
        <w:t>ICON plc</w:t>
      </w:r>
    </w:p>
    <w:p>
      <w:pPr>
        <w:spacing w:after="0" w:line="206" w:lineRule="exact"/>
        <w:rPr>
          <w:sz w:val="20"/>
          <w:szCs w:val="20"/>
          <w:color w:val="auto"/>
        </w:rPr>
      </w:pPr>
    </w:p>
    <w:p>
      <w:pPr>
        <w:jc w:val="center"/>
        <w:ind w:right="-1100"/>
        <w:spacing w:after="0"/>
        <w:rPr>
          <w:sz w:val="20"/>
          <w:szCs w:val="20"/>
          <w:color w:val="auto"/>
        </w:rPr>
      </w:pPr>
      <w:r>
        <w:rPr>
          <w:rFonts w:ascii="Arial" w:cs="Arial" w:eastAsia="Arial" w:hAnsi="Arial"/>
          <w:sz w:val="19"/>
          <w:szCs w:val="19"/>
          <w:b w:val="1"/>
          <w:bCs w:val="1"/>
          <w:color w:val="auto"/>
        </w:rPr>
        <w:t>Summary Consolidated Balance Sheet Data</w:t>
      </w:r>
    </w:p>
    <w:p>
      <w:pPr>
        <w:spacing w:after="0" w:line="241" w:lineRule="exact"/>
        <w:rPr>
          <w:sz w:val="20"/>
          <w:szCs w:val="20"/>
          <w:color w:val="auto"/>
        </w:rPr>
      </w:pPr>
    </w:p>
    <w:p>
      <w:pPr>
        <w:jc w:val="center"/>
        <w:ind w:right="-1100"/>
        <w:spacing w:after="0"/>
        <w:rPr>
          <w:sz w:val="20"/>
          <w:szCs w:val="20"/>
          <w:color w:val="auto"/>
        </w:rPr>
      </w:pPr>
      <w:r>
        <w:rPr>
          <w:rFonts w:ascii="Arial" w:cs="Arial" w:eastAsia="Arial" w:hAnsi="Arial"/>
          <w:sz w:val="22"/>
          <w:szCs w:val="22"/>
          <w:b w:val="1"/>
          <w:bCs w:val="1"/>
          <w:color w:val="auto"/>
        </w:rPr>
        <w:t>June 30, 2020 and March 31, 2020</w:t>
      </w:r>
    </w:p>
    <w:p>
      <w:pPr>
        <w:spacing w:after="0" w:line="206" w:lineRule="exact"/>
        <w:rPr>
          <w:sz w:val="20"/>
          <w:szCs w:val="20"/>
          <w:color w:val="auto"/>
        </w:rPr>
      </w:pPr>
    </w:p>
    <w:p>
      <w:pPr>
        <w:jc w:val="center"/>
        <w:ind w:right="-1100"/>
        <w:spacing w:after="0"/>
        <w:rPr>
          <w:sz w:val="20"/>
          <w:szCs w:val="20"/>
          <w:color w:val="auto"/>
        </w:rPr>
      </w:pPr>
      <w:r>
        <w:rPr>
          <w:rFonts w:ascii="Arial" w:cs="Arial" w:eastAsia="Arial" w:hAnsi="Arial"/>
          <w:sz w:val="22"/>
          <w:szCs w:val="22"/>
          <w:b w:val="1"/>
          <w:bCs w:val="1"/>
          <w:color w:val="auto"/>
        </w:rPr>
        <w:t>(Dollars, in thousands)</w:t>
      </w:r>
    </w:p>
    <w:p>
      <w:pPr>
        <w:spacing w:after="0" w:line="229" w:lineRule="exact"/>
        <w:rPr>
          <w:sz w:val="20"/>
          <w:szCs w:val="20"/>
          <w:color w:val="auto"/>
        </w:rPr>
      </w:pPr>
    </w:p>
    <w:tbl>
      <w:tblPr>
        <w:tblLayout w:type="fixed"/>
        <w:tblInd w:w="3460" w:type="dxa"/>
        <w:tblCellMar>
          <w:top w:w="0" w:type="dxa"/>
          <w:left w:w="0" w:type="dxa"/>
          <w:bottom w:w="0" w:type="dxa"/>
          <w:right w:w="0" w:type="dxa"/>
        </w:tblCellMar>
      </w:tblPr>
      <w:tr>
        <w:trPr>
          <w:trHeight w:val="234"/>
        </w:trPr>
        <w:tc>
          <w:tcPr>
            <w:tcW w:w="2380" w:type="dxa"/>
            <w:vAlign w:val="bottom"/>
          </w:tcPr>
          <w:p>
            <w:pPr>
              <w:spacing w:after="0"/>
              <w:rPr>
                <w:sz w:val="20"/>
                <w:szCs w:val="20"/>
                <w:color w:val="auto"/>
              </w:rPr>
            </w:pPr>
          </w:p>
        </w:tc>
        <w:tc>
          <w:tcPr>
            <w:tcW w:w="980" w:type="dxa"/>
            <w:vAlign w:val="bottom"/>
          </w:tcPr>
          <w:p>
            <w:pPr>
              <w:ind w:left="180"/>
              <w:spacing w:after="0"/>
              <w:rPr>
                <w:sz w:val="20"/>
                <w:szCs w:val="20"/>
                <w:color w:val="auto"/>
              </w:rPr>
            </w:pPr>
            <w:r>
              <w:rPr>
                <w:rFonts w:ascii="Arial" w:cs="Arial" w:eastAsia="Arial" w:hAnsi="Arial"/>
                <w:sz w:val="18"/>
                <w:szCs w:val="18"/>
                <w:b w:val="1"/>
                <w:bCs w:val="1"/>
                <w:color w:val="auto"/>
              </w:rPr>
              <w:t>June 30,</w:t>
            </w:r>
          </w:p>
        </w:tc>
        <w:tc>
          <w:tcPr>
            <w:tcW w:w="960" w:type="dxa"/>
            <w:vAlign w:val="bottom"/>
          </w:tcPr>
          <w:p>
            <w:pPr>
              <w:ind w:left="100"/>
              <w:spacing w:after="0"/>
              <w:rPr>
                <w:sz w:val="20"/>
                <w:szCs w:val="20"/>
                <w:color w:val="auto"/>
              </w:rPr>
            </w:pPr>
            <w:r>
              <w:rPr>
                <w:rFonts w:ascii="Arial" w:cs="Arial" w:eastAsia="Arial" w:hAnsi="Arial"/>
                <w:sz w:val="18"/>
                <w:szCs w:val="18"/>
                <w:b w:val="1"/>
                <w:bCs w:val="1"/>
                <w:color w:val="auto"/>
              </w:rPr>
              <w:t>March 31,</w:t>
            </w:r>
          </w:p>
        </w:tc>
      </w:tr>
      <w:tr>
        <w:trPr>
          <w:trHeight w:val="243"/>
        </w:trPr>
        <w:tc>
          <w:tcPr>
            <w:tcW w:w="2380" w:type="dxa"/>
            <w:vAlign w:val="bottom"/>
          </w:tcPr>
          <w:p>
            <w:pPr>
              <w:spacing w:after="0"/>
              <w:rPr>
                <w:sz w:val="21"/>
                <w:szCs w:val="21"/>
                <w:color w:val="auto"/>
              </w:rPr>
            </w:pPr>
          </w:p>
        </w:tc>
        <w:tc>
          <w:tcPr>
            <w:tcW w:w="980" w:type="dxa"/>
            <w:vAlign w:val="bottom"/>
          </w:tcPr>
          <w:p>
            <w:pPr>
              <w:jc w:val="center"/>
              <w:spacing w:after="0"/>
              <w:rPr>
                <w:sz w:val="20"/>
                <w:szCs w:val="20"/>
                <w:color w:val="auto"/>
              </w:rPr>
            </w:pPr>
            <w:r>
              <w:rPr>
                <w:rFonts w:ascii="Arial" w:cs="Arial" w:eastAsia="Arial" w:hAnsi="Arial"/>
                <w:sz w:val="18"/>
                <w:szCs w:val="18"/>
                <w:b w:val="1"/>
                <w:bCs w:val="1"/>
                <w:color w:val="auto"/>
                <w:w w:val="89"/>
              </w:rPr>
              <w:t>2020</w:t>
            </w:r>
          </w:p>
        </w:tc>
        <w:tc>
          <w:tcPr>
            <w:tcW w:w="960" w:type="dxa"/>
            <w:vAlign w:val="bottom"/>
          </w:tcPr>
          <w:p>
            <w:pPr>
              <w:jc w:val="center"/>
              <w:spacing w:after="0"/>
              <w:rPr>
                <w:sz w:val="20"/>
                <w:szCs w:val="20"/>
                <w:color w:val="auto"/>
              </w:rPr>
            </w:pPr>
            <w:r>
              <w:rPr>
                <w:rFonts w:ascii="Arial" w:cs="Arial" w:eastAsia="Arial" w:hAnsi="Arial"/>
                <w:sz w:val="18"/>
                <w:szCs w:val="18"/>
                <w:b w:val="1"/>
                <w:bCs w:val="1"/>
                <w:color w:val="auto"/>
                <w:w w:val="89"/>
              </w:rPr>
              <w:t>2020</w:t>
            </w:r>
          </w:p>
        </w:tc>
      </w:tr>
      <w:tr>
        <w:trPr>
          <w:trHeight w:val="243"/>
        </w:trPr>
        <w:tc>
          <w:tcPr>
            <w:tcW w:w="2380" w:type="dxa"/>
            <w:vAlign w:val="bottom"/>
          </w:tcPr>
          <w:p>
            <w:pPr>
              <w:spacing w:after="0"/>
              <w:rPr>
                <w:sz w:val="21"/>
                <w:szCs w:val="21"/>
                <w:color w:val="auto"/>
              </w:rPr>
            </w:pPr>
          </w:p>
        </w:tc>
        <w:tc>
          <w:tcPr>
            <w:tcW w:w="1940" w:type="dxa"/>
            <w:vAlign w:val="bottom"/>
            <w:gridSpan w:val="2"/>
          </w:tcPr>
          <w:p>
            <w:pPr>
              <w:ind w:left="40"/>
              <w:spacing w:after="0"/>
              <w:rPr>
                <w:sz w:val="20"/>
                <w:szCs w:val="20"/>
                <w:color w:val="auto"/>
              </w:rPr>
            </w:pPr>
            <w:r>
              <w:rPr>
                <w:rFonts w:ascii="Arial" w:cs="Arial" w:eastAsia="Arial" w:hAnsi="Arial"/>
                <w:sz w:val="18"/>
                <w:szCs w:val="18"/>
                <w:b w:val="1"/>
                <w:bCs w:val="1"/>
                <w:color w:val="auto"/>
                <w:w w:val="91"/>
              </w:rPr>
              <w:t>(Unaudited) (Unaudited)</w:t>
            </w:r>
          </w:p>
        </w:tc>
      </w:tr>
      <w:tr>
        <w:trPr>
          <w:trHeight w:val="729"/>
        </w:trPr>
        <w:tc>
          <w:tcPr>
            <w:tcW w:w="2380" w:type="dxa"/>
            <w:vAlign w:val="bottom"/>
          </w:tcPr>
          <w:p>
            <w:pPr>
              <w:spacing w:after="0"/>
              <w:rPr>
                <w:sz w:val="20"/>
                <w:szCs w:val="20"/>
                <w:color w:val="auto"/>
              </w:rPr>
            </w:pPr>
            <w:r>
              <w:rPr>
                <w:rFonts w:ascii="Arial" w:cs="Arial" w:eastAsia="Arial" w:hAnsi="Arial"/>
                <w:sz w:val="18"/>
                <w:szCs w:val="18"/>
                <w:color w:val="auto"/>
                <w:w w:val="89"/>
              </w:rPr>
              <w:t>Cash and short-term investments</w:t>
            </w:r>
          </w:p>
        </w:tc>
        <w:tc>
          <w:tcPr>
            <w:tcW w:w="980" w:type="dxa"/>
            <w:vAlign w:val="bottom"/>
          </w:tcPr>
          <w:p>
            <w:pPr>
              <w:jc w:val="center"/>
              <w:spacing w:after="0"/>
              <w:rPr>
                <w:sz w:val="20"/>
                <w:szCs w:val="20"/>
                <w:color w:val="auto"/>
              </w:rPr>
            </w:pPr>
            <w:r>
              <w:rPr>
                <w:rFonts w:ascii="Arial" w:cs="Arial" w:eastAsia="Arial" w:hAnsi="Arial"/>
                <w:sz w:val="18"/>
                <w:szCs w:val="18"/>
                <w:color w:val="auto"/>
                <w:w w:val="89"/>
              </w:rPr>
              <w:t>593,828</w:t>
            </w:r>
          </w:p>
        </w:tc>
        <w:tc>
          <w:tcPr>
            <w:tcW w:w="960" w:type="dxa"/>
            <w:vAlign w:val="bottom"/>
          </w:tcPr>
          <w:p>
            <w:pPr>
              <w:jc w:val="center"/>
              <w:spacing w:after="0"/>
              <w:rPr>
                <w:sz w:val="20"/>
                <w:szCs w:val="20"/>
                <w:color w:val="auto"/>
              </w:rPr>
            </w:pPr>
            <w:r>
              <w:rPr>
                <w:rFonts w:ascii="Arial" w:cs="Arial" w:eastAsia="Arial" w:hAnsi="Arial"/>
                <w:sz w:val="18"/>
                <w:szCs w:val="18"/>
                <w:color w:val="auto"/>
                <w:w w:val="92"/>
              </w:rPr>
              <w:t>484,099</w:t>
            </w:r>
          </w:p>
        </w:tc>
      </w:tr>
      <w:tr>
        <w:trPr>
          <w:trHeight w:val="243"/>
        </w:trPr>
        <w:tc>
          <w:tcPr>
            <w:tcW w:w="2380" w:type="dxa"/>
            <w:vAlign w:val="bottom"/>
          </w:tcPr>
          <w:p>
            <w:pPr>
              <w:spacing w:after="0"/>
              <w:rPr>
                <w:sz w:val="20"/>
                <w:szCs w:val="20"/>
                <w:color w:val="auto"/>
              </w:rPr>
            </w:pPr>
            <w:r>
              <w:rPr>
                <w:rFonts w:ascii="Arial" w:cs="Arial" w:eastAsia="Arial" w:hAnsi="Arial"/>
                <w:sz w:val="18"/>
                <w:szCs w:val="18"/>
                <w:color w:val="auto"/>
              </w:rPr>
              <w:t>Debt</w:t>
            </w:r>
          </w:p>
        </w:tc>
        <w:tc>
          <w:tcPr>
            <w:tcW w:w="980" w:type="dxa"/>
            <w:vAlign w:val="bottom"/>
          </w:tcPr>
          <w:p>
            <w:pPr>
              <w:jc w:val="center"/>
              <w:spacing w:after="0"/>
              <w:rPr>
                <w:sz w:val="20"/>
                <w:szCs w:val="20"/>
                <w:color w:val="auto"/>
              </w:rPr>
            </w:pPr>
            <w:r>
              <w:rPr>
                <w:rFonts w:ascii="Arial" w:cs="Arial" w:eastAsia="Arial" w:hAnsi="Arial"/>
                <w:sz w:val="18"/>
                <w:szCs w:val="18"/>
                <w:color w:val="auto"/>
                <w:w w:val="90"/>
              </w:rPr>
              <w:t>(349,828)</w:t>
            </w:r>
          </w:p>
        </w:tc>
        <w:tc>
          <w:tcPr>
            <w:tcW w:w="960" w:type="dxa"/>
            <w:vAlign w:val="bottom"/>
          </w:tcPr>
          <w:p>
            <w:pPr>
              <w:jc w:val="center"/>
              <w:spacing w:after="0"/>
              <w:rPr>
                <w:sz w:val="20"/>
                <w:szCs w:val="20"/>
                <w:color w:val="auto"/>
              </w:rPr>
            </w:pPr>
            <w:r>
              <w:rPr>
                <w:rFonts w:ascii="Arial" w:cs="Arial" w:eastAsia="Arial" w:hAnsi="Arial"/>
                <w:sz w:val="18"/>
                <w:szCs w:val="18"/>
                <w:color w:val="auto"/>
                <w:w w:val="93"/>
              </w:rPr>
              <w:t>(349,734)</w:t>
            </w:r>
          </w:p>
        </w:tc>
      </w:tr>
      <w:tr>
        <w:trPr>
          <w:trHeight w:val="243"/>
        </w:trPr>
        <w:tc>
          <w:tcPr>
            <w:tcW w:w="2380" w:type="dxa"/>
            <w:vAlign w:val="bottom"/>
          </w:tcPr>
          <w:p>
            <w:pPr>
              <w:spacing w:after="0"/>
              <w:rPr>
                <w:sz w:val="20"/>
                <w:szCs w:val="20"/>
                <w:color w:val="auto"/>
              </w:rPr>
            </w:pPr>
            <w:r>
              <w:rPr>
                <w:rFonts w:ascii="Arial" w:cs="Arial" w:eastAsia="Arial" w:hAnsi="Arial"/>
                <w:sz w:val="18"/>
                <w:szCs w:val="18"/>
                <w:color w:val="auto"/>
              </w:rPr>
              <w:t>Net cash/(debt)</w:t>
            </w:r>
          </w:p>
        </w:tc>
        <w:tc>
          <w:tcPr>
            <w:tcW w:w="980" w:type="dxa"/>
            <w:vAlign w:val="bottom"/>
          </w:tcPr>
          <w:p>
            <w:pPr>
              <w:jc w:val="center"/>
              <w:spacing w:after="0"/>
              <w:rPr>
                <w:sz w:val="20"/>
                <w:szCs w:val="20"/>
                <w:color w:val="auto"/>
              </w:rPr>
            </w:pPr>
            <w:r>
              <w:rPr>
                <w:rFonts w:ascii="Arial" w:cs="Arial" w:eastAsia="Arial" w:hAnsi="Arial"/>
                <w:sz w:val="18"/>
                <w:szCs w:val="18"/>
                <w:color w:val="auto"/>
                <w:w w:val="89"/>
              </w:rPr>
              <w:t>244,000</w:t>
            </w:r>
          </w:p>
        </w:tc>
        <w:tc>
          <w:tcPr>
            <w:tcW w:w="960" w:type="dxa"/>
            <w:vAlign w:val="bottom"/>
          </w:tcPr>
          <w:p>
            <w:pPr>
              <w:jc w:val="center"/>
              <w:spacing w:after="0"/>
              <w:rPr>
                <w:sz w:val="20"/>
                <w:szCs w:val="20"/>
                <w:color w:val="auto"/>
              </w:rPr>
            </w:pPr>
            <w:r>
              <w:rPr>
                <w:rFonts w:ascii="Arial" w:cs="Arial" w:eastAsia="Arial" w:hAnsi="Arial"/>
                <w:sz w:val="18"/>
                <w:szCs w:val="18"/>
                <w:color w:val="auto"/>
                <w:w w:val="92"/>
              </w:rPr>
              <w:t>134,365</w:t>
            </w:r>
          </w:p>
        </w:tc>
      </w:tr>
      <w:tr>
        <w:trPr>
          <w:trHeight w:val="486"/>
        </w:trPr>
        <w:tc>
          <w:tcPr>
            <w:tcW w:w="2380" w:type="dxa"/>
            <w:vAlign w:val="bottom"/>
          </w:tcPr>
          <w:p>
            <w:pPr>
              <w:spacing w:after="0"/>
              <w:rPr>
                <w:sz w:val="20"/>
                <w:szCs w:val="20"/>
                <w:color w:val="auto"/>
              </w:rPr>
            </w:pPr>
            <w:r>
              <w:rPr>
                <w:rFonts w:ascii="Arial" w:cs="Arial" w:eastAsia="Arial" w:hAnsi="Arial"/>
                <w:sz w:val="18"/>
                <w:szCs w:val="18"/>
                <w:color w:val="auto"/>
              </w:rPr>
              <w:t>Net Accounts Receivable</w:t>
            </w:r>
          </w:p>
        </w:tc>
        <w:tc>
          <w:tcPr>
            <w:tcW w:w="980" w:type="dxa"/>
            <w:vAlign w:val="bottom"/>
          </w:tcPr>
          <w:p>
            <w:pPr>
              <w:jc w:val="center"/>
              <w:spacing w:after="0"/>
              <w:rPr>
                <w:sz w:val="20"/>
                <w:szCs w:val="20"/>
                <w:color w:val="auto"/>
              </w:rPr>
            </w:pPr>
            <w:r>
              <w:rPr>
                <w:rFonts w:ascii="Arial" w:cs="Arial" w:eastAsia="Arial" w:hAnsi="Arial"/>
                <w:sz w:val="18"/>
                <w:szCs w:val="18"/>
                <w:color w:val="auto"/>
                <w:w w:val="89"/>
              </w:rPr>
              <w:t>490,200</w:t>
            </w:r>
          </w:p>
        </w:tc>
        <w:tc>
          <w:tcPr>
            <w:tcW w:w="960" w:type="dxa"/>
            <w:vAlign w:val="bottom"/>
          </w:tcPr>
          <w:p>
            <w:pPr>
              <w:jc w:val="center"/>
              <w:spacing w:after="0"/>
              <w:rPr>
                <w:sz w:val="20"/>
                <w:szCs w:val="20"/>
                <w:color w:val="auto"/>
              </w:rPr>
            </w:pPr>
            <w:r>
              <w:rPr>
                <w:rFonts w:ascii="Arial" w:cs="Arial" w:eastAsia="Arial" w:hAnsi="Arial"/>
                <w:sz w:val="18"/>
                <w:szCs w:val="18"/>
                <w:color w:val="auto"/>
                <w:w w:val="92"/>
              </w:rPr>
              <w:t>585,865</w:t>
            </w:r>
          </w:p>
        </w:tc>
      </w:tr>
      <w:tr>
        <w:trPr>
          <w:trHeight w:val="486"/>
        </w:trPr>
        <w:tc>
          <w:tcPr>
            <w:tcW w:w="2380" w:type="dxa"/>
            <w:vAlign w:val="bottom"/>
          </w:tcPr>
          <w:p>
            <w:pPr>
              <w:spacing w:after="0"/>
              <w:rPr>
                <w:sz w:val="20"/>
                <w:szCs w:val="20"/>
                <w:color w:val="auto"/>
              </w:rPr>
            </w:pPr>
            <w:r>
              <w:rPr>
                <w:rFonts w:ascii="Arial" w:cs="Arial" w:eastAsia="Arial" w:hAnsi="Arial"/>
                <w:sz w:val="18"/>
                <w:szCs w:val="18"/>
                <w:color w:val="auto"/>
              </w:rPr>
              <w:t>Working Capital</w:t>
            </w:r>
          </w:p>
        </w:tc>
        <w:tc>
          <w:tcPr>
            <w:tcW w:w="980" w:type="dxa"/>
            <w:vAlign w:val="bottom"/>
          </w:tcPr>
          <w:p>
            <w:pPr>
              <w:jc w:val="center"/>
              <w:spacing w:after="0"/>
              <w:rPr>
                <w:sz w:val="20"/>
                <w:szCs w:val="20"/>
                <w:color w:val="auto"/>
              </w:rPr>
            </w:pPr>
            <w:r>
              <w:rPr>
                <w:rFonts w:ascii="Arial" w:cs="Arial" w:eastAsia="Arial" w:hAnsi="Arial"/>
                <w:sz w:val="18"/>
                <w:szCs w:val="18"/>
                <w:color w:val="auto"/>
                <w:w w:val="89"/>
              </w:rPr>
              <w:t>408,405</w:t>
            </w:r>
          </w:p>
        </w:tc>
        <w:tc>
          <w:tcPr>
            <w:tcW w:w="960" w:type="dxa"/>
            <w:vAlign w:val="bottom"/>
          </w:tcPr>
          <w:p>
            <w:pPr>
              <w:jc w:val="center"/>
              <w:spacing w:after="0"/>
              <w:rPr>
                <w:sz w:val="20"/>
                <w:szCs w:val="20"/>
                <w:color w:val="auto"/>
              </w:rPr>
            </w:pPr>
            <w:r>
              <w:rPr>
                <w:rFonts w:ascii="Arial" w:cs="Arial" w:eastAsia="Arial" w:hAnsi="Arial"/>
                <w:sz w:val="18"/>
                <w:szCs w:val="18"/>
                <w:color w:val="auto"/>
                <w:w w:val="92"/>
              </w:rPr>
              <w:t>346,326</w:t>
            </w:r>
          </w:p>
        </w:tc>
      </w:tr>
      <w:tr>
        <w:trPr>
          <w:trHeight w:val="486"/>
        </w:trPr>
        <w:tc>
          <w:tcPr>
            <w:tcW w:w="2380" w:type="dxa"/>
            <w:vAlign w:val="bottom"/>
          </w:tcPr>
          <w:p>
            <w:pPr>
              <w:spacing w:after="0"/>
              <w:rPr>
                <w:sz w:val="20"/>
                <w:szCs w:val="20"/>
                <w:color w:val="auto"/>
              </w:rPr>
            </w:pPr>
            <w:r>
              <w:rPr>
                <w:rFonts w:ascii="Arial" w:cs="Arial" w:eastAsia="Arial" w:hAnsi="Arial"/>
                <w:sz w:val="18"/>
                <w:szCs w:val="18"/>
                <w:color w:val="auto"/>
              </w:rPr>
              <w:t>Total Assets</w:t>
            </w:r>
          </w:p>
        </w:tc>
        <w:tc>
          <w:tcPr>
            <w:tcW w:w="980" w:type="dxa"/>
            <w:vAlign w:val="bottom"/>
          </w:tcPr>
          <w:p>
            <w:pPr>
              <w:jc w:val="center"/>
              <w:spacing w:after="0"/>
              <w:rPr>
                <w:sz w:val="20"/>
                <w:szCs w:val="20"/>
                <w:color w:val="auto"/>
              </w:rPr>
            </w:pPr>
            <w:r>
              <w:rPr>
                <w:rFonts w:ascii="Arial" w:cs="Arial" w:eastAsia="Arial" w:hAnsi="Arial"/>
                <w:sz w:val="18"/>
                <w:szCs w:val="18"/>
                <w:color w:val="auto"/>
                <w:w w:val="89"/>
              </w:rPr>
              <w:t>2,858,720</w:t>
            </w:r>
          </w:p>
        </w:tc>
        <w:tc>
          <w:tcPr>
            <w:tcW w:w="960" w:type="dxa"/>
            <w:vAlign w:val="bottom"/>
          </w:tcPr>
          <w:p>
            <w:pPr>
              <w:jc w:val="center"/>
              <w:spacing w:after="0"/>
              <w:rPr>
                <w:sz w:val="20"/>
                <w:szCs w:val="20"/>
                <w:color w:val="auto"/>
              </w:rPr>
            </w:pPr>
            <w:r>
              <w:rPr>
                <w:rFonts w:ascii="Arial" w:cs="Arial" w:eastAsia="Arial" w:hAnsi="Arial"/>
                <w:sz w:val="18"/>
                <w:szCs w:val="18"/>
                <w:color w:val="auto"/>
                <w:w w:val="89"/>
              </w:rPr>
              <w:t>2,841,332</w:t>
            </w:r>
          </w:p>
        </w:tc>
      </w:tr>
      <w:tr>
        <w:trPr>
          <w:trHeight w:val="486"/>
        </w:trPr>
        <w:tc>
          <w:tcPr>
            <w:tcW w:w="2380" w:type="dxa"/>
            <w:vAlign w:val="bottom"/>
          </w:tcPr>
          <w:p>
            <w:pPr>
              <w:spacing w:after="0"/>
              <w:rPr>
                <w:sz w:val="20"/>
                <w:szCs w:val="20"/>
                <w:color w:val="auto"/>
              </w:rPr>
            </w:pPr>
            <w:r>
              <w:rPr>
                <w:rFonts w:ascii="Arial" w:cs="Arial" w:eastAsia="Arial" w:hAnsi="Arial"/>
                <w:sz w:val="18"/>
                <w:szCs w:val="18"/>
                <w:color w:val="auto"/>
              </w:rPr>
              <w:t>Shareholder's Equity</w:t>
            </w:r>
          </w:p>
        </w:tc>
        <w:tc>
          <w:tcPr>
            <w:tcW w:w="980" w:type="dxa"/>
            <w:vAlign w:val="bottom"/>
          </w:tcPr>
          <w:p>
            <w:pPr>
              <w:jc w:val="center"/>
              <w:spacing w:after="0"/>
              <w:rPr>
                <w:sz w:val="20"/>
                <w:szCs w:val="20"/>
                <w:color w:val="auto"/>
              </w:rPr>
            </w:pPr>
            <w:r>
              <w:rPr>
                <w:rFonts w:ascii="Arial" w:cs="Arial" w:eastAsia="Arial" w:hAnsi="Arial"/>
                <w:sz w:val="18"/>
                <w:szCs w:val="18"/>
                <w:color w:val="auto"/>
                <w:w w:val="89"/>
              </w:rPr>
              <w:t>1,578,483</w:t>
            </w:r>
          </w:p>
        </w:tc>
        <w:tc>
          <w:tcPr>
            <w:tcW w:w="960" w:type="dxa"/>
            <w:vAlign w:val="bottom"/>
          </w:tcPr>
          <w:p>
            <w:pPr>
              <w:jc w:val="center"/>
              <w:spacing w:after="0"/>
              <w:rPr>
                <w:sz w:val="20"/>
                <w:szCs w:val="20"/>
                <w:color w:val="auto"/>
              </w:rPr>
            </w:pPr>
            <w:r>
              <w:rPr>
                <w:rFonts w:ascii="Arial" w:cs="Arial" w:eastAsia="Arial" w:hAnsi="Arial"/>
                <w:sz w:val="18"/>
                <w:szCs w:val="18"/>
                <w:color w:val="auto"/>
                <w:w w:val="89"/>
              </w:rPr>
              <w:t>1,513,852</w:t>
            </w:r>
          </w:p>
        </w:tc>
      </w:tr>
    </w:tbl>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ICON/ICLR-F</w:t>
      </w:r>
    </w:p>
    <w:p>
      <w:pPr>
        <w:spacing w:after="0" w:line="211"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Contacts</w:t>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color w:val="auto"/>
        </w:rPr>
        <w:t>ICON plc</w:t>
      </w:r>
    </w:p>
    <w:p>
      <w:pPr>
        <w:spacing w:after="0" w:line="238" w:lineRule="auto"/>
        <w:rPr>
          <w:sz w:val="20"/>
          <w:szCs w:val="20"/>
          <w:color w:val="auto"/>
        </w:rPr>
      </w:pPr>
      <w:r>
        <w:rPr>
          <w:rFonts w:ascii="Arial" w:cs="Arial" w:eastAsia="Arial" w:hAnsi="Arial"/>
          <w:sz w:val="22"/>
          <w:szCs w:val="22"/>
          <w:color w:val="auto"/>
        </w:rPr>
        <w:t>Investor Relations</w:t>
      </w:r>
    </w:p>
    <w:p>
      <w:pPr>
        <w:spacing w:after="0"/>
        <w:rPr>
          <w:sz w:val="20"/>
          <w:szCs w:val="20"/>
          <w:color w:val="auto"/>
        </w:rPr>
      </w:pPr>
      <w:r>
        <w:rPr>
          <w:rFonts w:ascii="Arial" w:cs="Arial" w:eastAsia="Arial" w:hAnsi="Arial"/>
          <w:sz w:val="22"/>
          <w:szCs w:val="22"/>
          <w:color w:val="auto"/>
        </w:rPr>
        <w:t>+1 888 381 7923</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Brendan Brennan</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Chief Financial Officer +353 1 291 2000</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Jonathan Curtain</w:t>
      </w:r>
    </w:p>
    <w:p>
      <w:pPr>
        <w:spacing w:after="0" w:line="238" w:lineRule="auto"/>
        <w:rPr>
          <w:sz w:val="20"/>
          <w:szCs w:val="20"/>
          <w:color w:val="auto"/>
        </w:rPr>
      </w:pPr>
      <w:r>
        <w:rPr>
          <w:rFonts w:ascii="Arial" w:cs="Arial" w:eastAsia="Arial" w:hAnsi="Arial"/>
          <w:sz w:val="22"/>
          <w:szCs w:val="22"/>
          <w:color w:val="auto"/>
        </w:rPr>
        <w:t>Vice President Corporate Finance &amp; Investor Relations</w:t>
      </w:r>
    </w:p>
    <w:p>
      <w:pPr>
        <w:spacing w:after="0" w:line="230" w:lineRule="auto"/>
        <w:rPr>
          <w:sz w:val="20"/>
          <w:szCs w:val="20"/>
          <w:color w:val="auto"/>
        </w:rPr>
      </w:pPr>
      <w:r>
        <w:rPr>
          <w:rFonts w:ascii="Arial" w:cs="Arial" w:eastAsia="Arial" w:hAnsi="Arial"/>
          <w:sz w:val="22"/>
          <w:szCs w:val="22"/>
          <w:color w:val="auto"/>
        </w:rPr>
        <w:t>+353 1 291 2000</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http://www.iconplc.com</w:t>
      </w:r>
    </w:p>
    <w:sectPr>
      <w:pgSz w:w="11900" w:h="16838" w:orient="portrait"/>
      <w:cols w:equalWidth="0" w:num="1">
        <w:col w:w="10139"/>
      </w:cols>
      <w:pgMar w:left="320" w:top="32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2020-07-22T15:31:41Z</dcterms:created>
  <dcterms:modified xsi:type="dcterms:W3CDTF">2020-07-22T15:31:41Z</dcterms:modified>
</cp:coreProperties>
</file>