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t>FORM 6-K</w:t>
      </w:r>
    </w:p>
    <w:p>
      <w:pPr>
        <w:spacing w:after="0" w:line="25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Washington, D.C. 20549</w:t>
      </w:r>
    </w:p>
    <w:p>
      <w:pPr>
        <w:spacing w:after="0" w:line="236"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Report of Foreign Private Issuer</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Pursuant to Rule 13a-16 under</w:t>
      </w:r>
    </w:p>
    <w:p>
      <w:pPr>
        <w:jc w:val="center"/>
        <w:ind w:right="-199"/>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 xml:space="preserve">For the month ended </w:t>
      </w:r>
      <w:r>
        <w:rPr>
          <w:rFonts w:ascii="Arial" w:cs="Arial" w:eastAsia="Arial" w:hAnsi="Arial"/>
          <w:sz w:val="17"/>
          <w:szCs w:val="17"/>
          <w:color w:val="auto"/>
        </w:rPr>
        <w:t>February, 2018</w:t>
      </w:r>
    </w:p>
    <w:p>
      <w:pPr>
        <w:spacing w:after="0" w:line="200" w:lineRule="exact"/>
        <w:rPr>
          <w:sz w:val="24"/>
          <w:szCs w:val="24"/>
          <w:color w:val="auto"/>
        </w:rPr>
      </w:pPr>
    </w:p>
    <w:p>
      <w:pPr>
        <w:spacing w:after="0" w:line="26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ICON plc</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(R</w:t>
      </w:r>
      <w:r>
        <w:rPr>
          <w:rFonts w:ascii="Arial" w:cs="Arial" w:eastAsia="Arial" w:hAnsi="Arial"/>
          <w:sz w:val="17"/>
          <w:szCs w:val="17"/>
          <w:color w:val="auto"/>
        </w:rPr>
        <w:t>egistrant's name)</w:t>
      </w:r>
    </w:p>
    <w:p>
      <w:pPr>
        <w:spacing w:after="0" w:line="200" w:lineRule="exact"/>
        <w:rPr>
          <w:sz w:val="24"/>
          <w:szCs w:val="24"/>
          <w:color w:val="auto"/>
        </w:rPr>
      </w:pPr>
    </w:p>
    <w:p>
      <w:pPr>
        <w:spacing w:after="0" w:line="260"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333-08704</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(Commission file number)</w:t>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South County Business Park, Leopardstown, Dublin 18, Ireland</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(Address of principal executive offices)</w:t>
      </w:r>
    </w:p>
    <w:p>
      <w:pPr>
        <w:spacing w:after="0" w:line="224"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Brendan Brennan, CFO</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21"/>
          <w:szCs w:val="21"/>
          <w:color w:val="auto"/>
        </w:rPr>
        <w:t>South County Business Park, Leopardstown, Dublin 18, Ireland.</w:t>
      </w:r>
    </w:p>
    <w:p>
      <w:pPr>
        <w:jc w:val="center"/>
        <w:ind w:right="-199"/>
        <w:spacing w:after="0"/>
        <w:rPr>
          <w:sz w:val="20"/>
          <w:szCs w:val="20"/>
          <w:color w:val="auto"/>
        </w:rPr>
      </w:pPr>
      <w:r>
        <w:rPr>
          <w:rFonts w:ascii="Arial" w:cs="Arial" w:eastAsia="Arial" w:hAnsi="Arial"/>
          <w:sz w:val="21"/>
          <w:szCs w:val="21"/>
          <w:color w:val="auto"/>
        </w:rPr>
        <w:t>Brendan.Brennan@iconplc.com</w:t>
      </w:r>
    </w:p>
    <w:p>
      <w:pPr>
        <w:jc w:val="center"/>
        <w:ind w:right="-199"/>
        <w:spacing w:after="0"/>
        <w:rPr>
          <w:sz w:val="20"/>
          <w:szCs w:val="20"/>
          <w:color w:val="auto"/>
        </w:rPr>
      </w:pPr>
      <w:r>
        <w:rPr>
          <w:rFonts w:ascii="Arial" w:cs="Arial" w:eastAsia="Arial" w:hAnsi="Arial"/>
          <w:sz w:val="21"/>
          <w:szCs w:val="21"/>
          <w:color w:val="auto"/>
        </w:rPr>
        <w:t>00-353-1-291-2000</w:t>
      </w:r>
    </w:p>
    <w:p>
      <w:pPr>
        <w:jc w:val="center"/>
        <w:ind w:right="-199"/>
        <w:spacing w:after="0"/>
        <w:rPr>
          <w:sz w:val="20"/>
          <w:szCs w:val="20"/>
          <w:color w:val="auto"/>
        </w:rPr>
      </w:pPr>
      <w:r>
        <w:rPr>
          <w:rFonts w:ascii="Arial" w:cs="Arial" w:eastAsia="Arial" w:hAnsi="Arial"/>
          <w:sz w:val="21"/>
          <w:szCs w:val="21"/>
          <w:color w:val="auto"/>
        </w:rPr>
        <w:t>(Name, telephone number, email and/or facsimile number and address of Company contact person)</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09"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u w:val="single" w:color="auto"/>
          <w:color w:val="auto"/>
        </w:rPr>
        <w:t>X</w:t>
      </w:r>
      <w:r>
        <w:rPr>
          <w:rFonts w:ascii="Arial" w:cs="Arial" w:eastAsia="Arial" w:hAnsi="Arial"/>
          <w:sz w:val="21"/>
          <w:szCs w:val="21"/>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2"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2"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3" w:lineRule="exact"/>
        <w:rPr>
          <w:sz w:val="24"/>
          <w:szCs w:val="24"/>
          <w:color w:val="auto"/>
        </w:rPr>
      </w:pPr>
    </w:p>
    <w:p>
      <w:pPr>
        <w:ind w:right="160"/>
        <w:spacing w:after="0" w:line="27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7"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color w:val="auto"/>
        </w:rPr>
        <w:t>_</w:t>
      </w:r>
      <w:r>
        <w:rPr>
          <w:rFonts w:ascii="Arial" w:cs="Arial" w:eastAsia="Arial" w:hAnsi="Arial"/>
          <w:sz w:val="21"/>
          <w:szCs w:val="21"/>
          <w:color w:val="auto"/>
        </w:rPr>
        <w:t>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ectPr>
          <w:pgSz w:w="11900" w:h="16838" w:orient="portrait"/>
          <w:cols w:equalWidth="0" w:num="1">
            <w:col w:w="11240"/>
          </w:cols>
          <w:pgMar w:left="240" w:top="466" w:right="419" w:bottom="1440" w:gutter="0" w:footer="0" w:header="0"/>
        </w:sectPr>
      </w:pPr>
    </w:p>
    <w:p>
      <w:pPr>
        <w:spacing w:after="0" w:line="200" w:lineRule="exact"/>
        <w:rPr>
          <w:sz w:val="24"/>
          <w:szCs w:val="24"/>
          <w:color w:val="auto"/>
        </w:rPr>
      </w:pPr>
    </w:p>
    <w:p>
      <w:pPr>
        <w:spacing w:after="0" w:line="257" w:lineRule="exact"/>
        <w:rPr>
          <w:sz w:val="24"/>
          <w:szCs w:val="24"/>
          <w:color w:val="auto"/>
        </w:rPr>
      </w:pPr>
    </w:p>
    <w:p>
      <w:pPr>
        <w:spacing w:after="0"/>
        <w:tabs>
          <w:tab w:leader="none" w:pos="1012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20"/>
          <w:szCs w:val="20"/>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294640</wp:posOffset>
            </wp:positionV>
            <wp:extent cx="7272655"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59690"/>
                    </a:xfrm>
                    <a:prstGeom prst="rect">
                      <a:avLst/>
                    </a:prstGeom>
                    <a:noFill/>
                  </pic:spPr>
                </pic:pic>
              </a:graphicData>
            </a:graphic>
          </wp:anchor>
        </w:drawing>
      </w:r>
    </w:p>
    <w:p>
      <w:pPr>
        <w:sectPr>
          <w:pgSz w:w="11900" w:h="16838" w:orient="portrait"/>
          <w:cols w:equalWidth="0" w:num="1">
            <w:col w:w="11240"/>
          </w:cols>
          <w:pgMar w:left="240" w:top="466" w:right="41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February 15, 2018 - ICON Reports Fourth Quarter and Full Year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272655"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59690"/>
                    </a:xfrm>
                    <a:prstGeom prst="rect">
                      <a:avLst/>
                    </a:prstGeom>
                    <a:noFill/>
                  </pic:spPr>
                </pic:pic>
              </a:graphicData>
            </a:graphic>
          </wp:anchor>
        </w:drawing>
      </w:r>
    </w:p>
    <w:p>
      <w:pPr>
        <w:sectPr>
          <w:pgSz w:w="11900" w:h="16838" w:orient="portrait"/>
          <w:cols w:equalWidth="0" w:num="1">
            <w:col w:w="10219"/>
          </w:cols>
          <w:pgMar w:left="240" w:top="363"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5" w:lineRule="exact"/>
        <w:rPr>
          <w:sz w:val="20"/>
          <w:szCs w:val="20"/>
          <w:color w:val="auto"/>
        </w:rPr>
      </w:pPr>
    </w:p>
    <w:p>
      <w:pPr>
        <w:ind w:left="580" w:right="2660" w:hanging="6847"/>
        <w:spacing w:after="0" w:line="273" w:lineRule="auto"/>
        <w:tabs>
          <w:tab w:leader="none" w:pos="560" w:val="left"/>
        </w:tabs>
        <w:rPr>
          <w:sz w:val="20"/>
          <w:szCs w:val="20"/>
          <w:color w:val="auto"/>
        </w:rPr>
      </w:pPr>
      <w:r>
        <w:rPr>
          <w:rFonts w:ascii="Arial" w:cs="Arial" w:eastAsia="Arial" w:hAnsi="Arial"/>
          <w:sz w:val="18"/>
          <w:szCs w:val="18"/>
          <w:color w:val="auto"/>
        </w:rPr>
        <w:t>Date:</w:t>
        <w:tab/>
        <w:t>February 15, 2018 Brendan Brennan Chief Financial Officer</w:t>
      </w:r>
    </w:p>
    <w:p>
      <w:pPr>
        <w:sectPr>
          <w:pgSz w:w="11900" w:h="16838" w:orient="portrait"/>
          <w:cols w:equalWidth="0" w:num="1">
            <w:col w:w="11180"/>
          </w:cols>
          <w:pgMar w:left="240" w:top="36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ICON Reports Fourth Quarter and Full Year 2017 Results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Highlights</w:t>
      </w:r>
    </w:p>
    <w:p>
      <w:pPr>
        <w:spacing w:after="0" w:line="215"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21"/>
          <w:szCs w:val="21"/>
          <w:b w:val="1"/>
          <w:bCs w:val="1"/>
          <w:color w:val="auto"/>
        </w:rPr>
        <w:t>Quarter 4 gross business wins of $718 million, a gross book to bill of 1.58. Net business wins of $599 million, a net book to bill of 1.32. Full year gross business wins of $2.6 billion, a gross book to bill of 1.50, net business wins of $2.3 billion, a net book to bill of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-431165</wp:posOffset>
            </wp:positionV>
            <wp:extent cx="6794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5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Backlog of business grew 16.9% year on year to $4.93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-88265</wp:posOffset>
            </wp:positionV>
            <wp:extent cx="67945"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380"/>
        <w:spacing w:after="0" w:line="277" w:lineRule="auto"/>
        <w:rPr>
          <w:sz w:val="20"/>
          <w:szCs w:val="20"/>
          <w:color w:val="auto"/>
        </w:rPr>
      </w:pPr>
      <w:r>
        <w:rPr>
          <w:rFonts w:ascii="Arial" w:cs="Arial" w:eastAsia="Arial" w:hAnsi="Arial"/>
          <w:sz w:val="21"/>
          <w:szCs w:val="21"/>
          <w:b w:val="1"/>
          <w:bCs w:val="1"/>
          <w:color w:val="auto"/>
        </w:rPr>
        <w:t>Quarter 4 net revenue increased 4.6% year on year to $455 million. Full year net revenue increased 5.5% to $1,758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-288925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760"/>
        <w:spacing w:after="0" w:line="277" w:lineRule="auto"/>
        <w:rPr>
          <w:sz w:val="20"/>
          <w:szCs w:val="20"/>
          <w:color w:val="auto"/>
        </w:rPr>
      </w:pPr>
      <w:r>
        <w:rPr>
          <w:rFonts w:ascii="Arial" w:cs="Arial" w:eastAsia="Arial" w:hAnsi="Arial"/>
          <w:sz w:val="21"/>
          <w:szCs w:val="21"/>
          <w:b w:val="1"/>
          <w:bCs w:val="1"/>
          <w:color w:val="auto"/>
        </w:rPr>
        <w:t>Quarter 4 top customer revenue concentration reduced to 13.2% from 23.8% in quarter 4 2016. In the quarter revenue outside our top customer, increased by 19.2%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-288925</wp:posOffset>
            </wp:positionV>
            <wp:extent cx="6794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220"/>
        <w:spacing w:after="0" w:line="277" w:lineRule="auto"/>
        <w:rPr>
          <w:sz w:val="20"/>
          <w:szCs w:val="20"/>
          <w:color w:val="auto"/>
        </w:rPr>
      </w:pPr>
      <w:r>
        <w:rPr>
          <w:rFonts w:ascii="Arial" w:cs="Arial" w:eastAsia="Arial" w:hAnsi="Arial"/>
          <w:sz w:val="21"/>
          <w:szCs w:val="21"/>
          <w:b w:val="1"/>
          <w:bCs w:val="1"/>
          <w:color w:val="auto"/>
        </w:rPr>
        <w:t>Quarter 4 income from operations increased 6.0% year on year to $89.7 million, or 19.7% of revenue. Full year 2017 income from operations increased by 8.2% to $346.1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-288925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280"/>
        <w:spacing w:after="0" w:line="277" w:lineRule="auto"/>
        <w:rPr>
          <w:sz w:val="20"/>
          <w:szCs w:val="20"/>
          <w:color w:val="auto"/>
        </w:rPr>
      </w:pPr>
      <w:r>
        <w:rPr>
          <w:rFonts w:ascii="Arial" w:cs="Arial" w:eastAsia="Arial" w:hAnsi="Arial"/>
          <w:sz w:val="21"/>
          <w:szCs w:val="21"/>
          <w:b w:val="1"/>
          <w:bCs w:val="1"/>
          <w:color w:val="auto"/>
        </w:rPr>
        <w:t>Earnings per share for quarter 4 of $1.43, a 7.5% increase year on year. 2017 earnings per share on a pro forma full year basis were $5.39, an increase of 13.0% on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-288925</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Full year 2018 guidance updated to take account of ASC 606. Revenue to be in the range of $2,520 -$2,640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-81280</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Earnings per share guidance unchanged in the range of $5.89 - $6.09 representing an increase of 9.3% – 13.0%.</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DUBLIN--(BUSINESS WIRE)--February 15, 2018--</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drug development solutions and services to the pharmaceutical, biotechnology and medical device industries, today reported its financial results for the fourth quarter and full year ended December 31, 2017.</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 xml:space="preserve">CEO Dr. Steve Cutler commented, </w:t>
      </w:r>
      <w:r>
        <w:rPr>
          <w:rFonts w:ascii="Arial" w:cs="Arial" w:eastAsia="Arial" w:hAnsi="Arial"/>
          <w:sz w:val="20"/>
          <w:szCs w:val="20"/>
          <w:i w:val="1"/>
          <w:iCs w:val="1"/>
          <w:color w:val="auto"/>
        </w:rPr>
        <w:t>“2017 was another strong year for ICON. Positive business win trends across all customer</w:t>
      </w:r>
      <w:r>
        <w:rPr>
          <w:rFonts w:ascii="Arial" w:cs="Arial" w:eastAsia="Arial" w:hAnsi="Arial"/>
          <w:sz w:val="20"/>
          <w:szCs w:val="20"/>
          <w:color w:val="auto"/>
        </w:rPr>
        <w:t xml:space="preserve"> </w:t>
      </w:r>
      <w:r>
        <w:rPr>
          <w:rFonts w:ascii="Arial" w:cs="Arial" w:eastAsia="Arial" w:hAnsi="Arial"/>
          <w:sz w:val="20"/>
          <w:szCs w:val="20"/>
          <w:i w:val="1"/>
          <w:iCs w:val="1"/>
          <w:color w:val="auto"/>
        </w:rPr>
        <w:t>segments have diversified our business, resulting in backlog growth of 17% year on year and reducing our top customer concentration to 13% in quarter 4 from 24% in the same quarter last year. Full year revenues grew 5.5% to $1.758 billion, and our proactive cost management has enabled us to expand our operating margin to 19.7%. As a result we have grown EPS 13% year on year to $5.39. We expect 2018 to be another robust year of revenue and earnings growth and in accordance with the new accounting standard we are updating our revenue guidance to a range of $2,520 - $2,640 million. Earnings per share guidance remains in the range of $5.89 - $6.09 representing an increase of 9.3% – 13.0%.”</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Fourth Quarter 2017 Results</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The positive business environment was reflected in the gross business wins in the fourth quarter of $718 million and cancellations in the quarter were $119 million, resulting in net business wins of $599 million and a net book to bill of 1.32.</w:t>
      </w:r>
    </w:p>
    <w:p>
      <w:pPr>
        <w:spacing w:after="0" w:line="153" w:lineRule="exact"/>
        <w:rPr>
          <w:sz w:val="20"/>
          <w:szCs w:val="20"/>
          <w:color w:val="auto"/>
        </w:rPr>
      </w:pPr>
    </w:p>
    <w:p>
      <w:pPr>
        <w:ind w:right="120"/>
        <w:spacing w:after="0" w:line="250" w:lineRule="auto"/>
        <w:rPr>
          <w:sz w:val="20"/>
          <w:szCs w:val="20"/>
          <w:color w:val="auto"/>
        </w:rPr>
      </w:pPr>
      <w:r>
        <w:rPr>
          <w:rFonts w:ascii="Arial" w:cs="Arial" w:eastAsia="Arial" w:hAnsi="Arial"/>
          <w:sz w:val="21"/>
          <w:szCs w:val="21"/>
          <w:color w:val="auto"/>
        </w:rPr>
        <w:t>In the fourth quarter net revenue grew 4.6% year on year to $455 million from $435 million in the same quarter last year. This represented 2.3% constant currency growth with revenue outside of our top customer growing 19.2% year over year. Concentration levels of ICON’s largest customer significantly reduced from 23.8% of revenue last year to 13.2% this quarter. This customer now represents 11% of ICON’s backlog down from 15% last year.</w:t>
      </w:r>
    </w:p>
    <w:p>
      <w:pPr>
        <w:spacing w:after="0" w:line="175" w:lineRule="exact"/>
        <w:rPr>
          <w:sz w:val="20"/>
          <w:szCs w:val="20"/>
          <w:color w:val="auto"/>
        </w:rPr>
      </w:pPr>
    </w:p>
    <w:p>
      <w:pPr>
        <w:ind w:right="540"/>
        <w:spacing w:after="0" w:line="271" w:lineRule="auto"/>
        <w:rPr>
          <w:sz w:val="20"/>
          <w:szCs w:val="20"/>
          <w:color w:val="auto"/>
        </w:rPr>
      </w:pPr>
      <w:r>
        <w:rPr>
          <w:rFonts w:ascii="Arial" w:cs="Arial" w:eastAsia="Arial" w:hAnsi="Arial"/>
          <w:sz w:val="21"/>
          <w:szCs w:val="21"/>
          <w:color w:val="auto"/>
        </w:rPr>
        <w:t>An efficient operational model drove income from operations in the quarter up by 6.0% to $89.7 million, or 19.7% of revenue, compared to $84.6 million or 19.5% for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27265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400"/>
        <w:spacing w:after="0" w:line="256" w:lineRule="auto"/>
        <w:rPr>
          <w:sz w:val="20"/>
          <w:szCs w:val="20"/>
          <w:color w:val="auto"/>
        </w:rPr>
      </w:pPr>
      <w:r>
        <w:rPr>
          <w:rFonts w:ascii="Arial" w:cs="Arial" w:eastAsia="Arial" w:hAnsi="Arial"/>
          <w:sz w:val="21"/>
          <w:szCs w:val="21"/>
          <w:color w:val="auto"/>
        </w:rPr>
        <w:t>Net income in the quarter increased by 5.7% to $78.5 million on a non-GAAP basis compared with $74.3 million in the same quarter last year. This was helped by our industry leading underlying effective tax rate of 12% and global business support model that brought SG&amp;A costs down to 18.0% of revenue.</w:t>
      </w:r>
    </w:p>
    <w:p>
      <w:pPr>
        <w:spacing w:after="0" w:line="168"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color w:val="auto"/>
        </w:rPr>
        <w:t>Earnings per share increased to $1.43 per share on a diluted non-GAAP basis, from $1.33 per share for the same quarter last year, an increase of 7.5% reflecting a strong quarter for ICON.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We continued our share repurchase program in the quarter buying $25 million worth of stock at an average price of $113.08 per share.</w:t>
      </w:r>
    </w:p>
    <w:p>
      <w:pPr>
        <w:spacing w:after="0" w:line="238" w:lineRule="exact"/>
        <w:rPr>
          <w:sz w:val="20"/>
          <w:szCs w:val="20"/>
          <w:color w:val="auto"/>
        </w:rPr>
      </w:pPr>
    </w:p>
    <w:p>
      <w:pPr>
        <w:ind w:right="640"/>
        <w:spacing w:after="0" w:line="274" w:lineRule="auto"/>
        <w:rPr>
          <w:sz w:val="20"/>
          <w:szCs w:val="20"/>
          <w:color w:val="auto"/>
        </w:rPr>
      </w:pPr>
      <w:r>
        <w:rPr>
          <w:rFonts w:ascii="Arial" w:cs="Arial" w:eastAsia="Arial" w:hAnsi="Arial"/>
          <w:sz w:val="20"/>
          <w:szCs w:val="20"/>
          <w:color w:val="auto"/>
        </w:rPr>
        <w:t>The Company recorded a non-recurring tax expense of $7.4 million during the quarter, principally as a result of the mandatory repatriation provisions contained in the Tax Cuts and Jobs Act enacted during the fourth quarter of 2017. Excluding the non-recurring tax expense the pro-forma tax rate was 10% for the fourth quarter and 12% for the full year.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Full Year 2017 Results</w:t>
      </w:r>
    </w:p>
    <w:p>
      <w:pPr>
        <w:spacing w:after="0" w:line="221"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color w:val="auto"/>
        </w:rPr>
        <w:t>Full year gross business wins were $2.6 billion and cancellations were $0.3 billion, resulting in net business wins of $2.3 billion and a net book to bill of 1.29. This led to strong backlog growth of 16.9% year on year.</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Full year revenue increased by 5.5% to $1,758 million from $1,666 million in 2016.</w:t>
      </w:r>
    </w:p>
    <w:p>
      <w:pPr>
        <w:spacing w:after="0" w:line="215" w:lineRule="exact"/>
        <w:rPr>
          <w:sz w:val="20"/>
          <w:szCs w:val="20"/>
          <w:color w:val="auto"/>
        </w:rPr>
      </w:pPr>
    </w:p>
    <w:p>
      <w:pPr>
        <w:ind w:right="460"/>
        <w:spacing w:after="0" w:line="271" w:lineRule="auto"/>
        <w:rPr>
          <w:sz w:val="20"/>
          <w:szCs w:val="20"/>
          <w:color w:val="auto"/>
        </w:rPr>
      </w:pPr>
      <w:r>
        <w:rPr>
          <w:rFonts w:ascii="Arial" w:cs="Arial" w:eastAsia="Arial" w:hAnsi="Arial"/>
          <w:sz w:val="21"/>
          <w:szCs w:val="21"/>
          <w:color w:val="auto"/>
        </w:rPr>
        <w:t>Income from operations for 2017, on a non-GAAP basis, increased by 8.2% to $346 million or 19.7% of revenue compared with $320 million or 19.2% of revenue in the previous year.</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Net income for 2017, on a non-GAAP basis, increased by 9.8% to $296 million compared with $269 million last year.</w:t>
      </w:r>
    </w:p>
    <w:p>
      <w:pPr>
        <w:spacing w:after="0" w:line="215" w:lineRule="exact"/>
        <w:rPr>
          <w:sz w:val="20"/>
          <w:szCs w:val="20"/>
          <w:color w:val="auto"/>
        </w:rPr>
      </w:pPr>
    </w:p>
    <w:p>
      <w:pPr>
        <w:ind w:right="400"/>
        <w:spacing w:after="0" w:line="271" w:lineRule="auto"/>
        <w:rPr>
          <w:sz w:val="20"/>
          <w:szCs w:val="20"/>
          <w:color w:val="auto"/>
        </w:rPr>
      </w:pPr>
      <w:r>
        <w:rPr>
          <w:rFonts w:ascii="Arial" w:cs="Arial" w:eastAsia="Arial" w:hAnsi="Arial"/>
          <w:sz w:val="21"/>
          <w:szCs w:val="21"/>
          <w:color w:val="auto"/>
        </w:rPr>
        <w:t>Earnings per share for 2017, on a non-GAAP basis, increased to $5.39 per diluted share from $4.77 per diluted share last year, an increase of 13.0%.</w:t>
      </w:r>
    </w:p>
    <w:p>
      <w:pPr>
        <w:spacing w:after="0" w:line="153" w:lineRule="exact"/>
        <w:rPr>
          <w:sz w:val="20"/>
          <w:szCs w:val="20"/>
          <w:color w:val="auto"/>
        </w:rPr>
      </w:pPr>
    </w:p>
    <w:p>
      <w:pPr>
        <w:ind w:right="180"/>
        <w:spacing w:after="0" w:line="271"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were 49 days at December 31, 2017, compared with 50 days at the end of September 2017 and 50 days at the end of December 2016.</w:t>
      </w:r>
    </w:p>
    <w:p>
      <w:pPr>
        <w:spacing w:after="0" w:line="153" w:lineRule="exact"/>
        <w:rPr>
          <w:sz w:val="20"/>
          <w:szCs w:val="20"/>
          <w:color w:val="auto"/>
        </w:rPr>
      </w:pPr>
    </w:p>
    <w:p>
      <w:pPr>
        <w:ind w:right="180"/>
        <w:spacing w:after="0" w:line="256" w:lineRule="auto"/>
        <w:rPr>
          <w:sz w:val="20"/>
          <w:szCs w:val="20"/>
          <w:color w:val="auto"/>
        </w:rPr>
      </w:pPr>
      <w:r>
        <w:rPr>
          <w:rFonts w:ascii="Arial" w:cs="Arial" w:eastAsia="Arial" w:hAnsi="Arial"/>
          <w:sz w:val="21"/>
          <w:szCs w:val="21"/>
          <w:color w:val="auto"/>
        </w:rPr>
        <w:t>Cash generated from operating activities for the quarter was $105.9 million. Capital expenditure for the quarter was $21 million. As a result, at December 31, 2017, the company had net cash of $11.6 million, compared to net debt of $56 million at September 30, 2017 and net debt of $88 million at the end of December 2016.</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During the year we repurchased $133 million shares in total at an average price of $83.76.</w:t>
      </w:r>
    </w:p>
    <w:p>
      <w:pPr>
        <w:spacing w:after="0" w:line="215" w:lineRule="exact"/>
        <w:rPr>
          <w:sz w:val="20"/>
          <w:szCs w:val="20"/>
          <w:color w:val="auto"/>
        </w:rPr>
      </w:pPr>
    </w:p>
    <w:p>
      <w:pPr>
        <w:jc w:val="both"/>
        <w:ind w:right="220"/>
        <w:spacing w:after="0" w:line="250" w:lineRule="auto"/>
        <w:rPr>
          <w:sz w:val="20"/>
          <w:szCs w:val="20"/>
          <w:color w:val="auto"/>
        </w:rPr>
      </w:pPr>
      <w:r>
        <w:rPr>
          <w:rFonts w:ascii="Arial" w:cs="Arial" w:eastAsia="Arial" w:hAnsi="Arial"/>
          <w:sz w:val="21"/>
          <w:szCs w:val="21"/>
          <w:color w:val="auto"/>
        </w:rPr>
        <w:t>In July, ICON acquired the Mapi Group, a leading health outcomes research and commercialisation company. Integration plans are underway and progressing well. This combined division has in excess of 1,400 heads, operating throughout ICON’s global network and enhances ICON’s key late stage service offerings. The additional scale and capabilities means that ICON is the world’s second largest provider of late phase services.</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21"/>
          <w:szCs w:val="21"/>
          <w:color w:val="auto"/>
        </w:rPr>
        <w:t>As of January 1, 2018 ICON has adopted the new revenue recognition standard (ASC 606). As a result we are updating our full year 2018 revenue guidance to $2,520 -$2,640 million. Earnings per share guidance remains unchanged in the range of $5.89 - $6.09 representing an increase of 9.3% – 13.0%.</w:t>
      </w:r>
    </w:p>
    <w:p>
      <w:pPr>
        <w:spacing w:after="0" w:line="167" w:lineRule="exact"/>
        <w:rPr>
          <w:sz w:val="20"/>
          <w:szCs w:val="20"/>
          <w:color w:val="auto"/>
        </w:rPr>
      </w:pPr>
    </w:p>
    <w:p>
      <w:pPr>
        <w:jc w:val="both"/>
        <w:ind w:right="520"/>
        <w:spacing w:after="0" w:line="267" w:lineRule="auto"/>
        <w:rPr>
          <w:sz w:val="20"/>
          <w:szCs w:val="20"/>
          <w:color w:val="auto"/>
        </w:rPr>
      </w:pPr>
      <w:r>
        <w:rPr>
          <w:rFonts w:ascii="Arial" w:cs="Arial" w:eastAsia="Arial" w:hAnsi="Arial"/>
          <w:sz w:val="20"/>
          <w:szCs w:val="20"/>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58"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 xml:space="preserve">ICON will hold its fourth quarter conference call today, February 15, 2018 at 09:00 EDT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112395</wp:posOffset>
            </wp:positionV>
            <wp:extent cx="7272655"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5969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20"/>
          <w:szCs w:val="20"/>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20"/>
          <w:szCs w:val="20"/>
          <w:u w:val="single" w:color="auto"/>
          <w:color w:val="auto"/>
        </w:rPr>
        <w:t>http://www.sec.gov</w:t>
      </w:r>
      <w:r>
        <w:rPr>
          <w:rFonts w:ascii="Arial" w:cs="Arial" w:eastAsia="Arial" w:hAnsi="Arial"/>
          <w:sz w:val="20"/>
          <w:szCs w:val="20"/>
          <w:color w:val="auto"/>
        </w:rPr>
        <w:t>.</w:t>
      </w:r>
    </w:p>
    <w:p>
      <w:pPr>
        <w:spacing w:after="0" w:line="178"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98 locations in 38 countries and has approximately 13,250 employees. Further information is available at </w:t>
      </w:r>
      <w:r>
        <w:rPr>
          <w:rFonts w:ascii="Arial" w:cs="Arial" w:eastAsia="Arial" w:hAnsi="Arial"/>
          <w:sz w:val="21"/>
          <w:szCs w:val="21"/>
          <w:u w:val="single" w:color="auto"/>
          <w:color w:val="auto"/>
        </w:rPr>
        <w:t>www.iconplc.com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112395</wp:posOffset>
            </wp:positionV>
            <wp:extent cx="727265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4" w:lineRule="auto"/>
        <w:rPr>
          <w:sz w:val="20"/>
          <w:szCs w:val="20"/>
          <w:color w:val="auto"/>
        </w:rPr>
      </w:pPr>
      <w:r>
        <w:rPr>
          <w:rFonts w:ascii="Arial" w:cs="Arial" w:eastAsia="Arial" w:hAnsi="Arial"/>
          <w:sz w:val="14"/>
          <w:szCs w:val="14"/>
          <w:b w:val="1"/>
          <w:bCs w:val="1"/>
          <w:color w:val="auto"/>
        </w:rPr>
        <w:t>Consolidated Income Statements (Unaudited)</w:t>
      </w:r>
    </w:p>
    <w:p>
      <w:pPr>
        <w:jc w:val="center"/>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2017 and December 31, 2016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8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6"/>
                <w:szCs w:val="16"/>
                <w:color w:val="auto"/>
              </w:rPr>
            </w:pPr>
          </w:p>
        </w:tc>
        <w:tc>
          <w:tcPr>
            <w:tcW w:w="198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321"/>
        </w:trPr>
        <w:tc>
          <w:tcPr>
            <w:tcW w:w="5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8"/>
              </w:rPr>
              <w:t>December</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w:t>
            </w:r>
          </w:p>
        </w:tc>
        <w:tc>
          <w:tcPr>
            <w:tcW w:w="10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b w:val="1"/>
                <w:bCs w:val="1"/>
                <w:color w:val="auto"/>
                <w:w w:val="81"/>
              </w:rPr>
              <w:t>31,</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b w:val="1"/>
                <w:bCs w:val="1"/>
                <w:color w:val="auto"/>
                <w:w w:val="81"/>
              </w:rPr>
              <w:t>31,</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8" w:lineRule="exact"/>
              <w:rPr>
                <w:sz w:val="20"/>
                <w:szCs w:val="20"/>
                <w:color w:val="auto"/>
              </w:rPr>
            </w:pPr>
            <w:r>
              <w:rPr>
                <w:rFonts w:ascii="Arial" w:cs="Arial" w:eastAsia="Arial" w:hAnsi="Arial"/>
                <w:sz w:val="14"/>
                <w:szCs w:val="14"/>
                <w:b w:val="1"/>
                <w:bCs w:val="1"/>
                <w:color w:val="auto"/>
              </w:rPr>
              <w:t>31,</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8"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340" w:type="dxa"/>
            <w:vAlign w:val="bottom"/>
            <w:gridSpan w:val="4"/>
          </w:tcPr>
          <w:p>
            <w:pPr>
              <w:jc w:val="right"/>
              <w:spacing w:after="0" w:line="128"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1320" w:type="dxa"/>
            <w:vAlign w:val="bottom"/>
            <w:gridSpan w:val="5"/>
          </w:tcPr>
          <w:p>
            <w:pPr>
              <w:jc w:val="right"/>
              <w:ind w:right="360"/>
              <w:spacing w:after="0" w:line="128" w:lineRule="exact"/>
              <w:rPr>
                <w:sz w:val="20"/>
                <w:szCs w:val="20"/>
                <w:color w:val="auto"/>
              </w:rPr>
            </w:pPr>
            <w:r>
              <w:rPr>
                <w:rFonts w:ascii="Arial" w:cs="Arial" w:eastAsia="Arial" w:hAnsi="Arial"/>
                <w:sz w:val="14"/>
                <w:szCs w:val="14"/>
                <w:b w:val="1"/>
                <w:bCs w:val="1"/>
                <w:color w:val="auto"/>
              </w:rPr>
              <w:t>2016</w:t>
            </w:r>
          </w:p>
        </w:tc>
        <w:tc>
          <w:tcPr>
            <w:tcW w:w="960" w:type="dxa"/>
            <w:vAlign w:val="bottom"/>
            <w:gridSpan w:val="4"/>
          </w:tcPr>
          <w:p>
            <w:pPr>
              <w:jc w:val="right"/>
              <w:spacing w:after="0" w:line="12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1000" w:type="dxa"/>
            <w:vAlign w:val="bottom"/>
            <w:gridSpan w:val="5"/>
          </w:tcPr>
          <w:p>
            <w:pPr>
              <w:jc w:val="right"/>
              <w:ind w:right="20"/>
              <w:spacing w:after="0" w:line="12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Gross revenue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636,305</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610,465</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2,402,321</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2,364,956</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(181,166)</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(175,331)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(643,882)</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(698,469)</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455,139</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435,134</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1,758,439</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1,666,487</w:t>
            </w:r>
          </w:p>
        </w:tc>
        <w:tc>
          <w:tcPr>
            <w:tcW w:w="0" w:type="dxa"/>
            <w:vAlign w:val="bottom"/>
          </w:tcPr>
          <w:p>
            <w:pPr>
              <w:spacing w:after="0"/>
              <w:rPr>
                <w:sz w:val="1"/>
                <w:szCs w:val="1"/>
                <w:color w:val="auto"/>
              </w:rPr>
            </w:pPr>
          </w:p>
        </w:tc>
      </w:tr>
      <w:tr>
        <w:trPr>
          <w:trHeight w:val="342"/>
        </w:trPr>
        <w:tc>
          <w:tcPr>
            <w:tcW w:w="51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Direct costs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267,135</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251,502</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1,027,310</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961,333</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82,086</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83,534</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323,741</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325,726</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16,174</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15,455</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61,297</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59,575</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365,395</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350,491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1,412,348</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1,346,634</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89,744</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84,643</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346,091</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319,853</w:t>
            </w: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(2,512)</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(3,037)</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(10,281)</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(11,522)</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87,232</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81,606</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335,810</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308,331</w:t>
            </w: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(8,724)</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(7,344)</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(40,137)</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(39,013)</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78,508</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74,262</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295,673</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269,318</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$1.45</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$1.35</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$5.46</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$1.43</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$1.33</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$5.39</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54,187,688</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54,930,541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54,129,439</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55,248,900</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54,844,232</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55,685,863</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54,849,046</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56,407,136</w:t>
            </w:r>
          </w:p>
        </w:tc>
        <w:tc>
          <w:tcPr>
            <w:tcW w:w="0" w:type="dxa"/>
            <w:vAlign w:val="bottom"/>
          </w:tcPr>
          <w:p>
            <w:pPr>
              <w:spacing w:after="0"/>
              <w:rPr>
                <w:sz w:val="1"/>
                <w:szCs w:val="1"/>
                <w:color w:val="auto"/>
              </w:rPr>
            </w:pPr>
          </w:p>
        </w:tc>
      </w:tr>
      <w:tr>
        <w:trPr>
          <w:trHeight w:val="302"/>
        </w:trPr>
        <w:tc>
          <w:tcPr>
            <w:tcW w:w="5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-46355</wp:posOffset>
            </wp:positionV>
            <wp:extent cx="3365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2017 and December 31, 2016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8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6"/>
                <w:szCs w:val="16"/>
                <w:color w:val="auto"/>
              </w:rPr>
            </w:pPr>
          </w:p>
        </w:tc>
        <w:tc>
          <w:tcPr>
            <w:tcW w:w="198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321"/>
        </w:trPr>
        <w:tc>
          <w:tcPr>
            <w:tcW w:w="5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8"/>
              </w:rPr>
              <w:t>December</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w:t>
            </w:r>
          </w:p>
        </w:tc>
        <w:tc>
          <w:tcPr>
            <w:tcW w:w="10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b w:val="1"/>
                <w:bCs w:val="1"/>
                <w:color w:val="auto"/>
                <w:w w:val="81"/>
              </w:rPr>
              <w:t>31,</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4"/>
                <w:szCs w:val="14"/>
                <w:b w:val="1"/>
                <w:bCs w:val="1"/>
                <w:color w:val="auto"/>
                <w:w w:val="81"/>
              </w:rPr>
              <w:t>31,</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8" w:lineRule="exact"/>
              <w:rPr>
                <w:sz w:val="20"/>
                <w:szCs w:val="20"/>
                <w:color w:val="auto"/>
              </w:rPr>
            </w:pPr>
            <w:r>
              <w:rPr>
                <w:rFonts w:ascii="Arial" w:cs="Arial" w:eastAsia="Arial" w:hAnsi="Arial"/>
                <w:sz w:val="14"/>
                <w:szCs w:val="14"/>
                <w:b w:val="1"/>
                <w:bCs w:val="1"/>
                <w:color w:val="auto"/>
              </w:rPr>
              <w:t>31,</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top w:val="single" w:sz="8" w:color="auto"/>
            </w:tcBorders>
            <w:gridSpan w:val="3"/>
          </w:tcPr>
          <w:p>
            <w:pPr>
              <w:jc w:val="right"/>
              <w:spacing w:after="0" w:line="128"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340" w:type="dxa"/>
            <w:vAlign w:val="bottom"/>
            <w:gridSpan w:val="4"/>
          </w:tcPr>
          <w:p>
            <w:pPr>
              <w:jc w:val="right"/>
              <w:spacing w:after="0" w:line="128"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1320" w:type="dxa"/>
            <w:vAlign w:val="bottom"/>
            <w:gridSpan w:val="5"/>
          </w:tcPr>
          <w:p>
            <w:pPr>
              <w:jc w:val="right"/>
              <w:ind w:right="360"/>
              <w:spacing w:after="0" w:line="128" w:lineRule="exact"/>
              <w:rPr>
                <w:sz w:val="20"/>
                <w:szCs w:val="20"/>
                <w:color w:val="auto"/>
              </w:rPr>
            </w:pPr>
            <w:r>
              <w:rPr>
                <w:rFonts w:ascii="Arial" w:cs="Arial" w:eastAsia="Arial" w:hAnsi="Arial"/>
                <w:sz w:val="14"/>
                <w:szCs w:val="14"/>
                <w:b w:val="1"/>
                <w:bCs w:val="1"/>
                <w:color w:val="auto"/>
              </w:rPr>
              <w:t>2016</w:t>
            </w:r>
          </w:p>
        </w:tc>
        <w:tc>
          <w:tcPr>
            <w:tcW w:w="960" w:type="dxa"/>
            <w:vAlign w:val="bottom"/>
            <w:gridSpan w:val="4"/>
          </w:tcPr>
          <w:p>
            <w:pPr>
              <w:jc w:val="right"/>
              <w:spacing w:after="0" w:line="128"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1000" w:type="dxa"/>
            <w:vAlign w:val="bottom"/>
            <w:gridSpan w:val="5"/>
          </w:tcPr>
          <w:p>
            <w:pPr>
              <w:jc w:val="right"/>
              <w:ind w:right="20"/>
              <w:spacing w:after="0" w:line="12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Gross revenue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636,305</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610,465</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2,402,321</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2,364,956</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(181,166)</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(175,331)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(643,882)</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(698,469)</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455,139</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435,134</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1,758,439</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1,666,487</w:t>
            </w:r>
          </w:p>
        </w:tc>
        <w:tc>
          <w:tcPr>
            <w:tcW w:w="0" w:type="dxa"/>
            <w:vAlign w:val="bottom"/>
          </w:tcPr>
          <w:p>
            <w:pPr>
              <w:spacing w:after="0"/>
              <w:rPr>
                <w:sz w:val="1"/>
                <w:szCs w:val="1"/>
                <w:color w:val="auto"/>
              </w:rPr>
            </w:pPr>
          </w:p>
        </w:tc>
      </w:tr>
      <w:tr>
        <w:trPr>
          <w:trHeight w:val="342"/>
        </w:trPr>
        <w:tc>
          <w:tcPr>
            <w:tcW w:w="51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Direct costs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267,135</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251,502</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1,027,310</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961,333</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82,086</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83,534</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323,741</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325,726</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16,174</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15,455</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61,297</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59,575</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costs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7,753</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365,395</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350,491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1,420,101</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1,354,793</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89,744</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84,643</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338,338</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311,694</w:t>
            </w: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(2,512)</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(3,037)</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(10,281)</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(11,522)</w:t>
            </w:r>
          </w:p>
        </w:tc>
        <w:tc>
          <w:tcPr>
            <w:tcW w:w="0" w:type="dxa"/>
            <w:vAlign w:val="bottom"/>
          </w:tcPr>
          <w:p>
            <w:pPr>
              <w:spacing w:after="0"/>
              <w:rPr>
                <w:sz w:val="1"/>
                <w:szCs w:val="1"/>
                <w:color w:val="auto"/>
              </w:rPr>
            </w:pPr>
          </w:p>
        </w:tc>
      </w:tr>
      <w:tr>
        <w:trPr>
          <w:trHeight w:val="337"/>
        </w:trPr>
        <w:tc>
          <w:tcPr>
            <w:tcW w:w="510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680" w:type="dxa"/>
            <w:vAlign w:val="bottom"/>
            <w:gridSpan w:val="5"/>
          </w:tcPr>
          <w:p>
            <w:pPr>
              <w:jc w:val="right"/>
              <w:ind w:right="320"/>
              <w:spacing w:after="0"/>
              <w:rPr>
                <w:sz w:val="20"/>
                <w:szCs w:val="20"/>
                <w:color w:val="auto"/>
              </w:rPr>
            </w:pPr>
            <w:r>
              <w:rPr>
                <w:rFonts w:ascii="Arial" w:cs="Arial" w:eastAsia="Arial" w:hAnsi="Arial"/>
                <w:sz w:val="14"/>
                <w:szCs w:val="14"/>
                <w:color w:val="auto"/>
              </w:rPr>
              <w:t>87,232</w:t>
            </w:r>
          </w:p>
        </w:tc>
        <w:tc>
          <w:tcPr>
            <w:tcW w:w="1320" w:type="dxa"/>
            <w:vAlign w:val="bottom"/>
            <w:gridSpan w:val="5"/>
          </w:tcPr>
          <w:p>
            <w:pPr>
              <w:jc w:val="right"/>
              <w:ind w:right="340"/>
              <w:spacing w:after="0"/>
              <w:rPr>
                <w:sz w:val="20"/>
                <w:szCs w:val="20"/>
                <w:color w:val="auto"/>
              </w:rPr>
            </w:pPr>
            <w:r>
              <w:rPr>
                <w:rFonts w:ascii="Arial" w:cs="Arial" w:eastAsia="Arial" w:hAnsi="Arial"/>
                <w:sz w:val="14"/>
                <w:szCs w:val="14"/>
                <w:color w:val="auto"/>
              </w:rPr>
              <w:t>81,606</w:t>
            </w:r>
          </w:p>
        </w:tc>
        <w:tc>
          <w:tcPr>
            <w:tcW w:w="1320" w:type="dxa"/>
            <w:vAlign w:val="bottom"/>
            <w:gridSpan w:val="5"/>
          </w:tcPr>
          <w:p>
            <w:pPr>
              <w:jc w:val="right"/>
              <w:ind w:right="360"/>
              <w:spacing w:after="0"/>
              <w:rPr>
                <w:sz w:val="20"/>
                <w:szCs w:val="20"/>
                <w:color w:val="auto"/>
              </w:rPr>
            </w:pPr>
            <w:r>
              <w:rPr>
                <w:rFonts w:ascii="Arial" w:cs="Arial" w:eastAsia="Arial" w:hAnsi="Arial"/>
                <w:sz w:val="14"/>
                <w:szCs w:val="14"/>
                <w:color w:val="auto"/>
              </w:rPr>
              <w:t>328,057</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300,172</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(16,124)</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(7,344)</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(46,569)</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(37,993)</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71,108</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74,262</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281,488</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262,179</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$1.31</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$1.35</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$5.20</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$1.30</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$1.33</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$5.13</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54,187,688</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54,930,541</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54,129,439</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55,248,900</w:t>
            </w:r>
          </w:p>
        </w:tc>
        <w:tc>
          <w:tcPr>
            <w:tcW w:w="0" w:type="dxa"/>
            <w:vAlign w:val="bottom"/>
          </w:tcPr>
          <w:p>
            <w:pPr>
              <w:spacing w:after="0"/>
              <w:rPr>
                <w:sz w:val="1"/>
                <w:szCs w:val="1"/>
                <w:color w:val="auto"/>
              </w:rPr>
            </w:pPr>
          </w:p>
        </w:tc>
      </w:tr>
      <w:tr>
        <w:trPr>
          <w:trHeight w:val="34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54,844,232</w:t>
            </w:r>
          </w:p>
        </w:tc>
        <w:tc>
          <w:tcPr>
            <w:tcW w:w="13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55,685,863</w:t>
            </w: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rPr>
              <w:t>54,849,046</w:t>
            </w: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56,407,136</w:t>
            </w:r>
          </w:p>
        </w:tc>
        <w:tc>
          <w:tcPr>
            <w:tcW w:w="0" w:type="dxa"/>
            <w:vAlign w:val="bottom"/>
          </w:tcPr>
          <w:p>
            <w:pPr>
              <w:spacing w:after="0"/>
              <w:rPr>
                <w:sz w:val="1"/>
                <w:szCs w:val="1"/>
                <w:color w:val="auto"/>
              </w:rPr>
            </w:pPr>
          </w:p>
        </w:tc>
      </w:tr>
      <w:tr>
        <w:trPr>
          <w:trHeight w:val="302"/>
        </w:trPr>
        <w:tc>
          <w:tcPr>
            <w:tcW w:w="5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7230745</wp:posOffset>
            </wp:positionH>
            <wp:positionV relativeFrom="paragraph">
              <wp:posOffset>-46355</wp:posOffset>
            </wp:positionV>
            <wp:extent cx="3365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8" w:name="page9"/>
    <w:bookmarkEnd w:id="8"/>
    <w:p>
      <w:pPr>
        <w:jc w:val="center"/>
        <w:ind w:right="-899"/>
        <w:spacing w:after="0"/>
        <w:rPr>
          <w:sz w:val="20"/>
          <w:szCs w:val="20"/>
          <w:color w:val="auto"/>
        </w:rPr>
      </w:pPr>
      <w:r>
        <w:rPr>
          <w:rFonts w:ascii="Arial" w:cs="Arial" w:eastAsia="Arial" w:hAnsi="Arial"/>
          <w:sz w:val="14"/>
          <w:szCs w:val="14"/>
          <w:b w:val="1"/>
          <w:bCs w:val="1"/>
          <w:color w:val="auto"/>
        </w:rPr>
        <w:t>ICON plc</w:t>
      </w:r>
    </w:p>
    <w:p>
      <w:pPr>
        <w:jc w:val="center"/>
        <w:ind w:right="-899"/>
        <w:spacing w:after="0" w:line="224" w:lineRule="auto"/>
        <w:rPr>
          <w:sz w:val="20"/>
          <w:szCs w:val="20"/>
          <w:color w:val="auto"/>
        </w:rPr>
      </w:pPr>
      <w:r>
        <w:rPr>
          <w:rFonts w:ascii="Arial" w:cs="Arial" w:eastAsia="Arial" w:hAnsi="Arial"/>
          <w:sz w:val="14"/>
          <w:szCs w:val="14"/>
          <w:b w:val="1"/>
          <w:bCs w:val="1"/>
          <w:color w:val="auto"/>
        </w:rPr>
        <w:t>Summary Balance Sheet Data</w:t>
      </w:r>
    </w:p>
    <w:p>
      <w:pPr>
        <w:jc w:val="center"/>
        <w:ind w:right="-899"/>
        <w:spacing w:after="0" w:line="220" w:lineRule="auto"/>
        <w:rPr>
          <w:sz w:val="20"/>
          <w:szCs w:val="20"/>
          <w:color w:val="auto"/>
        </w:rPr>
      </w:pPr>
      <w:r>
        <w:rPr>
          <w:rFonts w:ascii="Arial" w:cs="Arial" w:eastAsia="Arial" w:hAnsi="Arial"/>
          <w:sz w:val="14"/>
          <w:szCs w:val="14"/>
          <w:b w:val="1"/>
          <w:bCs w:val="1"/>
          <w:color w:val="auto"/>
        </w:rPr>
        <w:t>December 31, 2017 and December 31, 2016</w:t>
      </w:r>
    </w:p>
    <w:p>
      <w:pPr>
        <w:jc w:val="center"/>
        <w:ind w:right="-899"/>
        <w:spacing w:after="0"/>
        <w:rPr>
          <w:sz w:val="20"/>
          <w:szCs w:val="20"/>
          <w:color w:val="auto"/>
        </w:rPr>
      </w:pPr>
      <w:r>
        <w:rPr>
          <w:rFonts w:ascii="Arial" w:cs="Arial" w:eastAsia="Arial" w:hAnsi="Arial"/>
          <w:sz w:val="14"/>
          <w:szCs w:val="14"/>
          <w:b w:val="1"/>
          <w:bCs w:val="1"/>
          <w:color w:val="auto"/>
        </w:rPr>
        <w:t>(Dollars,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300" w:type="dxa"/>
            <w:vAlign w:val="bottom"/>
          </w:tcPr>
          <w:p>
            <w:pPr>
              <w:jc w:val="center"/>
              <w:ind w:left="1408"/>
              <w:spacing w:after="0"/>
              <w:rPr>
                <w:sz w:val="20"/>
                <w:szCs w:val="20"/>
                <w:color w:val="auto"/>
              </w:rPr>
            </w:pPr>
            <w:r>
              <w:rPr>
                <w:rFonts w:ascii="Arial" w:cs="Arial" w:eastAsia="Arial" w:hAnsi="Arial"/>
                <w:sz w:val="14"/>
                <w:szCs w:val="14"/>
                <w:b w:val="1"/>
                <w:bCs w:val="1"/>
                <w:color w:val="auto"/>
                <w:w w:val="90"/>
              </w:rPr>
              <w:t>December 31,</w:t>
            </w:r>
          </w:p>
        </w:tc>
        <w:tc>
          <w:tcPr>
            <w:tcW w:w="1840" w:type="dxa"/>
            <w:vAlign w:val="bottom"/>
          </w:tcPr>
          <w:p>
            <w:pPr>
              <w:jc w:val="center"/>
              <w:ind w:left="928"/>
              <w:spacing w:after="0"/>
              <w:rPr>
                <w:sz w:val="20"/>
                <w:szCs w:val="20"/>
                <w:color w:val="auto"/>
              </w:rPr>
            </w:pPr>
            <w:r>
              <w:rPr>
                <w:rFonts w:ascii="Arial" w:cs="Arial" w:eastAsia="Arial" w:hAnsi="Arial"/>
                <w:sz w:val="14"/>
                <w:szCs w:val="14"/>
                <w:b w:val="1"/>
                <w:bCs w:val="1"/>
                <w:color w:val="auto"/>
                <w:w w:val="92"/>
              </w:rPr>
              <w:t>December 31,</w:t>
            </w:r>
          </w:p>
        </w:tc>
      </w:tr>
      <w:tr>
        <w:trPr>
          <w:trHeight w:val="148"/>
        </w:trPr>
        <w:tc>
          <w:tcPr>
            <w:tcW w:w="4380" w:type="dxa"/>
            <w:vAlign w:val="bottom"/>
          </w:tcPr>
          <w:p>
            <w:pPr>
              <w:spacing w:after="0"/>
              <w:rPr>
                <w:sz w:val="12"/>
                <w:szCs w:val="12"/>
                <w:color w:val="auto"/>
              </w:rPr>
            </w:pPr>
          </w:p>
        </w:tc>
        <w:tc>
          <w:tcPr>
            <w:tcW w:w="4300" w:type="dxa"/>
            <w:vAlign w:val="bottom"/>
          </w:tcPr>
          <w:p>
            <w:pPr>
              <w:jc w:val="center"/>
              <w:ind w:left="1408"/>
              <w:spacing w:after="0" w:line="148" w:lineRule="exact"/>
              <w:rPr>
                <w:sz w:val="20"/>
                <w:szCs w:val="20"/>
                <w:color w:val="auto"/>
              </w:rPr>
            </w:pPr>
            <w:r>
              <w:rPr>
                <w:rFonts w:ascii="Arial" w:cs="Arial" w:eastAsia="Arial" w:hAnsi="Arial"/>
                <w:sz w:val="14"/>
                <w:szCs w:val="14"/>
                <w:b w:val="1"/>
                <w:bCs w:val="1"/>
                <w:color w:val="auto"/>
                <w:w w:val="96"/>
              </w:rPr>
              <w:t>2017</w:t>
            </w:r>
          </w:p>
        </w:tc>
        <w:tc>
          <w:tcPr>
            <w:tcW w:w="1840" w:type="dxa"/>
            <w:vAlign w:val="bottom"/>
          </w:tcPr>
          <w:p>
            <w:pPr>
              <w:jc w:val="center"/>
              <w:ind w:left="928"/>
              <w:spacing w:after="0" w:line="148" w:lineRule="exact"/>
              <w:rPr>
                <w:sz w:val="20"/>
                <w:szCs w:val="20"/>
                <w:color w:val="auto"/>
              </w:rPr>
            </w:pPr>
            <w:r>
              <w:rPr>
                <w:rFonts w:ascii="Arial" w:cs="Arial" w:eastAsia="Arial" w:hAnsi="Arial"/>
                <w:sz w:val="14"/>
                <w:szCs w:val="14"/>
                <w:b w:val="1"/>
                <w:bCs w:val="1"/>
                <w:color w:val="auto"/>
                <w:w w:val="89"/>
              </w:rPr>
              <w:t>2016</w:t>
            </w:r>
          </w:p>
        </w:tc>
      </w:tr>
      <w:tr>
        <w:trPr>
          <w:trHeight w:val="186"/>
        </w:trPr>
        <w:tc>
          <w:tcPr>
            <w:tcW w:w="4380" w:type="dxa"/>
            <w:vAlign w:val="bottom"/>
          </w:tcPr>
          <w:p>
            <w:pPr>
              <w:spacing w:after="0"/>
              <w:rPr>
                <w:sz w:val="16"/>
                <w:szCs w:val="16"/>
                <w:color w:val="auto"/>
              </w:rPr>
            </w:pPr>
          </w:p>
        </w:tc>
        <w:tc>
          <w:tcPr>
            <w:tcW w:w="4300" w:type="dxa"/>
            <w:vAlign w:val="bottom"/>
          </w:tcPr>
          <w:p>
            <w:pPr>
              <w:jc w:val="center"/>
              <w:ind w:left="1408"/>
              <w:spacing w:after="0"/>
              <w:rPr>
                <w:sz w:val="20"/>
                <w:szCs w:val="20"/>
                <w:color w:val="auto"/>
              </w:rPr>
            </w:pPr>
            <w:r>
              <w:rPr>
                <w:rFonts w:ascii="Arial" w:cs="Arial" w:eastAsia="Arial" w:hAnsi="Arial"/>
                <w:sz w:val="14"/>
                <w:szCs w:val="14"/>
                <w:b w:val="1"/>
                <w:bCs w:val="1"/>
                <w:color w:val="auto"/>
                <w:w w:val="95"/>
              </w:rPr>
              <w:t>(Unaudited)</w:t>
            </w:r>
          </w:p>
        </w:tc>
        <w:tc>
          <w:tcPr>
            <w:tcW w:w="1840" w:type="dxa"/>
            <w:vAlign w:val="bottom"/>
          </w:tcPr>
          <w:p>
            <w:pPr>
              <w:jc w:val="center"/>
              <w:ind w:left="928"/>
              <w:spacing w:after="0"/>
              <w:rPr>
                <w:sz w:val="20"/>
                <w:szCs w:val="20"/>
                <w:color w:val="auto"/>
              </w:rPr>
            </w:pPr>
            <w:r>
              <w:rPr>
                <w:rFonts w:ascii="Arial" w:cs="Arial" w:eastAsia="Arial" w:hAnsi="Arial"/>
                <w:sz w:val="14"/>
                <w:szCs w:val="14"/>
                <w:b w:val="1"/>
                <w:bCs w:val="1"/>
                <w:color w:val="auto"/>
                <w:w w:val="97"/>
              </w:rPr>
              <w:t>(Audited)</w:t>
            </w:r>
          </w:p>
        </w:tc>
      </w:tr>
      <w:tr>
        <w:trPr>
          <w:trHeight w:val="517"/>
        </w:trPr>
        <w:tc>
          <w:tcPr>
            <w:tcW w:w="43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4"/>
              </w:rPr>
              <w:t>360,448</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260,587</w:t>
            </w:r>
          </w:p>
        </w:tc>
      </w:tr>
      <w:tr>
        <w:trPr>
          <w:trHeight w:val="175"/>
        </w:trPr>
        <w:tc>
          <w:tcPr>
            <w:tcW w:w="4380" w:type="dxa"/>
            <w:vAlign w:val="bottom"/>
          </w:tcPr>
          <w:p>
            <w:pPr>
              <w:spacing w:after="0"/>
              <w:rPr>
                <w:sz w:val="20"/>
                <w:szCs w:val="20"/>
                <w:color w:val="auto"/>
              </w:rPr>
            </w:pPr>
            <w:r>
              <w:rPr>
                <w:rFonts w:ascii="Arial" w:cs="Arial" w:eastAsia="Arial" w:hAnsi="Arial"/>
                <w:sz w:val="14"/>
                <w:szCs w:val="14"/>
                <w:color w:val="auto"/>
              </w:rPr>
              <w:t>Debt</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3"/>
              </w:rPr>
              <w:t>(348,888)</w:t>
            </w:r>
          </w:p>
        </w:tc>
        <w:tc>
          <w:tcPr>
            <w:tcW w:w="1840" w:type="dxa"/>
            <w:vAlign w:val="bottom"/>
          </w:tcPr>
          <w:p>
            <w:pPr>
              <w:jc w:val="center"/>
              <w:ind w:left="928"/>
              <w:spacing w:after="0"/>
              <w:rPr>
                <w:sz w:val="20"/>
                <w:szCs w:val="20"/>
                <w:color w:val="auto"/>
              </w:rPr>
            </w:pPr>
            <w:r>
              <w:rPr>
                <w:rFonts w:ascii="Arial" w:cs="Arial" w:eastAsia="Arial" w:hAnsi="Arial"/>
                <w:sz w:val="14"/>
                <w:szCs w:val="14"/>
                <w:color w:val="auto"/>
                <w:w w:val="93"/>
              </w:rPr>
              <w:t>(348,511)</w:t>
            </w:r>
          </w:p>
        </w:tc>
      </w:t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Net (debt)/cash</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3"/>
              </w:rPr>
              <w:t>11,560</w:t>
            </w:r>
          </w:p>
        </w:tc>
        <w:tc>
          <w:tcPr>
            <w:tcW w:w="1840" w:type="dxa"/>
            <w:vAlign w:val="bottom"/>
          </w:tcPr>
          <w:p>
            <w:pPr>
              <w:jc w:val="center"/>
              <w:ind w:left="928"/>
              <w:spacing w:after="0"/>
              <w:rPr>
                <w:sz w:val="20"/>
                <w:szCs w:val="20"/>
                <w:color w:val="auto"/>
              </w:rPr>
            </w:pPr>
            <w:r>
              <w:rPr>
                <w:rFonts w:ascii="Arial" w:cs="Arial" w:eastAsia="Arial" w:hAnsi="Arial"/>
                <w:sz w:val="14"/>
                <w:szCs w:val="14"/>
                <w:color w:val="auto"/>
                <w:w w:val="91"/>
              </w:rPr>
              <w:t>(87,924)</w:t>
            </w:r>
          </w:p>
        </w:tc>
      </w:tr>
      <w:tr>
        <w:trPr>
          <w:trHeight w:val="342"/>
        </w:trPr>
        <w:tc>
          <w:tcPr>
            <w:tcW w:w="4380" w:type="dxa"/>
            <w:vAlign w:val="bottom"/>
          </w:tcPr>
          <w:p>
            <w:pPr>
              <w:spacing w:after="0"/>
              <w:rPr>
                <w:sz w:val="20"/>
                <w:szCs w:val="20"/>
                <w:color w:val="auto"/>
              </w:rPr>
            </w:pPr>
            <w:r>
              <w:rPr>
                <w:rFonts w:ascii="Arial" w:cs="Arial" w:eastAsia="Arial" w:hAnsi="Arial"/>
                <w:sz w:val="14"/>
                <w:szCs w:val="14"/>
                <w:color w:val="auto"/>
              </w:rPr>
              <w:t>Accounts receivable</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4"/>
              </w:rPr>
              <w:t>379,501</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416,229</w:t>
            </w:r>
          </w:p>
        </w:tc>
      </w:tr>
      <w:tr>
        <w:trPr>
          <w:trHeight w:val="175"/>
        </w:trPr>
        <w:tc>
          <w:tcPr>
            <w:tcW w:w="4380" w:type="dxa"/>
            <w:vAlign w:val="bottom"/>
          </w:tcPr>
          <w:p>
            <w:pPr>
              <w:spacing w:after="0"/>
              <w:rPr>
                <w:sz w:val="20"/>
                <w:szCs w:val="20"/>
                <w:color w:val="auto"/>
              </w:rPr>
            </w:pPr>
            <w:r>
              <w:rPr>
                <w:rFonts w:ascii="Arial" w:cs="Arial" w:eastAsia="Arial" w:hAnsi="Arial"/>
                <w:sz w:val="14"/>
                <w:szCs w:val="14"/>
                <w:color w:val="auto"/>
              </w:rPr>
              <w:t>Unbilled revenue</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4"/>
              </w:rPr>
              <w:t>268,509</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192,687</w:t>
            </w:r>
          </w:p>
        </w:tc>
      </w:tr>
      <w:tr>
        <w:trPr>
          <w:trHeight w:val="175"/>
        </w:trPr>
        <w:tc>
          <w:tcPr>
            <w:tcW w:w="4380" w:type="dxa"/>
            <w:vAlign w:val="bottom"/>
          </w:tcPr>
          <w:p>
            <w:pPr>
              <w:spacing w:after="0"/>
              <w:rPr>
                <w:sz w:val="20"/>
                <w:szCs w:val="20"/>
                <w:color w:val="auto"/>
              </w:rPr>
            </w:pPr>
            <w:r>
              <w:rPr>
                <w:rFonts w:ascii="Arial" w:cs="Arial" w:eastAsia="Arial" w:hAnsi="Arial"/>
                <w:sz w:val="14"/>
                <w:szCs w:val="14"/>
                <w:color w:val="auto"/>
              </w:rPr>
              <w:t>Payments on account</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3"/>
              </w:rPr>
              <w:t>(298,992)</w:t>
            </w:r>
          </w:p>
        </w:tc>
        <w:tc>
          <w:tcPr>
            <w:tcW w:w="1840" w:type="dxa"/>
            <w:vAlign w:val="bottom"/>
          </w:tcPr>
          <w:p>
            <w:pPr>
              <w:jc w:val="center"/>
              <w:ind w:left="928"/>
              <w:spacing w:after="0"/>
              <w:rPr>
                <w:sz w:val="20"/>
                <w:szCs w:val="20"/>
                <w:color w:val="auto"/>
              </w:rPr>
            </w:pPr>
            <w:r>
              <w:rPr>
                <w:rFonts w:ascii="Arial" w:cs="Arial" w:eastAsia="Arial" w:hAnsi="Arial"/>
                <w:sz w:val="14"/>
                <w:szCs w:val="14"/>
                <w:color w:val="auto"/>
                <w:w w:val="93"/>
              </w:rPr>
              <w:t>(272,757)</w:t>
            </w:r>
          </w:p>
        </w:tc>
      </w:t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4"/>
              </w:rPr>
              <w:t>349,018</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336,159</w:t>
            </w:r>
          </w:p>
        </w:tc>
      </w:tr>
      <w:tr>
        <w:trPr>
          <w:trHeight w:val="349"/>
        </w:trPr>
        <w:tc>
          <w:tcPr>
            <w:tcW w:w="4380" w:type="dxa"/>
            <w:vAlign w:val="bottom"/>
          </w:tcPr>
          <w:p>
            <w:pPr>
              <w:spacing w:after="0"/>
              <w:rPr>
                <w:sz w:val="20"/>
                <w:szCs w:val="20"/>
                <w:color w:val="auto"/>
              </w:rPr>
            </w:pPr>
            <w:r>
              <w:rPr>
                <w:rFonts w:ascii="Arial" w:cs="Arial" w:eastAsia="Arial" w:hAnsi="Arial"/>
                <w:sz w:val="14"/>
                <w:szCs w:val="14"/>
                <w:color w:val="auto"/>
              </w:rPr>
              <w:t>Working Capital</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94"/>
              </w:rPr>
              <w:t>534,960</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463,552</w:t>
            </w:r>
          </w:p>
        </w:tc>
      </w:tr>
      <w:tr>
        <w:trPr>
          <w:trHeight w:val="349"/>
        </w:trPr>
        <w:tc>
          <w:tcPr>
            <w:tcW w:w="4380" w:type="dxa"/>
            <w:vAlign w:val="bottom"/>
          </w:tcPr>
          <w:p>
            <w:pPr>
              <w:spacing w:after="0"/>
              <w:rPr>
                <w:sz w:val="20"/>
                <w:szCs w:val="20"/>
                <w:color w:val="auto"/>
              </w:rPr>
            </w:pPr>
            <w:r>
              <w:rPr>
                <w:rFonts w:ascii="Arial" w:cs="Arial" w:eastAsia="Arial" w:hAnsi="Arial"/>
                <w:sz w:val="14"/>
                <w:szCs w:val="14"/>
                <w:color w:val="auto"/>
              </w:rPr>
              <w:t>Total Assets</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89"/>
              </w:rPr>
              <w:t>2,146,618</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3"/>
              </w:rPr>
              <w:t>1,825,843</w:t>
            </w:r>
          </w:p>
        </w:tc>
      </w:tr>
      <w:tr>
        <w:trPr>
          <w:trHeight w:val="349"/>
        </w:trPr>
        <w:tc>
          <w:tcPr>
            <w:tcW w:w="4380" w:type="dxa"/>
            <w:vAlign w:val="bottom"/>
          </w:tcPr>
          <w:p>
            <w:pPr>
              <w:spacing w:after="0"/>
              <w:rPr>
                <w:sz w:val="20"/>
                <w:szCs w:val="20"/>
                <w:color w:val="auto"/>
              </w:rPr>
            </w:pPr>
            <w:r>
              <w:rPr>
                <w:rFonts w:ascii="Arial" w:cs="Arial" w:eastAsia="Arial" w:hAnsi="Arial"/>
                <w:sz w:val="14"/>
                <w:szCs w:val="14"/>
                <w:color w:val="auto"/>
              </w:rPr>
              <w:t>Shareholder's Equity</w:t>
            </w:r>
          </w:p>
        </w:tc>
        <w:tc>
          <w:tcPr>
            <w:tcW w:w="4300" w:type="dxa"/>
            <w:vAlign w:val="bottom"/>
          </w:tcPr>
          <w:p>
            <w:pPr>
              <w:jc w:val="center"/>
              <w:ind w:left="1428"/>
              <w:spacing w:after="0"/>
              <w:rPr>
                <w:sz w:val="20"/>
                <w:szCs w:val="20"/>
                <w:color w:val="auto"/>
              </w:rPr>
            </w:pPr>
            <w:r>
              <w:rPr>
                <w:rFonts w:ascii="Arial" w:cs="Arial" w:eastAsia="Arial" w:hAnsi="Arial"/>
                <w:sz w:val="14"/>
                <w:szCs w:val="14"/>
                <w:color w:val="auto"/>
                <w:w w:val="89"/>
              </w:rPr>
              <w:t>1,191,000</w:t>
            </w:r>
          </w:p>
        </w:tc>
        <w:tc>
          <w:tcPr>
            <w:tcW w:w="1840" w:type="dxa"/>
            <w:vAlign w:val="bottom"/>
          </w:tcPr>
          <w:p>
            <w:pPr>
              <w:jc w:val="center"/>
              <w:ind w:left="948"/>
              <w:spacing w:after="0"/>
              <w:rPr>
                <w:sz w:val="20"/>
                <w:szCs w:val="20"/>
                <w:color w:val="auto"/>
              </w:rPr>
            </w:pPr>
            <w:r>
              <w:rPr>
                <w:rFonts w:ascii="Arial" w:cs="Arial" w:eastAsia="Arial" w:hAnsi="Arial"/>
                <w:sz w:val="14"/>
                <w:szCs w:val="14"/>
                <w:color w:val="auto"/>
                <w:w w:val="90"/>
              </w:rPr>
              <w:t>945,174</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ICON/ICLR-F</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ICON plc</w:t>
      </w:r>
    </w:p>
    <w:p>
      <w:pPr>
        <w:spacing w:after="0"/>
        <w:rPr>
          <w:sz w:val="20"/>
          <w:szCs w:val="20"/>
          <w:color w:val="auto"/>
        </w:rPr>
      </w:pPr>
      <w:r>
        <w:rPr>
          <w:rFonts w:ascii="Arial" w:cs="Arial" w:eastAsia="Arial" w:hAnsi="Arial"/>
          <w:sz w:val="21"/>
          <w:szCs w:val="21"/>
          <w:color w:val="auto"/>
        </w:rPr>
        <w:t>Investor Relations, 1-888-381-7923</w:t>
      </w:r>
    </w:p>
    <w:p>
      <w:pPr>
        <w:spacing w:after="0"/>
        <w:rPr>
          <w:sz w:val="20"/>
          <w:szCs w:val="20"/>
          <w:color w:val="auto"/>
        </w:rPr>
      </w:pPr>
      <w:r>
        <w:rPr>
          <w:rFonts w:ascii="Arial" w:cs="Arial" w:eastAsia="Arial" w:hAnsi="Arial"/>
          <w:sz w:val="21"/>
          <w:szCs w:val="21"/>
          <w:color w:val="auto"/>
        </w:rPr>
        <w:t>or</w:t>
      </w:r>
    </w:p>
    <w:p>
      <w:pPr>
        <w:spacing w:after="0"/>
        <w:rPr>
          <w:sz w:val="20"/>
          <w:szCs w:val="20"/>
          <w:color w:val="auto"/>
        </w:rPr>
      </w:pPr>
      <w:r>
        <w:rPr>
          <w:rFonts w:ascii="Arial" w:cs="Arial" w:eastAsia="Arial" w:hAnsi="Arial"/>
          <w:sz w:val="21"/>
          <w:szCs w:val="21"/>
          <w:color w:val="auto"/>
        </w:rPr>
        <w:t>Brendan Brennan, + 353 1 291 2000</w:t>
      </w:r>
    </w:p>
    <w:p>
      <w:pPr>
        <w:spacing w:after="0"/>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color w:val="auto"/>
        </w:rPr>
        <w:t>or</w:t>
      </w:r>
    </w:p>
    <w:p>
      <w:pPr>
        <w:spacing w:after="0"/>
        <w:rPr>
          <w:sz w:val="20"/>
          <w:szCs w:val="20"/>
          <w:color w:val="auto"/>
        </w:rPr>
      </w:pPr>
      <w:r>
        <w:rPr>
          <w:rFonts w:ascii="Arial" w:cs="Arial" w:eastAsia="Arial" w:hAnsi="Arial"/>
          <w:sz w:val="21"/>
          <w:szCs w:val="21"/>
          <w:color w:val="auto"/>
        </w:rPr>
        <w:t>Jonathan Curtain, +1 215 616 3000</w:t>
      </w:r>
    </w:p>
    <w:p>
      <w:pPr>
        <w:spacing w:after="0"/>
        <w:rPr>
          <w:sz w:val="20"/>
          <w:szCs w:val="20"/>
          <w:color w:val="auto"/>
        </w:rPr>
      </w:pPr>
      <w:r>
        <w:rPr>
          <w:rFonts w:ascii="Arial" w:cs="Arial" w:eastAsia="Arial" w:hAnsi="Arial"/>
          <w:sz w:val="21"/>
          <w:szCs w:val="21"/>
          <w:color w:val="auto"/>
        </w:rPr>
        <w:t>Vice President Corporate Finance &amp; Investor Relations</w:t>
      </w:r>
    </w:p>
    <w:p>
      <w:pPr>
        <w:spacing w:after="0"/>
        <w:rPr>
          <w:sz w:val="20"/>
          <w:szCs w:val="20"/>
          <w:color w:val="auto"/>
        </w:rPr>
      </w:pPr>
      <w:r>
        <w:rPr>
          <w:rFonts w:ascii="Arial" w:cs="Arial" w:eastAsia="Arial" w:hAnsi="Arial"/>
          <w:sz w:val="21"/>
          <w:szCs w:val="21"/>
          <w:u w:val="single" w:color="auto"/>
          <w:color w:val="auto"/>
        </w:rPr>
        <w:t>http://www.iconplc.com</w:t>
      </w:r>
    </w:p>
    <w:sectPr>
      <w:pgSz w:w="11900" w:h="16838" w:orient="portrait"/>
      <w:cols w:equalWidth="0" w:num="1">
        <w:col w:w="10520"/>
      </w:cols>
      <w:pgMar w:left="240" w:top="13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2019-12-06T11:51:21Z</dcterms:created>
  <dcterms:modified xsi:type="dcterms:W3CDTF">2019-12-06T11:51:21Z</dcterms:modified>
</cp:coreProperties>
</file>