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5"/>
          <w:szCs w:val="15"/>
          <w:b w:val="1"/>
          <w:bCs w:val="1"/>
          <w:color w:val="auto"/>
        </w:rPr>
        <w:t>As filed with the Securities and Exchange Commission on May 5, 2006 Registration No. 333-133371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76" w:right="299" w:bottom="0" w:gutter="0" w:footer="0" w:header="0"/>
        </w:sectPr>
      </w:pP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208280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Pre-Effective</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Amendment No. 1</w:t>
      </w:r>
    </w:p>
    <w:p>
      <w:pPr>
        <w:jc w:val="center"/>
        <w:ind w:right="-59"/>
        <w:spacing w:after="0" w:line="237" w:lineRule="auto"/>
        <w:rPr>
          <w:sz w:val="20"/>
          <w:szCs w:val="20"/>
          <w:color w:val="auto"/>
        </w:rPr>
      </w:pPr>
      <w:r>
        <w:rPr>
          <w:rFonts w:ascii="Arial" w:cs="Arial" w:eastAsia="Arial" w:hAnsi="Arial"/>
          <w:sz w:val="32"/>
          <w:szCs w:val="32"/>
          <w:b w:val="1"/>
          <w:bCs w:val="1"/>
          <w:color w:val="auto"/>
        </w:rPr>
        <w:t>to</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F-3</w:t>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152400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ICON PUBLIC LIMITED COMPANY</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45" w:lineRule="exact"/>
        <w:rPr>
          <w:sz w:val="24"/>
          <w:szCs w:val="24"/>
          <w:color w:val="auto"/>
        </w:rPr>
      </w:pPr>
    </w:p>
    <w:tbl>
      <w:tblPr>
        <w:tblLayout w:type="fixed"/>
        <w:tblInd w:w="1220" w:type="dxa"/>
        <w:tblCellMar>
          <w:top w:w="0" w:type="dxa"/>
          <w:left w:w="0" w:type="dxa"/>
          <w:bottom w:w="0" w:type="dxa"/>
          <w:right w:w="0" w:type="dxa"/>
        </w:tblCellMar>
      </w:tblPr>
      <w:tr>
        <w:trPr>
          <w:trHeight w:val="228"/>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Ireland</w:t>
            </w:r>
          </w:p>
        </w:tc>
        <w:tc>
          <w:tcPr>
            <w:tcW w:w="1720" w:type="dxa"/>
            <w:vAlign w:val="bottom"/>
          </w:tcPr>
          <w:p>
            <w:pPr>
              <w:spacing w:after="0"/>
              <w:rPr>
                <w:sz w:val="19"/>
                <w:szCs w:val="19"/>
                <w:color w:val="auto"/>
              </w:rPr>
            </w:pPr>
          </w:p>
        </w:tc>
        <w:tc>
          <w:tcPr>
            <w:tcW w:w="3060" w:type="dxa"/>
            <w:vAlign w:val="bottom"/>
          </w:tcPr>
          <w:p>
            <w:pPr>
              <w:jc w:val="center"/>
              <w:ind w:left="778"/>
              <w:spacing w:after="0"/>
              <w:rPr>
                <w:sz w:val="20"/>
                <w:szCs w:val="20"/>
                <w:color w:val="auto"/>
              </w:rPr>
            </w:pPr>
            <w:r>
              <w:rPr>
                <w:rFonts w:ascii="Arial" w:cs="Arial" w:eastAsia="Arial" w:hAnsi="Arial"/>
                <w:sz w:val="18"/>
                <w:szCs w:val="18"/>
                <w:b w:val="1"/>
                <w:bCs w:val="1"/>
                <w:color w:val="auto"/>
                <w:w w:val="88"/>
              </w:rPr>
              <w:t>Not Applicable</w:t>
            </w:r>
          </w:p>
        </w:tc>
      </w:tr>
      <w:tr>
        <w:trPr>
          <w:trHeight w:val="231"/>
        </w:trPr>
        <w:tc>
          <w:tcPr>
            <w:tcW w:w="3640" w:type="dxa"/>
            <w:vAlign w:val="bottom"/>
          </w:tcPr>
          <w:p>
            <w:pPr>
              <w:jc w:val="center"/>
              <w:ind w:right="337"/>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1720" w:type="dxa"/>
            <w:vAlign w:val="bottom"/>
          </w:tcPr>
          <w:p>
            <w:pPr>
              <w:spacing w:after="0"/>
              <w:rPr>
                <w:sz w:val="20"/>
                <w:szCs w:val="20"/>
                <w:color w:val="auto"/>
              </w:rPr>
            </w:pPr>
          </w:p>
        </w:tc>
        <w:tc>
          <w:tcPr>
            <w:tcW w:w="3060" w:type="dxa"/>
            <w:vAlign w:val="bottom"/>
          </w:tcPr>
          <w:p>
            <w:pPr>
              <w:jc w:val="center"/>
              <w:ind w:left="778"/>
              <w:spacing w:after="0"/>
              <w:rPr>
                <w:sz w:val="20"/>
                <w:szCs w:val="20"/>
                <w:color w:val="auto"/>
              </w:rPr>
            </w:pPr>
            <w:r>
              <w:rPr>
                <w:rFonts w:ascii="Arial" w:cs="Arial" w:eastAsia="Arial" w:hAnsi="Arial"/>
                <w:sz w:val="14"/>
                <w:szCs w:val="14"/>
                <w:color w:val="auto"/>
                <w:w w:val="90"/>
              </w:rPr>
              <w:t>(I.R.S. Employer Identification Number)</w:t>
            </w:r>
          </w:p>
        </w:tc>
      </w:tr>
      <w:tr>
        <w:trPr>
          <w:trHeight w:val="498"/>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97"/>
              </w:rPr>
              <w:t>ICON plc</w:t>
            </w:r>
          </w:p>
        </w:tc>
        <w:tc>
          <w:tcPr>
            <w:tcW w:w="17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86"/>
              </w:rPr>
              <w:t>South County Business Park</w:t>
            </w:r>
          </w:p>
        </w:tc>
        <w:tc>
          <w:tcPr>
            <w:tcW w:w="1720" w:type="dxa"/>
            <w:vAlign w:val="bottom"/>
          </w:tcPr>
          <w:p>
            <w:pPr>
              <w:spacing w:after="0"/>
              <w:rPr>
                <w:sz w:val="21"/>
                <w:szCs w:val="21"/>
                <w:color w:val="auto"/>
              </w:rPr>
            </w:pPr>
          </w:p>
        </w:tc>
        <w:tc>
          <w:tcPr>
            <w:tcW w:w="3060" w:type="dxa"/>
            <w:vAlign w:val="bottom"/>
          </w:tcPr>
          <w:p>
            <w:pPr>
              <w:jc w:val="center"/>
              <w:ind w:left="778"/>
              <w:spacing w:after="0"/>
              <w:rPr>
                <w:sz w:val="20"/>
                <w:szCs w:val="20"/>
                <w:color w:val="auto"/>
              </w:rPr>
            </w:pPr>
            <w:r>
              <w:rPr>
                <w:rFonts w:ascii="Arial" w:cs="Arial" w:eastAsia="Arial" w:hAnsi="Arial"/>
                <w:sz w:val="18"/>
                <w:szCs w:val="18"/>
                <w:b w:val="1"/>
                <w:bCs w:val="1"/>
                <w:color w:val="auto"/>
                <w:w w:val="89"/>
              </w:rPr>
              <w:t>CT Corporation System</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88"/>
              </w:rPr>
              <w:t>Leopardstown, Dublin 18</w:t>
            </w:r>
          </w:p>
        </w:tc>
        <w:tc>
          <w:tcPr>
            <w:tcW w:w="1720" w:type="dxa"/>
            <w:vAlign w:val="bottom"/>
          </w:tcPr>
          <w:p>
            <w:pPr>
              <w:spacing w:after="0"/>
              <w:rPr>
                <w:sz w:val="21"/>
                <w:szCs w:val="21"/>
                <w:color w:val="auto"/>
              </w:rPr>
            </w:pPr>
          </w:p>
        </w:tc>
        <w:tc>
          <w:tcPr>
            <w:tcW w:w="3060" w:type="dxa"/>
            <w:vAlign w:val="bottom"/>
          </w:tcPr>
          <w:p>
            <w:pPr>
              <w:jc w:val="center"/>
              <w:ind w:left="778"/>
              <w:spacing w:after="0"/>
              <w:rPr>
                <w:sz w:val="20"/>
                <w:szCs w:val="20"/>
                <w:color w:val="auto"/>
              </w:rPr>
            </w:pPr>
            <w:r>
              <w:rPr>
                <w:rFonts w:ascii="Arial" w:cs="Arial" w:eastAsia="Arial" w:hAnsi="Arial"/>
                <w:sz w:val="18"/>
                <w:szCs w:val="18"/>
                <w:b w:val="1"/>
                <w:bCs w:val="1"/>
                <w:color w:val="auto"/>
                <w:w w:val="86"/>
              </w:rPr>
              <w:t>111 Eighth Avenue</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Ireland</w:t>
            </w:r>
          </w:p>
        </w:tc>
        <w:tc>
          <w:tcPr>
            <w:tcW w:w="1720" w:type="dxa"/>
            <w:vAlign w:val="bottom"/>
          </w:tcPr>
          <w:p>
            <w:pPr>
              <w:spacing w:after="0"/>
              <w:rPr>
                <w:sz w:val="21"/>
                <w:szCs w:val="21"/>
                <w:color w:val="auto"/>
              </w:rPr>
            </w:pPr>
          </w:p>
        </w:tc>
        <w:tc>
          <w:tcPr>
            <w:tcW w:w="3060" w:type="dxa"/>
            <w:vAlign w:val="bottom"/>
          </w:tcPr>
          <w:p>
            <w:pPr>
              <w:jc w:val="center"/>
              <w:ind w:left="778"/>
              <w:spacing w:after="0"/>
              <w:rPr>
                <w:sz w:val="20"/>
                <w:szCs w:val="20"/>
                <w:color w:val="auto"/>
              </w:rPr>
            </w:pPr>
            <w:r>
              <w:rPr>
                <w:rFonts w:ascii="Arial" w:cs="Arial" w:eastAsia="Arial" w:hAnsi="Arial"/>
                <w:sz w:val="18"/>
                <w:szCs w:val="18"/>
                <w:b w:val="1"/>
                <w:bCs w:val="1"/>
                <w:color w:val="auto"/>
                <w:w w:val="89"/>
              </w:rPr>
              <w:t>New York, New York 10011</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90"/>
              </w:rPr>
              <w:t>(353) 1-291-2000</w:t>
            </w:r>
          </w:p>
        </w:tc>
        <w:tc>
          <w:tcPr>
            <w:tcW w:w="4780" w:type="dxa"/>
            <w:vAlign w:val="bottom"/>
            <w:gridSpan w:val="2"/>
          </w:tcPr>
          <w:p>
            <w:pPr>
              <w:jc w:val="center"/>
              <w:ind w:left="2472"/>
              <w:spacing w:after="0"/>
              <w:rPr>
                <w:sz w:val="20"/>
                <w:szCs w:val="20"/>
                <w:color w:val="auto"/>
              </w:rPr>
            </w:pPr>
            <w:r>
              <w:rPr>
                <w:rFonts w:ascii="Arial" w:cs="Arial" w:eastAsia="Arial" w:hAnsi="Arial"/>
                <w:sz w:val="18"/>
                <w:szCs w:val="18"/>
                <w:b w:val="1"/>
                <w:bCs w:val="1"/>
                <w:color w:val="auto"/>
                <w:w w:val="89"/>
              </w:rPr>
              <w:t>(212) 590-9332</w:t>
            </w:r>
          </w:p>
        </w:tc>
      </w:tr>
      <w:tr>
        <w:trPr>
          <w:trHeight w:val="231"/>
        </w:trPr>
        <w:tc>
          <w:tcPr>
            <w:tcW w:w="3640" w:type="dxa"/>
            <w:vAlign w:val="bottom"/>
          </w:tcPr>
          <w:p>
            <w:pPr>
              <w:jc w:val="center"/>
              <w:ind w:right="337"/>
              <w:spacing w:after="0"/>
              <w:rPr>
                <w:sz w:val="20"/>
                <w:szCs w:val="20"/>
                <w:color w:val="auto"/>
              </w:rPr>
            </w:pPr>
            <w:r>
              <w:rPr>
                <w:rFonts w:ascii="Arial" w:cs="Arial" w:eastAsia="Arial" w:hAnsi="Arial"/>
                <w:sz w:val="14"/>
                <w:szCs w:val="14"/>
                <w:color w:val="auto"/>
                <w:w w:val="86"/>
              </w:rPr>
              <w:t>(Address and telephone number of Registrant’s</w:t>
            </w:r>
          </w:p>
        </w:tc>
        <w:tc>
          <w:tcPr>
            <w:tcW w:w="1720" w:type="dxa"/>
            <w:vAlign w:val="bottom"/>
          </w:tcPr>
          <w:p>
            <w:pPr>
              <w:spacing w:after="0"/>
              <w:rPr>
                <w:sz w:val="20"/>
                <w:szCs w:val="20"/>
                <w:color w:val="auto"/>
              </w:rPr>
            </w:pPr>
          </w:p>
        </w:tc>
        <w:tc>
          <w:tcPr>
            <w:tcW w:w="3060" w:type="dxa"/>
            <w:vAlign w:val="bottom"/>
          </w:tcPr>
          <w:p>
            <w:pPr>
              <w:jc w:val="center"/>
              <w:ind w:left="758"/>
              <w:spacing w:after="0"/>
              <w:rPr>
                <w:sz w:val="20"/>
                <w:szCs w:val="20"/>
                <w:color w:val="auto"/>
              </w:rPr>
            </w:pPr>
            <w:r>
              <w:rPr>
                <w:rFonts w:ascii="Arial" w:cs="Arial" w:eastAsia="Arial" w:hAnsi="Arial"/>
                <w:sz w:val="14"/>
                <w:szCs w:val="14"/>
                <w:color w:val="auto"/>
                <w:w w:val="85"/>
              </w:rPr>
              <w:t>(Name, address and telephone number of</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4"/>
                <w:szCs w:val="14"/>
                <w:color w:val="auto"/>
                <w:w w:val="88"/>
              </w:rPr>
              <w:t>principal executive offices)</w:t>
            </w:r>
          </w:p>
        </w:tc>
        <w:tc>
          <w:tcPr>
            <w:tcW w:w="1720" w:type="dxa"/>
            <w:vAlign w:val="bottom"/>
          </w:tcPr>
          <w:p>
            <w:pPr>
              <w:spacing w:after="0"/>
              <w:rPr>
                <w:sz w:val="21"/>
                <w:szCs w:val="21"/>
                <w:color w:val="auto"/>
              </w:rPr>
            </w:pPr>
          </w:p>
        </w:tc>
        <w:tc>
          <w:tcPr>
            <w:tcW w:w="3060" w:type="dxa"/>
            <w:vAlign w:val="bottom"/>
          </w:tcPr>
          <w:p>
            <w:pPr>
              <w:jc w:val="center"/>
              <w:ind w:left="758"/>
              <w:spacing w:after="0"/>
              <w:rPr>
                <w:sz w:val="20"/>
                <w:szCs w:val="20"/>
                <w:color w:val="auto"/>
              </w:rPr>
            </w:pPr>
            <w:r>
              <w:rPr>
                <w:rFonts w:ascii="Arial" w:cs="Arial" w:eastAsia="Arial" w:hAnsi="Arial"/>
                <w:sz w:val="14"/>
                <w:szCs w:val="14"/>
                <w:color w:val="auto"/>
                <w:w w:val="86"/>
              </w:rPr>
              <w:t>agent for service)</w:t>
            </w:r>
          </w:p>
        </w:tc>
      </w:tr>
      <w:tr>
        <w:trPr>
          <w:trHeight w:val="122"/>
        </w:trPr>
        <w:tc>
          <w:tcPr>
            <w:tcW w:w="364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3060" w:type="dxa"/>
            <w:vAlign w:val="bottom"/>
          </w:tcPr>
          <w:p>
            <w:pPr>
              <w:spacing w:after="0"/>
              <w:rPr>
                <w:sz w:val="10"/>
                <w:szCs w:val="10"/>
                <w:color w:val="auto"/>
              </w:rPr>
            </w:pPr>
          </w:p>
        </w:tc>
      </w:tr>
      <w:tr>
        <w:trPr>
          <w:trHeight w:val="316"/>
        </w:trPr>
        <w:tc>
          <w:tcPr>
            <w:tcW w:w="3640" w:type="dxa"/>
            <w:vAlign w:val="bottom"/>
          </w:tcPr>
          <w:p>
            <w:pPr>
              <w:spacing w:after="0"/>
              <w:rPr>
                <w:sz w:val="24"/>
                <w:szCs w:val="24"/>
                <w:color w:val="auto"/>
              </w:rPr>
            </w:pPr>
          </w:p>
        </w:tc>
        <w:tc>
          <w:tcPr>
            <w:tcW w:w="4780" w:type="dxa"/>
            <w:vAlign w:val="bottom"/>
            <w:gridSpan w:val="2"/>
          </w:tcPr>
          <w:p>
            <w:pPr>
              <w:ind w:left="500"/>
              <w:spacing w:after="0"/>
              <w:rPr>
                <w:sz w:val="20"/>
                <w:szCs w:val="20"/>
                <w:color w:val="auto"/>
              </w:rPr>
            </w:pPr>
            <w:r>
              <w:rPr>
                <w:rFonts w:ascii="Arial" w:cs="Arial" w:eastAsia="Arial" w:hAnsi="Arial"/>
                <w:sz w:val="18"/>
                <w:szCs w:val="18"/>
                <w:b w:val="1"/>
                <w:bCs w:val="1"/>
                <w:i w:val="1"/>
                <w:iCs w:val="1"/>
                <w:color w:val="auto"/>
              </w:rPr>
              <w:t>Copies to:</w:t>
            </w:r>
          </w:p>
        </w:tc>
      </w:tr>
      <w:tr>
        <w:trPr>
          <w:trHeight w:val="486"/>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97"/>
              </w:rPr>
              <w:t>Ciaran Murray</w:t>
            </w:r>
          </w:p>
        </w:tc>
        <w:tc>
          <w:tcPr>
            <w:tcW w:w="1720" w:type="dxa"/>
            <w:vAlign w:val="bottom"/>
          </w:tcPr>
          <w:p>
            <w:pPr>
              <w:spacing w:after="0"/>
              <w:rPr>
                <w:sz w:val="24"/>
                <w:szCs w:val="24"/>
                <w:color w:val="auto"/>
              </w:rPr>
            </w:pPr>
          </w:p>
        </w:tc>
        <w:tc>
          <w:tcPr>
            <w:tcW w:w="3060" w:type="dxa"/>
            <w:vAlign w:val="bottom"/>
          </w:tcPr>
          <w:p>
            <w:pPr>
              <w:jc w:val="center"/>
              <w:ind w:left="778"/>
              <w:spacing w:after="0"/>
              <w:rPr>
                <w:sz w:val="20"/>
                <w:szCs w:val="20"/>
                <w:color w:val="auto"/>
              </w:rPr>
            </w:pPr>
            <w:r>
              <w:rPr>
                <w:rFonts w:ascii="Arial" w:cs="Arial" w:eastAsia="Arial" w:hAnsi="Arial"/>
                <w:sz w:val="18"/>
                <w:szCs w:val="18"/>
                <w:b w:val="1"/>
                <w:bCs w:val="1"/>
                <w:color w:val="auto"/>
                <w:w w:val="93"/>
              </w:rPr>
              <w:t>William M. Hartnett, Esq.</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Chief Financial Officer ICON plc</w:t>
            </w:r>
          </w:p>
        </w:tc>
        <w:tc>
          <w:tcPr>
            <w:tcW w:w="1720" w:type="dxa"/>
            <w:vAlign w:val="bottom"/>
          </w:tcPr>
          <w:p>
            <w:pPr>
              <w:spacing w:after="0"/>
              <w:rPr>
                <w:sz w:val="21"/>
                <w:szCs w:val="21"/>
                <w:color w:val="auto"/>
              </w:rPr>
            </w:pPr>
          </w:p>
        </w:tc>
        <w:tc>
          <w:tcPr>
            <w:tcW w:w="3060" w:type="dxa"/>
            <w:vAlign w:val="bottom"/>
          </w:tcPr>
          <w:p>
            <w:pPr>
              <w:jc w:val="center"/>
              <w:ind w:left="778"/>
              <w:spacing w:after="0"/>
              <w:rPr>
                <w:sz w:val="20"/>
                <w:szCs w:val="20"/>
                <w:color w:val="auto"/>
              </w:rPr>
            </w:pPr>
            <w:r>
              <w:rPr>
                <w:rFonts w:ascii="Arial" w:cs="Arial" w:eastAsia="Arial" w:hAnsi="Arial"/>
                <w:sz w:val="18"/>
                <w:szCs w:val="18"/>
                <w:b w:val="1"/>
                <w:bCs w:val="1"/>
                <w:color w:val="auto"/>
                <w:w w:val="92"/>
              </w:rPr>
              <w:t xml:space="preserve">Cahill Gordon &amp; Reindel </w:t>
            </w:r>
            <w:r>
              <w:rPr>
                <w:rFonts w:ascii="Arial" w:cs="Arial" w:eastAsia="Arial" w:hAnsi="Arial"/>
                <w:sz w:val="13"/>
                <w:szCs w:val="13"/>
                <w:b w:val="1"/>
                <w:bCs w:val="1"/>
                <w:color w:val="auto"/>
                <w:w w:val="92"/>
              </w:rPr>
              <w:t>LLP</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86"/>
              </w:rPr>
              <w:t>South County Business Park</w:t>
            </w:r>
          </w:p>
        </w:tc>
        <w:tc>
          <w:tcPr>
            <w:tcW w:w="1720" w:type="dxa"/>
            <w:vAlign w:val="bottom"/>
          </w:tcPr>
          <w:p>
            <w:pPr>
              <w:spacing w:after="0"/>
              <w:rPr>
                <w:sz w:val="21"/>
                <w:szCs w:val="21"/>
                <w:color w:val="auto"/>
              </w:rPr>
            </w:pPr>
          </w:p>
        </w:tc>
        <w:tc>
          <w:tcPr>
            <w:tcW w:w="3060" w:type="dxa"/>
            <w:vAlign w:val="bottom"/>
          </w:tcPr>
          <w:p>
            <w:pPr>
              <w:jc w:val="center"/>
              <w:ind w:left="778"/>
              <w:spacing w:after="0"/>
              <w:rPr>
                <w:sz w:val="20"/>
                <w:szCs w:val="20"/>
                <w:color w:val="auto"/>
              </w:rPr>
            </w:pPr>
            <w:r>
              <w:rPr>
                <w:rFonts w:ascii="Arial" w:cs="Arial" w:eastAsia="Arial" w:hAnsi="Arial"/>
                <w:sz w:val="18"/>
                <w:szCs w:val="18"/>
                <w:b w:val="1"/>
                <w:bCs w:val="1"/>
                <w:color w:val="auto"/>
                <w:w w:val="87"/>
              </w:rPr>
              <w:t>80 Pine Street</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89"/>
              </w:rPr>
              <w:t>Leopardstown, Dublin 18, Ireland</w:t>
            </w:r>
          </w:p>
        </w:tc>
        <w:tc>
          <w:tcPr>
            <w:tcW w:w="1720" w:type="dxa"/>
            <w:vAlign w:val="bottom"/>
          </w:tcPr>
          <w:p>
            <w:pPr>
              <w:spacing w:after="0"/>
              <w:rPr>
                <w:sz w:val="21"/>
                <w:szCs w:val="21"/>
                <w:color w:val="auto"/>
              </w:rPr>
            </w:pPr>
          </w:p>
        </w:tc>
        <w:tc>
          <w:tcPr>
            <w:tcW w:w="3060" w:type="dxa"/>
            <w:vAlign w:val="bottom"/>
          </w:tcPr>
          <w:p>
            <w:pPr>
              <w:jc w:val="center"/>
              <w:ind w:left="758"/>
              <w:spacing w:after="0"/>
              <w:rPr>
                <w:sz w:val="20"/>
                <w:szCs w:val="20"/>
                <w:color w:val="auto"/>
              </w:rPr>
            </w:pPr>
            <w:r>
              <w:rPr>
                <w:rFonts w:ascii="Arial" w:cs="Arial" w:eastAsia="Arial" w:hAnsi="Arial"/>
                <w:sz w:val="18"/>
                <w:szCs w:val="18"/>
                <w:b w:val="1"/>
                <w:bCs w:val="1"/>
                <w:color w:val="auto"/>
                <w:w w:val="89"/>
              </w:rPr>
              <w:t>New York, New York 10005</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90"/>
              </w:rPr>
              <w:t>(353) 1-291-2000</w:t>
            </w:r>
          </w:p>
        </w:tc>
        <w:tc>
          <w:tcPr>
            <w:tcW w:w="4780" w:type="dxa"/>
            <w:vAlign w:val="bottom"/>
            <w:gridSpan w:val="2"/>
          </w:tcPr>
          <w:p>
            <w:pPr>
              <w:jc w:val="center"/>
              <w:ind w:left="2472"/>
              <w:spacing w:after="0"/>
              <w:rPr>
                <w:sz w:val="20"/>
                <w:szCs w:val="20"/>
                <w:color w:val="auto"/>
              </w:rPr>
            </w:pPr>
            <w:r>
              <w:rPr>
                <w:rFonts w:ascii="Arial" w:cs="Arial" w:eastAsia="Arial" w:hAnsi="Arial"/>
                <w:sz w:val="18"/>
                <w:szCs w:val="18"/>
                <w:b w:val="1"/>
                <w:bCs w:val="1"/>
                <w:color w:val="auto"/>
                <w:w w:val="89"/>
              </w:rPr>
              <w:t>(212) 701-3000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378460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28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81" w:lineRule="exact"/>
        <w:rPr>
          <w:sz w:val="24"/>
          <w:szCs w:val="24"/>
          <w:color w:val="auto"/>
        </w:rPr>
      </w:pPr>
    </w:p>
    <w:p>
      <w:pPr>
        <w:ind w:left="32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75"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213" w:lineRule="exact"/>
        <w:rPr>
          <w:sz w:val="24"/>
          <w:szCs w:val="24"/>
          <w:color w:val="auto"/>
        </w:rPr>
      </w:pPr>
    </w:p>
    <w:p>
      <w:pPr>
        <w:ind w:right="160" w:firstLine="270"/>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213" w:lineRule="exact"/>
        <w:rPr>
          <w:sz w:val="24"/>
          <w:szCs w:val="24"/>
          <w:color w:val="auto"/>
        </w:rPr>
      </w:pPr>
    </w:p>
    <w:p>
      <w:pPr>
        <w:ind w:right="600" w:firstLine="314"/>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13" w:lineRule="exact"/>
        <w:rPr>
          <w:sz w:val="24"/>
          <w:szCs w:val="24"/>
          <w:color w:val="auto"/>
        </w:rPr>
      </w:pPr>
    </w:p>
    <w:p>
      <w:pPr>
        <w:ind w:firstLine="314"/>
        <w:spacing w:after="0" w:line="268" w:lineRule="auto"/>
        <w:rPr>
          <w:sz w:val="20"/>
          <w:szCs w:val="20"/>
          <w:color w:val="auto"/>
        </w:rPr>
      </w:pPr>
      <w:r>
        <w:rPr>
          <w:rFonts w:ascii="Arial" w:cs="Arial" w:eastAsia="Arial" w:hAnsi="Arial"/>
          <w:sz w:val="18"/>
          <w:szCs w:val="18"/>
          <w:color w:val="auto"/>
        </w:rPr>
        <w:t>If this Form is a registration statement pursuant to General Instruction I.C. or a post-effective amendment thereto that shall become effective upon filing with the Commission pursuant to Rule 462(e) under the Securities Act, check the following box: [ ]</w:t>
      </w:r>
    </w:p>
    <w:p>
      <w:pPr>
        <w:spacing w:after="0" w:line="213" w:lineRule="exact"/>
        <w:rPr>
          <w:sz w:val="24"/>
          <w:szCs w:val="24"/>
          <w:color w:val="auto"/>
        </w:rPr>
      </w:pPr>
    </w:p>
    <w:p>
      <w:pPr>
        <w:ind w:right="560" w:firstLine="270"/>
        <w:spacing w:after="0" w:line="268"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I.C. filed to register additional securities or additional classes of securities pursuant to Rule 413(b) under the Securities Act, check the following box: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809625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360"/>
          </w:cols>
          <w:pgMar w:left="240" w:top="476" w:right="2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left="1780" w:right="1760"/>
        <w:spacing w:after="0" w:line="27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360"/>
          </w:cols>
          <w:pgMar w:left="240" w:top="476" w:right="29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2850515</wp:posOffset>
            </wp:positionH>
            <wp:positionV relativeFrom="page">
              <wp:posOffset>1135380</wp:posOffset>
            </wp:positionV>
            <wp:extent cx="186118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611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000"/>
        <w:spacing w:after="0"/>
        <w:rPr>
          <w:sz w:val="20"/>
          <w:szCs w:val="20"/>
          <w:color w:val="auto"/>
        </w:rPr>
      </w:pPr>
      <w:r>
        <w:rPr>
          <w:rFonts w:ascii="Arial" w:cs="Arial" w:eastAsia="Arial" w:hAnsi="Arial"/>
          <w:sz w:val="32"/>
          <w:szCs w:val="32"/>
          <w:b w:val="1"/>
          <w:bCs w:val="1"/>
          <w:color w:val="auto"/>
        </w:rPr>
        <w:t>ICON plc</w:t>
      </w:r>
    </w:p>
    <w:p>
      <w:pPr>
        <w:spacing w:after="0" w:line="4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1,096,054 American Depositary Shares</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Representing 1,096,054 Ordinary Shares</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Offered by ICON plc From Time to Time</w:t>
      </w:r>
    </w:p>
    <w:p>
      <w:pPr>
        <w:spacing w:after="0" w:line="21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1,500,000 American Depositary Shares</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Representing 1,500,000 Ordinary Shares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Offered by the Selling Shareholders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144145</wp:posOffset>
            </wp:positionV>
            <wp:extent cx="1089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340" w:firstLine="270"/>
        <w:spacing w:after="0" w:line="268"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using the “shelf” registration or continuous offering process. This means:</w:t>
      </w:r>
    </w:p>
    <w:p>
      <w:pPr>
        <w:spacing w:after="0" w:line="213" w:lineRule="exact"/>
        <w:rPr>
          <w:sz w:val="20"/>
          <w:szCs w:val="20"/>
          <w:color w:val="auto"/>
        </w:rPr>
      </w:pPr>
    </w:p>
    <w:p>
      <w:pPr>
        <w:ind w:left="540"/>
        <w:spacing w:after="0" w:line="342" w:lineRule="auto"/>
        <w:rPr>
          <w:sz w:val="20"/>
          <w:szCs w:val="20"/>
          <w:color w:val="auto"/>
        </w:rPr>
      </w:pPr>
      <w:r>
        <w:rPr>
          <w:rFonts w:ascii="Arial" w:cs="Arial" w:eastAsia="Arial" w:hAnsi="Arial"/>
          <w:sz w:val="16"/>
          <w:szCs w:val="16"/>
          <w:color w:val="auto"/>
        </w:rPr>
        <w:t>We may offer and sell up to 1,096,054 ordinary shares, par value €0.06 per share, in the form of American Depositary Shares, or ADSs, covered by this prospectus from time to time in one our more offerings, which may be through one or more underwriters, dealers and agents, or directly to the purchasers. The names of any underwriters, dealers or agents, if any, will be included in a supplement 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-463550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left="540" w:right="180"/>
        <w:spacing w:after="0" w:line="290" w:lineRule="auto"/>
        <w:rPr>
          <w:sz w:val="20"/>
          <w:szCs w:val="20"/>
          <w:color w:val="auto"/>
        </w:rPr>
      </w:pPr>
      <w:r>
        <w:rPr>
          <w:rFonts w:ascii="Arial" w:cs="Arial" w:eastAsia="Arial" w:hAnsi="Arial"/>
          <w:sz w:val="18"/>
          <w:szCs w:val="18"/>
          <w:color w:val="auto"/>
        </w:rPr>
        <w:t>The selling shareholders identified on page 14 of this prospectus may also use this prospectus to offer and sell up to 1,500,000 of our ordinary shares in the form of ADSs from time to time in one or more offerings. Should selling shareholders sell their securities, we will not receive any of the proceeds from such sale;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-440055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2" w:lineRule="exact"/>
        <w:rPr>
          <w:sz w:val="20"/>
          <w:szCs w:val="20"/>
          <w:color w:val="auto"/>
        </w:rPr>
      </w:pPr>
    </w:p>
    <w:p>
      <w:pPr>
        <w:ind w:left="540" w:right="340"/>
        <w:spacing w:after="0" w:line="333" w:lineRule="auto"/>
        <w:rPr>
          <w:sz w:val="20"/>
          <w:szCs w:val="20"/>
          <w:color w:val="auto"/>
        </w:rPr>
      </w:pPr>
      <w:r>
        <w:rPr>
          <w:rFonts w:ascii="Arial" w:cs="Arial" w:eastAsia="Arial" w:hAnsi="Arial"/>
          <w:sz w:val="16"/>
          <w:szCs w:val="16"/>
          <w:color w:val="auto"/>
        </w:rPr>
        <w:t>We will provide a prospectus supplement each time we and/or the selling shareholders sell the ADSs that will provide specific information about the terms of the offering and that also may add to, update or change information contained in this prospectus. The prospectus supplement may also incorporate be reference certain of our other filings with the Securities and Exchange Commission. You should carefully read this prospectus and any future prospectus supplement (including any of our filings incorporated by reference therein) before you invest in any of our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-612140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May 3, 2006, the last reported sale price of our ADSs on The Nasdaq National Market was $55.03 per ADS.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SEE “RISK FACTORS” REFERRED TO ON PAGE 3 TO READ ABOUT FACTORS YOU SHOULD CONSIDER BEFORE BUYING THE ADSs.</w:t>
      </w:r>
    </w:p>
    <w:p>
      <w:pPr>
        <w:spacing w:after="0" w:line="275"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The information in this prospectus is not complete and may be changed. We and the selling shareholders may not sell the shares offered hereby until the registration statement filed with the Securities and Exchange Commission has been declared effective. This prospectus is not an offer to sell these securities, nor is it a solicitation of an offer to buy these securities in any state where the offer and sale is not permitted.</w:t>
      </w:r>
    </w:p>
    <w:p>
      <w:pPr>
        <w:spacing w:after="0" w:line="215" w:lineRule="exact"/>
        <w:rPr>
          <w:sz w:val="20"/>
          <w:szCs w:val="20"/>
          <w:color w:val="auto"/>
        </w:rPr>
      </w:pPr>
    </w:p>
    <w:p>
      <w:pPr>
        <w:ind w:right="60" w:firstLine="27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ICON plc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Leopardstown, Dublin 18</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(353) 1-291-2000</w:t>
      </w:r>
    </w:p>
    <w:p>
      <w:pPr>
        <w:sectPr>
          <w:pgSz w:w="11900" w:h="16838" w:orient="portrait"/>
          <w:cols w:equalWidth="0" w:num="1">
            <w:col w:w="11380"/>
          </w:cols>
          <w:pgMar w:left="240" w:top="14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date of this prospectus is May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8740" w:type="dxa"/>
            <w:vAlign w:val="bottom"/>
          </w:tcPr>
          <w:p>
            <w:pPr>
              <w:ind w:left="4820"/>
              <w:spacing w:after="0"/>
              <w:rPr>
                <w:sz w:val="20"/>
                <w:szCs w:val="20"/>
                <w:color w:val="auto"/>
              </w:rPr>
            </w:pPr>
            <w:r>
              <w:rPr>
                <w:rFonts w:ascii="Arial" w:cs="Arial" w:eastAsia="Arial" w:hAnsi="Arial"/>
                <w:sz w:val="18"/>
                <w:szCs w:val="18"/>
                <w:color w:val="auto"/>
              </w:rPr>
              <w:t>TABLE OF CONTENTS</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1"/>
        </w:trPr>
        <w:tc>
          <w:tcPr>
            <w:tcW w:w="8740" w:type="dxa"/>
            <w:vAlign w:val="bottom"/>
          </w:tcPr>
          <w:p>
            <w:pPr>
              <w:spacing w:after="0"/>
              <w:rPr>
                <w:sz w:val="24"/>
                <w:szCs w:val="24"/>
                <w:color w:val="auto"/>
              </w:rPr>
            </w:pPr>
          </w:p>
        </w:tc>
        <w:tc>
          <w:tcPr>
            <w:tcW w:w="2480" w:type="dxa"/>
            <w:vAlign w:val="bottom"/>
            <w:gridSpan w:val="2"/>
          </w:tcPr>
          <w:p>
            <w:pPr>
              <w:ind w:left="2140"/>
              <w:spacing w:after="0"/>
              <w:rPr>
                <w:sz w:val="20"/>
                <w:szCs w:val="20"/>
                <w:color w:val="auto"/>
              </w:rPr>
            </w:pPr>
            <w:r>
              <w:rPr>
                <w:rFonts w:ascii="Arial" w:cs="Arial" w:eastAsia="Arial" w:hAnsi="Arial"/>
                <w:sz w:val="18"/>
                <w:szCs w:val="18"/>
                <w:color w:val="auto"/>
                <w:w w:val="76"/>
              </w:rPr>
              <w:t>Page</w:t>
            </w:r>
          </w:p>
        </w:tc>
      </w:tr>
      <w:tr>
        <w:trPr>
          <w:trHeight w:val="505"/>
        </w:trPr>
        <w:tc>
          <w:tcPr>
            <w:tcW w:w="8740" w:type="dxa"/>
            <w:vAlign w:val="bottom"/>
          </w:tcPr>
          <w:p>
            <w:pPr>
              <w:spacing w:after="0"/>
              <w:rPr>
                <w:sz w:val="20"/>
                <w:szCs w:val="20"/>
                <w:color w:val="auto"/>
              </w:rPr>
            </w:pPr>
            <w:r>
              <w:rPr>
                <w:rFonts w:ascii="Arial" w:cs="Arial" w:eastAsia="Arial" w:hAnsi="Arial"/>
                <w:sz w:val="18"/>
                <w:szCs w:val="18"/>
                <w:color w:val="auto"/>
              </w:rPr>
              <w:t>Summary</w:t>
            </w:r>
          </w:p>
        </w:tc>
        <w:tc>
          <w:tcPr>
            <w:tcW w:w="2140" w:type="dxa"/>
            <w:vAlign w:val="bottom"/>
          </w:tcPr>
          <w:p>
            <w:pPr>
              <w:spacing w:after="0"/>
              <w:rPr>
                <w:sz w:val="24"/>
                <w:szCs w:val="24"/>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Risk Factors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3</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Disclosure Regarding Forward Looking Statements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9</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Use of Proceeds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10</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Capitalization</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11</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Price Range of ADSs and Dividend Policy</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12</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Selling Shareholders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14</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U.S. Federal Income Tax Considerations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15</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Irish Taxation Considerations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17</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Plan of Distribution</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22</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Exchange Controls and Other Limitations</w:t>
            </w:r>
          </w:p>
        </w:tc>
        <w:tc>
          <w:tcPr>
            <w:tcW w:w="21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8740" w:type="dxa"/>
            <w:vAlign w:val="bottom"/>
          </w:tcPr>
          <w:p>
            <w:pPr>
              <w:ind w:left="500"/>
              <w:spacing w:after="0"/>
              <w:rPr>
                <w:sz w:val="20"/>
                <w:szCs w:val="20"/>
                <w:color w:val="auto"/>
              </w:rPr>
            </w:pPr>
            <w:r>
              <w:rPr>
                <w:rFonts w:ascii="Arial" w:cs="Arial" w:eastAsia="Arial" w:hAnsi="Arial"/>
                <w:sz w:val="18"/>
                <w:szCs w:val="18"/>
                <w:color w:val="auto"/>
              </w:rPr>
              <w:t>Affecting Security Holders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24</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Validity of the Ordinary Shares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24</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Experts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24</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Expenses of Issuance and Distribution</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25</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Enforceability of Civil Liabilities Provisions of Federal Securities Laws Against Foreign</w:t>
            </w:r>
          </w:p>
        </w:tc>
        <w:tc>
          <w:tcPr>
            <w:tcW w:w="21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8740" w:type="dxa"/>
            <w:vAlign w:val="bottom"/>
          </w:tcPr>
          <w:p>
            <w:pPr>
              <w:ind w:left="500"/>
              <w:spacing w:after="0"/>
              <w:rPr>
                <w:sz w:val="20"/>
                <w:szCs w:val="20"/>
                <w:color w:val="auto"/>
              </w:rPr>
            </w:pPr>
            <w:r>
              <w:rPr>
                <w:rFonts w:ascii="Arial" w:cs="Arial" w:eastAsia="Arial" w:hAnsi="Arial"/>
                <w:sz w:val="18"/>
                <w:szCs w:val="18"/>
                <w:color w:val="auto"/>
              </w:rPr>
              <w:t>Persons; Shareholder Rights Under Irish Law</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25</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Additional Information</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26</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Incorporation of Documents by Reference</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27</w:t>
            </w:r>
          </w:p>
        </w:tc>
      </w:tr>
    </w:tbl>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833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833745"/>
                    </a:xfrm>
                    <a:prstGeom prst="rect">
                      <a:avLst/>
                    </a:prstGeom>
                    <a:noFill/>
                  </pic:spPr>
                </pic:pic>
              </a:graphicData>
            </a:graphic>
          </wp:anchor>
        </w:drawing>
        <w:t>SUMMARY</w:t>
      </w:r>
    </w:p>
    <w:p>
      <w:pPr>
        <w:spacing w:after="0" w:line="258"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i w:val="1"/>
          <w:iCs w:val="1"/>
          <w:color w:val="auto"/>
        </w:rPr>
        <w:t>This summary highlights information about us and the terms of this offering. Because it is a summary, it does not contain all of the information that may be important to you in deciding whether to purchase ADSs. You should read carefully the entire prospectus and the documents that we have filed with SEC that are incorporated or deemed to be incorporated by reference prior to deciding whether to purchase ADSs. In particular, you should read carefully the section titled “Risk Factors” and the financial statements and the notes relating to those statements included elsewhere in this prospectus and the documents incorporated or deemed incorporated by reference. In this prospectus, “ICON”, the “Company”, “we”, “us” and “our” refer to ICON plc, a public limited company organized under the laws of Ireland, and its consolidated subsidiaries.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ICON</w:t>
      </w:r>
    </w:p>
    <w:p>
      <w:pPr>
        <w:spacing w:after="0" w:line="258" w:lineRule="exact"/>
        <w:rPr>
          <w:sz w:val="20"/>
          <w:szCs w:val="20"/>
          <w:color w:val="auto"/>
        </w:rPr>
      </w:pPr>
    </w:p>
    <w:p>
      <w:pPr>
        <w:ind w:right="120" w:firstLine="270"/>
        <w:spacing w:after="0" w:line="290"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December 31, 2005, we had approximately 3,050 employees and operations in 41 locations in 27 countries, including the United States and major markets in Europe and the rest of the world, or Rest of World. For the fiscal year ended December 31, 2005, we derived approximately 58.6%, 33.7% and 7.7% of our net revenue in the United States, Europe and Rest of World, respectively.</w:t>
      </w:r>
    </w:p>
    <w:p>
      <w:pPr>
        <w:spacing w:after="0" w:line="199" w:lineRule="exact"/>
        <w:rPr>
          <w:sz w:val="20"/>
          <w:szCs w:val="20"/>
          <w:color w:val="auto"/>
        </w:rPr>
      </w:pPr>
    </w:p>
    <w:p>
      <w:pPr>
        <w:ind w:right="80" w:firstLine="270"/>
        <w:spacing w:after="0" w:line="332" w:lineRule="auto"/>
        <w:rPr>
          <w:sz w:val="20"/>
          <w:szCs w:val="20"/>
          <w:color w:val="auto"/>
        </w:rPr>
      </w:pPr>
      <w:r>
        <w:rPr>
          <w:rFonts w:ascii="Arial" w:cs="Arial" w:eastAsia="Arial" w:hAnsi="Arial"/>
          <w:sz w:val="16"/>
          <w:szCs w:val="16"/>
          <w:color w:val="auto"/>
        </w:rPr>
        <w:t>Headquartered in Dublin, Ireland, we began operations in 1990 and have expanded our business through internal growth and strategic acquisitions. In 2005 revenue was earned from over 300 clients, including all of the top 20 pharmaceutical companies, as ranked by 2004 revenues.</w:t>
      </w:r>
    </w:p>
    <w:p>
      <w:pPr>
        <w:spacing w:after="0" w:line="166"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In executing clinical trials, we utilize an operating model based on a “dedicated team approach” in which a team of full-time clinical professionals, primarily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20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Since inception, we have invested significantly in developing and maintaining a quality system that supports and reinforces our culture of customer focus, client service and high quality output. We became ISO 9002 accredited in 1994 and we have continued to undergo several quality systems surveillance audits each year in order to maintain global registration. In 2003 we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Fiscal Year End</w:t>
      </w:r>
    </w:p>
    <w:p>
      <w:pPr>
        <w:spacing w:after="0" w:line="252"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color w:val="auto"/>
        </w:rPr>
        <w:t>On July 27, 2005 our Board of Directors approved a change of our fiscal year end from a twelve-month period ending on May 31 to a twelve-month period ending on December 31. We made this change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320" w:top="422" w:right="319" w:bottom="1440" w:gutter="0" w:footer="0" w:header="0"/>
        </w:sectPr>
      </w:pPr>
    </w:p>
    <w:bookmarkStart w:id="4" w:name="page5"/>
    <w:bookmarkEnd w:id="4"/>
    <w:p>
      <w:pPr>
        <w:jc w:val="both"/>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3115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115310"/>
                    </a:xfrm>
                    <a:prstGeom prst="rect">
                      <a:avLst/>
                    </a:prstGeom>
                    <a:noFill/>
                  </pic:spPr>
                </pic:pic>
              </a:graphicData>
            </a:graphic>
          </wp:anchor>
        </w:drawing>
        <w:t>in order to align our fiscal year end with the majority of other contract research organizations. As a requirement of this change, we reported results for the seven-month period from June 1, 2005 to December 31, 2005 as a separate transition period in a Transition Report filed on Form 20-F. Going forward, our fiscal quarters will end on the last day of March, June, September and December of each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Purchasing Our ADSs</w:t>
      </w:r>
    </w:p>
    <w:p>
      <w:pPr>
        <w:spacing w:after="0" w:line="258"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Before you purchase our ADSs, you should be aware that there are various risks related to, among other things: our dependence on the continued outsourcing of research and development by the pharmaceutical, biotechnology and medical device industries; our limited number of clients; clients discontinuing use of services or cancellations or discontinuance of projects; competition with larger companies and research institutions; quarterly results fluctuations; continued losses by our central laboratory segment; dependence on long-term fixed-fee contracts; our ability to attract or retain qualified staff; failure to comply with regulatory authorities; exchange rate fluctuations; potential liability claims; loss of business opportunities as a result of health care reform or changes in the regulatory environment; our failure to successfully develop and market or acquire new services; our reliance on third parties for important services; ongoing disruptions of our business caused by acquisitions we may make in the future; fluctuations in the stock market or general economic conditions; difficulty enforcing U.S. judgments against us; and the determination that we are a Passive Foreign Investment Company.</w:t>
      </w:r>
    </w:p>
    <w:p>
      <w:pPr>
        <w:spacing w:after="0" w:line="321" w:lineRule="exact"/>
        <w:rPr>
          <w:sz w:val="20"/>
          <w:szCs w:val="20"/>
          <w:color w:val="auto"/>
        </w:rPr>
      </w:pPr>
    </w:p>
    <w:p>
      <w:pPr>
        <w:ind w:right="280" w:firstLine="270"/>
        <w:spacing w:after="0" w:line="268" w:lineRule="auto"/>
        <w:rPr>
          <w:sz w:val="20"/>
          <w:szCs w:val="20"/>
          <w:color w:val="auto"/>
        </w:rPr>
      </w:pPr>
      <w:r>
        <w:rPr>
          <w:rFonts w:ascii="Arial" w:cs="Arial" w:eastAsia="Arial" w:hAnsi="Arial"/>
          <w:sz w:val="18"/>
          <w:szCs w:val="18"/>
          <w:color w:val="auto"/>
        </w:rPr>
        <w:t>Our principal executive offices are located in South County Business Park, Leopardstown, Dublin 18, Ireland and our telephone number is (353) 1-291-2000. Our principal offices in the United States are located at 212 Church Road, North Wales, PA 19454.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5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i w:val="1"/>
          <w:iCs w:val="1"/>
          <w:color w:val="auto"/>
        </w:rPr>
        <w:t>If you purchase our ADSs, you will take on a financial risk. In deciding whether to invest, you should carefully consider the following factors, the other information contained in this prospectus, including the prospectus supplement attached hereto, and the additional information in our reports and other documents on file with the SEC that are incorporated herein by reference</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275" w:lineRule="exact"/>
        <w:rPr>
          <w:sz w:val="20"/>
          <w:szCs w:val="20"/>
          <w:color w:val="auto"/>
        </w:rPr>
      </w:pPr>
    </w:p>
    <w:p>
      <w:pPr>
        <w:ind w:right="20" w:firstLine="270"/>
        <w:spacing w:after="0" w:line="253"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clients and a loss of, or significant decrease in, business from them could affect our business.</w:t>
      </w:r>
    </w:p>
    <w:p>
      <w:pPr>
        <w:spacing w:after="0" w:line="252"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We have in the past and may in the future derive a significant portion of our net revenue from a relatively limited number of clients. During the transition period ended December 31, 2005, 39% of our net revenue was derived from our top five clients. In the transition period, no client contributed more then 10% of net revenues. During the fiscal year ended May 31, 2005, 43% of our net revenue was derived from our top five clients. In the fiscal year ended May 31, 2005, 12% of our net revenue was derived from Astra Zeneca plc, no other client contributed more then 10% of net revenues. During the fiscal year ended May 31, 2004, 40% of our net revenue was derived from our top five clients. In the fiscal year ended May 31, 2004, 17% of our net revenue was from Astra Zeneca plc, no other client contributed more then 10% of net revenues.</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our clients discontinue using our services, or cancel or discontinue projects, our revenue will be adversely affected and we may not receive their business in the future or may not be able to attract new clients.</w:t>
      </w:r>
    </w:p>
    <w:p>
      <w:pPr>
        <w:spacing w:after="0" w:line="213" w:lineRule="exact"/>
        <w:rPr>
          <w:sz w:val="20"/>
          <w:szCs w:val="20"/>
          <w:color w:val="auto"/>
        </w:rPr>
      </w:pPr>
    </w:p>
    <w:p>
      <w:pPr>
        <w:jc w:val="both"/>
        <w:ind w:right="240" w:firstLine="270"/>
        <w:spacing w:after="0" w:line="259"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failure of products being tested to satisfy safety or efficacy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unexpected or undesired clinical results of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decision that a particular study is no longer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left="540"/>
        <w:spacing w:after="0"/>
        <w:rPr>
          <w:sz w:val="20"/>
          <w:szCs w:val="20"/>
          <w:color w:val="auto"/>
        </w:rPr>
      </w:pPr>
      <w:r>
        <w:rPr>
          <w:rFonts w:ascii="Arial" w:cs="Arial" w:eastAsia="Arial" w:hAnsi="Arial"/>
          <w:sz w:val="18"/>
          <w:szCs w:val="18"/>
          <w:color w:val="auto"/>
        </w:rPr>
        <w:t>poor project performance, insufficient patient enrollment or investigator recruitment;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production problems resulting in shortages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166" w:lineRule="exact"/>
        <w:rPr>
          <w:sz w:val="20"/>
          <w:szCs w:val="20"/>
          <w:color w:val="auto"/>
        </w:rPr>
      </w:pPr>
    </w:p>
    <w:p>
      <w:pPr>
        <w:ind w:right="120" w:firstLine="270"/>
        <w:spacing w:after="0" w:line="253" w:lineRule="auto"/>
        <w:rPr>
          <w:sz w:val="20"/>
          <w:szCs w:val="20"/>
          <w:color w:val="auto"/>
        </w:rPr>
      </w:pPr>
      <w:r>
        <w:rPr>
          <w:rFonts w:ascii="Arial" w:cs="Arial" w:eastAsia="Arial" w:hAnsi="Arial"/>
          <w:sz w:val="18"/>
          <w:szCs w:val="18"/>
          <w:color w:val="auto"/>
        </w:rPr>
        <w:t>The market for CROs is highly competitive. We primarily compete against in-house departments of pharmaceutical companies and other CROs including Quintiles Transnational Corporation, Covance Inc., PAREXEL International Corporation, Kendle International Inc., Ingenix Inc. (United Health Group Incorporated), Omnicare Inc., PRA International Inc., MDS Inc., SFBC International Inc., Charles River Laboratories, Inc. and Pharmaceutical Product Development, Inc.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 Any of these factors may prevent us from getting the opportunity to bid on new projects or prevent us from being competitive in bidding on new contracts.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52" w:lineRule="exact"/>
        <w:rPr>
          <w:sz w:val="20"/>
          <w:szCs w:val="20"/>
          <w:color w:val="auto"/>
        </w:rPr>
      </w:pPr>
    </w:p>
    <w:p>
      <w:pPr>
        <w:ind w:right="140" w:firstLine="270"/>
        <w:spacing w:after="0" w:line="318" w:lineRule="auto"/>
        <w:rPr>
          <w:sz w:val="20"/>
          <w:szCs w:val="20"/>
          <w:color w:val="auto"/>
        </w:rPr>
      </w:pPr>
      <w:r>
        <w:rPr>
          <w:rFonts w:ascii="Arial" w:cs="Arial" w:eastAsia="Arial" w:hAnsi="Arial"/>
          <w:sz w:val="15"/>
          <w:szCs w:val="15"/>
          <w:color w:val="auto"/>
        </w:rPr>
        <w:t>Our results of operations in any quarter can fluctuate depending upon, among other things, the number and scope of ongoing client projects, the commencement, postponement, variation and cancellation or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Central Laboratory segment has been loss making and may continue to experience losses in the future.</w:t>
      </w:r>
    </w:p>
    <w:p>
      <w:pPr>
        <w:spacing w:after="0" w:line="252"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Our central laboratory has experienced a period of underperformance over the past number of years. To return this business segment to profitability we require continued strong levels of new business awards and economies of scale in the usage of both resources and lab inputs. If we do not achieve continued momentum in winning new business and if these economies are not attained, then our central laboratory may continue to make losses.</w:t>
      </w:r>
    </w:p>
    <w:p>
      <w:pPr>
        <w:spacing w:after="0" w:line="16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Approximately 85% of our net revenue is earned from long-term fixed-fee contracts. We would lose money in performing these contracts if the costs of performance exceed the fixed fees for these projects.</w:t>
      </w:r>
    </w:p>
    <w:p>
      <w:pPr>
        <w:spacing w:after="0" w:line="213" w:lineRule="exact"/>
        <w:rPr>
          <w:sz w:val="20"/>
          <w:szCs w:val="20"/>
          <w:color w:val="auto"/>
        </w:rPr>
      </w:pPr>
    </w:p>
    <w:p>
      <w:pPr>
        <w:ind w:right="240" w:firstLine="270"/>
        <w:spacing w:after="0" w:line="332" w:lineRule="auto"/>
        <w:rPr>
          <w:sz w:val="20"/>
          <w:szCs w:val="20"/>
          <w:color w:val="auto"/>
        </w:rPr>
      </w:pPr>
      <w:r>
        <w:rPr>
          <w:rFonts w:ascii="Arial" w:cs="Arial" w:eastAsia="Arial" w:hAnsi="Arial"/>
          <w:sz w:val="16"/>
          <w:szCs w:val="16"/>
          <w:color w:val="auto"/>
        </w:rPr>
        <w:t>Approximately 85%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58" w:right="239" w:bottom="1440" w:gutter="0" w:footer="0" w:header="0"/>
        </w:sectPr>
      </w:pPr>
    </w:p>
    <w:bookmarkStart w:id="7" w:name="page8"/>
    <w:bookmarkEnd w:id="7"/>
    <w:p>
      <w:pPr>
        <w:ind w:right="80"/>
        <w:spacing w:after="0" w:line="268" w:lineRule="auto"/>
        <w:rPr>
          <w:sz w:val="20"/>
          <w:szCs w:val="20"/>
          <w:color w:val="auto"/>
        </w:rPr>
      </w:pPr>
      <w:r>
        <w:rPr>
          <w:rFonts w:ascii="Arial" w:cs="Arial" w:eastAsia="Arial" w:hAnsi="Arial"/>
          <w:sz w:val="18"/>
          <w:szCs w:val="18"/>
          <w:color w:val="auto"/>
        </w:rPr>
        <w:t>tracts) if there are significant cost overruns or if there are unanticipated delays under these contracts, our business, financial condition and operating results could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52" w:lineRule="exact"/>
        <w:rPr>
          <w:sz w:val="20"/>
          <w:szCs w:val="20"/>
          <w:color w:val="auto"/>
        </w:rPr>
      </w:pPr>
    </w:p>
    <w:p>
      <w:pPr>
        <w:ind w:right="80" w:firstLine="270"/>
        <w:spacing w:after="0" w:line="298" w:lineRule="auto"/>
        <w:rPr>
          <w:sz w:val="20"/>
          <w:szCs w:val="20"/>
          <w:color w:val="auto"/>
        </w:rPr>
      </w:pPr>
      <w:r>
        <w:rPr>
          <w:rFonts w:ascii="Arial" w:cs="Arial" w:eastAsia="Arial" w:hAnsi="Arial"/>
          <w:sz w:val="16"/>
          <w:szCs w:val="16"/>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biotechnology and medical device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213"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termination of any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disqualification of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denial of the right to conduct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criminal penalties;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enforcement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52"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We derived approximately 41.4% of our consolidated net revenue in the transition period ending December 31, 2005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224" w:lineRule="exact"/>
        <w:rPr>
          <w:sz w:val="20"/>
          <w:szCs w:val="20"/>
          <w:color w:val="auto"/>
        </w:rPr>
      </w:pPr>
    </w:p>
    <w:p>
      <w:pPr>
        <w:ind w:right="320" w:firstLine="270"/>
        <w:spacing w:after="0" w:line="256" w:lineRule="auto"/>
        <w:rPr>
          <w:sz w:val="20"/>
          <w:szCs w:val="20"/>
          <w:color w:val="auto"/>
        </w:rPr>
      </w:pPr>
      <w:r>
        <w:rPr>
          <w:rFonts w:ascii="Arial" w:cs="Arial" w:eastAsia="Arial" w:hAnsi="Arial"/>
          <w:sz w:val="18"/>
          <w:szCs w:val="18"/>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claims brought against us could result in payment of substantial damages to plaintiffs and decrease our profitability.</w:t>
      </w:r>
    </w:p>
    <w:p>
      <w:pPr>
        <w:spacing w:after="0" w:line="252"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color w:val="auto"/>
        </w:rPr>
        <w:t>We contract with physicians who serve as investigators in conducting clinical trials to test new drugs on their patients. This testing creates the risk of liability for personal injury to or death of the pa-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ind w:right="180"/>
        <w:spacing w:after="0" w:line="259" w:lineRule="auto"/>
        <w:rPr>
          <w:sz w:val="20"/>
          <w:szCs w:val="20"/>
          <w:color w:val="auto"/>
        </w:rPr>
      </w:pPr>
      <w:r>
        <w:rPr>
          <w:rFonts w:ascii="Arial" w:cs="Arial" w:eastAsia="Arial" w:hAnsi="Arial"/>
          <w:sz w:val="18"/>
          <w:szCs w:val="18"/>
          <w:color w:val="auto"/>
        </w:rPr>
        <w:t>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221"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 and that of our employees.</w:t>
      </w:r>
    </w:p>
    <w:p>
      <w:pPr>
        <w:spacing w:after="0" w:line="221" w:lineRule="exact"/>
        <w:rPr>
          <w:sz w:val="20"/>
          <w:szCs w:val="20"/>
          <w:color w:val="auto"/>
        </w:rPr>
      </w:pPr>
    </w:p>
    <w:p>
      <w:pPr>
        <w:ind w:right="200" w:firstLine="270"/>
        <w:spacing w:after="0" w:line="306" w:lineRule="auto"/>
        <w:rPr>
          <w:sz w:val="20"/>
          <w:szCs w:val="20"/>
          <w:color w:val="auto"/>
        </w:rPr>
      </w:pPr>
      <w:r>
        <w:rPr>
          <w:rFonts w:ascii="Arial" w:cs="Arial" w:eastAsia="Arial" w:hAnsi="Arial"/>
          <w:sz w:val="16"/>
          <w:szCs w:val="16"/>
          <w:color w:val="auto"/>
        </w:rPr>
        <w:t>In addition, we maintain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52" w:lineRule="exact"/>
        <w:rPr>
          <w:sz w:val="20"/>
          <w:szCs w:val="20"/>
          <w:color w:val="auto"/>
        </w:rPr>
      </w:pPr>
    </w:p>
    <w:p>
      <w:pPr>
        <w:ind w:right="60" w:firstLine="270"/>
        <w:spacing w:after="0" w:line="256"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24"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For instance, in the past the U.S. Congress has entertained several comprehensive health care reform proposals. The proposals were generally intended to expand health care coverage for the uninsured and reduce the growth of total health care expenditures. While the U.S. Congress has not yet adopted any comprehensive reform proposals, members of Congress may raise similar proposals in the future. We are unable to predict the likelihood that health care reform proposals will be enacted into law.</w:t>
      </w:r>
    </w:p>
    <w:p>
      <w:pPr>
        <w:spacing w:after="0" w:line="224"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In addition to health 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52"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develop and market or acquire new services.</w:t>
      </w:r>
    </w:p>
    <w:p>
      <w:pPr>
        <w:spacing w:after="0" w:line="252"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We may seek to develop and market new services that complement or expand our existing business or expand our service offerings through acquisition. If we are unable to develop new services and/or create demand for those newly developed services, or expand our service offerings through acquisition, our future business, results of operations, financial condition, and cash flows could be adversely affected.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We rely on third parties for important services.</w:t>
      </w:r>
    </w:p>
    <w:p>
      <w:pPr>
        <w:spacing w:after="0" w:line="252" w:lineRule="exact"/>
        <w:rPr>
          <w:sz w:val="20"/>
          <w:szCs w:val="20"/>
          <w:color w:val="auto"/>
        </w:rPr>
      </w:pPr>
    </w:p>
    <w:p>
      <w:pPr>
        <w:ind w:right="400" w:firstLine="270"/>
        <w:spacing w:after="0" w:line="268" w:lineRule="auto"/>
        <w:rPr>
          <w:sz w:val="20"/>
          <w:szCs w:val="20"/>
          <w:color w:val="auto"/>
        </w:rPr>
      </w:pPr>
      <w:r>
        <w:rPr>
          <w:rFonts w:ascii="Arial" w:cs="Arial" w:eastAsia="Arial" w:hAnsi="Arial"/>
          <w:sz w:val="18"/>
          <w:szCs w:val="18"/>
          <w:color w:val="auto"/>
        </w:rPr>
        <w:t>We depend on third parties to provide us with services critical to our business. The failure of any of these third parties to adequately provide the needed services could have a material adverse effect on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acquisitions in the future, which may lead to disruptions to our ongoing business.</w:t>
      </w:r>
    </w:p>
    <w:p>
      <w:pPr>
        <w:spacing w:after="0" w:line="252" w:lineRule="exact"/>
        <w:rPr>
          <w:sz w:val="20"/>
          <w:szCs w:val="20"/>
          <w:color w:val="auto"/>
        </w:rPr>
      </w:pPr>
    </w:p>
    <w:p>
      <w:pPr>
        <w:ind w:right="320" w:firstLine="270"/>
        <w:spacing w:after="0" w:line="332" w:lineRule="auto"/>
        <w:rPr>
          <w:sz w:val="20"/>
          <w:szCs w:val="20"/>
          <w:color w:val="auto"/>
        </w:rPr>
      </w:pPr>
      <w:r>
        <w:rPr>
          <w:rFonts w:ascii="Arial" w:cs="Arial" w:eastAsia="Arial" w:hAnsi="Arial"/>
          <w:sz w:val="16"/>
          <w:szCs w:val="16"/>
          <w:color w:val="auto"/>
        </w:rPr>
        <w:t>We have made a number of acquisitions and will continue to review new acquisition opportunities. If we are unable to successfully integrate an acquired company, the acquisition could lead to disruptions to the business. The success of an acquisition will depend upon, among other things, our ability to:</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assimilate the operations and services or products of the acquired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integrate acquired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retain and motivate key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retain customers;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minimize the diversion of management’s attention from other business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right="580" w:firstLine="270"/>
        <w:spacing w:after="0" w:line="268" w:lineRule="auto"/>
        <w:rPr>
          <w:sz w:val="20"/>
          <w:szCs w:val="20"/>
          <w:color w:val="auto"/>
        </w:rPr>
      </w:pPr>
      <w:r>
        <w:rPr>
          <w:rFonts w:ascii="Arial" w:cs="Arial" w:eastAsia="Arial" w:hAnsi="Arial"/>
          <w:sz w:val="18"/>
          <w:szCs w:val="18"/>
          <w:color w:val="auto"/>
        </w:rPr>
        <w:t>Acquisitions of foreign companies may also involve additional risks, including assimilating differences in foreign business practices and overcoming language and cultural barriers.</w:t>
      </w:r>
    </w:p>
    <w:p>
      <w:pPr>
        <w:spacing w:after="0" w:line="213"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In the event that the operations of an acquired business do not meet our performance expectations, we may have to restructure the acquired business or write-off the value of some or all of the assets of the acquired business.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RISKS RELATED TO PURCHASING OUR ADSs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stock market or general economic conditions could negatively affect the market price of our ADSs.</w:t>
      </w:r>
    </w:p>
    <w:p>
      <w:pPr>
        <w:spacing w:after="0" w:line="252"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The market price of our ADSs, which are quoted on the Nasdaq National Market, and our ordinary shares, which are listed on the Official List of the Irish Stock Exchange, may be subject to significant fluctuations in response to variations in operating results from quarter to quarter, changes in earnings estimates by analysts, market conditions of the industry, prospects of healthcare reform, changes in government regulation, general economic conditions and ongoing geopolitical tensions. Furthermore, the stock market has experienced, and may further experience in the future, significant price and volume fluctuations unrelated to the operating performance of particular companies. These market fluctuations may have a material adverse effect on the market price of our ADSs and ordinary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for investors to enforce U.S. judgments against us.</w:t>
      </w:r>
    </w:p>
    <w:p>
      <w:pPr>
        <w:spacing w:after="0" w:line="252" w:lineRule="exact"/>
        <w:rPr>
          <w:sz w:val="20"/>
          <w:szCs w:val="20"/>
          <w:color w:val="auto"/>
        </w:rPr>
      </w:pPr>
    </w:p>
    <w:p>
      <w:pPr>
        <w:ind w:right="80" w:firstLine="270"/>
        <w:spacing w:after="0" w:line="298" w:lineRule="auto"/>
        <w:rPr>
          <w:sz w:val="20"/>
          <w:szCs w:val="20"/>
          <w:color w:val="auto"/>
        </w:rPr>
      </w:pPr>
      <w:r>
        <w:rPr>
          <w:rFonts w:ascii="Arial" w:cs="Arial" w:eastAsia="Arial" w:hAnsi="Arial"/>
          <w:sz w:val="16"/>
          <w:szCs w:val="16"/>
          <w:color w:val="auto"/>
        </w:rPr>
        <w:t>We are incorporated in the Republic of Ireland and many of our subsidiaries are organized outside of the United States. As a result, the principles of law that govern our shareholder rights, the validity of corporate procedures and other matters may be different from those that would apply if we were a U.S. company. For example, it is not certain whether an Irish court (i) would enforce judgments of U.S. courts based upon the civil liability provisions of applicable U.S. federal and state securities laws or (ii) would enforce, in original actions, liabilities against us or our subsidiaries based upon these laws.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were determined to be a Passive Foreign Investment Company, or PFIC, United States shareholders could suffer adverse tax consequences.</w:t>
      </w:r>
    </w:p>
    <w:p>
      <w:pPr>
        <w:spacing w:after="0" w:line="275"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 passive income or are held for the production of passive income is at least 50%. We believe that we are not currently a PFIC and, based on our management’s current projections of our future income and assets and the manner in which we currently intend to manage and conduct our business in the future, that we will not become a PFIC in the foreseeable future. However, the PFIC rules are complex and subject to some uncertainty (given the very limited amount of authority interpreting such rules) and, thus, there can be no assurance that we are not currently a PFIC or will not become one in the future. If we were treated as a PFIC for any taxable year in which a U.S. Holder held ordinary shares or ADSs, certain adverse consequences could apply, including a material increase in the amount of tax that the U.S. Holder would owe, an imposition of tax earlier than would otherwise be imposed, interest charges and additional tax form filing requirements. U.S. Holders should consult with their tax advisors as to the effect of these rules. For a discussion of the PFIC rules and other material U.S. federal income tax matters, see “U.S. Federal Income Tax Considerations.”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58"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in “Risk Factors” and elsewhere in this prospectus, as well as in our Transition Report on Form 20-F,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We undertake no obligation to update these statements or publicly release the results of any revisions to the forward-looking statements that we may make to reflect events or circumstances after the date of this prospectus or to reflect the occurrence of unanticipated events.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2" w:name="page13"/>
    <w:bookmarkEnd w:id="12"/>
    <w:p>
      <w:pPr>
        <w:jc w:val="center"/>
        <w:ind w:right="-439"/>
        <w:spacing w:after="0"/>
        <w:rPr>
          <w:sz w:val="20"/>
          <w:szCs w:val="20"/>
          <w:color w:val="auto"/>
        </w:rPr>
      </w:pPr>
      <w:r>
        <w:rPr>
          <w:rFonts w:ascii="Arial" w:cs="Arial" w:eastAsia="Arial" w:hAnsi="Arial"/>
          <w:sz w:val="18"/>
          <w:szCs w:val="18"/>
          <w:b w:val="1"/>
          <w:bCs w:val="1"/>
          <w:color w:val="auto"/>
        </w:rPr>
        <w:t>USE OF PROCEEDS</w:t>
      </w:r>
    </w:p>
    <w:p>
      <w:pPr>
        <w:spacing w:after="0" w:line="258"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We intend to use the net proceeds from any offering hereunder for general corporate purposes. The prospectus supplement issued in connection with any offering of ADSs by us will provide further detail about the use of the proceeds received therefrom.</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will not receive any proceeds from the sale of ADSs by the selling shareholders.</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as of December 31, 2005, our cash and cash equivalents, short-term investments, short-term debt and capitalization: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tcPr>
          <w:p>
            <w:pPr>
              <w:jc w:val="center"/>
              <w:ind w:right="692"/>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3"/>
        </w:trPr>
        <w:tc>
          <w:tcPr>
            <w:tcW w:w="9380" w:type="dxa"/>
            <w:vAlign w:val="bottom"/>
          </w:tcPr>
          <w:p>
            <w:pPr>
              <w:spacing w:after="0"/>
              <w:rPr>
                <w:sz w:val="21"/>
                <w:szCs w:val="21"/>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December 31, 2005</w:t>
            </w:r>
          </w:p>
        </w:tc>
        <w:tc>
          <w:tcPr>
            <w:tcW w:w="0" w:type="dxa"/>
            <w:vAlign w:val="bottom"/>
          </w:tcPr>
          <w:p>
            <w:pPr>
              <w:spacing w:after="0"/>
              <w:rPr>
                <w:sz w:val="1"/>
                <w:szCs w:val="1"/>
                <w:color w:val="auto"/>
              </w:rPr>
            </w:pPr>
          </w:p>
        </w:tc>
      </w:tr>
      <w:tr>
        <w:trPr>
          <w:trHeight w:val="243"/>
        </w:trPr>
        <w:tc>
          <w:tcPr>
            <w:tcW w:w="9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jc w:val="center"/>
              <w:ind w:right="692"/>
              <w:spacing w:after="0"/>
              <w:rPr>
                <w:sz w:val="20"/>
                <w:szCs w:val="20"/>
                <w:color w:val="auto"/>
              </w:rPr>
            </w:pPr>
            <w:r>
              <w:rPr>
                <w:rFonts w:ascii="Arial" w:cs="Arial" w:eastAsia="Arial" w:hAnsi="Arial"/>
                <w:sz w:val="18"/>
                <w:szCs w:val="18"/>
                <w:b w:val="1"/>
                <w:bCs w:val="1"/>
                <w:color w:val="auto"/>
                <w:w w:val="90"/>
              </w:rPr>
              <w:t>(1)</w:t>
            </w:r>
          </w:p>
        </w:tc>
        <w:tc>
          <w:tcPr>
            <w:tcW w:w="0" w:type="dxa"/>
            <w:vAlign w:val="bottom"/>
          </w:tcPr>
          <w:p>
            <w:pPr>
              <w:spacing w:after="0"/>
              <w:rPr>
                <w:sz w:val="1"/>
                <w:szCs w:val="1"/>
                <w:color w:val="auto"/>
              </w:rPr>
            </w:pPr>
          </w:p>
        </w:tc>
      </w:tr>
      <w:tr>
        <w:trPr>
          <w:trHeight w:val="110"/>
        </w:trPr>
        <w:tc>
          <w:tcPr>
            <w:tcW w:w="9380" w:type="dxa"/>
            <w:vAlign w:val="bottom"/>
          </w:tcPr>
          <w:p>
            <w:pPr>
              <w:spacing w:after="0"/>
              <w:rPr>
                <w:sz w:val="9"/>
                <w:szCs w:val="9"/>
                <w:color w:val="auto"/>
              </w:rPr>
            </w:pPr>
          </w:p>
        </w:tc>
        <w:tc>
          <w:tcPr>
            <w:tcW w:w="20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9380" w:type="dxa"/>
            <w:vAlign w:val="bottom"/>
          </w:tcPr>
          <w:p>
            <w:pPr>
              <w:spacing w:after="0"/>
              <w:rPr>
                <w:sz w:val="24"/>
                <w:szCs w:val="24"/>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486"/>
        </w:trPr>
        <w:tc>
          <w:tcPr>
            <w:tcW w:w="9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59,509</w:t>
            </w:r>
          </w:p>
        </w:tc>
        <w:tc>
          <w:tcPr>
            <w:tcW w:w="0" w:type="dxa"/>
            <w:vAlign w:val="bottom"/>
          </w:tcPr>
          <w:p>
            <w:pPr>
              <w:spacing w:after="0"/>
              <w:rPr>
                <w:sz w:val="1"/>
                <w:szCs w:val="1"/>
                <w:color w:val="auto"/>
              </w:rPr>
            </w:pPr>
          </w:p>
        </w:tc>
      </w:tr>
      <w:tr>
        <w:trPr>
          <w:trHeight w:val="120"/>
        </w:trPr>
        <w:tc>
          <w:tcPr>
            <w:tcW w:w="938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89"/>
        </w:trPr>
        <w:tc>
          <w:tcPr>
            <w:tcW w:w="9380" w:type="dxa"/>
            <w:vAlign w:val="bottom"/>
          </w:tcPr>
          <w:p>
            <w:pPr>
              <w:spacing w:after="0"/>
              <w:rPr>
                <w:sz w:val="20"/>
                <w:szCs w:val="20"/>
                <w:color w:val="auto"/>
              </w:rPr>
            </w:pPr>
            <w:r>
              <w:rPr>
                <w:rFonts w:ascii="Arial" w:cs="Arial" w:eastAsia="Arial" w:hAnsi="Arial"/>
                <w:sz w:val="18"/>
                <w:szCs w:val="18"/>
                <w:color w:val="auto"/>
              </w:rPr>
              <w:t>Short-term investments (available for sale)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22,809</w:t>
            </w:r>
          </w:p>
        </w:tc>
        <w:tc>
          <w:tcPr>
            <w:tcW w:w="0" w:type="dxa"/>
            <w:vAlign w:val="bottom"/>
          </w:tcPr>
          <w:p>
            <w:pPr>
              <w:spacing w:after="0"/>
              <w:rPr>
                <w:sz w:val="1"/>
                <w:szCs w:val="1"/>
                <w:color w:val="auto"/>
              </w:rPr>
            </w:pPr>
          </w:p>
        </w:tc>
      </w:tr>
      <w:tr>
        <w:trPr>
          <w:trHeight w:val="120"/>
        </w:trPr>
        <w:tc>
          <w:tcPr>
            <w:tcW w:w="938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7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89"/>
        </w:trPr>
        <w:tc>
          <w:tcPr>
            <w:tcW w:w="93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380" w:type="dxa"/>
            <w:vAlign w:val="bottom"/>
          </w:tcPr>
          <w:p>
            <w:pPr>
              <w:spacing w:after="0"/>
              <w:rPr>
                <w:sz w:val="20"/>
                <w:szCs w:val="20"/>
                <w:color w:val="auto"/>
              </w:rPr>
            </w:pPr>
            <w:r>
              <w:rPr>
                <w:rFonts w:ascii="Arial" w:cs="Arial" w:eastAsia="Arial" w:hAnsi="Arial"/>
                <w:sz w:val="18"/>
                <w:szCs w:val="18"/>
                <w:color w:val="auto"/>
              </w:rPr>
              <w:t>Ordinary shares, par value €0.06 per share: 20,000,000 shares authorized; 14,018,092 shares</w:t>
            </w:r>
          </w:p>
        </w:tc>
        <w:tc>
          <w:tcPr>
            <w:tcW w:w="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380" w:type="dxa"/>
            <w:vAlign w:val="bottom"/>
          </w:tcPr>
          <w:p>
            <w:pPr>
              <w:ind w:left="280"/>
              <w:spacing w:after="0"/>
              <w:rPr>
                <w:sz w:val="20"/>
                <w:szCs w:val="20"/>
                <w:color w:val="auto"/>
              </w:rPr>
            </w:pPr>
            <w:r>
              <w:rPr>
                <w:rFonts w:ascii="Arial" w:cs="Arial" w:eastAsia="Arial" w:hAnsi="Arial"/>
                <w:sz w:val="18"/>
                <w:szCs w:val="18"/>
                <w:color w:val="auto"/>
              </w:rPr>
              <w:t>issued and outstanding</w:t>
            </w:r>
          </w:p>
        </w:tc>
        <w:tc>
          <w:tcPr>
            <w:tcW w:w="780" w:type="dxa"/>
            <w:vAlign w:val="bottom"/>
          </w:tcPr>
          <w:p>
            <w:pPr>
              <w:spacing w:after="0"/>
              <w:rPr>
                <w:sz w:val="21"/>
                <w:szCs w:val="21"/>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43"/>
        </w:trPr>
        <w:tc>
          <w:tcPr>
            <w:tcW w:w="93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80" w:type="dxa"/>
            <w:vAlign w:val="bottom"/>
          </w:tcPr>
          <w:p>
            <w:pPr>
              <w:spacing w:after="0"/>
              <w:rPr>
                <w:sz w:val="21"/>
                <w:szCs w:val="21"/>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123,333</w:t>
            </w:r>
          </w:p>
        </w:tc>
        <w:tc>
          <w:tcPr>
            <w:tcW w:w="0" w:type="dxa"/>
            <w:vAlign w:val="bottom"/>
          </w:tcPr>
          <w:p>
            <w:pPr>
              <w:spacing w:after="0"/>
              <w:rPr>
                <w:sz w:val="1"/>
                <w:szCs w:val="1"/>
                <w:color w:val="auto"/>
              </w:rPr>
            </w:pPr>
          </w:p>
        </w:tc>
      </w:tr>
      <w:tr>
        <w:trPr>
          <w:trHeight w:val="243"/>
        </w:trPr>
        <w:tc>
          <w:tcPr>
            <w:tcW w:w="93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780" w:type="dxa"/>
            <w:vAlign w:val="bottom"/>
          </w:tcPr>
          <w:p>
            <w:pPr>
              <w:spacing w:after="0"/>
              <w:rPr>
                <w:sz w:val="21"/>
                <w:szCs w:val="21"/>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43"/>
        </w:trPr>
        <w:tc>
          <w:tcPr>
            <w:tcW w:w="9380" w:type="dxa"/>
            <w:vAlign w:val="bottom"/>
          </w:tcPr>
          <w:p>
            <w:pPr>
              <w:spacing w:after="0"/>
              <w:rPr>
                <w:sz w:val="20"/>
                <w:szCs w:val="20"/>
                <w:color w:val="auto"/>
              </w:rPr>
            </w:pPr>
            <w:r>
              <w:rPr>
                <w:rFonts w:ascii="Arial" w:cs="Arial" w:eastAsia="Arial" w:hAnsi="Arial"/>
                <w:sz w:val="18"/>
                <w:szCs w:val="18"/>
                <w:color w:val="auto"/>
              </w:rPr>
              <w:t>Merger reserve</w:t>
            </w:r>
          </w:p>
        </w:tc>
        <w:tc>
          <w:tcPr>
            <w:tcW w:w="780" w:type="dxa"/>
            <w:vAlign w:val="bottom"/>
          </w:tcPr>
          <w:p>
            <w:pPr>
              <w:spacing w:after="0"/>
              <w:rPr>
                <w:sz w:val="21"/>
                <w:szCs w:val="21"/>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9380" w:type="dxa"/>
            <w:vAlign w:val="bottom"/>
          </w:tcPr>
          <w:p>
            <w:pPr>
              <w:spacing w:after="0"/>
              <w:rPr>
                <w:sz w:val="20"/>
                <w:szCs w:val="20"/>
                <w:color w:val="auto"/>
              </w:rPr>
            </w:pPr>
            <w:r>
              <w:rPr>
                <w:rFonts w:ascii="Arial" w:cs="Arial" w:eastAsia="Arial" w:hAnsi="Arial"/>
                <w:sz w:val="18"/>
                <w:szCs w:val="18"/>
                <w:color w:val="auto"/>
              </w:rPr>
              <w:t>Retained earnings</w:t>
            </w:r>
          </w:p>
        </w:tc>
        <w:tc>
          <w:tcPr>
            <w:tcW w:w="780" w:type="dxa"/>
            <w:vAlign w:val="bottom"/>
          </w:tcPr>
          <w:p>
            <w:pPr>
              <w:spacing w:after="0"/>
              <w:rPr>
                <w:sz w:val="21"/>
                <w:szCs w:val="21"/>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113,776</w:t>
            </w:r>
          </w:p>
        </w:tc>
        <w:tc>
          <w:tcPr>
            <w:tcW w:w="0" w:type="dxa"/>
            <w:vAlign w:val="bottom"/>
          </w:tcPr>
          <w:p>
            <w:pPr>
              <w:spacing w:after="0"/>
              <w:rPr>
                <w:sz w:val="1"/>
                <w:szCs w:val="1"/>
                <w:color w:val="auto"/>
              </w:rPr>
            </w:pPr>
          </w:p>
        </w:tc>
      </w:tr>
      <w:tr>
        <w:trPr>
          <w:trHeight w:val="110"/>
        </w:trPr>
        <w:tc>
          <w:tcPr>
            <w:tcW w:w="93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93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78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241,558</w:t>
            </w:r>
          </w:p>
        </w:tc>
        <w:tc>
          <w:tcPr>
            <w:tcW w:w="0" w:type="dxa"/>
            <w:vAlign w:val="bottom"/>
          </w:tcPr>
          <w:p>
            <w:pPr>
              <w:spacing w:after="0"/>
              <w:rPr>
                <w:sz w:val="1"/>
                <w:szCs w:val="1"/>
                <w:color w:val="auto"/>
              </w:rPr>
            </w:pPr>
          </w:p>
        </w:tc>
      </w:tr>
      <w:tr>
        <w:trPr>
          <w:trHeight w:val="110"/>
        </w:trPr>
        <w:tc>
          <w:tcPr>
            <w:tcW w:w="93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9380" w:type="dxa"/>
            <w:vAlign w:val="bottom"/>
          </w:tcPr>
          <w:p>
            <w:pPr>
              <w:ind w:left="1580"/>
              <w:spacing w:after="0"/>
              <w:rPr>
                <w:sz w:val="20"/>
                <w:szCs w:val="20"/>
                <w:color w:val="auto"/>
              </w:rPr>
            </w:pPr>
            <w:r>
              <w:rPr>
                <w:rFonts w:ascii="Arial" w:cs="Arial" w:eastAsia="Arial" w:hAnsi="Arial"/>
                <w:sz w:val="18"/>
                <w:szCs w:val="18"/>
                <w:color w:val="auto"/>
              </w:rPr>
              <w:t>Total capitalization</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241,558</w:t>
            </w:r>
          </w:p>
        </w:tc>
        <w:tc>
          <w:tcPr>
            <w:tcW w:w="0" w:type="dxa"/>
            <w:vAlign w:val="bottom"/>
          </w:tcPr>
          <w:p>
            <w:pPr>
              <w:spacing w:after="0"/>
              <w:rPr>
                <w:sz w:val="1"/>
                <w:szCs w:val="1"/>
                <w:color w:val="auto"/>
              </w:rPr>
            </w:pPr>
          </w:p>
        </w:tc>
      </w:tr>
      <w:tr>
        <w:trPr>
          <w:trHeight w:val="120"/>
        </w:trPr>
        <w:tc>
          <w:tcPr>
            <w:tcW w:w="938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-2466975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-2466975</wp:posOffset>
            </wp:positionV>
            <wp:extent cx="215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-2466975</wp:posOffset>
            </wp:positionV>
            <wp:extent cx="215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-2466975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-2004060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-2004060</wp:posOffset>
            </wp:positionV>
            <wp:extent cx="21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-2004060</wp:posOffset>
            </wp:positionV>
            <wp:extent cx="215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-2004060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-14605</wp:posOffset>
            </wp:positionV>
            <wp:extent cx="215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215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7322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has been no material change since December 31, 2005 in the total capitalization of the Company.</w:t>
      </w:r>
    </w:p>
    <w:p>
      <w:pPr>
        <w:spacing w:after="0" w:line="15" w:lineRule="exact"/>
        <w:rPr>
          <w:rFonts w:ascii="Arial" w:cs="Arial" w:eastAsia="Arial" w:hAnsi="Arial"/>
          <w:sz w:val="18"/>
          <w:szCs w:val="18"/>
          <w:color w:val="auto"/>
        </w:rPr>
      </w:pPr>
    </w:p>
    <w:p>
      <w:pPr>
        <w:ind w:left="440" w:right="420" w:hanging="432"/>
        <w:spacing w:after="0" w:line="323"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a discussion of our indebtedness, see “Item 5. Operating and Financial Review and Prospects—Liquidity and Capital Resources” in our Transition Report on Form 20-F for the period ended December 31, 2005, which is incorporated by reference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PRICE RANGE OF ADSs AND DIVIDEND POLICY</w:t>
      </w:r>
    </w:p>
    <w:p>
      <w:pPr>
        <w:spacing w:after="0" w:line="258" w:lineRule="exact"/>
        <w:rPr>
          <w:sz w:val="20"/>
          <w:szCs w:val="20"/>
          <w:color w:val="auto"/>
        </w:rPr>
      </w:pPr>
    </w:p>
    <w:p>
      <w:pPr>
        <w:ind w:right="40" w:firstLine="270"/>
        <w:spacing w:after="0" w:line="254" w:lineRule="auto"/>
        <w:rPr>
          <w:sz w:val="20"/>
          <w:szCs w:val="20"/>
          <w:color w:val="auto"/>
        </w:rPr>
      </w:pPr>
      <w:r>
        <w:rPr>
          <w:rFonts w:ascii="Arial" w:cs="Arial" w:eastAsia="Arial" w:hAnsi="Arial"/>
          <w:sz w:val="18"/>
          <w:szCs w:val="18"/>
          <w:color w:val="auto"/>
        </w:rPr>
        <w:t>Our ADSs are traded on The Nasdaq National Market under the symbol “ICLR.” A total of 14,018,092 ordinary shares were issued and outstanding as of December 31, 2005, of which no ordinary shares were held by individual holders of record in the United States, excluding ordinary shares held in the form of ADRs, approximately 99% of which are held by holders of record in the United States. Because some of these ordinary shares were held by brokers or nominees, the number of holders of record or registered holders of ordinary shares in the United States is not representative of the number or residence of beneficial holders. The following table sets forth the high and low per share sale prices for our ADSs on The Nasdaq National Market for the periods indicated, as reported in published financial sources.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340" w:type="dxa"/>
            <w:vAlign w:val="bottom"/>
          </w:tcPr>
          <w:p>
            <w:pPr>
              <w:jc w:val="center"/>
              <w:ind w:right="1152"/>
              <w:spacing w:after="0"/>
              <w:rPr>
                <w:sz w:val="20"/>
                <w:szCs w:val="20"/>
                <w:color w:val="auto"/>
              </w:rPr>
            </w:pPr>
            <w:r>
              <w:rPr>
                <w:rFonts w:ascii="Arial" w:cs="Arial" w:eastAsia="Arial" w:hAnsi="Arial"/>
                <w:sz w:val="18"/>
                <w:szCs w:val="18"/>
                <w:b w:val="1"/>
                <w:bCs w:val="1"/>
                <w:color w:val="auto"/>
                <w:w w:val="87"/>
              </w:rPr>
              <w:t>ADSs</w:t>
            </w: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7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40" w:type="dxa"/>
            <w:vAlign w:val="bottom"/>
          </w:tcPr>
          <w:p>
            <w:pPr>
              <w:jc w:val="center"/>
              <w:ind w:right="1152"/>
              <w:spacing w:after="0"/>
              <w:rPr>
                <w:sz w:val="20"/>
                <w:szCs w:val="20"/>
                <w:color w:val="auto"/>
              </w:rPr>
            </w:pPr>
            <w:r>
              <w:rPr>
                <w:rFonts w:ascii="Arial" w:cs="Arial" w:eastAsia="Arial" w:hAnsi="Arial"/>
                <w:sz w:val="18"/>
                <w:szCs w:val="18"/>
                <w:b w:val="1"/>
                <w:bCs w:val="1"/>
                <w:color w:val="auto"/>
                <w:w w:val="89"/>
              </w:rPr>
              <w:t>Nasdaq</w:t>
            </w: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7900" w:type="dxa"/>
            <w:vAlign w:val="bottom"/>
          </w:tcPr>
          <w:p>
            <w:pPr>
              <w:spacing w:after="0"/>
              <w:rPr>
                <w:sz w:val="24"/>
                <w:szCs w:val="24"/>
                <w:color w:val="auto"/>
              </w:rPr>
            </w:pPr>
          </w:p>
        </w:tc>
        <w:tc>
          <w:tcPr>
            <w:tcW w:w="1180" w:type="dxa"/>
            <w:vAlign w:val="bottom"/>
          </w:tcPr>
          <w:p>
            <w:pPr>
              <w:jc w:val="center"/>
              <w:ind w:left="72"/>
              <w:spacing w:after="0"/>
              <w:rPr>
                <w:sz w:val="20"/>
                <w:szCs w:val="20"/>
                <w:color w:val="auto"/>
              </w:rPr>
            </w:pPr>
            <w:r>
              <w:rPr>
                <w:rFonts w:ascii="Arial" w:cs="Arial" w:eastAsia="Arial" w:hAnsi="Arial"/>
                <w:sz w:val="18"/>
                <w:szCs w:val="18"/>
                <w:b w:val="1"/>
                <w:bCs w:val="1"/>
                <w:color w:val="auto"/>
                <w:w w:val="94"/>
              </w:rPr>
              <w:t>High</w:t>
            </w:r>
          </w:p>
        </w:tc>
        <w:tc>
          <w:tcPr>
            <w:tcW w:w="2340" w:type="dxa"/>
            <w:vAlign w:val="bottom"/>
          </w:tcPr>
          <w:p>
            <w:pPr>
              <w:jc w:val="center"/>
              <w:ind w:left="772"/>
              <w:spacing w:after="0"/>
              <w:rPr>
                <w:sz w:val="20"/>
                <w:szCs w:val="20"/>
                <w:color w:val="auto"/>
              </w:rPr>
            </w:pPr>
            <w:r>
              <w:rPr>
                <w:rFonts w:ascii="Arial" w:cs="Arial" w:eastAsia="Arial" w:hAnsi="Arial"/>
                <w:sz w:val="18"/>
                <w:szCs w:val="18"/>
                <w:b w:val="1"/>
                <w:bCs w:val="1"/>
                <w:color w:val="auto"/>
                <w:w w:val="88"/>
              </w:rPr>
              <w:t>Low</w:t>
            </w:r>
          </w:p>
        </w:tc>
        <w:tc>
          <w:tcPr>
            <w:tcW w:w="0" w:type="dxa"/>
            <w:vAlign w:val="bottom"/>
          </w:tcPr>
          <w:p>
            <w:pPr>
              <w:spacing w:after="0"/>
              <w:rPr>
                <w:sz w:val="1"/>
                <w:szCs w:val="1"/>
                <w:color w:val="auto"/>
              </w:rPr>
            </w:pPr>
          </w:p>
        </w:tc>
      </w:tr>
      <w:tr>
        <w:trPr>
          <w:trHeight w:val="120"/>
        </w:trPr>
        <w:tc>
          <w:tcPr>
            <w:tcW w:w="7900" w:type="dxa"/>
            <w:vAlign w:val="bottom"/>
            <w:vMerge w:val="restart"/>
          </w:tcPr>
          <w:p>
            <w:pPr>
              <w:spacing w:after="0"/>
              <w:rPr>
                <w:sz w:val="20"/>
                <w:szCs w:val="20"/>
                <w:color w:val="auto"/>
              </w:rPr>
            </w:pPr>
            <w:r>
              <w:rPr>
                <w:rFonts w:ascii="Arial" w:cs="Arial" w:eastAsia="Arial" w:hAnsi="Arial"/>
                <w:sz w:val="18"/>
                <w:szCs w:val="18"/>
                <w:color w:val="auto"/>
              </w:rPr>
              <w:t>LAST SIX MONTHS:</w:t>
            </w:r>
          </w:p>
        </w:tc>
        <w:tc>
          <w:tcPr>
            <w:tcW w:w="118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79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April 2006</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$54.51</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$46.70</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March 2006</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$49.00</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$44.51</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February 2006</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$48.50</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$43.59</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January 2006</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$44.50</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$41.00</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December 2005</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$44.00</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$39.86</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November 2005</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$41.75</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$36.36</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4"/>
                <w:szCs w:val="24"/>
                <w:color w:val="auto"/>
              </w:rPr>
            </w:pP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$49.56</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$39.31</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LAST NINE QUARTERS</w:t>
            </w:r>
          </w:p>
        </w:tc>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FISCAL 2006:</w:t>
            </w:r>
          </w:p>
        </w:tc>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First Quarter</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$49.00</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$41.00</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TRANSITION PERIOD:</w:t>
            </w:r>
          </w:p>
        </w:tc>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Quarter ended November 30, 2005</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$50.49</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$36.36</w:t>
            </w: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Quarter ended August 31, 2005</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$41.89</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$30.10</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FISCAL 2005:</w:t>
            </w:r>
          </w:p>
        </w:tc>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Fourth Quarter</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$38.95</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$30.26</w:t>
            </w: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Third Quarter</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$38.99</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$33.78</w:t>
            </w: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Second Quarter</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$39.39</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$31.04</w:t>
            </w: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First Quarter</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$44.92</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$31.75</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FISCAL 2004:</w:t>
            </w:r>
          </w:p>
        </w:tc>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Fourth Quarter</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$43.49</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$29.74</w:t>
            </w: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Third Quarter</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$46.05</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$33.03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-6717030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-6717030</wp:posOffset>
            </wp:positionV>
            <wp:extent cx="215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-6717030</wp:posOffset>
            </wp:positionV>
            <wp:extent cx="215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-6717030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20" w:type="dxa"/>
            <w:vAlign w:val="bottom"/>
          </w:tcPr>
          <w:p>
            <w:pPr>
              <w:jc w:val="center"/>
              <w:ind w:right="1192"/>
              <w:spacing w:after="0"/>
              <w:rPr>
                <w:sz w:val="20"/>
                <w:szCs w:val="20"/>
                <w:color w:val="auto"/>
              </w:rPr>
            </w:pPr>
            <w:r>
              <w:rPr>
                <w:rFonts w:ascii="Arial" w:cs="Arial" w:eastAsia="Arial" w:hAnsi="Arial"/>
                <w:sz w:val="18"/>
                <w:szCs w:val="18"/>
                <w:b w:val="1"/>
                <w:bCs w:val="1"/>
                <w:color w:val="auto"/>
                <w:w w:val="87"/>
              </w:rPr>
              <w:t>ADSs</w:t>
            </w:r>
          </w:p>
        </w:tc>
        <w:tc>
          <w:tcPr>
            <w:tcW w:w="0" w:type="dxa"/>
            <w:vAlign w:val="bottom"/>
          </w:tcPr>
          <w:p>
            <w:pPr>
              <w:spacing w:after="0"/>
              <w:rPr>
                <w:sz w:val="1"/>
                <w:szCs w:val="1"/>
                <w:color w:val="auto"/>
              </w:rPr>
            </w:pPr>
          </w:p>
        </w:tc>
      </w:tr>
      <w:tr>
        <w:trPr>
          <w:trHeight w:val="110"/>
        </w:trPr>
        <w:tc>
          <w:tcPr>
            <w:tcW w:w="778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7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tcPr>
          <w:p>
            <w:pPr>
              <w:jc w:val="center"/>
              <w:ind w:right="1192"/>
              <w:spacing w:after="0"/>
              <w:rPr>
                <w:sz w:val="20"/>
                <w:szCs w:val="20"/>
                <w:color w:val="auto"/>
              </w:rPr>
            </w:pPr>
            <w:r>
              <w:rPr>
                <w:rFonts w:ascii="Arial" w:cs="Arial" w:eastAsia="Arial" w:hAnsi="Arial"/>
                <w:sz w:val="18"/>
                <w:szCs w:val="18"/>
                <w:b w:val="1"/>
                <w:bCs w:val="1"/>
                <w:color w:val="auto"/>
                <w:w w:val="89"/>
              </w:rPr>
              <w:t>Nasdaq</w:t>
            </w:r>
          </w:p>
        </w:tc>
        <w:tc>
          <w:tcPr>
            <w:tcW w:w="0" w:type="dxa"/>
            <w:vAlign w:val="bottom"/>
          </w:tcPr>
          <w:p>
            <w:pPr>
              <w:spacing w:after="0"/>
              <w:rPr>
                <w:sz w:val="1"/>
                <w:szCs w:val="1"/>
                <w:color w:val="auto"/>
              </w:rPr>
            </w:pPr>
          </w:p>
        </w:tc>
      </w:tr>
      <w:tr>
        <w:trPr>
          <w:trHeight w:val="110"/>
        </w:trPr>
        <w:tc>
          <w:tcPr>
            <w:tcW w:w="778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7780" w:type="dxa"/>
            <w:vAlign w:val="bottom"/>
          </w:tcPr>
          <w:p>
            <w:pPr>
              <w:spacing w:after="0"/>
              <w:rPr>
                <w:sz w:val="24"/>
                <w:szCs w:val="24"/>
                <w:color w:val="auto"/>
              </w:rPr>
            </w:pPr>
          </w:p>
        </w:tc>
        <w:tc>
          <w:tcPr>
            <w:tcW w:w="1220" w:type="dxa"/>
            <w:vAlign w:val="bottom"/>
          </w:tcPr>
          <w:p>
            <w:pPr>
              <w:jc w:val="center"/>
              <w:ind w:left="112"/>
              <w:spacing w:after="0"/>
              <w:rPr>
                <w:sz w:val="20"/>
                <w:szCs w:val="20"/>
                <w:color w:val="auto"/>
              </w:rPr>
            </w:pPr>
            <w:r>
              <w:rPr>
                <w:rFonts w:ascii="Arial" w:cs="Arial" w:eastAsia="Arial" w:hAnsi="Arial"/>
                <w:sz w:val="18"/>
                <w:szCs w:val="18"/>
                <w:b w:val="1"/>
                <w:bCs w:val="1"/>
                <w:color w:val="auto"/>
                <w:w w:val="94"/>
              </w:rPr>
              <w:t>High</w:t>
            </w:r>
          </w:p>
        </w:tc>
        <w:tc>
          <w:tcPr>
            <w:tcW w:w="2420" w:type="dxa"/>
            <w:vAlign w:val="bottom"/>
          </w:tcPr>
          <w:p>
            <w:pPr>
              <w:jc w:val="center"/>
              <w:ind w:left="912"/>
              <w:spacing w:after="0"/>
              <w:rPr>
                <w:sz w:val="20"/>
                <w:szCs w:val="20"/>
                <w:color w:val="auto"/>
              </w:rPr>
            </w:pPr>
            <w:r>
              <w:rPr>
                <w:rFonts w:ascii="Arial" w:cs="Arial" w:eastAsia="Arial" w:hAnsi="Arial"/>
                <w:sz w:val="18"/>
                <w:szCs w:val="18"/>
                <w:b w:val="1"/>
                <w:bCs w:val="1"/>
                <w:color w:val="auto"/>
                <w:w w:val="94"/>
              </w:rPr>
              <w:t>Low</w:t>
            </w:r>
          </w:p>
        </w:tc>
        <w:tc>
          <w:tcPr>
            <w:tcW w:w="0" w:type="dxa"/>
            <w:vAlign w:val="bottom"/>
          </w:tcPr>
          <w:p>
            <w:pPr>
              <w:spacing w:after="0"/>
              <w:rPr>
                <w:sz w:val="1"/>
                <w:szCs w:val="1"/>
                <w:color w:val="auto"/>
              </w:rPr>
            </w:pPr>
          </w:p>
        </w:tc>
      </w:tr>
      <w:tr>
        <w:trPr>
          <w:trHeight w:val="120"/>
        </w:trPr>
        <w:tc>
          <w:tcPr>
            <w:tcW w:w="7780" w:type="dxa"/>
            <w:vAlign w:val="bottom"/>
            <w:vMerge w:val="restart"/>
          </w:tcPr>
          <w:p>
            <w:pPr>
              <w:jc w:val="right"/>
              <w:ind w:right="5492"/>
              <w:spacing w:after="0"/>
              <w:rPr>
                <w:sz w:val="20"/>
                <w:szCs w:val="20"/>
                <w:color w:val="auto"/>
              </w:rPr>
            </w:pPr>
            <w:r>
              <w:rPr>
                <w:rFonts w:ascii="Arial" w:cs="Arial" w:eastAsia="Arial" w:hAnsi="Arial"/>
                <w:sz w:val="18"/>
                <w:szCs w:val="18"/>
                <w:color w:val="auto"/>
                <w:w w:val="95"/>
              </w:rPr>
              <w:t>LAST FIVE FISCAL YEARS:</w:t>
            </w:r>
          </w:p>
        </w:tc>
        <w:tc>
          <w:tcPr>
            <w:tcW w:w="122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77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80" w:type="dxa"/>
            <w:vAlign w:val="bottom"/>
          </w:tcPr>
          <w:p>
            <w:pPr>
              <w:jc w:val="right"/>
              <w:ind w:right="4432"/>
              <w:spacing w:after="0"/>
              <w:rPr>
                <w:sz w:val="20"/>
                <w:szCs w:val="20"/>
                <w:color w:val="auto"/>
              </w:rPr>
            </w:pPr>
            <w:r>
              <w:rPr>
                <w:rFonts w:ascii="Arial" w:cs="Arial" w:eastAsia="Arial" w:hAnsi="Arial"/>
                <w:sz w:val="18"/>
                <w:szCs w:val="18"/>
                <w:color w:val="auto"/>
                <w:w w:val="97"/>
              </w:rPr>
              <w:t>Seven months ended December 31, 2005</w:t>
            </w:r>
          </w:p>
        </w:tc>
        <w:tc>
          <w:tcPr>
            <w:tcW w:w="1220" w:type="dxa"/>
            <w:vAlign w:val="bottom"/>
          </w:tcPr>
          <w:p>
            <w:pPr>
              <w:jc w:val="center"/>
              <w:ind w:left="112"/>
              <w:spacing w:after="0"/>
              <w:rPr>
                <w:sz w:val="20"/>
                <w:szCs w:val="20"/>
                <w:color w:val="auto"/>
              </w:rPr>
            </w:pPr>
            <w:r>
              <w:rPr>
                <w:rFonts w:ascii="Arial" w:cs="Arial" w:eastAsia="Arial" w:hAnsi="Arial"/>
                <w:sz w:val="18"/>
                <w:szCs w:val="18"/>
                <w:color w:val="auto"/>
                <w:w w:val="90"/>
              </w:rPr>
              <w:t>$50.49</w:t>
            </w:r>
          </w:p>
        </w:tc>
        <w:tc>
          <w:tcPr>
            <w:tcW w:w="2420" w:type="dxa"/>
            <w:vAlign w:val="bottom"/>
          </w:tcPr>
          <w:p>
            <w:pPr>
              <w:jc w:val="center"/>
              <w:ind w:left="912"/>
              <w:spacing w:after="0"/>
              <w:rPr>
                <w:sz w:val="20"/>
                <w:szCs w:val="20"/>
                <w:color w:val="auto"/>
              </w:rPr>
            </w:pPr>
            <w:r>
              <w:rPr>
                <w:rFonts w:ascii="Arial" w:cs="Arial" w:eastAsia="Arial" w:hAnsi="Arial"/>
                <w:sz w:val="18"/>
                <w:szCs w:val="18"/>
                <w:color w:val="auto"/>
                <w:w w:val="90"/>
              </w:rPr>
              <w:t>$30.10</w:t>
            </w:r>
          </w:p>
        </w:tc>
        <w:tc>
          <w:tcPr>
            <w:tcW w:w="0" w:type="dxa"/>
            <w:vAlign w:val="bottom"/>
          </w:tcPr>
          <w:p>
            <w:pPr>
              <w:spacing w:after="0"/>
              <w:rPr>
                <w:sz w:val="1"/>
                <w:szCs w:val="1"/>
                <w:color w:val="auto"/>
              </w:rPr>
            </w:pPr>
          </w:p>
        </w:tc>
      </w:tr>
      <w:tr>
        <w:trPr>
          <w:trHeight w:val="486"/>
        </w:trPr>
        <w:tc>
          <w:tcPr>
            <w:tcW w:w="7780" w:type="dxa"/>
            <w:vAlign w:val="bottom"/>
          </w:tcPr>
          <w:p>
            <w:pPr>
              <w:jc w:val="right"/>
              <w:ind w:right="6852"/>
              <w:spacing w:after="0"/>
              <w:rPr>
                <w:sz w:val="20"/>
                <w:szCs w:val="20"/>
                <w:color w:val="auto"/>
              </w:rPr>
            </w:pPr>
            <w:r>
              <w:rPr>
                <w:rFonts w:ascii="Arial" w:cs="Arial" w:eastAsia="Arial" w:hAnsi="Arial"/>
                <w:sz w:val="18"/>
                <w:szCs w:val="18"/>
                <w:color w:val="auto"/>
              </w:rPr>
              <w:t>2005</w:t>
            </w:r>
          </w:p>
        </w:tc>
        <w:tc>
          <w:tcPr>
            <w:tcW w:w="1220" w:type="dxa"/>
            <w:vAlign w:val="bottom"/>
          </w:tcPr>
          <w:p>
            <w:pPr>
              <w:jc w:val="center"/>
              <w:ind w:left="112"/>
              <w:spacing w:after="0"/>
              <w:rPr>
                <w:sz w:val="20"/>
                <w:szCs w:val="20"/>
                <w:color w:val="auto"/>
              </w:rPr>
            </w:pPr>
            <w:r>
              <w:rPr>
                <w:rFonts w:ascii="Arial" w:cs="Arial" w:eastAsia="Arial" w:hAnsi="Arial"/>
                <w:sz w:val="18"/>
                <w:szCs w:val="18"/>
                <w:color w:val="auto"/>
                <w:w w:val="90"/>
              </w:rPr>
              <w:t>$44.92</w:t>
            </w:r>
          </w:p>
        </w:tc>
        <w:tc>
          <w:tcPr>
            <w:tcW w:w="2420" w:type="dxa"/>
            <w:vAlign w:val="bottom"/>
          </w:tcPr>
          <w:p>
            <w:pPr>
              <w:jc w:val="center"/>
              <w:ind w:left="912"/>
              <w:spacing w:after="0"/>
              <w:rPr>
                <w:sz w:val="20"/>
                <w:szCs w:val="20"/>
                <w:color w:val="auto"/>
              </w:rPr>
            </w:pPr>
            <w:r>
              <w:rPr>
                <w:rFonts w:ascii="Arial" w:cs="Arial" w:eastAsia="Arial" w:hAnsi="Arial"/>
                <w:sz w:val="18"/>
                <w:szCs w:val="18"/>
                <w:color w:val="auto"/>
                <w:w w:val="90"/>
              </w:rPr>
              <w:t>$30.26</w:t>
            </w:r>
          </w:p>
        </w:tc>
        <w:tc>
          <w:tcPr>
            <w:tcW w:w="0" w:type="dxa"/>
            <w:vAlign w:val="bottom"/>
          </w:tcPr>
          <w:p>
            <w:pPr>
              <w:spacing w:after="0"/>
              <w:rPr>
                <w:sz w:val="1"/>
                <w:szCs w:val="1"/>
                <w:color w:val="auto"/>
              </w:rPr>
            </w:pPr>
          </w:p>
        </w:tc>
      </w:tr>
      <w:tr>
        <w:trPr>
          <w:trHeight w:val="486"/>
        </w:trPr>
        <w:tc>
          <w:tcPr>
            <w:tcW w:w="7780" w:type="dxa"/>
            <w:vAlign w:val="bottom"/>
          </w:tcPr>
          <w:p>
            <w:pPr>
              <w:jc w:val="right"/>
              <w:ind w:right="6852"/>
              <w:spacing w:after="0"/>
              <w:rPr>
                <w:sz w:val="20"/>
                <w:szCs w:val="20"/>
                <w:color w:val="auto"/>
              </w:rPr>
            </w:pPr>
            <w:r>
              <w:rPr>
                <w:rFonts w:ascii="Arial" w:cs="Arial" w:eastAsia="Arial" w:hAnsi="Arial"/>
                <w:sz w:val="18"/>
                <w:szCs w:val="18"/>
                <w:color w:val="auto"/>
              </w:rPr>
              <w:t>2004</w:t>
            </w:r>
          </w:p>
        </w:tc>
        <w:tc>
          <w:tcPr>
            <w:tcW w:w="1220" w:type="dxa"/>
            <w:vAlign w:val="bottom"/>
          </w:tcPr>
          <w:p>
            <w:pPr>
              <w:jc w:val="center"/>
              <w:ind w:left="112"/>
              <w:spacing w:after="0"/>
              <w:rPr>
                <w:sz w:val="20"/>
                <w:szCs w:val="20"/>
                <w:color w:val="auto"/>
              </w:rPr>
            </w:pPr>
            <w:r>
              <w:rPr>
                <w:rFonts w:ascii="Arial" w:cs="Arial" w:eastAsia="Arial" w:hAnsi="Arial"/>
                <w:sz w:val="18"/>
                <w:szCs w:val="18"/>
                <w:color w:val="auto"/>
                <w:w w:val="90"/>
              </w:rPr>
              <w:t>$46.05</w:t>
            </w:r>
          </w:p>
        </w:tc>
        <w:tc>
          <w:tcPr>
            <w:tcW w:w="2420" w:type="dxa"/>
            <w:vAlign w:val="bottom"/>
          </w:tcPr>
          <w:p>
            <w:pPr>
              <w:jc w:val="center"/>
              <w:ind w:left="912"/>
              <w:spacing w:after="0"/>
              <w:rPr>
                <w:sz w:val="20"/>
                <w:szCs w:val="20"/>
                <w:color w:val="auto"/>
              </w:rPr>
            </w:pPr>
            <w:r>
              <w:rPr>
                <w:rFonts w:ascii="Arial" w:cs="Arial" w:eastAsia="Arial" w:hAnsi="Arial"/>
                <w:sz w:val="18"/>
                <w:szCs w:val="18"/>
                <w:color w:val="auto"/>
                <w:w w:val="90"/>
              </w:rPr>
              <w:t>$25.87</w:t>
            </w:r>
          </w:p>
        </w:tc>
        <w:tc>
          <w:tcPr>
            <w:tcW w:w="0" w:type="dxa"/>
            <w:vAlign w:val="bottom"/>
          </w:tcPr>
          <w:p>
            <w:pPr>
              <w:spacing w:after="0"/>
              <w:rPr>
                <w:sz w:val="1"/>
                <w:szCs w:val="1"/>
                <w:color w:val="auto"/>
              </w:rPr>
            </w:pPr>
          </w:p>
        </w:tc>
      </w:tr>
      <w:tr>
        <w:trPr>
          <w:trHeight w:val="486"/>
        </w:trPr>
        <w:tc>
          <w:tcPr>
            <w:tcW w:w="7780" w:type="dxa"/>
            <w:vAlign w:val="bottom"/>
          </w:tcPr>
          <w:p>
            <w:pPr>
              <w:jc w:val="right"/>
              <w:ind w:right="6852"/>
              <w:spacing w:after="0"/>
              <w:rPr>
                <w:sz w:val="20"/>
                <w:szCs w:val="20"/>
                <w:color w:val="auto"/>
              </w:rPr>
            </w:pPr>
            <w:r>
              <w:rPr>
                <w:rFonts w:ascii="Arial" w:cs="Arial" w:eastAsia="Arial" w:hAnsi="Arial"/>
                <w:sz w:val="18"/>
                <w:szCs w:val="18"/>
                <w:color w:val="auto"/>
              </w:rPr>
              <w:t>2003</w:t>
            </w:r>
          </w:p>
        </w:tc>
        <w:tc>
          <w:tcPr>
            <w:tcW w:w="1220" w:type="dxa"/>
            <w:vAlign w:val="bottom"/>
          </w:tcPr>
          <w:p>
            <w:pPr>
              <w:jc w:val="center"/>
              <w:ind w:left="112"/>
              <w:spacing w:after="0"/>
              <w:rPr>
                <w:sz w:val="20"/>
                <w:szCs w:val="20"/>
                <w:color w:val="auto"/>
              </w:rPr>
            </w:pPr>
            <w:r>
              <w:rPr>
                <w:rFonts w:ascii="Arial" w:cs="Arial" w:eastAsia="Arial" w:hAnsi="Arial"/>
                <w:sz w:val="18"/>
                <w:szCs w:val="18"/>
                <w:color w:val="auto"/>
                <w:w w:val="90"/>
              </w:rPr>
              <w:t>$32.87</w:t>
            </w:r>
          </w:p>
        </w:tc>
        <w:tc>
          <w:tcPr>
            <w:tcW w:w="2420" w:type="dxa"/>
            <w:vAlign w:val="bottom"/>
          </w:tcPr>
          <w:p>
            <w:pPr>
              <w:jc w:val="center"/>
              <w:ind w:left="912"/>
              <w:spacing w:after="0"/>
              <w:rPr>
                <w:sz w:val="20"/>
                <w:szCs w:val="20"/>
                <w:color w:val="auto"/>
              </w:rPr>
            </w:pPr>
            <w:r>
              <w:rPr>
                <w:rFonts w:ascii="Arial" w:cs="Arial" w:eastAsia="Arial" w:hAnsi="Arial"/>
                <w:sz w:val="18"/>
                <w:szCs w:val="18"/>
                <w:color w:val="auto"/>
                <w:w w:val="90"/>
              </w:rPr>
              <w:t>$14.88</w:t>
            </w:r>
          </w:p>
        </w:tc>
        <w:tc>
          <w:tcPr>
            <w:tcW w:w="0" w:type="dxa"/>
            <w:vAlign w:val="bottom"/>
          </w:tcPr>
          <w:p>
            <w:pPr>
              <w:spacing w:after="0"/>
              <w:rPr>
                <w:sz w:val="1"/>
                <w:szCs w:val="1"/>
                <w:color w:val="auto"/>
              </w:rPr>
            </w:pPr>
          </w:p>
        </w:tc>
      </w:tr>
      <w:tr>
        <w:trPr>
          <w:trHeight w:val="486"/>
        </w:trPr>
        <w:tc>
          <w:tcPr>
            <w:tcW w:w="7780" w:type="dxa"/>
            <w:vAlign w:val="bottom"/>
          </w:tcPr>
          <w:p>
            <w:pPr>
              <w:jc w:val="right"/>
              <w:ind w:right="6852"/>
              <w:spacing w:after="0"/>
              <w:rPr>
                <w:sz w:val="20"/>
                <w:szCs w:val="20"/>
                <w:color w:val="auto"/>
              </w:rPr>
            </w:pPr>
            <w:r>
              <w:rPr>
                <w:rFonts w:ascii="Arial" w:cs="Arial" w:eastAsia="Arial" w:hAnsi="Arial"/>
                <w:sz w:val="18"/>
                <w:szCs w:val="18"/>
                <w:color w:val="auto"/>
              </w:rPr>
              <w:t>2002</w:t>
            </w:r>
          </w:p>
        </w:tc>
        <w:tc>
          <w:tcPr>
            <w:tcW w:w="1220" w:type="dxa"/>
            <w:vAlign w:val="bottom"/>
          </w:tcPr>
          <w:p>
            <w:pPr>
              <w:jc w:val="center"/>
              <w:ind w:left="112"/>
              <w:spacing w:after="0"/>
              <w:rPr>
                <w:sz w:val="20"/>
                <w:szCs w:val="20"/>
                <w:color w:val="auto"/>
              </w:rPr>
            </w:pPr>
            <w:r>
              <w:rPr>
                <w:rFonts w:ascii="Arial" w:cs="Arial" w:eastAsia="Arial" w:hAnsi="Arial"/>
                <w:sz w:val="18"/>
                <w:szCs w:val="18"/>
                <w:color w:val="auto"/>
                <w:w w:val="90"/>
              </w:rPr>
              <w:t>$39.58</w:t>
            </w:r>
          </w:p>
        </w:tc>
        <w:tc>
          <w:tcPr>
            <w:tcW w:w="2420" w:type="dxa"/>
            <w:vAlign w:val="bottom"/>
          </w:tcPr>
          <w:p>
            <w:pPr>
              <w:jc w:val="center"/>
              <w:ind w:left="912"/>
              <w:spacing w:after="0"/>
              <w:rPr>
                <w:sz w:val="20"/>
                <w:szCs w:val="20"/>
                <w:color w:val="auto"/>
              </w:rPr>
            </w:pPr>
            <w:r>
              <w:rPr>
                <w:rFonts w:ascii="Arial" w:cs="Arial" w:eastAsia="Arial" w:hAnsi="Arial"/>
                <w:sz w:val="18"/>
                <w:szCs w:val="18"/>
                <w:color w:val="auto"/>
                <w:w w:val="90"/>
              </w:rPr>
              <w:t>$22.93</w:t>
            </w:r>
          </w:p>
        </w:tc>
        <w:tc>
          <w:tcPr>
            <w:tcW w:w="0" w:type="dxa"/>
            <w:vAlign w:val="bottom"/>
          </w:tcPr>
          <w:p>
            <w:pPr>
              <w:spacing w:after="0"/>
              <w:rPr>
                <w:sz w:val="1"/>
                <w:szCs w:val="1"/>
                <w:color w:val="auto"/>
              </w:rPr>
            </w:pPr>
          </w:p>
        </w:tc>
      </w:tr>
      <w:tr>
        <w:trPr>
          <w:trHeight w:val="486"/>
        </w:trPr>
        <w:tc>
          <w:tcPr>
            <w:tcW w:w="7780" w:type="dxa"/>
            <w:vAlign w:val="bottom"/>
          </w:tcPr>
          <w:p>
            <w:pPr>
              <w:jc w:val="right"/>
              <w:ind w:right="6852"/>
              <w:spacing w:after="0"/>
              <w:rPr>
                <w:sz w:val="20"/>
                <w:szCs w:val="20"/>
                <w:color w:val="auto"/>
              </w:rPr>
            </w:pPr>
            <w:r>
              <w:rPr>
                <w:rFonts w:ascii="Arial" w:cs="Arial" w:eastAsia="Arial" w:hAnsi="Arial"/>
                <w:sz w:val="18"/>
                <w:szCs w:val="18"/>
                <w:color w:val="auto"/>
              </w:rPr>
              <w:t>2001</w:t>
            </w:r>
          </w:p>
        </w:tc>
        <w:tc>
          <w:tcPr>
            <w:tcW w:w="1220" w:type="dxa"/>
            <w:vAlign w:val="bottom"/>
          </w:tcPr>
          <w:p>
            <w:pPr>
              <w:jc w:val="center"/>
              <w:ind w:left="112"/>
              <w:spacing w:after="0"/>
              <w:rPr>
                <w:sz w:val="20"/>
                <w:szCs w:val="20"/>
                <w:color w:val="auto"/>
              </w:rPr>
            </w:pPr>
            <w:r>
              <w:rPr>
                <w:rFonts w:ascii="Arial" w:cs="Arial" w:eastAsia="Arial" w:hAnsi="Arial"/>
                <w:sz w:val="18"/>
                <w:szCs w:val="18"/>
                <w:color w:val="auto"/>
                <w:w w:val="90"/>
              </w:rPr>
              <w:t>$29.75</w:t>
            </w:r>
          </w:p>
        </w:tc>
        <w:tc>
          <w:tcPr>
            <w:tcW w:w="2420" w:type="dxa"/>
            <w:vAlign w:val="bottom"/>
          </w:tcPr>
          <w:p>
            <w:pPr>
              <w:jc w:val="center"/>
              <w:ind w:left="912"/>
              <w:spacing w:after="0"/>
              <w:rPr>
                <w:sz w:val="20"/>
                <w:szCs w:val="20"/>
                <w:color w:val="auto"/>
              </w:rPr>
            </w:pPr>
            <w:r>
              <w:rPr>
                <w:rFonts w:ascii="Arial" w:cs="Arial" w:eastAsia="Arial" w:hAnsi="Arial"/>
                <w:sz w:val="18"/>
                <w:szCs w:val="18"/>
                <w:color w:val="auto"/>
                <w:w w:val="90"/>
              </w:rPr>
              <w:t>$15.00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-2086610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-2086610</wp:posOffset>
            </wp:positionV>
            <wp:extent cx="215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-2086610</wp:posOffset>
            </wp:positionV>
            <wp:extent cx="215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-2086610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ordinary shares are also traded on the Official List of the Irish Stock Exchange; however, to date there has been limited trading activity on this exchange.</w:t>
      </w:r>
    </w:p>
    <w:p>
      <w:pPr>
        <w:spacing w:after="0" w:line="275" w:lineRule="exact"/>
        <w:rPr>
          <w:sz w:val="20"/>
          <w:szCs w:val="20"/>
          <w:color w:val="auto"/>
        </w:rPr>
      </w:pPr>
    </w:p>
    <w:p>
      <w:pPr>
        <w:ind w:right="120" w:firstLine="270"/>
        <w:spacing w:after="0" w:line="256" w:lineRule="auto"/>
        <w:rPr>
          <w:sz w:val="20"/>
          <w:szCs w:val="20"/>
          <w:color w:val="auto"/>
        </w:rPr>
      </w:pPr>
      <w:r>
        <w:rPr>
          <w:rFonts w:ascii="Arial" w:cs="Arial" w:eastAsia="Arial" w:hAnsi="Arial"/>
          <w:sz w:val="18"/>
          <w:szCs w:val="18"/>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We paid no dividends in fiscal year 1996 through the present.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58" w:lineRule="exact"/>
        <w:rPr>
          <w:sz w:val="20"/>
          <w:szCs w:val="20"/>
          <w:color w:val="auto"/>
        </w:rPr>
      </w:pPr>
    </w:p>
    <w:p>
      <w:pPr>
        <w:ind w:right="880" w:firstLine="270"/>
        <w:spacing w:after="0" w:line="268" w:lineRule="auto"/>
        <w:rPr>
          <w:sz w:val="20"/>
          <w:szCs w:val="20"/>
          <w:color w:val="auto"/>
        </w:rPr>
      </w:pPr>
      <w:r>
        <w:rPr>
          <w:rFonts w:ascii="Arial" w:cs="Arial" w:eastAsia="Arial" w:hAnsi="Arial"/>
          <w:sz w:val="18"/>
          <w:szCs w:val="18"/>
          <w:color w:val="auto"/>
        </w:rPr>
        <w:t>The following table sets forth certain information regarding the beneficial ownership of our ordinary shares as of February 27, 2006 by the selling shareholders.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20" w:type="dxa"/>
            <w:vAlign w:val="bottom"/>
            <w:gridSpan w:val="3"/>
          </w:tcPr>
          <w:p>
            <w:pPr>
              <w:jc w:val="center"/>
              <w:ind w:right="672"/>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90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85"/>
              </w:rPr>
              <w:t>Shares Beneficially</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Maximum</w:t>
            </w:r>
          </w:p>
        </w:tc>
        <w:tc>
          <w:tcPr>
            <w:tcW w:w="740" w:type="dxa"/>
            <w:vAlign w:val="bottom"/>
          </w:tcPr>
          <w:p>
            <w:pPr>
              <w:spacing w:after="0"/>
              <w:rPr>
                <w:sz w:val="21"/>
                <w:szCs w:val="21"/>
                <w:color w:val="auto"/>
              </w:rPr>
            </w:pPr>
          </w:p>
        </w:tc>
        <w:tc>
          <w:tcPr>
            <w:tcW w:w="1520" w:type="dxa"/>
            <w:vAlign w:val="bottom"/>
            <w:gridSpan w:val="3"/>
          </w:tcPr>
          <w:p>
            <w:pPr>
              <w:jc w:val="center"/>
              <w:ind w:right="692"/>
              <w:spacing w:after="0"/>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90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89"/>
              </w:rPr>
              <w:t>Owned Prior to</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740" w:type="dxa"/>
            <w:vAlign w:val="bottom"/>
          </w:tcPr>
          <w:p>
            <w:pPr>
              <w:spacing w:after="0"/>
              <w:rPr>
                <w:sz w:val="21"/>
                <w:szCs w:val="21"/>
                <w:color w:val="auto"/>
              </w:rPr>
            </w:pPr>
          </w:p>
        </w:tc>
        <w:tc>
          <w:tcPr>
            <w:tcW w:w="1520" w:type="dxa"/>
            <w:vAlign w:val="bottom"/>
            <w:gridSpan w:val="3"/>
          </w:tcPr>
          <w:p>
            <w:pPr>
              <w:jc w:val="center"/>
              <w:ind w:right="692"/>
              <w:spacing w:after="0"/>
              <w:rPr>
                <w:sz w:val="20"/>
                <w:szCs w:val="20"/>
                <w:color w:val="auto"/>
              </w:rPr>
            </w:pPr>
            <w:r>
              <w:rPr>
                <w:rFonts w:ascii="Arial" w:cs="Arial" w:eastAsia="Arial" w:hAnsi="Arial"/>
                <w:sz w:val="14"/>
                <w:szCs w:val="14"/>
                <w:b w:val="1"/>
                <w:bCs w:val="1"/>
                <w:color w:val="auto"/>
                <w:w w:val="91"/>
              </w:rPr>
              <w:t>Owned After</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90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90"/>
              </w:rPr>
              <w:t>This Offering(1)</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Shares Being</w:t>
            </w:r>
          </w:p>
        </w:tc>
        <w:tc>
          <w:tcPr>
            <w:tcW w:w="2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This Offering(1)</w:t>
            </w:r>
          </w:p>
        </w:tc>
        <w:tc>
          <w:tcPr>
            <w:tcW w:w="0" w:type="dxa"/>
            <w:vAlign w:val="bottom"/>
          </w:tcPr>
          <w:p>
            <w:pPr>
              <w:spacing w:after="0"/>
              <w:rPr>
                <w:sz w:val="1"/>
                <w:szCs w:val="1"/>
                <w:color w:val="auto"/>
              </w:rPr>
            </w:pPr>
          </w:p>
        </w:tc>
      </w:tr>
      <w:tr>
        <w:trPr>
          <w:trHeight w:val="95"/>
        </w:trPr>
        <w:tc>
          <w:tcPr>
            <w:tcW w:w="44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Name and Address of</w:t>
            </w:r>
          </w:p>
        </w:tc>
        <w:tc>
          <w:tcPr>
            <w:tcW w:w="10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vMerge w:val="restart"/>
          </w:tcPr>
          <w:p>
            <w:pPr>
              <w:spacing w:after="0"/>
              <w:rPr>
                <w:sz w:val="8"/>
                <w:szCs w:val="8"/>
                <w:color w:val="auto"/>
              </w:rPr>
            </w:pPr>
          </w:p>
        </w:tc>
        <w:tc>
          <w:tcPr>
            <w:tcW w:w="1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Sold in</w:t>
            </w: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48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40"/>
              <w:spacing w:after="0"/>
              <w:rPr>
                <w:sz w:val="20"/>
                <w:szCs w:val="20"/>
                <w:color w:val="auto"/>
              </w:rPr>
            </w:pPr>
            <w:r>
              <w:rPr>
                <w:rFonts w:ascii="Arial" w:cs="Arial" w:eastAsia="Arial" w:hAnsi="Arial"/>
                <w:sz w:val="14"/>
                <w:szCs w:val="14"/>
                <w:b w:val="1"/>
                <w:bCs w:val="1"/>
                <w:color w:val="auto"/>
              </w:rPr>
              <w:t>Selling Shareholder</w:t>
            </w:r>
          </w:p>
        </w:tc>
        <w:tc>
          <w:tcPr>
            <w:tcW w:w="1900" w:type="dxa"/>
            <w:vAlign w:val="bottom"/>
            <w:gridSpan w:val="3"/>
          </w:tcPr>
          <w:p>
            <w:pPr>
              <w:ind w:left="260"/>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w w:val="85"/>
              </w:rPr>
              <w:t>Percent</w:t>
            </w:r>
          </w:p>
        </w:tc>
        <w:tc>
          <w:tcPr>
            <w:tcW w:w="220" w:type="dxa"/>
            <w:vAlign w:val="bottom"/>
          </w:tcPr>
          <w:p>
            <w:pPr>
              <w:spacing w:after="0"/>
              <w:rPr>
                <w:sz w:val="21"/>
                <w:szCs w:val="21"/>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This Offering</w:t>
            </w:r>
          </w:p>
        </w:tc>
        <w:tc>
          <w:tcPr>
            <w:tcW w:w="740" w:type="dxa"/>
            <w:vAlign w:val="bottom"/>
          </w:tcPr>
          <w:p>
            <w:pPr>
              <w:jc w:val="center"/>
              <w:ind w:left="192"/>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95"/>
        </w:trPr>
        <w:tc>
          <w:tcPr>
            <w:tcW w:w="2080" w:type="dxa"/>
            <w:vAlign w:val="bottom"/>
            <w:tcBorders>
              <w:bottom w:val="single" w:sz="8" w:color="808080"/>
            </w:tcBorders>
          </w:tcPr>
          <w:p>
            <w:pPr>
              <w:spacing w:after="0"/>
              <w:rPr>
                <w:sz w:val="8"/>
                <w:szCs w:val="8"/>
                <w:color w:val="auto"/>
              </w:rPr>
            </w:pPr>
          </w:p>
        </w:tc>
        <w:tc>
          <w:tcPr>
            <w:tcW w:w="24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644"/>
        </w:trPr>
        <w:tc>
          <w:tcPr>
            <w:tcW w:w="4480" w:type="dxa"/>
            <w:vAlign w:val="bottom"/>
            <w:gridSpan w:val="2"/>
          </w:tcPr>
          <w:p>
            <w:pPr>
              <w:spacing w:after="0"/>
              <w:rPr>
                <w:sz w:val="20"/>
                <w:szCs w:val="20"/>
                <w:color w:val="auto"/>
              </w:rPr>
            </w:pPr>
            <w:r>
              <w:rPr>
                <w:rFonts w:ascii="Arial" w:cs="Arial" w:eastAsia="Arial" w:hAnsi="Arial"/>
                <w:sz w:val="14"/>
                <w:szCs w:val="14"/>
                <w:color w:val="auto"/>
              </w:rPr>
              <w:t>Dr. Ronan Lamb(3)</w:t>
            </w:r>
          </w:p>
        </w:tc>
        <w:tc>
          <w:tcPr>
            <w:tcW w:w="1040" w:type="dxa"/>
            <w:vAlign w:val="bottom"/>
          </w:tcPr>
          <w:p>
            <w:pPr>
              <w:jc w:val="right"/>
              <w:ind w:right="192"/>
              <w:spacing w:after="0"/>
              <w:rPr>
                <w:sz w:val="20"/>
                <w:szCs w:val="20"/>
                <w:color w:val="auto"/>
              </w:rPr>
            </w:pPr>
            <w:r>
              <w:rPr>
                <w:rFonts w:ascii="Arial" w:cs="Arial" w:eastAsia="Arial" w:hAnsi="Arial"/>
                <w:sz w:val="14"/>
                <w:szCs w:val="14"/>
                <w:color w:val="auto"/>
              </w:rPr>
              <w:t>952,470</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6.8</w:t>
            </w:r>
            <w:r>
              <w:rPr>
                <w:rFonts w:ascii="Arial" w:cs="Arial" w:eastAsia="Arial" w:hAnsi="Arial"/>
                <w:sz w:val="27"/>
                <w:szCs w:val="27"/>
                <w:color w:val="auto"/>
                <w:vertAlign w:val="superscript"/>
              </w:rPr>
              <w:t>%</w:t>
            </w:r>
          </w:p>
        </w:tc>
        <w:tc>
          <w:tcPr>
            <w:tcW w:w="1820" w:type="dxa"/>
            <w:vAlign w:val="bottom"/>
            <w:gridSpan w:val="2"/>
          </w:tcPr>
          <w:p>
            <w:pPr>
              <w:jc w:val="center"/>
              <w:ind w:left="152"/>
              <w:spacing w:after="0"/>
              <w:rPr>
                <w:sz w:val="20"/>
                <w:szCs w:val="20"/>
                <w:color w:val="auto"/>
              </w:rPr>
            </w:pPr>
            <w:r>
              <w:rPr>
                <w:rFonts w:ascii="Arial" w:cs="Arial" w:eastAsia="Arial" w:hAnsi="Arial"/>
                <w:sz w:val="14"/>
                <w:szCs w:val="14"/>
                <w:color w:val="auto"/>
                <w:w w:val="93"/>
              </w:rPr>
              <w:t>(2)</w:t>
            </w:r>
          </w:p>
        </w:tc>
        <w:tc>
          <w:tcPr>
            <w:tcW w:w="220" w:type="dxa"/>
            <w:vAlign w:val="bottom"/>
          </w:tcPr>
          <w:p>
            <w:pPr>
              <w:spacing w:after="0"/>
              <w:rPr>
                <w:sz w:val="24"/>
                <w:szCs w:val="24"/>
                <w:color w:val="auto"/>
              </w:rPr>
            </w:pPr>
          </w:p>
        </w:tc>
        <w:tc>
          <w:tcPr>
            <w:tcW w:w="740" w:type="dxa"/>
            <w:vAlign w:val="bottom"/>
          </w:tcPr>
          <w:p>
            <w:pPr>
              <w:jc w:val="center"/>
              <w:ind w:left="192"/>
              <w:spacing w:after="0"/>
              <w:rPr>
                <w:sz w:val="20"/>
                <w:szCs w:val="20"/>
                <w:color w:val="auto"/>
              </w:rPr>
            </w:pPr>
            <w:r>
              <w:rPr>
                <w:rFonts w:ascii="Arial" w:cs="Arial" w:eastAsia="Arial" w:hAnsi="Arial"/>
                <w:sz w:val="14"/>
                <w:szCs w:val="14"/>
                <w:color w:val="auto"/>
                <w:w w:val="93"/>
              </w:rPr>
              <w:t>(2)</w:t>
            </w:r>
          </w:p>
        </w:tc>
        <w:tc>
          <w:tcPr>
            <w:tcW w:w="1520" w:type="dxa"/>
            <w:vAlign w:val="bottom"/>
            <w:gridSpan w:val="3"/>
          </w:tcPr>
          <w:p>
            <w:pPr>
              <w:jc w:val="center"/>
              <w:ind w:left="412"/>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Arial" w:cs="Arial" w:eastAsia="Arial" w:hAnsi="Arial"/>
                <w:sz w:val="14"/>
                <w:szCs w:val="14"/>
                <w:color w:val="auto"/>
              </w:rPr>
              <w:t>South County Business Park,</w:t>
            </w: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4"/>
                <w:szCs w:val="14"/>
                <w:color w:val="auto"/>
              </w:rPr>
              <w:t>Leopardstown</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4"/>
                <w:szCs w:val="14"/>
                <w:color w:val="auto"/>
              </w:rPr>
              <w:t>Dublin 18, Ireland</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7"/>
        </w:trPr>
        <w:tc>
          <w:tcPr>
            <w:tcW w:w="4480" w:type="dxa"/>
            <w:vAlign w:val="bottom"/>
            <w:gridSpan w:val="2"/>
          </w:tcPr>
          <w:p>
            <w:pPr>
              <w:spacing w:after="0"/>
              <w:rPr>
                <w:sz w:val="20"/>
                <w:szCs w:val="20"/>
                <w:color w:val="auto"/>
              </w:rPr>
            </w:pPr>
            <w:r>
              <w:rPr>
                <w:rFonts w:ascii="Arial" w:cs="Arial" w:eastAsia="Arial" w:hAnsi="Arial"/>
                <w:sz w:val="14"/>
                <w:szCs w:val="14"/>
                <w:color w:val="auto"/>
              </w:rPr>
              <w:t>Poplar Limited(4)</w:t>
            </w:r>
          </w:p>
        </w:tc>
        <w:tc>
          <w:tcPr>
            <w:tcW w:w="1040" w:type="dxa"/>
            <w:vAlign w:val="bottom"/>
          </w:tcPr>
          <w:p>
            <w:pPr>
              <w:jc w:val="right"/>
              <w:ind w:right="212"/>
              <w:spacing w:after="0"/>
              <w:rPr>
                <w:sz w:val="20"/>
                <w:szCs w:val="20"/>
                <w:color w:val="auto"/>
              </w:rPr>
            </w:pPr>
            <w:r>
              <w:rPr>
                <w:rFonts w:ascii="Arial" w:cs="Arial" w:eastAsia="Arial" w:hAnsi="Arial"/>
                <w:sz w:val="14"/>
                <w:szCs w:val="14"/>
                <w:color w:val="auto"/>
              </w:rPr>
              <w:t>1,494,892</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w w:val="92"/>
              </w:rPr>
              <w:t>10.7</w:t>
            </w:r>
            <w:r>
              <w:rPr>
                <w:rFonts w:ascii="Arial" w:cs="Arial" w:eastAsia="Arial" w:hAnsi="Arial"/>
                <w:sz w:val="27"/>
                <w:szCs w:val="27"/>
                <w:color w:val="auto"/>
                <w:w w:val="92"/>
                <w:vertAlign w:val="superscript"/>
              </w:rPr>
              <w:t>%</w:t>
            </w:r>
          </w:p>
        </w:tc>
        <w:tc>
          <w:tcPr>
            <w:tcW w:w="1820" w:type="dxa"/>
            <w:vAlign w:val="bottom"/>
            <w:gridSpan w:val="2"/>
          </w:tcPr>
          <w:p>
            <w:pPr>
              <w:jc w:val="center"/>
              <w:ind w:left="152"/>
              <w:spacing w:after="0"/>
              <w:rPr>
                <w:sz w:val="20"/>
                <w:szCs w:val="20"/>
                <w:color w:val="auto"/>
              </w:rPr>
            </w:pPr>
            <w:r>
              <w:rPr>
                <w:rFonts w:ascii="Arial" w:cs="Arial" w:eastAsia="Arial" w:hAnsi="Arial"/>
                <w:sz w:val="14"/>
                <w:szCs w:val="14"/>
                <w:color w:val="auto"/>
                <w:w w:val="93"/>
              </w:rPr>
              <w:t>(2)</w:t>
            </w:r>
          </w:p>
        </w:tc>
        <w:tc>
          <w:tcPr>
            <w:tcW w:w="220" w:type="dxa"/>
            <w:vAlign w:val="bottom"/>
          </w:tcPr>
          <w:p>
            <w:pPr>
              <w:spacing w:after="0"/>
              <w:rPr>
                <w:sz w:val="24"/>
                <w:szCs w:val="24"/>
                <w:color w:val="auto"/>
              </w:rPr>
            </w:pPr>
          </w:p>
        </w:tc>
        <w:tc>
          <w:tcPr>
            <w:tcW w:w="740" w:type="dxa"/>
            <w:vAlign w:val="bottom"/>
          </w:tcPr>
          <w:p>
            <w:pPr>
              <w:jc w:val="center"/>
              <w:ind w:left="192"/>
              <w:spacing w:after="0"/>
              <w:rPr>
                <w:sz w:val="20"/>
                <w:szCs w:val="20"/>
                <w:color w:val="auto"/>
              </w:rPr>
            </w:pPr>
            <w:r>
              <w:rPr>
                <w:rFonts w:ascii="Arial" w:cs="Arial" w:eastAsia="Arial" w:hAnsi="Arial"/>
                <w:sz w:val="14"/>
                <w:szCs w:val="14"/>
                <w:color w:val="auto"/>
                <w:w w:val="93"/>
              </w:rPr>
              <w:t>(2)</w:t>
            </w:r>
          </w:p>
        </w:tc>
        <w:tc>
          <w:tcPr>
            <w:tcW w:w="1520" w:type="dxa"/>
            <w:vAlign w:val="bottom"/>
            <w:gridSpan w:val="3"/>
          </w:tcPr>
          <w:p>
            <w:pPr>
              <w:jc w:val="center"/>
              <w:ind w:left="412"/>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Arial" w:cs="Arial" w:eastAsia="Arial" w:hAnsi="Arial"/>
                <w:sz w:val="14"/>
                <w:szCs w:val="14"/>
                <w:color w:val="auto"/>
              </w:rPr>
              <w:t>c/o Dr. John Climax</w:t>
            </w: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4"/>
                <w:szCs w:val="14"/>
                <w:color w:val="auto"/>
              </w:rPr>
              <w:t>South County Business Park,</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4"/>
                <w:szCs w:val="14"/>
                <w:color w:val="auto"/>
              </w:rPr>
              <w:t>Leopardstown</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4"/>
                <w:szCs w:val="14"/>
                <w:color w:val="auto"/>
              </w:rPr>
              <w:t>Dublin 18, Ireland</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7322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ind w:left="440" w:right="280" w:hanging="432"/>
        <w:spacing w:after="0" w:line="284"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used in this table, “beneficial ownership” means to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within 60 days after such date.</w:t>
      </w:r>
    </w:p>
    <w:p>
      <w:pPr>
        <w:spacing w:after="0" w:line="1" w:lineRule="exact"/>
        <w:rPr>
          <w:rFonts w:ascii="Arial" w:cs="Arial" w:eastAsia="Arial" w:hAnsi="Arial"/>
          <w:sz w:val="16"/>
          <w:szCs w:val="16"/>
          <w:color w:val="auto"/>
        </w:rPr>
      </w:pPr>
    </w:p>
    <w:p>
      <w:pPr>
        <w:ind w:left="440" w:right="100" w:hanging="432"/>
        <w:spacing w:after="0" w:line="281"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selling shareholders may sell up to 1,500,000 ADSs representing ordinary shares under this Registration Statement. The prospectus supplement issued in connection with any offering by any of the selling shareholders will provide further details with respect to the number of ADSs representing ordinary shares to be offered by each selling shareholder and the number of ADSs representing ordinary shares that would be beneficially owned by each selling shareholder following such offering. The decision by either of the selling shareholders to sell any of its respective ADSs representing ordinary shares in an offering will depend upon the market price of our ADSs at that time and other factors deemed relevant by such selling stockholder. Notwithstanding the registration of our ADSs held by the selling shareholders, the selling shareholders may also sell their ADSs representing ordinary shares pursuant to applicable exemptions from registration, including but not limited to, Rule 144 under the Securities Act.</w:t>
      </w:r>
    </w:p>
    <w:p>
      <w:pPr>
        <w:spacing w:after="0" w:line="4" w:lineRule="exact"/>
        <w:rPr>
          <w:rFonts w:ascii="Arial" w:cs="Arial" w:eastAsia="Arial" w:hAnsi="Arial"/>
          <w:sz w:val="16"/>
          <w:szCs w:val="16"/>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8,000 options (vested and unvested).</w:t>
      </w:r>
    </w:p>
    <w:p>
      <w:pPr>
        <w:spacing w:after="0" w:line="9" w:lineRule="exact"/>
        <w:rPr>
          <w:rFonts w:ascii="Arial" w:cs="Arial" w:eastAsia="Arial" w:hAnsi="Arial"/>
          <w:sz w:val="18"/>
          <w:szCs w:val="18"/>
          <w:color w:val="auto"/>
        </w:rPr>
      </w:pPr>
    </w:p>
    <w:p>
      <w:pPr>
        <w:ind w:left="440" w:right="80" w:hanging="432"/>
        <w:spacing w:after="0" w:line="255"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Poplar Limited is a Jersey company controlled by the Chairman of our Board of Directors, Dr. John Climax. The total number of shares beneficially owned by Dr. Climax is comprised of 18,000 options (vested and unvested) and 40 ordinary shares beneficially held by Dr. Climax and 1,476,852 ADSs held by Poplar Limited.</w:t>
      </w:r>
    </w:p>
    <w:p>
      <w:pPr>
        <w:spacing w:after="0" w:line="239" w:lineRule="exact"/>
        <w:rPr>
          <w:sz w:val="20"/>
          <w:szCs w:val="20"/>
          <w:color w:val="auto"/>
        </w:rPr>
      </w:pPr>
    </w:p>
    <w:p>
      <w:pPr>
        <w:ind w:right="660" w:firstLine="432"/>
        <w:spacing w:after="0" w:line="284" w:lineRule="auto"/>
        <w:rPr>
          <w:sz w:val="20"/>
          <w:szCs w:val="20"/>
          <w:color w:val="auto"/>
        </w:rPr>
      </w:pPr>
      <w:r>
        <w:rPr>
          <w:rFonts w:ascii="Arial" w:cs="Arial" w:eastAsia="Arial" w:hAnsi="Arial"/>
          <w:sz w:val="18"/>
          <w:szCs w:val="18"/>
          <w:color w:val="auto"/>
        </w:rPr>
        <w:t>The ADSs being offered by the selling stockholders through this prospectus were originally acquired (a) as founders' shares in connection with our formation or (b) through the exercise of options issued through our equity compensation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58"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Set forth below is the opinion of Cahill Gordon &amp; Reindel LLP, counsel to ICON, regarding the material U.S. federal income tax consequences of the ownership and disposition of ordinary shares or ADSs purchased in this offering by U.S. Holders (as defined below) who hold such ordinary shares or ADSs as capital assets. The following opinion is based upon the provisions of the Internal Revenue Code of 1986, as amended (the “Code”), and regulations, rulings and judicial decisions thereunder as now in effect, and such authorities may be repealed, revoked or modified (possibly on a retroactive basis) so as to result in U.S. federal income tax consequences different from those described in the opinion. The following opinion is based on the accuracy of (i) each of the factual matters set forth in this prospectus and (ii) factual representations contained in a certificate of ICON plc delivered to Cahill Gordon &amp; Reindel LLP in connection with this opinion, which facts have not been independently reviewed or verified by Ca-hill Gordon &amp; Reindel LLP. Any inaccuracy in any of these factual matters may affect the legal conclusions reached in the opinion. Cahill Gordon &amp; Reindel LLP has no obligation to update this opinion to reflect future changes in law or any inaccuracies in any of the foregoing factual matters that may later come to our attention.</w:t>
      </w:r>
    </w:p>
    <w:p>
      <w:pPr>
        <w:spacing w:after="0" w:line="201" w:lineRule="exact"/>
        <w:rPr>
          <w:sz w:val="20"/>
          <w:szCs w:val="20"/>
          <w:color w:val="auto"/>
        </w:rPr>
      </w:pPr>
    </w:p>
    <w:p>
      <w:pPr>
        <w:ind w:right="60" w:firstLine="270"/>
        <w:spacing w:after="0" w:line="298" w:lineRule="auto"/>
        <w:rPr>
          <w:sz w:val="20"/>
          <w:szCs w:val="20"/>
          <w:color w:val="auto"/>
        </w:rPr>
      </w:pPr>
      <w:r>
        <w:rPr>
          <w:rFonts w:ascii="Arial" w:cs="Arial" w:eastAsia="Arial" w:hAnsi="Arial"/>
          <w:sz w:val="16"/>
          <w:szCs w:val="16"/>
          <w:color w:val="auto"/>
        </w:rPr>
        <w:t>As discussed in the opinion, the U.S. federal income tax consequences of the ownership and disposition of ordinary shares or ADSs purchased in this offering will depend to a significant extent on ICON’s actual income and assets and the manner in which ICON manages and conducts its business, both now and in the future. ICON’s projections, computations and estimates of these items have not been independently reviewed or verified by Cahill Gordon &amp; Reindel LLP, and Cahill Gordon &amp; Reindel LLP expresses no opinion regarding such projections, computations and estimates.</w:t>
      </w:r>
    </w:p>
    <w:p>
      <w:pPr>
        <w:spacing w:after="0" w:line="194" w:lineRule="exact"/>
        <w:rPr>
          <w:sz w:val="20"/>
          <w:szCs w:val="20"/>
          <w:color w:val="auto"/>
        </w:rPr>
      </w:pPr>
    </w:p>
    <w:p>
      <w:pPr>
        <w:ind w:right="80" w:firstLine="270"/>
        <w:spacing w:after="0" w:line="332" w:lineRule="auto"/>
        <w:rPr>
          <w:sz w:val="20"/>
          <w:szCs w:val="20"/>
          <w:color w:val="auto"/>
        </w:rPr>
      </w:pPr>
      <w:r>
        <w:rPr>
          <w:rFonts w:ascii="Arial" w:cs="Arial" w:eastAsia="Arial" w:hAnsi="Arial"/>
          <w:sz w:val="16"/>
          <w:szCs w:val="16"/>
          <w:color w:val="auto"/>
        </w:rPr>
        <w:t>This opinion is not a guarantee and merely represents the judgment of Cahill Gordon &amp; Reindel LLP regarding the specific matters addressed. The opinion is not binding on the Internal Revenue Service (the “IRS”) or any court and there is no assurance that the IRS or a court would not reach a contrary conclusion.</w:t>
      </w:r>
    </w:p>
    <w:p>
      <w:pPr>
        <w:spacing w:after="0" w:line="166" w:lineRule="exact"/>
        <w:rPr>
          <w:sz w:val="20"/>
          <w:szCs w:val="20"/>
          <w:color w:val="auto"/>
        </w:rPr>
      </w:pPr>
    </w:p>
    <w:p>
      <w:pPr>
        <w:ind w:firstLine="270"/>
        <w:spacing w:after="0" w:line="309" w:lineRule="auto"/>
        <w:rPr>
          <w:sz w:val="20"/>
          <w:szCs w:val="20"/>
          <w:color w:val="auto"/>
        </w:rPr>
      </w:pPr>
      <w:r>
        <w:rPr>
          <w:rFonts w:ascii="Arial" w:cs="Arial" w:eastAsia="Arial" w:hAnsi="Arial"/>
          <w:sz w:val="15"/>
          <w:szCs w:val="15"/>
          <w:color w:val="auto"/>
        </w:rPr>
        <w:t>This opinion applies only to U.S. Holders (as defined below) and does not apply to certain categories of U.S. Holders subject to special treatment under the Code, such as holders that are pass-through entities or investors in pass-through entities, dealers or traders in securities or currencies, banks, insurance companies, traders who elect to mark-to-market their securities, persons whose “functional currency” is not the U.S. dollar, persons who own actually or constructively 10% or more (by voting power or value) of the shares of ICON plc, tax-exempt entities, U.S. expatriates, persons who hold ordinary shares or ADSs as a position in a straddle or as part of a “hedging,” “integrated,” “constructive sale” or “conversion” transaction and persons subject to the U.S. federal alternative minimum tax. Moreover, the opinion addresses only U.S. federal income tax consequences and does not address any other U.S. federal tax consequences or any state, local, non-U.S. or other tax consequences. Accordingly, prospective investors are urged to consult their own tax advisors to determine the specific tax consequences of the ownership and disposition of ordinary shares or ADSs to them, including any U.S. federal, state, local, non-U.S. or other tax consequences of (and any tax return filing or other reporting requirements relating to) the ownership and disposition of ordinary shares or ADSs purchased in this offering.</w:t>
      </w:r>
    </w:p>
    <w:p>
      <w:pPr>
        <w:spacing w:after="0" w:line="189" w:lineRule="exact"/>
        <w:rPr>
          <w:sz w:val="20"/>
          <w:szCs w:val="20"/>
          <w:color w:val="auto"/>
        </w:rPr>
      </w:pPr>
    </w:p>
    <w:p>
      <w:pPr>
        <w:ind w:right="260" w:firstLine="270"/>
        <w:spacing w:after="0" w:line="306" w:lineRule="auto"/>
        <w:rPr>
          <w:sz w:val="20"/>
          <w:szCs w:val="20"/>
          <w:color w:val="auto"/>
        </w:rPr>
      </w:pPr>
      <w:r>
        <w:rPr>
          <w:rFonts w:ascii="Arial" w:cs="Arial" w:eastAsia="Arial" w:hAnsi="Arial"/>
          <w:sz w:val="16"/>
          <w:szCs w:val="16"/>
          <w:color w:val="auto"/>
        </w:rPr>
        <w:t>For purposes of the following opinion, the term “U.S. Holder” means a beneficial owner of ordinary shares or ADSs that is, for U.S. federal income tax purposes, a individual who is a U.S. citizen or resident, a corporation created or organized in or under the laws of the United States or any political subdivision thereof, an estate the income of which is includable in gross income for U.S. federal income tax purposes regardless of its source, or a trust if: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left="540" w:right="220"/>
        <w:spacing w:after="0" w:line="299" w:lineRule="auto"/>
        <w:rPr>
          <w:sz w:val="20"/>
          <w:szCs w:val="20"/>
          <w:color w:val="auto"/>
        </w:rPr>
      </w:pPr>
      <w:r>
        <w:rPr>
          <w:rFonts w:ascii="Arial" w:cs="Arial" w:eastAsia="Arial" w:hAnsi="Arial"/>
          <w:sz w:val="18"/>
          <w:szCs w:val="18"/>
          <w:color w:val="auto"/>
        </w:rPr>
        <w:t>a U.S. court is able to exercise primary supervision over the administration of the trust and one or more U.S. fiduciaries have the authority to control all substantial decisions of the trust;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trust has a valid election in effect under applicable U.S.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U.S. federal income tax purposes, U.S. Holders of ADSs are treated as the owners of the underlying ordinary shares.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Subject to the foregoing, it is the opinion of Cahill Gordon &amp; Reindel LLP that: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8"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Subject to the passive foreign investment company (“PFIC”) rules discussed below, the gross amount of a distribution paid on an ordinary share or on an ADS (including the amount of any withholding tax) will be a dividend for U.S. federal income tax purposes to the extent paid out of ICON plc’s current or accumulated earnings and profits (as determined for U.S. federal income tax purposes). To the extent that a distribution exceeds the portion of ICON plc’s earnings and profits attributable to such distribution, it will be treated as a nontaxable return of capital to the extent of a U.S. Holder’s tax basis in such share or ADS and thereafter as a capital gain. Dividends paid by ICON plc, if any, generally will not qualify for the dividends-received deduction otherwise generally available to corporate shareholders.</w:t>
      </w:r>
    </w:p>
    <w:p>
      <w:pPr>
        <w:spacing w:after="0" w:line="225" w:lineRule="exact"/>
        <w:rPr>
          <w:sz w:val="20"/>
          <w:szCs w:val="20"/>
          <w:color w:val="auto"/>
        </w:rPr>
      </w:pPr>
    </w:p>
    <w:p>
      <w:pPr>
        <w:ind w:right="380" w:firstLine="270"/>
        <w:spacing w:after="0" w:line="259" w:lineRule="auto"/>
        <w:rPr>
          <w:sz w:val="20"/>
          <w:szCs w:val="20"/>
          <w:color w:val="auto"/>
        </w:rPr>
      </w:pPr>
      <w:r>
        <w:rPr>
          <w:rFonts w:ascii="Arial" w:cs="Arial" w:eastAsia="Arial" w:hAnsi="Arial"/>
          <w:sz w:val="18"/>
          <w:szCs w:val="18"/>
          <w:color w:val="auto"/>
        </w:rPr>
        <w:t>Provided that we have not been and do not become a PFIC (as discussed below), dividends, if any, received by noncorporate holders in taxable years beginning prior to 2009 generally will be eligible for reduced rates of taxation applicable to “qualified dividend income,” subject to minimum holding period requirements and certain other requirements and limitations.</w:t>
      </w:r>
    </w:p>
    <w:p>
      <w:pPr>
        <w:spacing w:after="0" w:line="22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The amount of any dividend paid in euros or other non-U.S. currency (a “foreign currency”) will equal the U.S. dollar value of the foreign currency received calculated by reference to the exchange rate in effect on the date the dividend is distributed regardless of whether the foreign currency is converted into U.S. dollars. If the foreign currency received as a dividend is not converted into U.S. dollars on the date of receipt, a U.S. Holder will have a basis in the foreign currency equal to its U.S. dollar value on the date of receipt. Any gain or loss realized on a subsequent conversion or other disposition of the foreign currency will be treated as ordinary income or loss.</w:t>
      </w:r>
    </w:p>
    <w:p>
      <w:pPr>
        <w:spacing w:after="0" w:line="224"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Because more than 50% of the total combined voting power of all classes of ICON plc’s shares entitled to vote or the total value of ICON plc’s shares may be owned by U.S. persons, a portion of any dividends received by a U.S. Holder of ordinary shares or ADSs may be treated as U.S. source dividend income for purposes of calculating a U.S. Holder’s entitlement to U.S. foreign tax credits. However, a U.S. Holder entitled to benefits under the Ireland-U.S. Income Tax Treaty may elect to treat as foreign source income any portion of ICON plc’s dividends that otherwise would be treated as U.S. source pursuant to the rule described in the preceding sentence, in which event such portion of the ICON plc dividend must be separated from other income items for purposes of calculating the U.S. Holder’s foreign tax credit. U.S. Holders should consult their own tax advisors about the desirability of making, and the method of making, such an election and the application of the foreign tax credit provisions to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w:t>
      </w:r>
    </w:p>
    <w:p>
      <w:pPr>
        <w:spacing w:after="0" w:line="258"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Subject to the PFIC rules discussed below, upon a sale, exchange or other disposition of the ordinary shares or ADSs, a U.S. Holder generally will recognize a gain or a loss, if any, equal to the differ-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58" w:right="239" w:bottom="1440" w:gutter="0" w:footer="0" w:header="0"/>
        </w:sectPr>
      </w:pPr>
    </w:p>
    <w:bookmarkStart w:id="19" w:name="page20"/>
    <w:bookmarkEnd w:id="19"/>
    <w:p>
      <w:pPr>
        <w:ind w:right="400"/>
        <w:spacing w:after="0" w:line="306" w:lineRule="auto"/>
        <w:rPr>
          <w:sz w:val="20"/>
          <w:szCs w:val="20"/>
          <w:color w:val="auto"/>
        </w:rPr>
      </w:pPr>
      <w:r>
        <w:rPr>
          <w:rFonts w:ascii="Arial" w:cs="Arial" w:eastAsia="Arial" w:hAnsi="Arial"/>
          <w:sz w:val="16"/>
          <w:szCs w:val="16"/>
          <w:color w:val="auto"/>
        </w:rPr>
        <w:t>ence between the amount realized upon the sale, exchange or disposition and the U.S. Holder’s tax basis in the ordinary shares or ADSs. Generally, a U.S. Holder’s tax basis in the ordinary shares or ADSs will be such holder’s cost. Such gain or loss will be capital gain or loss. Such gain or loss will generally be treated as U.S. source gain or loss. The exchange of ADSs for ordinary shares will not be a taxable event for U.S. federal income tax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PFIC Status</w:t>
      </w:r>
    </w:p>
    <w:p>
      <w:pPr>
        <w:spacing w:after="0" w:line="258" w:lineRule="exact"/>
        <w:rPr>
          <w:sz w:val="20"/>
          <w:szCs w:val="20"/>
          <w:color w:val="auto"/>
        </w:rPr>
      </w:pPr>
    </w:p>
    <w:p>
      <w:pPr>
        <w:ind w:right="200" w:firstLine="270"/>
        <w:spacing w:after="0" w:line="301" w:lineRule="auto"/>
        <w:rPr>
          <w:sz w:val="20"/>
          <w:szCs w:val="20"/>
          <w:color w:val="auto"/>
        </w:rPr>
      </w:pPr>
      <w:r>
        <w:rPr>
          <w:rFonts w:ascii="Arial" w:cs="Arial" w:eastAsia="Arial" w:hAnsi="Arial"/>
          <w:sz w:val="15"/>
          <w:szCs w:val="15"/>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 passive income or are held for the production of passive income is at least 50%. If the representations made by ICON’s management regarding the nature and amount of its income and assets and the manner in which it has managed and conducted its business are accurate (without regard to any knowledge or belief qualifiers expressed by management), ICON plc was not a PFIC for its taxable year ended December 31, 2005. In addition, while there can be no assurance because the determination depends on future events, based on ICON management’s current projections of ICON’s future income and assets, and the manner in which ICON currently intends to manage and conduct its business in the future, ICON plc will not be a PFIC in its current taxable year ending December 31,</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2006 or in the foreseeable future. If ICON plc were treated as a PFIC for any taxable year in which a U.S. Holder held ordinary shares or ADSs, certain adverse consequences could apply, including a material increase in the amount of tax that the U.S. Holder would owe, an imposition of tax earlier than would otherwise be imposed, interest charges and additional tax form filing requirements. A U.S. Holder owning shares in a PFIC generally may be able to avoid or mitigate these adverse tax consequences by making a timely “qualified electing fund” (“QEF”) or “mark-to-market” election. U.S. Holders should consult with their tax advisors as to the effect of these rules, including the circumstances under which a U.S. Holder will be required to file a timely “protective statement” in order to preserve its right to make a QEF election.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Tax and Information Reporting</w:t>
      </w:r>
    </w:p>
    <w:p>
      <w:pPr>
        <w:spacing w:after="0" w:line="258" w:lineRule="exact"/>
        <w:rPr>
          <w:sz w:val="20"/>
          <w:szCs w:val="20"/>
          <w:color w:val="auto"/>
        </w:rPr>
      </w:pPr>
    </w:p>
    <w:p>
      <w:pPr>
        <w:jc w:val="both"/>
        <w:ind w:right="60" w:firstLine="270"/>
        <w:spacing w:after="0" w:line="370" w:lineRule="auto"/>
        <w:rPr>
          <w:sz w:val="20"/>
          <w:szCs w:val="20"/>
          <w:color w:val="auto"/>
        </w:rPr>
      </w:pPr>
      <w:r>
        <w:rPr>
          <w:rFonts w:ascii="Arial" w:cs="Arial" w:eastAsia="Arial" w:hAnsi="Arial"/>
          <w:sz w:val="15"/>
          <w:szCs w:val="15"/>
          <w:color w:val="auto"/>
        </w:rPr>
        <w:t>A U.S. Holder of ordinary shares or ADSs may be subject to information reporting requirements and backup withholding tax for amounts paid with respect to dividends on the ordinary shares or ADSs, or the proceeds of sale or other disposition (including a redemption) of the ordinary shares or ADSs, unless the holder:</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is a corporation or comes within certain other exempt categories, and when required, demonstrates this fact;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right="240"/>
        <w:spacing w:after="0" w:line="299" w:lineRule="auto"/>
        <w:rPr>
          <w:sz w:val="20"/>
          <w:szCs w:val="20"/>
          <w:color w:val="auto"/>
        </w:rPr>
      </w:pPr>
      <w:r>
        <w:rPr>
          <w:rFonts w:ascii="Arial" w:cs="Arial" w:eastAsia="Arial" w:hAnsi="Arial"/>
          <w:sz w:val="18"/>
          <w:szCs w:val="18"/>
          <w:color w:val="auto"/>
        </w:rPr>
        <w:t>provides a correct taxpayer identification number, or T.I.N., certifies that he, she or it is not subject to backup withholding and otherwise complies with applicable requirements of the backup withholding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A U.S. Holder of ordinary shares or ADSs who does not provide a correct T.I.N. may be subject to penalties imposed by the IRS. Any amount withheld under backup withholding rules generally will be creditable against a U.S. Holder’s U.S. federal income tax liability and may entitle such U.S. Holder to a refund, provided that a U.S. Holder timely furnishes certain information to the IRS.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IRISH TAXATION CONSIDERATIONS</w:t>
      </w:r>
    </w:p>
    <w:p>
      <w:pPr>
        <w:spacing w:after="0" w:line="258"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Set forth below is the opinion of KPMG, Tax Advisors to the Company, regarding the material aspects of Irish tax law and practice regarding the ownership and disposition of ordinary shares and ADSs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line="289" w:lineRule="auto"/>
        <w:rPr>
          <w:sz w:val="20"/>
          <w:szCs w:val="20"/>
          <w:color w:val="auto"/>
        </w:rPr>
      </w:pPr>
      <w:r>
        <w:rPr>
          <w:rFonts w:ascii="Arial" w:cs="Arial" w:eastAsia="Arial" w:hAnsi="Arial"/>
          <w:sz w:val="16"/>
          <w:szCs w:val="16"/>
          <w:color w:val="auto"/>
        </w:rPr>
        <w:t>by US Holders (as defined in the opinion included elsewhere in “U.S. Taxation Considerations” provided by Cahill Gordon &amp; Reindel LLP). This opinion deals with only ordinary shares and ADSs held as capital assets and does not address special classes of shareholders such as dealers in securities. This opinion also does not address any potential application of Section 811 Taxes Consolidation Act of 1997, a general anti-avoidance section, enabling Irish Revenue Commissions to recharacterize transactions undertaken for tax avoidance motives. This opinion is not exhaustive and all shareholders are advised to contact their own tax advisers with respect to the taxation consequences of their ownership or disposition of ordinary shares or ADSs. This opinion is not a guarantee and merely represents the judgment of KPMG regarding the specific matters addressed.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Subject to the foregoing, it is the opinion of KPMG that: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8"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resident nor ordinarily resident for tax purposes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Non-Irish resident corporate shareholders that: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are ultimately controlled by residents of a Relevant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are resident in a Relevant Territory and are not controlled by Irish residents;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right="440"/>
        <w:spacing w:after="0" w:line="299" w:lineRule="auto"/>
        <w:rPr>
          <w:sz w:val="20"/>
          <w:szCs w:val="20"/>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or Territories;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right="380"/>
        <w:spacing w:after="0" w:line="299" w:lineRule="auto"/>
        <w:rPr>
          <w:sz w:val="20"/>
          <w:szCs w:val="20"/>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or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will be exempt from withholding tax on the production of the appropriate certificates and declarations.</w:t>
      </w:r>
    </w:p>
    <w:p>
      <w:pPr>
        <w:spacing w:after="0" w:line="252" w:lineRule="exact"/>
        <w:rPr>
          <w:sz w:val="20"/>
          <w:szCs w:val="20"/>
          <w:color w:val="auto"/>
        </w:rPr>
      </w:pPr>
    </w:p>
    <w:p>
      <w:pPr>
        <w:ind w:right="440" w:firstLine="270"/>
        <w:spacing w:after="0" w:line="268" w:lineRule="auto"/>
        <w:rPr>
          <w:sz w:val="20"/>
          <w:szCs w:val="20"/>
          <w:color w:val="auto"/>
        </w:rPr>
      </w:pPr>
      <w:r>
        <w:rPr>
          <w:rFonts w:ascii="Arial" w:cs="Arial" w:eastAsia="Arial" w:hAnsi="Arial"/>
          <w:sz w:val="18"/>
          <w:szCs w:val="18"/>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213" w:lineRule="exact"/>
        <w:rPr>
          <w:sz w:val="20"/>
          <w:szCs w:val="20"/>
          <w:color w:val="auto"/>
        </w:rPr>
      </w:pPr>
    </w:p>
    <w:p>
      <w:pPr>
        <w:ind w:right="140" w:firstLine="270"/>
        <w:spacing w:after="0" w:line="268" w:lineRule="auto"/>
        <w:rPr>
          <w:sz w:val="20"/>
          <w:szCs w:val="20"/>
          <w:color w:val="auto"/>
        </w:rPr>
      </w:pPr>
      <w:r>
        <w:rPr>
          <w:rFonts w:ascii="Arial" w:cs="Arial" w:eastAsia="Arial" w:hAnsi="Arial"/>
          <w:sz w:val="18"/>
          <w:szCs w:val="18"/>
          <w:color w:val="auto"/>
        </w:rPr>
        <w:t>Special arrangements are available in the case of interests in shares held in Irish companies through American depositary banks using ADSs. The depositary bank will be allowed to receive and pass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on a dividend from the Irish company without any deduction for withholding tax in the following circumstances:</w:t>
      </w:r>
    </w:p>
    <w:p>
      <w:pPr>
        <w:spacing w:after="0" w:line="252" w:lineRule="exact"/>
        <w:rPr>
          <w:sz w:val="20"/>
          <w:szCs w:val="20"/>
          <w:color w:val="auto"/>
        </w:rPr>
      </w:pPr>
    </w:p>
    <w:p>
      <w:pPr>
        <w:ind w:left="540" w:right="440"/>
        <w:spacing w:after="0" w:line="299" w:lineRule="auto"/>
        <w:rPr>
          <w:sz w:val="20"/>
          <w:szCs w:val="20"/>
          <w:color w:val="auto"/>
        </w:rPr>
      </w:pPr>
      <w:r>
        <w:rPr>
          <w:rFonts w:ascii="Arial" w:cs="Arial" w:eastAsia="Arial" w:hAnsi="Arial"/>
          <w:sz w:val="18"/>
          <w:szCs w:val="18"/>
          <w:color w:val="auto"/>
        </w:rPr>
        <w:t>the depositary has been authorized by the Irish Revenue Commissioners as a qualifying intermediary and such authorization has not expired or been revoked; and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depositary bank’s ADS register shows that the beneficial owner has a U.S. address on the register;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right="640"/>
        <w:spacing w:after="0" w:line="299" w:lineRule="auto"/>
        <w:rPr>
          <w:sz w:val="20"/>
          <w:szCs w:val="20"/>
          <w:color w:val="auto"/>
        </w:rPr>
      </w:pPr>
      <w:r>
        <w:rPr>
          <w:rFonts w:ascii="Arial" w:cs="Arial" w:eastAsia="Arial" w:hAnsi="Arial"/>
          <w:sz w:val="18"/>
          <w:szCs w:val="18"/>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58" w:lineRule="exact"/>
        <w:rPr>
          <w:sz w:val="20"/>
          <w:szCs w:val="20"/>
          <w:color w:val="auto"/>
        </w:rPr>
      </w:pPr>
    </w:p>
    <w:p>
      <w:pPr>
        <w:ind w:right="420" w:firstLine="270"/>
        <w:spacing w:after="0" w:line="268"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213"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However, a U.S. Holder will not have an Irish income tax liability on dividends from the company if the U.S. Holder is neither resident nor ordinarily resident in the Republic of Ireland and the U.S. Holder is:</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 individual resident in the U.S. (or any other country with which Ireland has a double taxation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 corporation that is ultimately controlled by persons resident in the U.S. (or any other country with which Ireland has a double taxation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right="60"/>
        <w:spacing w:after="0" w:line="299" w:lineRule="auto"/>
        <w:rPr>
          <w:sz w:val="20"/>
          <w:szCs w:val="20"/>
          <w:color w:val="auto"/>
        </w:rPr>
      </w:pPr>
      <w:r>
        <w:rPr>
          <w:rFonts w:ascii="Arial" w:cs="Arial" w:eastAsia="Arial" w:hAnsi="Arial"/>
          <w:sz w:val="18"/>
          <w:szCs w:val="18"/>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right="420"/>
        <w:spacing w:after="0" w:line="299" w:lineRule="auto"/>
        <w:rPr>
          <w:sz w:val="20"/>
          <w:szCs w:val="20"/>
          <w:color w:val="auto"/>
        </w:rPr>
      </w:pPr>
      <w:r>
        <w:rPr>
          <w:rFonts w:ascii="Arial" w:cs="Arial" w:eastAsia="Arial" w:hAnsi="Arial"/>
          <w:sz w:val="18"/>
          <w:szCs w:val="18"/>
          <w:color w:val="auto"/>
        </w:rPr>
        <w:t>a corporation resident in another EU member state or in a country with which Ireland has concluded a double taxation treaty, which is not controlled directly or indirectly by Irish residents;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right="700"/>
        <w:spacing w:after="0" w:line="367" w:lineRule="auto"/>
        <w:rPr>
          <w:sz w:val="20"/>
          <w:szCs w:val="20"/>
          <w:color w:val="auto"/>
        </w:rPr>
      </w:pPr>
      <w:r>
        <w:rPr>
          <w:rFonts w:ascii="Arial" w:cs="Arial" w:eastAsia="Arial" w:hAnsi="Arial"/>
          <w:sz w:val="16"/>
          <w:szCs w:val="16"/>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-321310</wp:posOffset>
            </wp:positionV>
            <wp:extent cx="68580"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0"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w:t>
      </w:r>
    </w:p>
    <w:p>
      <w:pPr>
        <w:spacing w:after="0" w:line="258" w:lineRule="exact"/>
        <w:rPr>
          <w:sz w:val="20"/>
          <w:szCs w:val="20"/>
          <w:color w:val="auto"/>
        </w:rPr>
      </w:pPr>
    </w:p>
    <w:p>
      <w:pPr>
        <w:ind w:right="320" w:firstLine="270"/>
        <w:spacing w:after="0" w:line="332" w:lineRule="auto"/>
        <w:rPr>
          <w:sz w:val="20"/>
          <w:szCs w:val="20"/>
          <w:color w:val="auto"/>
        </w:rPr>
      </w:pPr>
      <w:r>
        <w:rPr>
          <w:rFonts w:ascii="Arial" w:cs="Arial" w:eastAsia="Arial" w:hAnsi="Arial"/>
          <w:sz w:val="16"/>
          <w:szCs w:val="16"/>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ind w:right="200"/>
        <w:spacing w:after="0" w:line="259" w:lineRule="auto"/>
        <w:rPr>
          <w:sz w:val="20"/>
          <w:szCs w:val="20"/>
          <w:color w:val="auto"/>
        </w:rPr>
      </w:pPr>
      <w:r>
        <w:rPr>
          <w:rFonts w:ascii="Arial" w:cs="Arial" w:eastAsia="Arial" w:hAnsi="Arial"/>
          <w:sz w:val="18"/>
          <w:szCs w:val="18"/>
          <w:color w:val="auto"/>
        </w:rPr>
        <w:t>or ADSs, as the case may be, are either quoted on a stock exchange or do not derive the greater part of their value from Irish land or mineral rights. There are provisions to subject a person who disposes of an interest in a company while temporarily being non-Irish tax resident, to Irish capital gains tax. This treatment will apply to Irish-domiciled individuals:</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who cease to be Irish 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who own the shares when they cease to be 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line="299" w:lineRule="auto"/>
        <w:rPr>
          <w:sz w:val="20"/>
          <w:szCs w:val="20"/>
          <w:color w:val="auto"/>
        </w:rPr>
      </w:pPr>
      <w:r>
        <w:rPr>
          <w:rFonts w:ascii="Arial" w:cs="Arial" w:eastAsia="Arial" w:hAnsi="Arial"/>
          <w:sz w:val="18"/>
          <w:szCs w:val="18"/>
          <w:color w:val="auto"/>
        </w:rPr>
        <w:t>if there are not more than five years of assessment between the last year of Irish tax residence prior to becoming temporarily non-resident and the tax year that such individual resumes Irish tax residency;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who dispose of an interest in a company during this temporary non-residence;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interest disposed of represents 5% or greater of the share capital of the company or is worth at least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213" w:lineRule="exact"/>
        <w:rPr>
          <w:sz w:val="20"/>
          <w:szCs w:val="20"/>
          <w:color w:val="auto"/>
        </w:rPr>
      </w:pPr>
    </w:p>
    <w:p>
      <w:pPr>
        <w:jc w:val="both"/>
        <w:ind w:right="120" w:firstLine="270"/>
        <w:spacing w:after="0" w:line="335" w:lineRule="auto"/>
        <w:rPr>
          <w:sz w:val="20"/>
          <w:szCs w:val="20"/>
          <w:color w:val="auto"/>
        </w:rPr>
      </w:pPr>
      <w:r>
        <w:rPr>
          <w:rFonts w:ascii="Arial" w:cs="Arial" w:eastAsia="Arial" w:hAnsi="Arial"/>
          <w:sz w:val="15"/>
          <w:szCs w:val="15"/>
          <w:color w:val="auto"/>
        </w:rPr>
        <w:t>A transfer of assets between spouses will not give rise to a gain or loss for a capital gains tax purposes. The spouse who receives the asset is deemed to have acquired it on the date and at the cost at which the other spouse acquired it. However, these provisions will not apply and a charge to capital gains tax may arise where the spouse acquiring the asset would not be liable to Irish capital gains tax if he/she disposed of such assets in the year in which they were acquired.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Duty–Ordinary Shares</w:t>
      </w:r>
    </w:p>
    <w:p>
      <w:pPr>
        <w:spacing w:after="0" w:line="258" w:lineRule="exact"/>
        <w:rPr>
          <w:sz w:val="20"/>
          <w:szCs w:val="20"/>
          <w:color w:val="auto"/>
        </w:rPr>
      </w:pPr>
    </w:p>
    <w:p>
      <w:pPr>
        <w:ind w:right="40" w:firstLine="270"/>
        <w:spacing w:after="0" w:line="294" w:lineRule="auto"/>
        <w:rPr>
          <w:sz w:val="20"/>
          <w:szCs w:val="20"/>
          <w:color w:val="auto"/>
        </w:rPr>
      </w:pPr>
      <w:r>
        <w:rPr>
          <w:rFonts w:ascii="Arial" w:cs="Arial" w:eastAsia="Arial" w:hAnsi="Arial"/>
          <w:sz w:val="16"/>
          <w:szCs w:val="16"/>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97" w:lineRule="exact"/>
        <w:rPr>
          <w:sz w:val="20"/>
          <w:szCs w:val="20"/>
          <w:color w:val="auto"/>
        </w:rPr>
      </w:pPr>
    </w:p>
    <w:p>
      <w:pPr>
        <w:ind w:right="140" w:firstLine="270"/>
        <w:spacing w:after="0" w:line="256"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€12.70 (the nominal rate) will apply.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Duty–ADSs</w:t>
      </w:r>
    </w:p>
    <w:p>
      <w:pPr>
        <w:spacing w:after="0" w:line="258" w:lineRule="exact"/>
        <w:rPr>
          <w:sz w:val="20"/>
          <w:szCs w:val="20"/>
          <w:color w:val="auto"/>
        </w:rPr>
      </w:pPr>
    </w:p>
    <w:p>
      <w:pPr>
        <w:ind w:right="380" w:firstLine="270"/>
        <w:spacing w:after="0" w:line="332" w:lineRule="auto"/>
        <w:rPr>
          <w:sz w:val="20"/>
          <w:szCs w:val="20"/>
          <w:color w:val="auto"/>
        </w:rPr>
      </w:pPr>
      <w:r>
        <w:rPr>
          <w:rFonts w:ascii="Arial" w:cs="Arial" w:eastAsia="Arial" w:hAnsi="Arial"/>
          <w:sz w:val="16"/>
          <w:szCs w:val="16"/>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ind w:right="60"/>
        <w:spacing w:after="0" w:line="294" w:lineRule="auto"/>
        <w:rPr>
          <w:sz w:val="20"/>
          <w:szCs w:val="20"/>
          <w:color w:val="auto"/>
        </w:rPr>
      </w:pPr>
      <w:r>
        <w:rPr>
          <w:rFonts w:ascii="Arial" w:cs="Arial" w:eastAsia="Arial" w:hAnsi="Arial"/>
          <w:sz w:val="16"/>
          <w:szCs w:val="16"/>
          <w:color w:val="auto"/>
        </w:rPr>
        <w:t>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€12.70 applies.</w:t>
      </w:r>
    </w:p>
    <w:p>
      <w:pPr>
        <w:spacing w:after="0" w:line="197"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color w:val="auto"/>
        </w:rPr>
        <w:t>Transfers of ADSs are exempt from Irish stamp duty as long as the ADSs are dealt in on the Nasdaq National Market or any recognized stock exchange in the United States or Canada.</w:t>
      </w:r>
    </w:p>
    <w:p>
      <w:pPr>
        <w:spacing w:after="0" w:line="213"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Acquisitions Tax</w:t>
      </w:r>
    </w:p>
    <w:p>
      <w:pPr>
        <w:spacing w:after="0" w:line="258" w:lineRule="exact"/>
        <w:rPr>
          <w:sz w:val="20"/>
          <w:szCs w:val="20"/>
          <w:color w:val="auto"/>
        </w:rPr>
      </w:pPr>
    </w:p>
    <w:p>
      <w:pPr>
        <w:ind w:right="180" w:firstLine="270"/>
        <w:spacing w:after="0" w:line="318" w:lineRule="auto"/>
        <w:rPr>
          <w:sz w:val="20"/>
          <w:szCs w:val="20"/>
          <w:color w:val="auto"/>
        </w:rPr>
      </w:pPr>
      <w:r>
        <w:rPr>
          <w:rFonts w:ascii="Arial" w:cs="Arial" w:eastAsia="Arial" w:hAnsi="Arial"/>
          <w:sz w:val="15"/>
          <w:szCs w:val="15"/>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181" w:lineRule="exact"/>
        <w:rPr>
          <w:sz w:val="20"/>
          <w:szCs w:val="20"/>
          <w:color w:val="auto"/>
        </w:rPr>
      </w:pPr>
    </w:p>
    <w:p>
      <w:pPr>
        <w:jc w:val="both"/>
        <w:ind w:right="300" w:firstLine="270"/>
        <w:spacing w:after="0" w:line="306"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and the selling shareholders may sell the securities offered by this prospectus in and outside the United States in one or more of the following ways:</w:t>
      </w:r>
    </w:p>
    <w:p>
      <w:pPr>
        <w:spacing w:after="0" w:line="2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through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through 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through agents;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directly to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We and the selling shareholders may sell, either directly or through agents, and underwriters may resell, the offered securities in one or more transactions, including negotiated transactions, at a fixed public offering price or prices, which may be changed, at market prices prevailing at the time of sale, at prices related to such prevailing market prices or at negotiated prices. Underwriters, dealers and agents may engage in transactions with, or perform services for, us or our affiliates in the ordinary course of their business.</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prospectus supplement relating to any offering will include the following information:</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terms of the offering, including the aggregate number of securities being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names of any underwriters, dealers or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purchase price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net proceeds to us from the sale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delayed delivery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underwriting discounts or other underwriters’ compensation;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discounts or concessions allowed or reallowed or paid to 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through Underwriters or Dealers</w:t>
      </w:r>
    </w:p>
    <w:p>
      <w:pPr>
        <w:spacing w:after="0" w:line="252"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If we or the selling shareholders use underwriters in an offering using this prospectus, we or the selling shareholders will execute an underwriting agreement with one or more underwriters. The underwriting agreement will provide that the obligations of the underwriters with respect to a sale of the offered securities are subject to specified conditions precedent and that the underwriters will be obligated to purchase all of the offered securities if they purchase any. Compensation to the underwriters may be in the form of discounts, concessions or commissions. Underwriters may sell the securities through dealers. The underwriters may change the initial offering price and any discounts or concessions allowed or re-allowed or paid to dealers. If we or the selling shareholders use underwriters in an offering of securities using this prospectus, the applicable prospectus supplement will contain a statement regarding the intention, if any, of the underwriters to make a market in the offered securities.</w:t>
      </w:r>
    </w:p>
    <w:p>
      <w:pPr>
        <w:spacing w:after="0" w:line="199"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color w:val="auto"/>
        </w:rPr>
        <w:t>We or the selling shareholders may grant to the underwriters an option to purchase additional offered securities to cover over-allotments, if any, at the public offering price (with additional underwriting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5" w:name="page26"/>
    <w:bookmarkEnd w:id="25"/>
    <w:p>
      <w:pPr>
        <w:ind w:right="140"/>
        <w:spacing w:after="0" w:line="268" w:lineRule="auto"/>
        <w:rPr>
          <w:sz w:val="20"/>
          <w:szCs w:val="20"/>
          <w:color w:val="auto"/>
        </w:rPr>
      </w:pPr>
      <w:r>
        <w:rPr>
          <w:rFonts w:ascii="Arial" w:cs="Arial" w:eastAsia="Arial" w:hAnsi="Arial"/>
          <w:sz w:val="18"/>
          <w:szCs w:val="18"/>
          <w:color w:val="auto"/>
        </w:rPr>
        <w:t>discounts or commissions), as may be set forth in the related prospectus supplement. If we or the selling shareholders grant any over-allotment option, the terms of the over-allotment option will be set forth in the prospectus supplement relating to such offered securities.</w:t>
      </w:r>
    </w:p>
    <w:p>
      <w:pPr>
        <w:spacing w:after="0" w:line="213"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If we or the selling shareholders use a dealer in an offering of securities using this prospectus, we or the selling shareholders will sell the offered securities to the dealer as principal. The dealer may then resell those securities to the public or other dealers at a fixed price or varying prices to be determined at the time of resale.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 and Sales through Agents</w:t>
      </w:r>
    </w:p>
    <w:p>
      <w:pPr>
        <w:spacing w:after="0" w:line="252" w:lineRule="exact"/>
        <w:rPr>
          <w:sz w:val="20"/>
          <w:szCs w:val="20"/>
          <w:color w:val="auto"/>
        </w:rPr>
      </w:pPr>
    </w:p>
    <w:p>
      <w:pPr>
        <w:ind w:right="160" w:firstLine="270"/>
        <w:spacing w:after="0" w:line="256" w:lineRule="auto"/>
        <w:rPr>
          <w:sz w:val="20"/>
          <w:szCs w:val="20"/>
          <w:color w:val="auto"/>
        </w:rPr>
      </w:pPr>
      <w:r>
        <w:rPr>
          <w:rFonts w:ascii="Arial" w:cs="Arial" w:eastAsia="Arial" w:hAnsi="Arial"/>
          <w:sz w:val="18"/>
          <w:szCs w:val="18"/>
          <w:color w:val="auto"/>
        </w:rPr>
        <w:t>We or the selling shareholders may also use this prospectus to directly solicit offers to purchase securities. In this case, no underwriters or agents would be involved. Except as set forth in the applicable prospectus supplement, none of our directors, officers or employees will solicit or receive a commission in connection with those direct sales. Those persons may respond to inquiries by potential purchasers and perform ministerial and clerical work in connection with direct sales.</w:t>
      </w:r>
    </w:p>
    <w:p>
      <w:pPr>
        <w:spacing w:after="0" w:line="224" w:lineRule="exact"/>
        <w:rPr>
          <w:sz w:val="20"/>
          <w:szCs w:val="20"/>
          <w:color w:val="auto"/>
        </w:rPr>
      </w:pPr>
    </w:p>
    <w:p>
      <w:pPr>
        <w:ind w:right="60" w:firstLine="270"/>
        <w:spacing w:after="0" w:line="306" w:lineRule="auto"/>
        <w:rPr>
          <w:sz w:val="20"/>
          <w:szCs w:val="20"/>
          <w:color w:val="auto"/>
        </w:rPr>
      </w:pPr>
      <w:r>
        <w:rPr>
          <w:rFonts w:ascii="Arial" w:cs="Arial" w:eastAsia="Arial" w:hAnsi="Arial"/>
          <w:sz w:val="16"/>
          <w:szCs w:val="16"/>
          <w:color w:val="auto"/>
        </w:rPr>
        <w:t>We or the selling shareholders may also sell the offered securities through agents we or they designate from time to time. In the prospectus supplement, we or the selling shareholders will describe any commission payable by us or them to the agent. Unless we inform you otherwise in the prospectus supplement, any agent will agree to use its reasonable best efforts to solicit purchases for the period of its appointment.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Delayed Delivery Contracts</w:t>
      </w:r>
    </w:p>
    <w:p>
      <w:pPr>
        <w:spacing w:after="0" w:line="252" w:lineRule="exact"/>
        <w:rPr>
          <w:sz w:val="20"/>
          <w:szCs w:val="20"/>
          <w:color w:val="auto"/>
        </w:rPr>
      </w:pPr>
    </w:p>
    <w:p>
      <w:pPr>
        <w:ind w:right="140" w:firstLine="270"/>
        <w:spacing w:after="0" w:line="289" w:lineRule="auto"/>
        <w:rPr>
          <w:sz w:val="20"/>
          <w:szCs w:val="20"/>
          <w:color w:val="auto"/>
        </w:rPr>
      </w:pPr>
      <w:r>
        <w:rPr>
          <w:rFonts w:ascii="Arial" w:cs="Arial" w:eastAsia="Arial" w:hAnsi="Arial"/>
          <w:sz w:val="16"/>
          <w:szCs w:val="16"/>
          <w:color w:val="auto"/>
        </w:rPr>
        <w:t>If so indicated in the prospectus supplement relating to a particular issue of offered securities, we or the selling shareholders may authorize underwriters and agents to solicit offers by certain institutions to purchase securities pursuant to delayed delivery contracts providing for payment and delivery on a future date. Institutions with which delayed delivery contracts may be made include commercial and savings banks, insurance companies, educational and charitable institutions and other institutions we or the selling shareholders may approve. The obligations of any purchaser under any delayed delivery contract will not be subject to any conditions except that any related sale of offered securities to underwriters shall have occurred and the purchase by an institution of the securities covered by its delayed delivery contract shall not at the time of delivery be prohibited under the laws of any jurisdiction to which that institution is subject. Any commission paid to agents and underwriters soliciting purchases of securities pursuant to delayed delivery contracts accepted by us or the selling shareholders will be detailed in the prospectus supplement.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52"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Underwriters, dealers or agents participating in a distribution of securities using this prospectus may be deemed to be underwriters under the Securities Act. Pursuant to agreements that we or the selling shareholders may enter into, underwriters, dealers or agents who participate in the distribution of securities by use of this prospectus may be entitled to indemnification by us and the selling shareholders against certain liabilities, including liabilities under the Securities Act, or contribution with respect to payments that those underwriters, dealers or agents may be required to make in respect of those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Denominations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offered securities will be sold in minimum units of €50,000 (or the U.S. dollar equivalent thereof).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t>EXCHANGE CONTROLS AND OTHER LIMITATIONS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AFFECTING SECURITY HOLDERS</w:t>
      </w:r>
    </w:p>
    <w:p>
      <w:pPr>
        <w:spacing w:after="0" w:line="246"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221" w:lineRule="exact"/>
        <w:rPr>
          <w:sz w:val="20"/>
          <w:szCs w:val="20"/>
          <w:color w:val="auto"/>
        </w:rPr>
      </w:pPr>
    </w:p>
    <w:p>
      <w:pPr>
        <w:ind w:right="60" w:firstLine="270"/>
        <w:spacing w:after="0" w:line="289" w:lineRule="auto"/>
        <w:rPr>
          <w:sz w:val="20"/>
          <w:szCs w:val="20"/>
          <w:color w:val="auto"/>
        </w:rPr>
      </w:pPr>
      <w:r>
        <w:rPr>
          <w:rFonts w:ascii="Arial" w:cs="Arial" w:eastAsia="Arial" w:hAnsi="Arial"/>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certain persons connected with the former regime in Iraq, certain persons indicted by the International Criminal Tribunal for the former Yugoslavia, Zimbabwe, the Taliban of Afghanistan, Osama bin Laden and Al-Qaeda, Libe-ria, Burma/Myanmar, Uzbekistan, Sudan, Cote D’Ivoire and countries that harbour certain terrorist groups, without the prior permission of the Central Bank of Ireland.</w:t>
      </w:r>
    </w:p>
    <w:p>
      <w:pPr>
        <w:spacing w:after="0" w:line="199" w:lineRule="exact"/>
        <w:rPr>
          <w:sz w:val="20"/>
          <w:szCs w:val="20"/>
          <w:color w:val="auto"/>
        </w:rPr>
      </w:pPr>
    </w:p>
    <w:p>
      <w:pPr>
        <w:ind w:right="260" w:firstLine="270"/>
        <w:spacing w:after="0" w:line="254" w:lineRule="auto"/>
        <w:rPr>
          <w:sz w:val="20"/>
          <w:szCs w:val="20"/>
          <w:color w:val="auto"/>
        </w:rPr>
      </w:pPr>
      <w:r>
        <w:rPr>
          <w:rFonts w:ascii="Arial" w:cs="Arial" w:eastAsia="Arial" w:hAnsi="Arial"/>
          <w:sz w:val="18"/>
          <w:szCs w:val="18"/>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Somalia, Sudan, Uzbekistan, Democratic Republic of Congo, Liberia, Burma/Myanmar, Zimbabwe,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THE ORDINARY SHARES</w:t>
      </w:r>
    </w:p>
    <w:p>
      <w:pPr>
        <w:spacing w:after="0" w:line="258" w:lineRule="exact"/>
        <w:rPr>
          <w:sz w:val="20"/>
          <w:szCs w:val="20"/>
          <w:color w:val="auto"/>
        </w:rPr>
      </w:pPr>
    </w:p>
    <w:p>
      <w:pPr>
        <w:jc w:val="both"/>
        <w:ind w:right="260" w:firstLine="270"/>
        <w:spacing w:after="0" w:line="259" w:lineRule="auto"/>
        <w:rPr>
          <w:sz w:val="20"/>
          <w:szCs w:val="20"/>
          <w:color w:val="auto"/>
        </w:rPr>
      </w:pPr>
      <w:r>
        <w:rPr>
          <w:rFonts w:ascii="Arial" w:cs="Arial" w:eastAsia="Arial" w:hAnsi="Arial"/>
          <w:sz w:val="18"/>
          <w:szCs w:val="18"/>
          <w:color w:val="auto"/>
        </w:rPr>
        <w:t>The validity of the ordinary shares will be passed upon by A&amp;L Goodbody, solicitors, IFSC, Dublin 1, Ireland. Certain matters of U.S. and New York law with respect to this offering will be passed upon for us by Cahill Gordon &amp; Reindel LLP, 80 Pine Street, New York, New York. Cahill Gordon &amp; Reindel LLP may rely upon A&amp;L Goodbody with respect to certain matters governed by Irish law.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8"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The consolidated financial statements of ICON plc as of December 31, 2005, May 31, 2005 and 2004 and for the seven months ended December 31, 2005 and each of the years in the three-year period ended May 31, 2005, have been incorporated by reference herein in reliance upon the report of KPMG, independent registered public accounting firm, incorporated by reference herein, and upon the authority of said firm as experts in accounting and auditing.</w:t>
      </w:r>
    </w:p>
    <w:p>
      <w:pPr>
        <w:spacing w:after="0" w:line="188" w:lineRule="exact"/>
        <w:rPr>
          <w:sz w:val="20"/>
          <w:szCs w:val="20"/>
          <w:color w:val="auto"/>
        </w:rPr>
      </w:pPr>
    </w:p>
    <w:p>
      <w:pPr>
        <w:ind w:right="560" w:firstLine="270"/>
        <w:spacing w:after="0" w:line="268" w:lineRule="auto"/>
        <w:rPr>
          <w:sz w:val="20"/>
          <w:szCs w:val="20"/>
          <w:color w:val="auto"/>
        </w:rPr>
      </w:pPr>
      <w:r>
        <w:rPr>
          <w:rFonts w:ascii="Arial" w:cs="Arial" w:eastAsia="Arial" w:hAnsi="Arial"/>
          <w:sz w:val="18"/>
          <w:szCs w:val="18"/>
          <w:color w:val="auto"/>
        </w:rPr>
        <w:t>The discussions included under the heading “Irish Taxation Considerations” were prepared for the Company by KPMG, independent registered public accounting firm, and have been included herein upon the authority of said firm as experts in tax matters.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ind w:right="100" w:firstLine="270"/>
        <w:spacing w:after="0" w:line="268" w:lineRule="auto"/>
        <w:rPr>
          <w:sz w:val="20"/>
          <w:szCs w:val="20"/>
          <w:color w:val="auto"/>
        </w:rPr>
      </w:pPr>
      <w:r>
        <w:rPr>
          <w:rFonts w:ascii="Arial" w:cs="Arial" w:eastAsia="Arial" w:hAnsi="Arial"/>
          <w:sz w:val="18"/>
          <w:szCs w:val="18"/>
          <w:color w:val="auto"/>
        </w:rPr>
        <w:t>A&amp;L Goodbody have given and have not withdrawn their written consent to the references in this prospectus to their names in the form and context in which they appear.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OF ISSUANCE AND DISTRIBUTION</w:t>
      </w:r>
    </w:p>
    <w:p>
      <w:pPr>
        <w:spacing w:after="0" w:line="258"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color w:val="auto"/>
        </w:rPr>
        <w:t>The following table sets forth the estimated expenses in connection with the issuance and distribution of the shares, which will be borne by us and the selling shareholders proportionately to the ADSs being offered unless otherwise indicated:</w:t>
      </w:r>
    </w:p>
    <w:p>
      <w:pPr>
        <w:spacing w:after="0" w:line="213" w:lineRule="exact"/>
        <w:rPr>
          <w:sz w:val="20"/>
          <w:szCs w:val="20"/>
          <w:color w:val="auto"/>
        </w:rPr>
      </w:pPr>
    </w:p>
    <w:tbl>
      <w:tblPr>
        <w:tblLayout w:type="fixed"/>
        <w:tblInd w:w="280" w:type="dxa"/>
        <w:tblCellMar>
          <w:top w:w="0" w:type="dxa"/>
          <w:left w:w="0" w:type="dxa"/>
          <w:bottom w:w="0" w:type="dxa"/>
          <w:right w:w="0" w:type="dxa"/>
        </w:tblCellMar>
      </w:tblPr>
      <w:tr>
        <w:trPr>
          <w:trHeight w:val="222"/>
        </w:trPr>
        <w:tc>
          <w:tcPr>
            <w:tcW w:w="10320" w:type="dxa"/>
            <w:vAlign w:val="bottom"/>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13,375</w:t>
            </w:r>
          </w:p>
        </w:tc>
      </w:tr>
      <w:tr>
        <w:trPr>
          <w:trHeight w:val="243"/>
        </w:trPr>
        <w:tc>
          <w:tcPr>
            <w:tcW w:w="10320" w:type="dxa"/>
            <w:vAlign w:val="bottom"/>
          </w:tcPr>
          <w:p>
            <w:pPr>
              <w:spacing w:after="0"/>
              <w:rPr>
                <w:sz w:val="20"/>
                <w:szCs w:val="20"/>
                <w:color w:val="auto"/>
              </w:rPr>
            </w:pPr>
            <w:r>
              <w:rPr>
                <w:rFonts w:ascii="Arial" w:cs="Arial" w:eastAsia="Arial" w:hAnsi="Arial"/>
                <w:sz w:val="18"/>
                <w:szCs w:val="18"/>
                <w:color w:val="auto"/>
              </w:rPr>
              <w:t>Nasdaq National Market fees</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43"/>
        </w:trPr>
        <w:tc>
          <w:tcPr>
            <w:tcW w:w="103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270,000</w:t>
            </w:r>
          </w:p>
        </w:tc>
      </w:tr>
      <w:tr>
        <w:trPr>
          <w:trHeight w:val="243"/>
        </w:trPr>
        <w:tc>
          <w:tcPr>
            <w:tcW w:w="103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100,000</w:t>
            </w:r>
          </w:p>
        </w:tc>
      </w:tr>
      <w:tr>
        <w:trPr>
          <w:trHeight w:val="243"/>
        </w:trPr>
        <w:tc>
          <w:tcPr>
            <w:tcW w:w="10320" w:type="dxa"/>
            <w:vAlign w:val="bottom"/>
          </w:tcPr>
          <w:p>
            <w:pPr>
              <w:spacing w:after="0"/>
              <w:rPr>
                <w:sz w:val="20"/>
                <w:szCs w:val="20"/>
                <w:color w:val="auto"/>
              </w:rPr>
            </w:pPr>
            <w:r>
              <w:rPr>
                <w:rFonts w:ascii="Arial" w:cs="Arial" w:eastAsia="Arial" w:hAnsi="Arial"/>
                <w:sz w:val="18"/>
                <w:szCs w:val="18"/>
                <w:color w:val="auto"/>
              </w:rPr>
              <w:t>Printing expenses</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175,000</w:t>
            </w:r>
          </w:p>
        </w:tc>
      </w:tr>
      <w:tr>
        <w:trPr>
          <w:trHeight w:val="243"/>
        </w:trPr>
        <w:tc>
          <w:tcPr>
            <w:tcW w:w="10320" w:type="dxa"/>
            <w:vAlign w:val="bottom"/>
          </w:tcPr>
          <w:p>
            <w:pPr>
              <w:spacing w:after="0"/>
              <w:rPr>
                <w:sz w:val="20"/>
                <w:szCs w:val="20"/>
                <w:color w:val="auto"/>
              </w:rPr>
            </w:pPr>
            <w:r>
              <w:rPr>
                <w:rFonts w:ascii="Arial" w:cs="Arial" w:eastAsia="Arial" w:hAnsi="Arial"/>
                <w:sz w:val="18"/>
                <w:szCs w:val="18"/>
                <w:color w:val="auto"/>
              </w:rPr>
              <w:t>Transfer and Registrar fee</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43"/>
        </w:trPr>
        <w:tc>
          <w:tcPr>
            <w:tcW w:w="10320" w:type="dxa"/>
            <w:vAlign w:val="bottom"/>
          </w:tcPr>
          <w:p>
            <w:pPr>
              <w:spacing w:after="0"/>
              <w:rPr>
                <w:sz w:val="20"/>
                <w:szCs w:val="20"/>
                <w:color w:val="auto"/>
              </w:rPr>
            </w:pPr>
            <w:r>
              <w:rPr>
                <w:rFonts w:ascii="Arial" w:cs="Arial" w:eastAsia="Arial" w:hAnsi="Arial"/>
                <w:sz w:val="18"/>
                <w:szCs w:val="18"/>
                <w:color w:val="auto"/>
              </w:rPr>
              <w:t>Miscellaneous</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150,000</w:t>
            </w:r>
          </w:p>
        </w:tc>
      </w:tr>
      <w:tr>
        <w:trPr>
          <w:trHeight w:val="124"/>
        </w:trPr>
        <w:tc>
          <w:tcPr>
            <w:tcW w:w="103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r>
      <w:tr>
        <w:trPr>
          <w:trHeight w:val="343"/>
        </w:trPr>
        <w:tc>
          <w:tcPr>
            <w:tcW w:w="10320" w:type="dxa"/>
            <w:vAlign w:val="bottom"/>
          </w:tcPr>
          <w:p>
            <w:pPr>
              <w:ind w:left="7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770,875</w:t>
            </w:r>
          </w:p>
        </w:tc>
      </w:tr>
      <w:tr>
        <w:trPr>
          <w:trHeight w:val="124"/>
        </w:trPr>
        <w:tc>
          <w:tcPr>
            <w:tcW w:w="103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ENFORCEABILITY OF CIVIL LIABILITIES PROVISIONS OF</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FEDERAL SECURITIES LAWS AGAINST FOREIGN PERSONS;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RIGHTS UNDER IRISH LAW</w:t>
      </w:r>
    </w:p>
    <w:p>
      <w:pPr>
        <w:spacing w:after="0" w:line="246"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color w:val="auto"/>
        </w:rPr>
        <w:t>Some of the directors and officers of ICON, as well as the selling shareholders and some of the experts named in this prospectus, reside outside of the United States and all or a substantial portion of their assets and the assets of ICON are located outside of the United States. As a result, it may be difficult for investors to serve process in the United States upon such persons, other than ICON, or to enforce against them judgments of U.S. courts or to enforce in U.S. courts judgments obtained against such persons in courts in jurisdictions outside the United States in each case based upon civil liabilities under the U.S. federal securities laws. In addition, it may be difficult for investors to enforce in original actions brought in courts in jurisdictions outside the United States, liabilities predicated upon the U.S. Securities laws. A&amp;L Goodbody Solicitors, ICON’s Irish counsel, advises that there may be an issue as to the enforceability against those persons in Ireland, whether in original actions or in actions for enforcement of judgments of U.S. courts, of liabilities based solely upon the U.S. federal securities laws. To enforce a judgment in Ireland given by a United States court or State court in the State of New York or County of New York, it would be necessary to obtain an order of the Irish Court. Such order would be granted upon proper proof of such judgment and that such United States or State court had jurisdiction, and the merits of the case would not be considered unless it were contended that the judgment of the United States or State court had been obtained by fraud or was contrary to natural justice as understood in Irish law or was repugnant to public policy of Irish law.</w:t>
      </w:r>
    </w:p>
    <w:p>
      <w:pPr>
        <w:spacing w:after="0" w:line="208" w:lineRule="exact"/>
        <w:rPr>
          <w:sz w:val="20"/>
          <w:szCs w:val="20"/>
          <w:color w:val="auto"/>
        </w:rPr>
      </w:pPr>
    </w:p>
    <w:p>
      <w:pPr>
        <w:ind w:right="60" w:firstLine="270"/>
        <w:spacing w:after="0" w:line="306" w:lineRule="auto"/>
        <w:rPr>
          <w:sz w:val="20"/>
          <w:szCs w:val="20"/>
          <w:color w:val="auto"/>
        </w:rPr>
      </w:pPr>
      <w:r>
        <w:rPr>
          <w:rFonts w:ascii="Arial" w:cs="Arial" w:eastAsia="Arial" w:hAnsi="Arial"/>
          <w:sz w:val="16"/>
          <w:szCs w:val="16"/>
          <w:color w:val="auto"/>
        </w:rPr>
        <w:t>Directors may be held liable for breaches of their fiduciary duties to the Company, and may be required to account to the Company for benefits which they have received as a result of their positions as directors. Directors may also be liable to the Company for negligence. Officers may also be liable for breach of duty and negligence, and may be held liable to the Company under various provisions of Irish company law.</w:t>
      </w:r>
    </w:p>
    <w:p>
      <w:pPr>
        <w:spacing w:after="0" w:line="188" w:lineRule="exact"/>
        <w:rPr>
          <w:sz w:val="20"/>
          <w:szCs w:val="20"/>
          <w:color w:val="auto"/>
        </w:rPr>
      </w:pPr>
    </w:p>
    <w:p>
      <w:pPr>
        <w:ind w:right="160" w:firstLine="270"/>
        <w:spacing w:after="0" w:line="332" w:lineRule="auto"/>
        <w:rPr>
          <w:sz w:val="20"/>
          <w:szCs w:val="20"/>
          <w:color w:val="auto"/>
        </w:rPr>
      </w:pPr>
      <w:r>
        <w:rPr>
          <w:rFonts w:ascii="Arial" w:cs="Arial" w:eastAsia="Arial" w:hAnsi="Arial"/>
          <w:sz w:val="16"/>
          <w:szCs w:val="16"/>
          <w:color w:val="auto"/>
        </w:rPr>
        <w:t>ICON has appointed CT Corporation System, 111 Eighth Avenue, New York, New York 10011, as its agent to receive service of process in actions against it arising out of the U.S. federal securities laws or out of violations of those laws in any federal or state court in New York, New York, relating to this offering.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5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Shareholder Rights Under Irish Law</w:t>
      </w:r>
    </w:p>
    <w:p>
      <w:pPr>
        <w:spacing w:after="0" w:line="258"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Under Irish law, shareholders are entitled to inspect the register of shareholders, registers relating to interests of directors and certain other registers relating to debentures granted by the company. Shareholders are also entitled to receive a copy of the Company’s annual reports, and will be provided with the Company’s constitutional documents on request. Shareholders are entitled to attend, and review minutes of, shareholder meetings, but are not entitled to review board or other corporate minutes.</w:t>
      </w:r>
    </w:p>
    <w:p>
      <w:pPr>
        <w:spacing w:after="0" w:line="224" w:lineRule="exact"/>
        <w:rPr>
          <w:sz w:val="20"/>
          <w:szCs w:val="20"/>
          <w:color w:val="auto"/>
        </w:rPr>
      </w:pPr>
    </w:p>
    <w:p>
      <w:pPr>
        <w:ind w:right="600" w:firstLine="270"/>
        <w:spacing w:after="0" w:line="268" w:lineRule="auto"/>
        <w:rPr>
          <w:sz w:val="20"/>
          <w:szCs w:val="20"/>
          <w:color w:val="auto"/>
        </w:rPr>
      </w:pPr>
      <w:r>
        <w:rPr>
          <w:rFonts w:ascii="Arial" w:cs="Arial" w:eastAsia="Arial" w:hAnsi="Arial"/>
          <w:sz w:val="18"/>
          <w:szCs w:val="18"/>
          <w:color w:val="auto"/>
        </w:rPr>
        <w:t>Under Irish law and the Company’s by-laws, shareholders are permitted to approve corporate matters by written consent. As is normal for Irish public companies, the Company does not have such enabling provisions in its constitutional documents.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Under Irish law, shareholders holding 10% or more of the Company’s issued and paid up voting shares may call a shareholder meeting.</w:t>
      </w:r>
    </w:p>
    <w:p>
      <w:pPr>
        <w:spacing w:after="0" w:line="252" w:lineRule="exact"/>
        <w:rPr>
          <w:sz w:val="20"/>
          <w:szCs w:val="20"/>
          <w:color w:val="auto"/>
        </w:rPr>
      </w:pPr>
    </w:p>
    <w:p>
      <w:pPr>
        <w:ind w:right="140" w:firstLine="270"/>
        <w:spacing w:after="0" w:line="256" w:lineRule="auto"/>
        <w:rPr>
          <w:sz w:val="20"/>
          <w:szCs w:val="20"/>
          <w:color w:val="auto"/>
        </w:rPr>
      </w:pPr>
      <w:r>
        <w:rPr>
          <w:rFonts w:ascii="Arial" w:cs="Arial" w:eastAsia="Arial" w:hAnsi="Arial"/>
          <w:sz w:val="18"/>
          <w:szCs w:val="18"/>
          <w:color w:val="auto"/>
        </w:rPr>
        <w:t>Irish law does not contain any absolute prohibitions on the issuance of preferred stock or the adoption of poison pill devices or other measures that could prevent or delay a takeover. However, the ability of Irish companies to take any such defensive measures are constrained by the fiduciary duty of directors to act in the best interests of the company and its shareholders. Further Irish law provisions prohibit a company from taking any frustrating action where an offer has been made for the shares of the company.</w:t>
      </w:r>
    </w:p>
    <w:p>
      <w:pPr>
        <w:spacing w:after="0" w:line="224" w:lineRule="exact"/>
        <w:rPr>
          <w:sz w:val="20"/>
          <w:szCs w:val="20"/>
          <w:color w:val="auto"/>
        </w:rPr>
      </w:pPr>
    </w:p>
    <w:p>
      <w:pPr>
        <w:ind w:right="240" w:firstLine="270"/>
        <w:spacing w:after="0" w:line="259" w:lineRule="auto"/>
        <w:rPr>
          <w:sz w:val="20"/>
          <w:szCs w:val="20"/>
          <w:color w:val="auto"/>
        </w:rPr>
      </w:pPr>
      <w:r>
        <w:rPr>
          <w:rFonts w:ascii="Arial" w:cs="Arial" w:eastAsia="Arial" w:hAnsi="Arial"/>
          <w:sz w:val="18"/>
          <w:szCs w:val="18"/>
          <w:color w:val="auto"/>
        </w:rPr>
        <w:t>In general, Irish law recognizes the company as the proper plaintiff in cases involving the company and precludes shareholders from instituting actions on behalf of the company. In certain circumstances, Irish law permits shareholders to sue the company where it is alleged that the affairs of the company are being conducted in a manner oppressive to its shareholders.</w:t>
      </w:r>
    </w:p>
    <w:p>
      <w:pPr>
        <w:spacing w:after="0" w:line="221" w:lineRule="exact"/>
        <w:rPr>
          <w:sz w:val="20"/>
          <w:szCs w:val="20"/>
          <w:color w:val="auto"/>
        </w:rPr>
      </w:pPr>
    </w:p>
    <w:p>
      <w:pPr>
        <w:ind w:right="240" w:firstLine="270"/>
        <w:spacing w:after="0" w:line="306" w:lineRule="auto"/>
        <w:rPr>
          <w:sz w:val="20"/>
          <w:szCs w:val="20"/>
          <w:color w:val="auto"/>
        </w:rPr>
      </w:pPr>
      <w:r>
        <w:rPr>
          <w:rFonts w:ascii="Arial" w:cs="Arial" w:eastAsia="Arial" w:hAnsi="Arial"/>
          <w:sz w:val="16"/>
          <w:szCs w:val="16"/>
          <w:color w:val="auto"/>
        </w:rPr>
        <w:t>All matters relating to the management and control of an Irish company are generally delegated to its board of directors under the company’s constitutional documents, except for those actions which require a vote of the shareholders. ICON’s constitutional documents contain standard provisions delegating management and control to its board of directors. In certain situations, specific authority is delegated to officers, auditors and examiners.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58"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color w:val="auto"/>
        </w:rPr>
        <w:t>We file annual and special reports and other information with the Securities and Exchange Commission, or the Commission. You may read and copy any of our reports, statements or other information at the Commission’s Public Reference Room at 100 F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194" w:lineRule="exact"/>
        <w:rPr>
          <w:sz w:val="20"/>
          <w:szCs w:val="20"/>
          <w:color w:val="auto"/>
        </w:rPr>
      </w:pPr>
    </w:p>
    <w:p>
      <w:pPr>
        <w:ind w:right="180" w:firstLine="270"/>
        <w:spacing w:after="0" w:line="298" w:lineRule="auto"/>
        <w:rPr>
          <w:sz w:val="20"/>
          <w:szCs w:val="20"/>
          <w:color w:val="auto"/>
        </w:rPr>
      </w:pPr>
      <w:r>
        <w:rPr>
          <w:rFonts w:ascii="Arial" w:cs="Arial" w:eastAsia="Arial" w:hAnsi="Arial"/>
          <w:sz w:val="16"/>
          <w:szCs w:val="16"/>
          <w:color w:val="auto"/>
        </w:rPr>
        <w:t>In addition, we furnish to registered holders of ordinary shares and to The Bank of New York, as Depositary under our deposit agreement, for mailing to the record holders of ICON ADRs,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194" w:lineRule="exact"/>
        <w:rPr>
          <w:sz w:val="20"/>
          <w:szCs w:val="20"/>
          <w:color w:val="auto"/>
        </w:rPr>
      </w:pPr>
    </w:p>
    <w:p>
      <w:pPr>
        <w:ind w:right="160" w:firstLine="270"/>
        <w:spacing w:after="0" w:line="268" w:lineRule="auto"/>
        <w:rPr>
          <w:sz w:val="20"/>
          <w:szCs w:val="20"/>
          <w:color w:val="auto"/>
        </w:rPr>
      </w:pPr>
      <w:r>
        <w:rPr>
          <w:rFonts w:ascii="Arial" w:cs="Arial" w:eastAsia="Arial" w:hAnsi="Arial"/>
          <w:sz w:val="18"/>
          <w:szCs w:val="18"/>
          <w:color w:val="auto"/>
        </w:rPr>
        <w:t>We have filed with the Commission a registration statement on Form F-3 under the Securities Act of 1933, as amended, with respect to the ADSs offered by this prospectus. This prospectus, which is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right="240"/>
        <w:spacing w:after="0" w:line="268" w:lineRule="auto"/>
        <w:rPr>
          <w:sz w:val="20"/>
          <w:szCs w:val="20"/>
          <w:color w:val="auto"/>
        </w:rPr>
      </w:pPr>
      <w:r>
        <w:rPr>
          <w:rFonts w:ascii="Arial" w:cs="Arial" w:eastAsia="Arial" w:hAnsi="Arial"/>
          <w:sz w:val="18"/>
          <w:szCs w:val="18"/>
          <w:color w:val="auto"/>
        </w:rPr>
        <w:t>part of the registration statement, does not contain all of the information set forth in the registration statement. For further information about us and our ADSs, you should refer to the registration statement.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58"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This prospectus incorporates by reference the following documents that we previously filed with the Commission and any future filings made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2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Transition Report on Form 20-F for the period ended December 31, 2005, filed with the Commission on March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right="320"/>
        <w:spacing w:after="0" w:line="299" w:lineRule="auto"/>
        <w:rPr>
          <w:sz w:val="20"/>
          <w:szCs w:val="20"/>
          <w:color w:val="auto"/>
        </w:rPr>
      </w:pPr>
      <w:r>
        <w:rPr>
          <w:rFonts w:ascii="Arial" w:cs="Arial" w:eastAsia="Arial" w:hAnsi="Arial"/>
          <w:sz w:val="18"/>
          <w:szCs w:val="18"/>
          <w:color w:val="auto"/>
        </w:rPr>
        <w:t>our current report on Form 6-K, filed with the Commission on February 3, 2006 (as amended by Form 6-K/A filed with the Commission on April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description of our Ordinary Shares and American Depositary Shares contained on Form 6-K/A filed with the Commission on March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description of our Memorandum and Articles of Association contained on Form 6-K, filed with the Commission on January 31, 2003;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right="60"/>
        <w:spacing w:after="0" w:line="299" w:lineRule="auto"/>
        <w:rPr>
          <w:sz w:val="20"/>
          <w:szCs w:val="20"/>
          <w:color w:val="auto"/>
        </w:rPr>
      </w:pPr>
      <w:r>
        <w:rPr>
          <w:rFonts w:ascii="Arial" w:cs="Arial" w:eastAsia="Arial" w:hAnsi="Arial"/>
          <w:sz w:val="18"/>
          <w:szCs w:val="18"/>
          <w:color w:val="auto"/>
        </w:rPr>
        <w:t>the description of our Registration Rights Agreement, dated as of December 12, 1997, contained on Form 6-K, filed with the Commission on January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All annual reports that we file with the Commission pursuant to the Securities Exchange Act of 1934 on Form 20-F after the date of this prospectus and prior to all ADSs offered by this prospectus being sold shall be deemed to be incorporated by reference into this prospectus and to be part hereof from the date of filing of such documents. We may incorporate by reference any Form 6-K subsequently submitted to the Commission by identifying in such form that it is being incorporated by reference into this prospectus.</w:t>
      </w:r>
    </w:p>
    <w:p>
      <w:pPr>
        <w:spacing w:after="0" w:line="224"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You may request a copy of these filings, at no cost, by writing or telephoning us at our principal executive offices at this address: ICON plc, Attention: Ciaran Murray, Chief Financial Officer, South County Business Park, Leopardstown, Dublin 18, Ireland, (353) 1-291-2000.</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jc w:val="center"/>
        <w:ind w:right="80"/>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8. Indemnification of Directors and Officers</w:t>
      </w:r>
      <w:r>
        <w:rPr>
          <w:rFonts w:ascii="Arial" w:cs="Arial" w:eastAsia="Arial" w:hAnsi="Arial"/>
          <w:sz w:val="18"/>
          <w:szCs w:val="18"/>
          <w:b w:val="1"/>
          <w:bCs w:val="1"/>
          <w:color w:val="auto"/>
        </w:rPr>
        <w:t>.</w:t>
      </w:r>
    </w:p>
    <w:p>
      <w:pPr>
        <w:spacing w:after="0" w:line="258" w:lineRule="exact"/>
        <w:rPr>
          <w:sz w:val="20"/>
          <w:szCs w:val="20"/>
          <w:color w:val="auto"/>
        </w:rPr>
      </w:pPr>
    </w:p>
    <w:p>
      <w:pPr>
        <w:ind w:right="340" w:firstLine="270"/>
        <w:spacing w:after="0" w:line="268" w:lineRule="auto"/>
        <w:rPr>
          <w:sz w:val="20"/>
          <w:szCs w:val="20"/>
          <w:color w:val="auto"/>
        </w:rPr>
      </w:pPr>
      <w:r>
        <w:rPr>
          <w:rFonts w:ascii="Arial" w:cs="Arial" w:eastAsia="Arial" w:hAnsi="Arial"/>
          <w:sz w:val="18"/>
          <w:szCs w:val="18"/>
          <w:color w:val="auto"/>
        </w:rPr>
        <w:t>Except as indicated below, there is no statute, charter provision, by-law, contract or arrangement under which any director or officer of ICON is insured or indemnified in any manner against any liability which he or she may incur in his or her capacity as such.</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Paragraph 139 of the Articles of Association of ICON provides as follows:</w:t>
      </w:r>
    </w:p>
    <w:p>
      <w:pPr>
        <w:spacing w:after="0" w:line="252" w:lineRule="exact"/>
        <w:rPr>
          <w:sz w:val="20"/>
          <w:szCs w:val="20"/>
          <w:color w:val="auto"/>
        </w:rPr>
      </w:pPr>
    </w:p>
    <w:p>
      <w:pPr>
        <w:ind w:left="540" w:right="700" w:firstLine="314"/>
        <w:spacing w:after="0" w:line="290" w:lineRule="auto"/>
        <w:rPr>
          <w:sz w:val="20"/>
          <w:szCs w:val="20"/>
          <w:color w:val="auto"/>
        </w:rPr>
      </w:pPr>
      <w:r>
        <w:rPr>
          <w:rFonts w:ascii="Arial" w:cs="Arial" w:eastAsia="Arial" w:hAnsi="Arial"/>
          <w:sz w:val="16"/>
          <w:szCs w:val="16"/>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99" w:lineRule="exact"/>
        <w:rPr>
          <w:sz w:val="20"/>
          <w:szCs w:val="20"/>
          <w:color w:val="auto"/>
        </w:rPr>
      </w:pPr>
    </w:p>
    <w:p>
      <w:pPr>
        <w:ind w:left="540" w:right="660" w:firstLine="314"/>
        <w:spacing w:after="0" w:line="259" w:lineRule="auto"/>
        <w:rPr>
          <w:sz w:val="20"/>
          <w:szCs w:val="20"/>
          <w:color w:val="auto"/>
        </w:rPr>
      </w:pPr>
      <w:r>
        <w:rPr>
          <w:rFonts w:ascii="Arial" w:cs="Arial" w:eastAsia="Arial" w:hAnsi="Arial"/>
          <w:sz w:val="18"/>
          <w:szCs w:val="18"/>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221"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 Exhibits</w:t>
      </w:r>
      <w:r>
        <w:rPr>
          <w:rFonts w:ascii="Arial" w:cs="Arial" w:eastAsia="Arial" w:hAnsi="Arial"/>
          <w:sz w:val="18"/>
          <w:szCs w:val="18"/>
          <w:b w:val="1"/>
          <w:bCs w:val="1"/>
          <w:color w:val="auto"/>
        </w:rPr>
        <w:t>.</w:t>
      </w:r>
    </w:p>
    <w:p>
      <w:pPr>
        <w:spacing w:after="0" w:line="2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exhibits are filed herewith, or incorporated by reference herein: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180" w:type="dxa"/>
            <w:vAlign w:val="bottom"/>
          </w:tcPr>
          <w:p>
            <w:pPr>
              <w:spacing w:after="0"/>
              <w:rPr>
                <w:sz w:val="19"/>
                <w:szCs w:val="19"/>
                <w:color w:val="auto"/>
              </w:rPr>
            </w:pPr>
          </w:p>
        </w:tc>
      </w:tr>
      <w:tr>
        <w:trPr>
          <w:trHeight w:val="205"/>
        </w:trPr>
        <w:tc>
          <w:tcPr>
            <w:tcW w:w="64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91"/>
              </w:rPr>
              <w:t>Number</w:t>
            </w: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89"/>
              </w:rPr>
              <w:t>Exhibit</w:t>
            </w:r>
          </w:p>
        </w:tc>
        <w:tc>
          <w:tcPr>
            <w:tcW w:w="9180" w:type="dxa"/>
            <w:vAlign w:val="bottom"/>
          </w:tcPr>
          <w:p>
            <w:pPr>
              <w:spacing w:after="0"/>
              <w:rPr>
                <w:sz w:val="17"/>
                <w:szCs w:val="17"/>
                <w:color w:val="auto"/>
              </w:rPr>
            </w:pPr>
          </w:p>
        </w:tc>
      </w:tr>
      <w:tr>
        <w:trPr>
          <w:trHeight w:val="491"/>
        </w:trPr>
        <w:tc>
          <w:tcPr>
            <w:tcW w:w="640" w:type="dxa"/>
            <w:vAlign w:val="bottom"/>
          </w:tcPr>
          <w:p>
            <w:pPr>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4"/>
                <w:szCs w:val="24"/>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rPr>
              <w:t>Form of Underwriting Agreement</w:t>
            </w:r>
          </w:p>
        </w:tc>
      </w:tr>
      <w:tr>
        <w:trPr>
          <w:trHeight w:val="500"/>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rPr>
              <w:t>Deposit Agreement, dated as of May 20, 1998, between the Company, The Bank of New</w:t>
            </w:r>
          </w:p>
        </w:tc>
      </w:tr>
      <w:tr>
        <w:trPr>
          <w:trHeight w:val="243"/>
        </w:trPr>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rPr>
              <w:t>York and the holders from time to time of the Company’s ADRs</w:t>
            </w:r>
          </w:p>
        </w:tc>
      </w:tr>
      <w:tr>
        <w:trPr>
          <w:trHeight w:val="675"/>
        </w:trPr>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180" w:type="dxa"/>
            <w:vAlign w:val="bottom"/>
          </w:tcPr>
          <w:p>
            <w:pPr>
              <w:ind w:left="3300"/>
              <w:spacing w:after="0"/>
              <w:rPr>
                <w:sz w:val="20"/>
                <w:szCs w:val="20"/>
                <w:color w:val="auto"/>
              </w:rPr>
            </w:pPr>
            <w:r>
              <w:rPr>
                <w:rFonts w:ascii="Arial" w:cs="Arial" w:eastAsia="Arial" w:hAnsi="Arial"/>
                <w:sz w:val="18"/>
                <w:szCs w:val="18"/>
                <w:color w:val="auto"/>
              </w:rPr>
              <w:t>II-1</w:t>
            </w:r>
          </w:p>
        </w:tc>
      </w:tr>
      <w:tr>
        <w:trPr>
          <w:trHeight w:val="215"/>
        </w:trPr>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180" w:type="dxa"/>
            <w:vAlign w:val="bottom"/>
          </w:tcPr>
          <w:p>
            <w:pPr>
              <w:spacing w:after="0"/>
              <w:rPr>
                <w:sz w:val="18"/>
                <w:szCs w:val="18"/>
                <w:color w:val="auto"/>
              </w:rPr>
            </w:pPr>
          </w:p>
        </w:tc>
      </w:tr>
      <w:tr>
        <w:trPr>
          <w:trHeight w:val="61"/>
        </w:trPr>
        <w:tc>
          <w:tcPr>
            <w:tcW w:w="6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560" w:type="dxa"/>
            <w:vAlign w:val="bottom"/>
          </w:tcPr>
          <w:p>
            <w:pPr>
              <w:spacing w:after="0"/>
              <w:rPr>
                <w:sz w:val="19"/>
                <w:szCs w:val="19"/>
                <w:color w:val="auto"/>
              </w:rPr>
            </w:pPr>
          </w:p>
        </w:tc>
      </w:tr>
      <w:tr>
        <w:trPr>
          <w:trHeight w:val="205"/>
        </w:trPr>
        <w:tc>
          <w:tcPr>
            <w:tcW w:w="64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91"/>
              </w:rPr>
              <w:t>Number</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89"/>
              </w:rPr>
              <w:t>Exhibit</w:t>
            </w:r>
          </w:p>
        </w:tc>
        <w:tc>
          <w:tcPr>
            <w:tcW w:w="8560" w:type="dxa"/>
            <w:vAlign w:val="bottom"/>
          </w:tcPr>
          <w:p>
            <w:pPr>
              <w:spacing w:after="0"/>
              <w:rPr>
                <w:sz w:val="17"/>
                <w:szCs w:val="17"/>
                <w:color w:val="auto"/>
              </w:rPr>
            </w:pPr>
          </w:p>
        </w:tc>
      </w:tr>
      <w:tr>
        <w:trPr>
          <w:trHeight w:val="505"/>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Form of Ordinary Share certificate.</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Form of ADR certificate (included in Exhibit 4.1).</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Registration Rights Agreement, dated as of December 12, 1997.</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Opinion of A&amp;L Goodbody Solicitors as to certain Company related matters and the validity</w:t>
            </w:r>
          </w:p>
        </w:tc>
      </w:tr>
      <w:tr>
        <w:trPr>
          <w:trHeight w:val="243"/>
        </w:trPr>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of the ordinary shares.</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Opinion of Cahill Gordon &amp; Reindel LLP as to certain matters of U.S. taxation.</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Opinion of KPMG, Tax Advisors, as to certain matters of Irish taxation.</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Consent of KPMG, Independent Registered Public Accounting Firm for the Company.</w:t>
            </w:r>
          </w:p>
        </w:tc>
      </w:tr>
      <w:tr>
        <w:trPr>
          <w:trHeight w:val="486"/>
        </w:trPr>
        <w:tc>
          <w:tcPr>
            <w:tcW w:w="1080" w:type="dxa"/>
            <w:vAlign w:val="bottom"/>
            <w:gridSpan w:val="2"/>
          </w:tcPr>
          <w:p>
            <w:pPr>
              <w:spacing w:after="0"/>
              <w:rPr>
                <w:sz w:val="20"/>
                <w:szCs w:val="20"/>
                <w:color w:val="auto"/>
              </w:rPr>
            </w:pPr>
            <w:r>
              <w:rPr>
                <w:rFonts w:ascii="Arial" w:cs="Arial" w:eastAsia="Arial" w:hAnsi="Arial"/>
                <w:sz w:val="18"/>
                <w:szCs w:val="18"/>
                <w:color w:val="auto"/>
              </w:rPr>
              <w:t>23.2****</w:t>
            </w:r>
          </w:p>
        </w:tc>
        <w:tc>
          <w:tcPr>
            <w:tcW w:w="4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Consent of A&amp;L Goodbody Solicitors (included in Exhibit 5).</w:t>
            </w:r>
          </w:p>
        </w:tc>
      </w:tr>
      <w:tr>
        <w:trPr>
          <w:trHeight w:val="486"/>
        </w:trPr>
        <w:tc>
          <w:tcPr>
            <w:tcW w:w="1080" w:type="dxa"/>
            <w:vAlign w:val="bottom"/>
            <w:gridSpan w:val="2"/>
          </w:tcPr>
          <w:p>
            <w:pPr>
              <w:spacing w:after="0"/>
              <w:rPr>
                <w:sz w:val="20"/>
                <w:szCs w:val="20"/>
                <w:color w:val="auto"/>
              </w:rPr>
            </w:pPr>
            <w:r>
              <w:rPr>
                <w:rFonts w:ascii="Arial" w:cs="Arial" w:eastAsia="Arial" w:hAnsi="Arial"/>
                <w:sz w:val="18"/>
                <w:szCs w:val="18"/>
                <w:color w:val="auto"/>
              </w:rPr>
              <w:t>23.3****</w:t>
            </w:r>
          </w:p>
        </w:tc>
        <w:tc>
          <w:tcPr>
            <w:tcW w:w="4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Consent of Cahill Gordon &amp; Reindel LLP (included in Exhibit 8.1).</w:t>
            </w:r>
          </w:p>
        </w:tc>
      </w:tr>
      <w:tr>
        <w:trPr>
          <w:trHeight w:val="486"/>
        </w:trPr>
        <w:tc>
          <w:tcPr>
            <w:tcW w:w="1080" w:type="dxa"/>
            <w:vAlign w:val="bottom"/>
            <w:gridSpan w:val="2"/>
          </w:tcPr>
          <w:p>
            <w:pPr>
              <w:spacing w:after="0"/>
              <w:rPr>
                <w:sz w:val="20"/>
                <w:szCs w:val="20"/>
                <w:color w:val="auto"/>
              </w:rPr>
            </w:pPr>
            <w:r>
              <w:rPr>
                <w:rFonts w:ascii="Arial" w:cs="Arial" w:eastAsia="Arial" w:hAnsi="Arial"/>
                <w:sz w:val="18"/>
                <w:szCs w:val="18"/>
                <w:color w:val="auto"/>
              </w:rPr>
              <w:t>23.4****</w:t>
            </w:r>
          </w:p>
        </w:tc>
        <w:tc>
          <w:tcPr>
            <w:tcW w:w="4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Consent of KPMG, Tax Advisors</w:t>
            </w:r>
          </w:p>
        </w:tc>
      </w:tr>
      <w:tr>
        <w:trPr>
          <w:trHeight w:val="480"/>
        </w:trPr>
        <w:tc>
          <w:tcPr>
            <w:tcW w:w="1080" w:type="dxa"/>
            <w:vAlign w:val="bottom"/>
            <w:gridSpan w:val="2"/>
          </w:tcPr>
          <w:p>
            <w:pPr>
              <w:spacing w:after="0"/>
              <w:rPr>
                <w:sz w:val="20"/>
                <w:szCs w:val="20"/>
                <w:color w:val="auto"/>
              </w:rPr>
            </w:pPr>
            <w:r>
              <w:rPr>
                <w:rFonts w:ascii="Arial" w:cs="Arial" w:eastAsia="Arial" w:hAnsi="Arial"/>
                <w:sz w:val="18"/>
                <w:szCs w:val="18"/>
                <w:color w:val="auto"/>
              </w:rPr>
              <w:t>24.1****</w:t>
            </w:r>
          </w:p>
        </w:tc>
        <w:tc>
          <w:tcPr>
            <w:tcW w:w="4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Power of Attorney.</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600" w:type="dxa"/>
            <w:vAlign w:val="bottom"/>
            <w:gridSpan w:val="3"/>
          </w:tcPr>
          <w:p>
            <w:pPr>
              <w:ind w:left="420"/>
              <w:spacing w:after="0"/>
              <w:rPr>
                <w:sz w:val="20"/>
                <w:szCs w:val="20"/>
                <w:color w:val="auto"/>
              </w:rPr>
            </w:pPr>
            <w:r>
              <w:rPr>
                <w:rFonts w:ascii="Arial" w:cs="Arial" w:eastAsia="Arial" w:hAnsi="Arial"/>
                <w:sz w:val="18"/>
                <w:szCs w:val="18"/>
                <w:color w:val="auto"/>
                <w:w w:val="89"/>
              </w:rPr>
              <w:t>Incorporated by reference from exhibits to the Company’s Registration Statement on Form F-6 (File No. 333-13442) filed with the</w:t>
            </w:r>
          </w:p>
        </w:tc>
      </w:tr>
      <w:tr>
        <w:trPr>
          <w:trHeight w:val="222"/>
        </w:trPr>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0" w:type="dxa"/>
            <w:vAlign w:val="bottom"/>
            <w:gridSpan w:val="3"/>
          </w:tcPr>
          <w:p>
            <w:pPr>
              <w:ind w:left="420"/>
              <w:spacing w:after="0"/>
              <w:rPr>
                <w:sz w:val="20"/>
                <w:szCs w:val="20"/>
                <w:color w:val="auto"/>
              </w:rPr>
            </w:pPr>
            <w:r>
              <w:rPr>
                <w:rFonts w:ascii="Arial" w:cs="Arial" w:eastAsia="Arial" w:hAnsi="Arial"/>
                <w:sz w:val="18"/>
                <w:szCs w:val="18"/>
                <w:color w:val="auto"/>
              </w:rPr>
              <w:t>Commission on April 29, 1998.</w:t>
            </w:r>
          </w:p>
        </w:tc>
      </w:tr>
      <w:tr>
        <w:trPr>
          <w:trHeight w:val="453"/>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0" w:type="dxa"/>
            <w:vAlign w:val="bottom"/>
            <w:gridSpan w:val="3"/>
          </w:tcPr>
          <w:p>
            <w:pPr>
              <w:ind w:left="420"/>
              <w:spacing w:after="0"/>
              <w:rPr>
                <w:sz w:val="20"/>
                <w:szCs w:val="20"/>
                <w:color w:val="auto"/>
              </w:rPr>
            </w:pPr>
            <w:r>
              <w:rPr>
                <w:rFonts w:ascii="Arial" w:cs="Arial" w:eastAsia="Arial" w:hAnsi="Arial"/>
                <w:sz w:val="18"/>
                <w:szCs w:val="18"/>
                <w:color w:val="auto"/>
                <w:w w:val="90"/>
              </w:rPr>
              <w:t>Incorporated by reference from exhibits to the Company’s Registration Statement on Form F-1 (File No. 333-8672) filed with the</w:t>
            </w:r>
          </w:p>
        </w:tc>
      </w:tr>
      <w:tr>
        <w:trPr>
          <w:trHeight w:val="222"/>
        </w:trPr>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0" w:type="dxa"/>
            <w:vAlign w:val="bottom"/>
            <w:gridSpan w:val="3"/>
          </w:tcPr>
          <w:p>
            <w:pPr>
              <w:ind w:left="420"/>
              <w:spacing w:after="0"/>
              <w:rPr>
                <w:sz w:val="20"/>
                <w:szCs w:val="20"/>
                <w:color w:val="auto"/>
              </w:rPr>
            </w:pPr>
            <w:r>
              <w:rPr>
                <w:rFonts w:ascii="Arial" w:cs="Arial" w:eastAsia="Arial" w:hAnsi="Arial"/>
                <w:sz w:val="18"/>
                <w:szCs w:val="18"/>
                <w:color w:val="auto"/>
              </w:rPr>
              <w:t>Commission on April 23, 1998.</w:t>
            </w:r>
          </w:p>
        </w:tc>
      </w:tr>
    </w:tbl>
    <w:p>
      <w:pPr>
        <w:spacing w:after="0" w:line="237" w:lineRule="exact"/>
        <w:rPr>
          <w:sz w:val="20"/>
          <w:szCs w:val="20"/>
          <w:color w:val="auto"/>
        </w:rPr>
      </w:pPr>
    </w:p>
    <w:p>
      <w:pPr>
        <w:ind w:left="1500" w:right="340" w:hanging="1492"/>
        <w:spacing w:after="0" w:line="268"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be filed as an amendment to this registration statement or as an exhibit to an Exchange Act report of the registrant and incorporated herein by reference.</w:t>
      </w:r>
    </w:p>
    <w:p>
      <w:pPr>
        <w:spacing w:after="0" w:line="212" w:lineRule="exact"/>
        <w:rPr>
          <w:rFonts w:ascii="Arial" w:cs="Arial" w:eastAsia="Arial" w:hAnsi="Arial"/>
          <w:sz w:val="18"/>
          <w:szCs w:val="18"/>
          <w:color w:val="auto"/>
        </w:rPr>
      </w:pPr>
    </w:p>
    <w:p>
      <w:pPr>
        <w:ind w:left="1500" w:hanging="1492"/>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10. Undertakings</w:t>
      </w:r>
      <w:r>
        <w:rPr>
          <w:rFonts w:ascii="Arial" w:cs="Arial" w:eastAsia="Arial" w:hAnsi="Arial"/>
          <w:sz w:val="18"/>
          <w:szCs w:val="18"/>
          <w:b w:val="1"/>
          <w:bCs w:val="1"/>
          <w:color w:val="auto"/>
        </w:rPr>
        <w:t>.</w:t>
      </w:r>
    </w:p>
    <w:p>
      <w:pPr>
        <w:spacing w:after="0" w:line="231"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760" w:right="640" w:hanging="360"/>
        <w:spacing w:after="0" w:line="268" w:lineRule="auto"/>
        <w:tabs>
          <w:tab w:leader="none" w:pos="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of the registered securities are being made, a post-effective amendment to this Registration Statement:</w:t>
      </w:r>
    </w:p>
    <w:p>
      <w:pPr>
        <w:spacing w:after="0" w:line="226" w:lineRule="exact"/>
        <w:rPr>
          <w:rFonts w:ascii="Arial" w:cs="Arial" w:eastAsia="Arial" w:hAnsi="Arial"/>
          <w:sz w:val="18"/>
          <w:szCs w:val="18"/>
          <w:color w:val="auto"/>
        </w:rPr>
      </w:pPr>
    </w:p>
    <w:p>
      <w:pPr>
        <w:ind w:left="1200" w:hanging="449"/>
        <w:spacing w:after="0"/>
        <w:tabs>
          <w:tab w:leader="none" w:pos="12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265" w:lineRule="exact"/>
        <w:rPr>
          <w:rFonts w:ascii="Arial" w:cs="Arial" w:eastAsia="Arial" w:hAnsi="Arial"/>
          <w:sz w:val="18"/>
          <w:szCs w:val="18"/>
          <w:color w:val="auto"/>
        </w:rPr>
      </w:pPr>
    </w:p>
    <w:p>
      <w:pPr>
        <w:ind w:left="1200" w:hanging="449"/>
        <w:spacing w:after="0" w:line="254" w:lineRule="auto"/>
        <w:tabs>
          <w:tab w:leader="none" w:pos="12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152" w:right="379" w:bottom="1440" w:gutter="0" w:footer="0" w:header="0"/>
        </w:sectPr>
      </w:pPr>
    </w:p>
    <w:bookmarkStart w:id="32" w:name="page33"/>
    <w:bookmarkEnd w:id="32"/>
    <w:p>
      <w:pPr>
        <w:ind w:left="822" w:right="720"/>
        <w:spacing w:after="0" w:line="268" w:lineRule="auto"/>
        <w:rPr>
          <w:sz w:val="20"/>
          <w:szCs w:val="20"/>
          <w:color w:val="auto"/>
        </w:rPr>
      </w:pPr>
      <w:r>
        <w:rPr>
          <w:rFonts w:ascii="Arial" w:cs="Arial" w:eastAsia="Arial" w:hAnsi="Arial"/>
          <w:sz w:val="18"/>
          <w:szCs w:val="18"/>
          <w:color w:val="auto"/>
        </w:rPr>
        <w:t>than a 20 percent change in the maximum aggregate offering price set forth in the "Calculation of Registration Fee" table in the effective Registration Statement;</w:t>
      </w:r>
    </w:p>
    <w:p>
      <w:pPr>
        <w:spacing w:after="0" w:line="213" w:lineRule="exact"/>
        <w:rPr>
          <w:sz w:val="20"/>
          <w:szCs w:val="20"/>
          <w:color w:val="auto"/>
        </w:rPr>
      </w:pPr>
    </w:p>
    <w:p>
      <w:pPr>
        <w:ind w:left="822" w:right="120" w:hanging="471"/>
        <w:spacing w:after="0" w:line="268" w:lineRule="auto"/>
        <w:tabs>
          <w:tab w:leader="none" w:pos="82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13" w:lineRule="exact"/>
        <w:rPr>
          <w:sz w:val="20"/>
          <w:szCs w:val="20"/>
          <w:color w:val="auto"/>
        </w:rPr>
      </w:pPr>
    </w:p>
    <w:p>
      <w:pPr>
        <w:ind w:left="342" w:right="240"/>
        <w:spacing w:after="0" w:line="298" w:lineRule="auto"/>
        <w:rPr>
          <w:sz w:val="20"/>
          <w:szCs w:val="20"/>
          <w:color w:val="auto"/>
        </w:rPr>
      </w:pPr>
      <w:r>
        <w:rPr>
          <w:rFonts w:ascii="Arial" w:cs="Arial" w:eastAsia="Arial" w:hAnsi="Arial"/>
          <w:sz w:val="16"/>
          <w:szCs w:val="16"/>
          <w:color w:val="auto"/>
        </w:rPr>
        <w:t>provided, however,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194" w:lineRule="exact"/>
        <w:rPr>
          <w:sz w:val="20"/>
          <w:szCs w:val="20"/>
          <w:color w:val="auto"/>
        </w:rPr>
      </w:pPr>
    </w:p>
    <w:p>
      <w:pPr>
        <w:ind w:left="342" w:right="120" w:hanging="342"/>
        <w:spacing w:after="0" w:line="259" w:lineRule="auto"/>
        <w:tabs>
          <w:tab w:leader="none" w:pos="34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221" w:lineRule="exact"/>
        <w:rPr>
          <w:rFonts w:ascii="Arial" w:cs="Arial" w:eastAsia="Arial" w:hAnsi="Arial"/>
          <w:sz w:val="18"/>
          <w:szCs w:val="18"/>
          <w:color w:val="auto"/>
        </w:rPr>
      </w:pPr>
    </w:p>
    <w:p>
      <w:pPr>
        <w:ind w:left="342" w:right="40" w:hanging="342"/>
        <w:spacing w:after="0" w:line="268" w:lineRule="auto"/>
        <w:tabs>
          <w:tab w:leader="none" w:pos="342"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2" w:lineRule="exact"/>
        <w:rPr>
          <w:rFonts w:ascii="Arial" w:cs="Arial" w:eastAsia="Arial" w:hAnsi="Arial"/>
          <w:sz w:val="18"/>
          <w:szCs w:val="18"/>
          <w:color w:val="auto"/>
        </w:rPr>
      </w:pPr>
    </w:p>
    <w:p>
      <w:pPr>
        <w:ind w:left="342" w:hanging="342"/>
        <w:spacing w:after="0" w:line="289" w:lineRule="auto"/>
        <w:tabs>
          <w:tab w:leader="none" w:pos="342"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Exchange Act that are incorporated by reference in this Registration Statement.</w:t>
      </w:r>
    </w:p>
    <w:p>
      <w:pPr>
        <w:spacing w:after="0" w:line="212" w:lineRule="exact"/>
        <w:rPr>
          <w:rFonts w:ascii="Arial" w:cs="Arial" w:eastAsia="Arial" w:hAnsi="Arial"/>
          <w:sz w:val="16"/>
          <w:szCs w:val="16"/>
          <w:color w:val="auto"/>
        </w:rPr>
      </w:pPr>
    </w:p>
    <w:p>
      <w:pPr>
        <w:ind w:left="342" w:hanging="342"/>
        <w:spacing w:after="0"/>
        <w:tabs>
          <w:tab w:leader="none" w:pos="34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65" w:lineRule="exact"/>
        <w:rPr>
          <w:rFonts w:ascii="Arial" w:cs="Arial" w:eastAsia="Arial" w:hAnsi="Arial"/>
          <w:sz w:val="18"/>
          <w:szCs w:val="18"/>
          <w:color w:val="auto"/>
        </w:rPr>
      </w:pPr>
    </w:p>
    <w:p>
      <w:pPr>
        <w:ind w:left="822" w:right="200" w:hanging="471"/>
        <w:spacing w:after="0" w:line="268" w:lineRule="auto"/>
        <w:tabs>
          <w:tab w:leader="none" w:pos="822" w:val="left"/>
        </w:tabs>
        <w:numPr>
          <w:ilvl w:val="1"/>
          <w:numId w:val="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12" w:lineRule="exact"/>
        <w:rPr>
          <w:rFonts w:ascii="Arial" w:cs="Arial" w:eastAsia="Arial" w:hAnsi="Arial"/>
          <w:sz w:val="18"/>
          <w:szCs w:val="18"/>
          <w:color w:val="auto"/>
        </w:rPr>
      </w:pPr>
    </w:p>
    <w:p>
      <w:pPr>
        <w:ind w:left="822" w:hanging="471"/>
        <w:spacing w:after="0" w:line="294" w:lineRule="auto"/>
        <w:tabs>
          <w:tab w:leader="none" w:pos="822" w:val="left"/>
        </w:tabs>
        <w:numPr>
          <w:ilvl w:val="1"/>
          <w:numId w:val="8"/>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w:t>
      </w:r>
    </w:p>
    <w:p>
      <w:pPr>
        <w:spacing w:after="0" w:line="197" w:lineRule="exact"/>
        <w:rPr>
          <w:sz w:val="20"/>
          <w:szCs w:val="20"/>
          <w:color w:val="auto"/>
        </w:rPr>
      </w:pPr>
    </w:p>
    <w:p>
      <w:pPr>
        <w:jc w:val="center"/>
        <w:ind w:right="278"/>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77470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42"/>
          </w:cols>
          <w:pgMar w:left="518" w:top="131" w:right="239" w:bottom="1440" w:gutter="0" w:footer="0" w:header="0"/>
        </w:sectPr>
      </w:pPr>
    </w:p>
    <w:bookmarkStart w:id="33" w:name="page34"/>
    <w:bookmarkEnd w:id="33"/>
    <w:p>
      <w:pPr>
        <w:ind w:left="842"/>
        <w:spacing w:after="0" w:line="253" w:lineRule="auto"/>
        <w:rPr>
          <w:sz w:val="20"/>
          <w:szCs w:val="20"/>
          <w:color w:val="auto"/>
        </w:rPr>
      </w:pPr>
      <w:r>
        <w:rPr>
          <w:rFonts w:ascii="Arial" w:cs="Arial" w:eastAsia="Arial" w:hAnsi="Arial"/>
          <w:sz w:val="18"/>
          <w:szCs w:val="18"/>
          <w:color w:val="auto"/>
        </w:rPr>
        <w:t>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28" w:lineRule="exact"/>
        <w:rPr>
          <w:sz w:val="20"/>
          <w:szCs w:val="20"/>
          <w:color w:val="auto"/>
        </w:rPr>
      </w:pPr>
    </w:p>
    <w:p>
      <w:pPr>
        <w:ind w:left="342" w:right="140" w:hanging="342"/>
        <w:spacing w:after="0" w:line="298" w:lineRule="auto"/>
        <w:tabs>
          <w:tab w:leader="none" w:pos="34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this offering of such securities at that time shall be deemed to be the initial bona fide offering thereof;</w:t>
      </w:r>
    </w:p>
    <w:p>
      <w:pPr>
        <w:spacing w:after="0" w:line="193" w:lineRule="exact"/>
        <w:rPr>
          <w:rFonts w:ascii="Arial" w:cs="Arial" w:eastAsia="Arial" w:hAnsi="Arial"/>
          <w:sz w:val="16"/>
          <w:szCs w:val="16"/>
          <w:color w:val="auto"/>
        </w:rPr>
      </w:pPr>
    </w:p>
    <w:p>
      <w:pPr>
        <w:ind w:left="342" w:right="40" w:hanging="342"/>
        <w:spacing w:after="0" w:line="294" w:lineRule="auto"/>
        <w:tabs>
          <w:tab w:leader="none" w:pos="342"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14e-3 under the Exchange Act;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 and</w:t>
      </w:r>
    </w:p>
    <w:p>
      <w:pPr>
        <w:spacing w:after="0" w:line="196" w:lineRule="exact"/>
        <w:rPr>
          <w:rFonts w:ascii="Arial" w:cs="Arial" w:eastAsia="Arial" w:hAnsi="Arial"/>
          <w:sz w:val="16"/>
          <w:szCs w:val="16"/>
          <w:color w:val="auto"/>
        </w:rPr>
      </w:pPr>
    </w:p>
    <w:p>
      <w:pPr>
        <w:ind w:left="342" w:right="160" w:hanging="342"/>
        <w:spacing w:after="0" w:line="255" w:lineRule="auto"/>
        <w:tabs>
          <w:tab w:leader="none" w:pos="34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37" w:lineRule="exact"/>
        <w:rPr>
          <w:rFonts w:ascii="Arial" w:cs="Arial" w:eastAsia="Arial" w:hAnsi="Arial"/>
          <w:sz w:val="18"/>
          <w:szCs w:val="18"/>
          <w:color w:val="auto"/>
        </w:rPr>
      </w:pPr>
    </w:p>
    <w:p>
      <w:pPr>
        <w:ind w:left="842" w:hanging="491"/>
        <w:spacing w:after="0"/>
        <w:tabs>
          <w:tab w:leader="none" w:pos="842"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88" w:lineRule="exact"/>
        <w:rPr>
          <w:rFonts w:ascii="Arial" w:cs="Arial" w:eastAsia="Arial" w:hAnsi="Arial"/>
          <w:sz w:val="16"/>
          <w:szCs w:val="16"/>
          <w:color w:val="auto"/>
        </w:rPr>
      </w:pPr>
    </w:p>
    <w:p>
      <w:pPr>
        <w:ind w:left="842" w:right="880" w:hanging="491"/>
        <w:spacing w:after="0" w:line="268" w:lineRule="auto"/>
        <w:tabs>
          <w:tab w:leader="none" w:pos="842"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2" w:lineRule="exact"/>
        <w:rPr>
          <w:rFonts w:ascii="Arial" w:cs="Arial" w:eastAsia="Arial" w:hAnsi="Arial"/>
          <w:sz w:val="18"/>
          <w:szCs w:val="18"/>
          <w:color w:val="auto"/>
        </w:rPr>
      </w:pPr>
    </w:p>
    <w:p>
      <w:pPr>
        <w:ind w:left="842" w:right="320" w:hanging="491"/>
        <w:spacing w:after="0" w:line="268" w:lineRule="auto"/>
        <w:tabs>
          <w:tab w:leader="none" w:pos="84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26" w:lineRule="exact"/>
        <w:rPr>
          <w:rFonts w:ascii="Arial" w:cs="Arial" w:eastAsia="Arial" w:hAnsi="Arial"/>
          <w:sz w:val="18"/>
          <w:szCs w:val="18"/>
          <w:color w:val="auto"/>
        </w:rPr>
      </w:pPr>
    </w:p>
    <w:p>
      <w:pPr>
        <w:ind w:left="842" w:hanging="491"/>
        <w:spacing w:after="0"/>
        <w:tabs>
          <w:tab w:leader="none" w:pos="842"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82" w:lineRule="exact"/>
        <w:rPr>
          <w:sz w:val="20"/>
          <w:szCs w:val="20"/>
          <w:color w:val="auto"/>
        </w:rPr>
      </w:pPr>
    </w:p>
    <w:p>
      <w:pPr>
        <w:jc w:val="center"/>
        <w:ind w:right="278"/>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146050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42"/>
          </w:cols>
          <w:pgMar w:left="518" w:top="131" w:right="239" w:bottom="1440" w:gutter="0" w:footer="0" w:header="0"/>
        </w:sectPr>
      </w:pPr>
    </w:p>
    <w:bookmarkStart w:id="34" w:name="page35"/>
    <w:bookmarkEnd w:id="34"/>
    <w:p>
      <w:pPr>
        <w:ind w:firstLine="270"/>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58" w:right="239"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jc w:val="both"/>
        <w:ind w:right="80" w:firstLine="270"/>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on the 5th day of May, 2006.</w:t>
      </w:r>
    </w:p>
    <w:p>
      <w:pPr>
        <w:spacing w:after="0" w:line="21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328" w:lineRule="exact"/>
        <w:rPr>
          <w:sz w:val="20"/>
          <w:szCs w:val="20"/>
          <w:color w:val="auto"/>
        </w:rPr>
      </w:pPr>
    </w:p>
    <w:p>
      <w:pPr>
        <w:ind w:left="6760"/>
        <w:spacing w:after="0"/>
        <w:tabs>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80010</wp:posOffset>
            </wp:positionV>
            <wp:extent cx="25901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46"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Ciaran Murray</w:t>
      </w:r>
    </w:p>
    <w:p>
      <w:pPr>
        <w:spacing w:after="0" w:line="36"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40" w:firstLine="27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their respective capacities on the 5th day of May, 2006.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Capacity</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40" w:type="dxa"/>
            <w:vAlign w:val="bottom"/>
          </w:tcPr>
          <w:p>
            <w:pPr>
              <w:spacing w:after="0"/>
              <w:rPr>
                <w:sz w:val="20"/>
                <w:szCs w:val="20"/>
                <w:color w:val="auto"/>
              </w:rPr>
            </w:pPr>
            <w:r>
              <w:rPr>
                <w:rFonts w:ascii="Arial" w:cs="Arial" w:eastAsia="Arial" w:hAnsi="Arial"/>
                <w:sz w:val="18"/>
                <w:szCs w:val="18"/>
                <w:color w:val="auto"/>
              </w:rPr>
              <w:t>/s/</w:t>
            </w:r>
          </w:p>
        </w:tc>
        <w:tc>
          <w:tcPr>
            <w:tcW w:w="1040" w:type="dxa"/>
            <w:vAlign w:val="bottom"/>
          </w:tcPr>
          <w:p>
            <w:pPr>
              <w:spacing w:after="0"/>
              <w:rPr>
                <w:sz w:val="24"/>
                <w:szCs w:val="24"/>
                <w:color w:val="auto"/>
              </w:rPr>
            </w:pPr>
          </w:p>
        </w:tc>
        <w:tc>
          <w:tcPr>
            <w:tcW w:w="1720" w:type="dxa"/>
            <w:vAlign w:val="bottom"/>
          </w:tcPr>
          <w:p>
            <w:pPr>
              <w:jc w:val="right"/>
              <w:ind w:right="133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Chairman of the Board, Director</w:t>
            </w:r>
          </w:p>
        </w:tc>
        <w:tc>
          <w:tcPr>
            <w:tcW w:w="0" w:type="dxa"/>
            <w:vAlign w:val="bottom"/>
          </w:tcPr>
          <w:p>
            <w:pPr>
              <w:spacing w:after="0"/>
              <w:rPr>
                <w:sz w:val="1"/>
                <w:szCs w:val="1"/>
                <w:color w:val="auto"/>
              </w:rPr>
            </w:pPr>
          </w:p>
        </w:tc>
      </w:tr>
      <w:tr>
        <w:trPr>
          <w:trHeight w:val="110"/>
        </w:trPr>
        <w:tc>
          <w:tcPr>
            <w:tcW w:w="4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1480" w:type="dxa"/>
            <w:vAlign w:val="bottom"/>
            <w:gridSpan w:val="2"/>
          </w:tcPr>
          <w:p>
            <w:pPr>
              <w:spacing w:after="0"/>
              <w:rPr>
                <w:sz w:val="20"/>
                <w:szCs w:val="20"/>
                <w:color w:val="auto"/>
              </w:rPr>
            </w:pPr>
            <w:r>
              <w:rPr>
                <w:rFonts w:ascii="Arial" w:cs="Arial" w:eastAsia="Arial" w:hAnsi="Arial"/>
                <w:sz w:val="18"/>
                <w:szCs w:val="18"/>
                <w:color w:val="auto"/>
              </w:rPr>
              <w:t>Dr. John Climax</w:t>
            </w: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480" w:type="dxa"/>
            <w:vAlign w:val="bottom"/>
            <w:gridSpan w:val="2"/>
          </w:tcPr>
          <w:p>
            <w:pPr>
              <w:spacing w:after="0"/>
              <w:rPr>
                <w:sz w:val="20"/>
                <w:szCs w:val="20"/>
                <w:color w:val="auto"/>
              </w:rPr>
            </w:pPr>
            <w:r>
              <w:rPr>
                <w:rFonts w:ascii="Arial" w:cs="Arial" w:eastAsia="Arial" w:hAnsi="Arial"/>
                <w:sz w:val="18"/>
                <w:szCs w:val="18"/>
                <w:color w:val="auto"/>
              </w:rPr>
              <w:t>/s/</w:t>
            </w:r>
          </w:p>
        </w:tc>
        <w:tc>
          <w:tcPr>
            <w:tcW w:w="1720" w:type="dxa"/>
            <w:vAlign w:val="bottom"/>
          </w:tcPr>
          <w:p>
            <w:pPr>
              <w:jc w:val="right"/>
              <w:ind w:right="137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Chief Executive Officer, Director</w:t>
            </w:r>
          </w:p>
        </w:tc>
        <w:tc>
          <w:tcPr>
            <w:tcW w:w="0" w:type="dxa"/>
            <w:vAlign w:val="bottom"/>
          </w:tcPr>
          <w:p>
            <w:pPr>
              <w:spacing w:after="0"/>
              <w:rPr>
                <w:sz w:val="1"/>
                <w:szCs w:val="1"/>
                <w:color w:val="auto"/>
              </w:rPr>
            </w:pPr>
          </w:p>
        </w:tc>
      </w:tr>
      <w:tr>
        <w:trPr>
          <w:trHeight w:val="110"/>
        </w:trPr>
        <w:tc>
          <w:tcPr>
            <w:tcW w:w="4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1480" w:type="dxa"/>
            <w:vAlign w:val="bottom"/>
            <w:gridSpan w:val="2"/>
          </w:tcPr>
          <w:p>
            <w:pPr>
              <w:spacing w:after="0"/>
              <w:rPr>
                <w:sz w:val="20"/>
                <w:szCs w:val="20"/>
                <w:color w:val="auto"/>
              </w:rPr>
            </w:pPr>
            <w:r>
              <w:rPr>
                <w:rFonts w:ascii="Arial" w:cs="Arial" w:eastAsia="Arial" w:hAnsi="Arial"/>
                <w:sz w:val="18"/>
                <w:szCs w:val="18"/>
                <w:color w:val="auto"/>
              </w:rPr>
              <w:t>Peter Gray</w:t>
            </w: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480" w:type="dxa"/>
            <w:vAlign w:val="bottom"/>
            <w:gridSpan w:val="2"/>
          </w:tcPr>
          <w:p>
            <w:pPr>
              <w:spacing w:after="0"/>
              <w:rPr>
                <w:sz w:val="20"/>
                <w:szCs w:val="20"/>
                <w:color w:val="auto"/>
              </w:rPr>
            </w:pPr>
            <w:r>
              <w:rPr>
                <w:rFonts w:ascii="Arial" w:cs="Arial" w:eastAsia="Arial" w:hAnsi="Arial"/>
                <w:sz w:val="18"/>
                <w:szCs w:val="18"/>
                <w:color w:val="auto"/>
              </w:rPr>
              <w:t>/s/ Ciaran Murray</w:t>
            </w: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10"/>
        </w:trPr>
        <w:tc>
          <w:tcPr>
            <w:tcW w:w="4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580" w:type="dxa"/>
            <w:vAlign w:val="bottom"/>
            <w:vMerge w:val="restart"/>
          </w:tcPr>
          <w:p>
            <w:pPr>
              <w:spacing w:after="0"/>
              <w:rPr>
                <w:sz w:val="9"/>
                <w:szCs w:val="9"/>
                <w:color w:val="auto"/>
              </w:rPr>
            </w:pPr>
          </w:p>
        </w:tc>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13"/>
        </w:trPr>
        <w:tc>
          <w:tcPr>
            <w:tcW w:w="1480" w:type="dxa"/>
            <w:vAlign w:val="bottom"/>
            <w:gridSpan w:val="2"/>
            <w:vMerge w:val="restart"/>
          </w:tcPr>
          <w:p>
            <w:pPr>
              <w:spacing w:after="0"/>
              <w:rPr>
                <w:sz w:val="20"/>
                <w:szCs w:val="20"/>
                <w:color w:val="auto"/>
              </w:rPr>
            </w:pPr>
            <w:r>
              <w:rPr>
                <w:rFonts w:ascii="Arial" w:cs="Arial" w:eastAsia="Arial" w:hAnsi="Arial"/>
                <w:sz w:val="18"/>
                <w:szCs w:val="18"/>
                <w:color w:val="auto"/>
              </w:rPr>
              <w:t>Ciaran Murray</w:t>
            </w:r>
          </w:p>
        </w:tc>
        <w:tc>
          <w:tcPr>
            <w:tcW w:w="17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480" w:type="dxa"/>
            <w:vAlign w:val="bottom"/>
            <w:gridSpan w:val="2"/>
            <w:vMerge w:val="continue"/>
          </w:tcPr>
          <w:p>
            <w:pPr>
              <w:spacing w:after="0"/>
              <w:rPr>
                <w:sz w:val="21"/>
                <w:szCs w:val="21"/>
                <w:color w:val="auto"/>
              </w:rPr>
            </w:pPr>
          </w:p>
        </w:tc>
        <w:tc>
          <w:tcPr>
            <w:tcW w:w="1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480" w:type="dxa"/>
            <w:vAlign w:val="bottom"/>
            <w:gridSpan w:val="2"/>
          </w:tcPr>
          <w:p>
            <w:pPr>
              <w:spacing w:after="0"/>
              <w:rPr>
                <w:sz w:val="20"/>
                <w:szCs w:val="20"/>
                <w:color w:val="auto"/>
              </w:rPr>
            </w:pPr>
            <w:r>
              <w:rPr>
                <w:rFonts w:ascii="Arial" w:cs="Arial" w:eastAsia="Arial" w:hAnsi="Arial"/>
                <w:sz w:val="18"/>
                <w:szCs w:val="18"/>
                <w:color w:val="auto"/>
              </w:rPr>
              <w:t>/s/</w:t>
            </w:r>
          </w:p>
        </w:tc>
        <w:tc>
          <w:tcPr>
            <w:tcW w:w="1720" w:type="dxa"/>
            <w:vAlign w:val="bottom"/>
          </w:tcPr>
          <w:p>
            <w:pPr>
              <w:jc w:val="right"/>
              <w:ind w:right="133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1480" w:type="dxa"/>
            <w:vAlign w:val="bottom"/>
            <w:gridSpan w:val="2"/>
          </w:tcPr>
          <w:p>
            <w:pPr>
              <w:spacing w:after="0"/>
              <w:rPr>
                <w:sz w:val="20"/>
                <w:szCs w:val="20"/>
                <w:color w:val="auto"/>
              </w:rPr>
            </w:pPr>
            <w:r>
              <w:rPr>
                <w:rFonts w:ascii="Arial" w:cs="Arial" w:eastAsia="Arial" w:hAnsi="Arial"/>
                <w:sz w:val="18"/>
                <w:szCs w:val="18"/>
                <w:color w:val="auto"/>
              </w:rPr>
              <w:t>Dr. Ronan Lambe</w:t>
            </w: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20" w:type="dxa"/>
            <w:vAlign w:val="bottom"/>
          </w:tcPr>
          <w:p>
            <w:pPr>
              <w:ind w:left="114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4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70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3020" w:type="dxa"/>
            <w:vAlign w:val="bottom"/>
          </w:tcPr>
          <w:p>
            <w:pPr>
              <w:jc w:val="right"/>
              <w:ind w:right="1332"/>
              <w:spacing w:after="0"/>
              <w:rPr>
                <w:sz w:val="20"/>
                <w:szCs w:val="20"/>
                <w:color w:val="auto"/>
              </w:rPr>
            </w:pPr>
            <w:r>
              <w:rPr>
                <w:rFonts w:ascii="Arial" w:cs="Arial" w:eastAsia="Arial" w:hAnsi="Arial"/>
                <w:sz w:val="18"/>
                <w:szCs w:val="18"/>
                <w:color w:val="auto"/>
              </w:rPr>
              <w:t>*</w:t>
            </w:r>
          </w:p>
        </w:tc>
        <w:tc>
          <w:tcPr>
            <w:tcW w:w="388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3280" w:type="dxa"/>
            <w:vAlign w:val="bottom"/>
            <w:tcBorders>
              <w:bottom w:val="single" w:sz="8" w:color="808080"/>
            </w:tcBorders>
            <w:gridSpan w:val="2"/>
          </w:tcPr>
          <w:p>
            <w:pPr>
              <w:spacing w:after="0"/>
              <w:rPr>
                <w:sz w:val="9"/>
                <w:szCs w:val="9"/>
                <w:color w:val="auto"/>
              </w:rPr>
            </w:pPr>
          </w:p>
        </w:tc>
        <w:tc>
          <w:tcPr>
            <w:tcW w:w="3880" w:type="dxa"/>
            <w:vAlign w:val="bottom"/>
          </w:tcPr>
          <w:p>
            <w:pPr>
              <w:spacing w:after="0"/>
              <w:rPr>
                <w:sz w:val="9"/>
                <w:szCs w:val="9"/>
                <w:color w:val="auto"/>
              </w:rPr>
            </w:pPr>
          </w:p>
        </w:tc>
      </w:tr>
      <w:tr>
        <w:trPr>
          <w:trHeight w:val="343"/>
        </w:trPr>
        <w:tc>
          <w:tcPr>
            <w:tcW w:w="3280" w:type="dxa"/>
            <w:vAlign w:val="bottom"/>
            <w:gridSpan w:val="2"/>
          </w:tcPr>
          <w:p>
            <w:pPr>
              <w:spacing w:after="0"/>
              <w:rPr>
                <w:sz w:val="20"/>
                <w:szCs w:val="20"/>
                <w:color w:val="auto"/>
              </w:rPr>
            </w:pPr>
            <w:r>
              <w:rPr>
                <w:rFonts w:ascii="Arial" w:cs="Arial" w:eastAsia="Arial" w:hAnsi="Arial"/>
                <w:sz w:val="18"/>
                <w:szCs w:val="18"/>
                <w:color w:val="auto"/>
              </w:rPr>
              <w:t>Thomas Lynch</w:t>
            </w:r>
          </w:p>
        </w:tc>
        <w:tc>
          <w:tcPr>
            <w:tcW w:w="3880" w:type="dxa"/>
            <w:vAlign w:val="bottom"/>
          </w:tcPr>
          <w:p>
            <w:pPr>
              <w:spacing w:after="0"/>
              <w:rPr>
                <w:sz w:val="24"/>
                <w:szCs w:val="24"/>
                <w:color w:val="auto"/>
              </w:rPr>
            </w:pPr>
          </w:p>
        </w:tc>
      </w:tr>
      <w:tr>
        <w:trPr>
          <w:trHeight w:val="48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3020" w:type="dxa"/>
            <w:vAlign w:val="bottom"/>
          </w:tcPr>
          <w:p>
            <w:pPr>
              <w:jc w:val="right"/>
              <w:ind w:right="1332"/>
              <w:spacing w:after="0"/>
              <w:rPr>
                <w:sz w:val="20"/>
                <w:szCs w:val="20"/>
                <w:color w:val="auto"/>
              </w:rPr>
            </w:pPr>
            <w:r>
              <w:rPr>
                <w:rFonts w:ascii="Arial" w:cs="Arial" w:eastAsia="Arial" w:hAnsi="Arial"/>
                <w:sz w:val="18"/>
                <w:szCs w:val="18"/>
                <w:color w:val="auto"/>
              </w:rPr>
              <w:t>*</w:t>
            </w:r>
          </w:p>
        </w:tc>
        <w:tc>
          <w:tcPr>
            <w:tcW w:w="388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3280" w:type="dxa"/>
            <w:vAlign w:val="bottom"/>
            <w:tcBorders>
              <w:bottom w:val="single" w:sz="8" w:color="808080"/>
            </w:tcBorders>
            <w:gridSpan w:val="2"/>
          </w:tcPr>
          <w:p>
            <w:pPr>
              <w:spacing w:after="0"/>
              <w:rPr>
                <w:sz w:val="9"/>
                <w:szCs w:val="9"/>
                <w:color w:val="auto"/>
              </w:rPr>
            </w:pPr>
          </w:p>
        </w:tc>
        <w:tc>
          <w:tcPr>
            <w:tcW w:w="3880" w:type="dxa"/>
            <w:vAlign w:val="bottom"/>
          </w:tcPr>
          <w:p>
            <w:pPr>
              <w:spacing w:after="0"/>
              <w:rPr>
                <w:sz w:val="9"/>
                <w:szCs w:val="9"/>
                <w:color w:val="auto"/>
              </w:rPr>
            </w:pPr>
          </w:p>
        </w:tc>
      </w:tr>
      <w:tr>
        <w:trPr>
          <w:trHeight w:val="343"/>
        </w:trPr>
        <w:tc>
          <w:tcPr>
            <w:tcW w:w="3280" w:type="dxa"/>
            <w:vAlign w:val="bottom"/>
            <w:gridSpan w:val="2"/>
          </w:tcPr>
          <w:p>
            <w:pPr>
              <w:spacing w:after="0"/>
              <w:rPr>
                <w:sz w:val="20"/>
                <w:szCs w:val="20"/>
                <w:color w:val="auto"/>
              </w:rPr>
            </w:pPr>
            <w:r>
              <w:rPr>
                <w:rFonts w:ascii="Arial" w:cs="Arial" w:eastAsia="Arial" w:hAnsi="Arial"/>
                <w:sz w:val="18"/>
                <w:szCs w:val="18"/>
                <w:color w:val="auto"/>
              </w:rPr>
              <w:t>Edward Roberts</w:t>
            </w:r>
          </w:p>
        </w:tc>
        <w:tc>
          <w:tcPr>
            <w:tcW w:w="3880" w:type="dxa"/>
            <w:vAlign w:val="bottom"/>
          </w:tcPr>
          <w:p>
            <w:pPr>
              <w:spacing w:after="0"/>
              <w:rPr>
                <w:sz w:val="24"/>
                <w:szCs w:val="24"/>
                <w:color w:val="auto"/>
              </w:rPr>
            </w:pPr>
          </w:p>
        </w:tc>
      </w:tr>
      <w:tr>
        <w:trPr>
          <w:trHeight w:val="48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3020" w:type="dxa"/>
            <w:vAlign w:val="bottom"/>
          </w:tcPr>
          <w:p>
            <w:pPr>
              <w:jc w:val="right"/>
              <w:ind w:right="1332"/>
              <w:spacing w:after="0"/>
              <w:rPr>
                <w:sz w:val="20"/>
                <w:szCs w:val="20"/>
                <w:color w:val="auto"/>
              </w:rPr>
            </w:pPr>
            <w:r>
              <w:rPr>
                <w:rFonts w:ascii="Arial" w:cs="Arial" w:eastAsia="Arial" w:hAnsi="Arial"/>
                <w:sz w:val="18"/>
                <w:szCs w:val="18"/>
                <w:color w:val="auto"/>
              </w:rPr>
              <w:t>*</w:t>
            </w:r>
          </w:p>
        </w:tc>
        <w:tc>
          <w:tcPr>
            <w:tcW w:w="388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3280" w:type="dxa"/>
            <w:vAlign w:val="bottom"/>
            <w:tcBorders>
              <w:bottom w:val="single" w:sz="8" w:color="808080"/>
            </w:tcBorders>
            <w:gridSpan w:val="2"/>
          </w:tcPr>
          <w:p>
            <w:pPr>
              <w:spacing w:after="0"/>
              <w:rPr>
                <w:sz w:val="9"/>
                <w:szCs w:val="9"/>
                <w:color w:val="auto"/>
              </w:rPr>
            </w:pPr>
          </w:p>
        </w:tc>
        <w:tc>
          <w:tcPr>
            <w:tcW w:w="3880" w:type="dxa"/>
            <w:vAlign w:val="bottom"/>
          </w:tcPr>
          <w:p>
            <w:pPr>
              <w:spacing w:after="0"/>
              <w:rPr>
                <w:sz w:val="9"/>
                <w:szCs w:val="9"/>
                <w:color w:val="auto"/>
              </w:rPr>
            </w:pPr>
          </w:p>
        </w:tc>
      </w:tr>
      <w:tr>
        <w:trPr>
          <w:trHeight w:val="343"/>
        </w:trPr>
        <w:tc>
          <w:tcPr>
            <w:tcW w:w="3280" w:type="dxa"/>
            <w:vAlign w:val="bottom"/>
            <w:gridSpan w:val="2"/>
          </w:tcPr>
          <w:p>
            <w:pPr>
              <w:spacing w:after="0"/>
              <w:rPr>
                <w:sz w:val="20"/>
                <w:szCs w:val="20"/>
                <w:color w:val="auto"/>
              </w:rPr>
            </w:pPr>
            <w:r>
              <w:rPr>
                <w:rFonts w:ascii="Arial" w:cs="Arial" w:eastAsia="Arial" w:hAnsi="Arial"/>
                <w:sz w:val="18"/>
                <w:szCs w:val="18"/>
                <w:color w:val="auto"/>
              </w:rPr>
              <w:t>Shuji Higuchi</w:t>
            </w:r>
          </w:p>
        </w:tc>
        <w:tc>
          <w:tcPr>
            <w:tcW w:w="3880" w:type="dxa"/>
            <w:vAlign w:val="bottom"/>
          </w:tcPr>
          <w:p>
            <w:pPr>
              <w:spacing w:after="0"/>
              <w:rPr>
                <w:sz w:val="24"/>
                <w:szCs w:val="24"/>
                <w:color w:val="auto"/>
              </w:rPr>
            </w:pPr>
          </w:p>
        </w:tc>
      </w:tr>
      <w:tr>
        <w:trPr>
          <w:trHeight w:val="48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3020" w:type="dxa"/>
            <w:vAlign w:val="bottom"/>
          </w:tcPr>
          <w:p>
            <w:pPr>
              <w:jc w:val="right"/>
              <w:ind w:right="1332"/>
              <w:spacing w:after="0"/>
              <w:rPr>
                <w:sz w:val="20"/>
                <w:szCs w:val="20"/>
                <w:color w:val="auto"/>
              </w:rPr>
            </w:pPr>
            <w:r>
              <w:rPr>
                <w:rFonts w:ascii="Arial" w:cs="Arial" w:eastAsia="Arial" w:hAnsi="Arial"/>
                <w:sz w:val="18"/>
                <w:szCs w:val="18"/>
                <w:color w:val="auto"/>
              </w:rPr>
              <w:t>*</w:t>
            </w:r>
          </w:p>
        </w:tc>
        <w:tc>
          <w:tcPr>
            <w:tcW w:w="388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3280" w:type="dxa"/>
            <w:vAlign w:val="bottom"/>
            <w:tcBorders>
              <w:bottom w:val="single" w:sz="8" w:color="808080"/>
            </w:tcBorders>
            <w:gridSpan w:val="2"/>
          </w:tcPr>
          <w:p>
            <w:pPr>
              <w:spacing w:after="0"/>
              <w:rPr>
                <w:sz w:val="9"/>
                <w:szCs w:val="9"/>
                <w:color w:val="auto"/>
              </w:rPr>
            </w:pPr>
          </w:p>
        </w:tc>
        <w:tc>
          <w:tcPr>
            <w:tcW w:w="3880" w:type="dxa"/>
            <w:vAlign w:val="bottom"/>
          </w:tcPr>
          <w:p>
            <w:pPr>
              <w:spacing w:after="0"/>
              <w:rPr>
                <w:sz w:val="9"/>
                <w:szCs w:val="9"/>
                <w:color w:val="auto"/>
              </w:rPr>
            </w:pPr>
          </w:p>
        </w:tc>
      </w:tr>
      <w:tr>
        <w:trPr>
          <w:trHeight w:val="343"/>
        </w:trPr>
        <w:tc>
          <w:tcPr>
            <w:tcW w:w="3280" w:type="dxa"/>
            <w:vAlign w:val="bottom"/>
            <w:gridSpan w:val="2"/>
          </w:tcPr>
          <w:p>
            <w:pPr>
              <w:spacing w:after="0"/>
              <w:rPr>
                <w:sz w:val="20"/>
                <w:szCs w:val="20"/>
                <w:color w:val="auto"/>
              </w:rPr>
            </w:pPr>
            <w:r>
              <w:rPr>
                <w:rFonts w:ascii="Arial" w:cs="Arial" w:eastAsia="Arial" w:hAnsi="Arial"/>
                <w:sz w:val="18"/>
                <w:szCs w:val="18"/>
                <w:color w:val="auto"/>
              </w:rPr>
              <w:t>Dr. Bruce Given</w:t>
            </w:r>
          </w:p>
        </w:tc>
        <w:tc>
          <w:tcPr>
            <w:tcW w:w="3880" w:type="dxa"/>
            <w:vAlign w:val="bottom"/>
          </w:tcPr>
          <w:p>
            <w:pPr>
              <w:spacing w:after="0"/>
              <w:rPr>
                <w:sz w:val="24"/>
                <w:szCs w:val="24"/>
                <w:color w:val="auto"/>
              </w:rPr>
            </w:pPr>
          </w:p>
        </w:tc>
      </w:tr>
      <w:tr>
        <w:trPr>
          <w:trHeight w:val="48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3020" w:type="dxa"/>
            <w:vAlign w:val="bottom"/>
          </w:tcPr>
          <w:p>
            <w:pPr>
              <w:jc w:val="right"/>
              <w:ind w:right="1632"/>
              <w:spacing w:after="0"/>
              <w:rPr>
                <w:sz w:val="20"/>
                <w:szCs w:val="20"/>
                <w:color w:val="auto"/>
              </w:rPr>
            </w:pPr>
            <w:r>
              <w:rPr>
                <w:rFonts w:ascii="Arial" w:cs="Arial" w:eastAsia="Arial" w:hAnsi="Arial"/>
                <w:sz w:val="18"/>
                <w:szCs w:val="18"/>
                <w:color w:val="auto"/>
                <w:w w:val="95"/>
              </w:rPr>
              <w:t>Donald J. Puglisi</w:t>
            </w:r>
          </w:p>
        </w:tc>
        <w:tc>
          <w:tcPr>
            <w:tcW w:w="3880" w:type="dxa"/>
            <w:vAlign w:val="bottom"/>
          </w:tcPr>
          <w:p>
            <w:pPr>
              <w:ind w:left="580"/>
              <w:spacing w:after="0"/>
              <w:rPr>
                <w:sz w:val="20"/>
                <w:szCs w:val="20"/>
                <w:color w:val="auto"/>
              </w:rPr>
            </w:pPr>
            <w:r>
              <w:rPr>
                <w:rFonts w:ascii="Arial" w:cs="Arial" w:eastAsia="Arial" w:hAnsi="Arial"/>
                <w:sz w:val="18"/>
                <w:szCs w:val="18"/>
                <w:color w:val="auto"/>
                <w:w w:val="87"/>
              </w:rPr>
              <w:t>Authorized Representative in the United States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0840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Donald J. Puglisi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 of Puglisi &amp; Associates</w:t>
      </w:r>
    </w:p>
    <w:p>
      <w:pPr>
        <w:spacing w:after="0" w:line="27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Ciaran Murray</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 Ciaran Murray</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Name:Attorney-in-Fact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401"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8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205"/>
        </w:trPr>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w w:val="91"/>
              </w:rPr>
              <w:t>Number</w:t>
            </w:r>
          </w:p>
        </w:tc>
        <w:tc>
          <w:tcPr>
            <w:tcW w:w="1020" w:type="dxa"/>
            <w:vAlign w:val="bottom"/>
          </w:tcPr>
          <w:p>
            <w:pPr>
              <w:spacing w:after="0"/>
              <w:rPr>
                <w:sz w:val="17"/>
                <w:szCs w:val="17"/>
                <w:color w:val="auto"/>
              </w:rPr>
            </w:pPr>
          </w:p>
        </w:tc>
        <w:tc>
          <w:tcPr>
            <w:tcW w:w="62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Exhibit</w:t>
            </w:r>
          </w:p>
        </w:tc>
      </w:tr>
      <w:tr>
        <w:trPr>
          <w:trHeight w:val="20"/>
        </w:trPr>
        <w:tc>
          <w:tcPr>
            <w:tcW w:w="6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478"/>
        </w:trPr>
        <w:tc>
          <w:tcPr>
            <w:tcW w:w="640" w:type="dxa"/>
            <w:vAlign w:val="bottom"/>
          </w:tcPr>
          <w:p>
            <w:pPr>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10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w w:val="88"/>
              </w:rPr>
              <w:t>Deposit Agreement, dated as of May 20, 1998, between the Company, The Bank of New</w:t>
            </w:r>
          </w:p>
        </w:tc>
      </w:tr>
      <w:tr>
        <w:trPr>
          <w:trHeight w:val="243"/>
        </w:trPr>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York and the holders from time to time of the Company’s ADRs.</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10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Form of Ordinary Share certificate.</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10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Form of ADR certificate (included in Exhibit 4.1).</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4.4**</w:t>
            </w:r>
          </w:p>
        </w:tc>
        <w:tc>
          <w:tcPr>
            <w:tcW w:w="10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Registration Rights Agreement, dated as of December 12, 1997.</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5****</w:t>
            </w:r>
          </w:p>
        </w:tc>
        <w:tc>
          <w:tcPr>
            <w:tcW w:w="10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Opinion of A&amp;L Goodbody Solicitors as to certain Company related matters.</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8.1****</w:t>
            </w:r>
          </w:p>
        </w:tc>
        <w:tc>
          <w:tcPr>
            <w:tcW w:w="10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Opinion of Cahill Gordon &amp; Reindel LLP as to certain matters of U.S. taxation.</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8.2****</w:t>
            </w:r>
          </w:p>
        </w:tc>
        <w:tc>
          <w:tcPr>
            <w:tcW w:w="10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Opinion of KPMG, Tax Advisors, as to certain matters of Irish taxation.</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10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w w:val="91"/>
              </w:rPr>
              <w:t>Consent of KPMG, Independent Registered Public Accounting Firm for the Company.</w:t>
            </w:r>
          </w:p>
        </w:tc>
      </w:tr>
      <w:tr>
        <w:trPr>
          <w:trHeight w:val="486"/>
        </w:trPr>
        <w:tc>
          <w:tcPr>
            <w:tcW w:w="1660" w:type="dxa"/>
            <w:vAlign w:val="bottom"/>
            <w:gridSpan w:val="2"/>
          </w:tcPr>
          <w:p>
            <w:pPr>
              <w:spacing w:after="0"/>
              <w:rPr>
                <w:sz w:val="20"/>
                <w:szCs w:val="20"/>
                <w:color w:val="auto"/>
              </w:rPr>
            </w:pPr>
            <w:r>
              <w:rPr>
                <w:rFonts w:ascii="Arial" w:cs="Arial" w:eastAsia="Arial" w:hAnsi="Arial"/>
                <w:sz w:val="18"/>
                <w:szCs w:val="18"/>
                <w:color w:val="auto"/>
              </w:rPr>
              <w:t>23.2****</w:t>
            </w:r>
          </w:p>
        </w:tc>
        <w:tc>
          <w:tcPr>
            <w:tcW w:w="6240" w:type="dxa"/>
            <w:vAlign w:val="bottom"/>
            <w:gridSpan w:val="2"/>
          </w:tcPr>
          <w:p>
            <w:pPr>
              <w:spacing w:after="0"/>
              <w:rPr>
                <w:sz w:val="20"/>
                <w:szCs w:val="20"/>
                <w:color w:val="auto"/>
              </w:rPr>
            </w:pPr>
            <w:r>
              <w:rPr>
                <w:rFonts w:ascii="Arial" w:cs="Arial" w:eastAsia="Arial" w:hAnsi="Arial"/>
                <w:sz w:val="18"/>
                <w:szCs w:val="18"/>
                <w:color w:val="auto"/>
              </w:rPr>
              <w:t>Consent of A&amp;L Goodbody Solicitors (included in Exhibit 5).</w:t>
            </w:r>
          </w:p>
        </w:tc>
      </w:tr>
      <w:tr>
        <w:trPr>
          <w:trHeight w:val="486"/>
        </w:trPr>
        <w:tc>
          <w:tcPr>
            <w:tcW w:w="1660" w:type="dxa"/>
            <w:vAlign w:val="bottom"/>
            <w:gridSpan w:val="2"/>
          </w:tcPr>
          <w:p>
            <w:pPr>
              <w:spacing w:after="0"/>
              <w:rPr>
                <w:sz w:val="20"/>
                <w:szCs w:val="20"/>
                <w:color w:val="auto"/>
              </w:rPr>
            </w:pPr>
            <w:r>
              <w:rPr>
                <w:rFonts w:ascii="Arial" w:cs="Arial" w:eastAsia="Arial" w:hAnsi="Arial"/>
                <w:sz w:val="18"/>
                <w:szCs w:val="18"/>
                <w:color w:val="auto"/>
              </w:rPr>
              <w:t>23.3****</w:t>
            </w:r>
          </w:p>
        </w:tc>
        <w:tc>
          <w:tcPr>
            <w:tcW w:w="6240" w:type="dxa"/>
            <w:vAlign w:val="bottom"/>
            <w:gridSpan w:val="2"/>
          </w:tcPr>
          <w:p>
            <w:pPr>
              <w:spacing w:after="0"/>
              <w:rPr>
                <w:sz w:val="20"/>
                <w:szCs w:val="20"/>
                <w:color w:val="auto"/>
              </w:rPr>
            </w:pPr>
            <w:r>
              <w:rPr>
                <w:rFonts w:ascii="Arial" w:cs="Arial" w:eastAsia="Arial" w:hAnsi="Arial"/>
                <w:sz w:val="18"/>
                <w:szCs w:val="18"/>
                <w:color w:val="auto"/>
              </w:rPr>
              <w:t>Consent of Cahill Gordon &amp; Reindel LLP (included in Exhibit 8.1).</w:t>
            </w:r>
          </w:p>
        </w:tc>
      </w:tr>
      <w:tr>
        <w:trPr>
          <w:trHeight w:val="486"/>
        </w:trPr>
        <w:tc>
          <w:tcPr>
            <w:tcW w:w="1660" w:type="dxa"/>
            <w:vAlign w:val="bottom"/>
            <w:gridSpan w:val="2"/>
          </w:tcPr>
          <w:p>
            <w:pPr>
              <w:spacing w:after="0"/>
              <w:rPr>
                <w:sz w:val="20"/>
                <w:szCs w:val="20"/>
                <w:color w:val="auto"/>
              </w:rPr>
            </w:pPr>
            <w:r>
              <w:rPr>
                <w:rFonts w:ascii="Arial" w:cs="Arial" w:eastAsia="Arial" w:hAnsi="Arial"/>
                <w:sz w:val="18"/>
                <w:szCs w:val="18"/>
                <w:color w:val="auto"/>
              </w:rPr>
              <w:t>23.4****</w:t>
            </w:r>
          </w:p>
        </w:tc>
        <w:tc>
          <w:tcPr>
            <w:tcW w:w="6240" w:type="dxa"/>
            <w:vAlign w:val="bottom"/>
            <w:gridSpan w:val="2"/>
          </w:tcPr>
          <w:p>
            <w:pPr>
              <w:spacing w:after="0"/>
              <w:rPr>
                <w:sz w:val="20"/>
                <w:szCs w:val="20"/>
                <w:color w:val="auto"/>
              </w:rPr>
            </w:pPr>
            <w:r>
              <w:rPr>
                <w:rFonts w:ascii="Arial" w:cs="Arial" w:eastAsia="Arial" w:hAnsi="Arial"/>
                <w:sz w:val="18"/>
                <w:szCs w:val="18"/>
                <w:color w:val="auto"/>
              </w:rPr>
              <w:t>Consent of KPMG, Tax Advisors (included in Exhibit 8.2).</w:t>
            </w:r>
          </w:p>
        </w:tc>
      </w:tr>
      <w:tr>
        <w:trPr>
          <w:trHeight w:val="486"/>
        </w:trPr>
        <w:tc>
          <w:tcPr>
            <w:tcW w:w="1660" w:type="dxa"/>
            <w:vAlign w:val="bottom"/>
            <w:gridSpan w:val="2"/>
          </w:tcPr>
          <w:p>
            <w:pPr>
              <w:spacing w:after="0"/>
              <w:rPr>
                <w:sz w:val="20"/>
                <w:szCs w:val="20"/>
                <w:color w:val="auto"/>
              </w:rPr>
            </w:pPr>
            <w:r>
              <w:rPr>
                <w:rFonts w:ascii="Arial" w:cs="Arial" w:eastAsia="Arial" w:hAnsi="Arial"/>
                <w:sz w:val="18"/>
                <w:szCs w:val="18"/>
                <w:color w:val="auto"/>
              </w:rPr>
              <w:t>24.1****</w:t>
            </w:r>
          </w:p>
        </w:tc>
        <w:tc>
          <w:tcPr>
            <w:tcW w:w="6240" w:type="dxa"/>
            <w:vAlign w:val="bottom"/>
            <w:gridSpan w:val="2"/>
          </w:tcPr>
          <w:p>
            <w:pPr>
              <w:spacing w:after="0"/>
              <w:rPr>
                <w:sz w:val="20"/>
                <w:szCs w:val="20"/>
                <w:color w:val="auto"/>
              </w:rPr>
            </w:pPr>
            <w:r>
              <w:rPr>
                <w:rFonts w:ascii="Arial" w:cs="Arial" w:eastAsia="Arial" w:hAnsi="Arial"/>
                <w:sz w:val="18"/>
                <w:szCs w:val="18"/>
                <w:color w:val="auto"/>
              </w:rPr>
              <w:t>Power of Attorney.</w:t>
            </w:r>
          </w:p>
        </w:tc>
      </w:tr>
    </w:tbl>
    <w:p>
      <w:pPr>
        <w:spacing w:after="0" w:line="200" w:lineRule="exact"/>
        <w:rPr>
          <w:sz w:val="20"/>
          <w:szCs w:val="20"/>
          <w:color w:val="auto"/>
        </w:rPr>
      </w:pPr>
    </w:p>
    <w:p>
      <w:pPr>
        <w:spacing w:after="0" w:line="280" w:lineRule="exact"/>
        <w:rPr>
          <w:sz w:val="20"/>
          <w:szCs w:val="20"/>
          <w:color w:val="auto"/>
        </w:rPr>
      </w:pPr>
    </w:p>
    <w:p>
      <w:pPr>
        <w:ind w:left="500" w:right="180" w:hanging="492"/>
        <w:spacing w:after="0" w:line="268"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from exhibits to the Company’s Registration Statement on Form F-6 (File No. 333-13442) filed with the Commission on April 29, 1998.</w:t>
      </w:r>
    </w:p>
    <w:p>
      <w:pPr>
        <w:spacing w:after="0" w:line="213" w:lineRule="exact"/>
        <w:rPr>
          <w:sz w:val="20"/>
          <w:szCs w:val="20"/>
          <w:color w:val="auto"/>
        </w:rPr>
      </w:pPr>
    </w:p>
    <w:p>
      <w:pPr>
        <w:ind w:left="500" w:hanging="492"/>
        <w:spacing w:after="0" w:line="268"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from exhibits to the Company’s Registration Statement on Form F-1 (File No. 333-8672) filed with the Commission on April 23, 1998.</w:t>
      </w:r>
    </w:p>
    <w:p>
      <w:pPr>
        <w:spacing w:after="0" w:line="212"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To be filed as an amendment to this registration statement or as an exhibit to an Exchange Act report of the registrant and incorporated herein by reference.</w:t>
      </w:r>
    </w:p>
    <w:p>
      <w:pPr>
        <w:spacing w:after="0" w:line="286" w:lineRule="exact"/>
        <w:rPr>
          <w:rFonts w:ascii="Arial" w:cs="Arial" w:eastAsia="Arial" w:hAnsi="Arial"/>
          <w:sz w:val="15"/>
          <w:szCs w:val="15"/>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333-133371) on Form F-3 of ICON plc of our report dated February 27, 2006, with respect to the consolidated balance sheets of ICON plc as of December 31, 2005, May 31, 2005 and 2004, and the related consolidated statements of operations, shareholders’ equity and comprehensive income and cash flows for the seven months ended December 31, 2005 and for each of the years in the three-year period ended May 31, 2005, which report appears in the December 31, 2005 transition report on Form 20-F of ICON plc and to the reference to our firm under the heading “Experts”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ind w:left="5340"/>
        <w:spacing w:after="0"/>
        <w:rPr>
          <w:sz w:val="20"/>
          <w:szCs w:val="20"/>
          <w:color w:val="auto"/>
        </w:rPr>
      </w:pPr>
      <w:r>
        <w:rPr>
          <w:rFonts w:ascii="Arial" w:cs="Arial" w:eastAsia="Arial" w:hAnsi="Arial"/>
          <w:sz w:val="18"/>
          <w:szCs w:val="18"/>
          <w:color w:val="auto"/>
        </w:rPr>
        <w:t>ICON plc</w:t>
      </w:r>
    </w:p>
    <w:p>
      <w:pPr>
        <w:spacing w:after="0" w:line="1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Leopardstown, Dublin 18, Ireland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May 5,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Facsimile and EDGAR Filing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20549-6010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Attention: Song P. Brandon</w:t>
      </w:r>
    </w:p>
    <w:p>
      <w:pPr>
        <w:spacing w:after="0" w:line="37"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22"/>
          <w:szCs w:val="22"/>
          <w:i w:val="1"/>
          <w:iCs w:val="1"/>
          <w:color w:val="auto"/>
        </w:rPr>
        <w:t>ICON plc</w:t>
      </w:r>
    </w:p>
    <w:p>
      <w:pPr>
        <w:spacing w:after="0" w:line="44"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Registration Statement on Form F-3 (File No. 333-133371)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Rule 461 of the Rules and Regulations of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the undersigned (the “</w:t>
      </w:r>
      <w:r>
        <w:rPr>
          <w:rFonts w:ascii="Arial" w:cs="Arial" w:eastAsia="Arial" w:hAnsi="Arial"/>
          <w:sz w:val="18"/>
          <w:szCs w:val="18"/>
          <w:i w:val="1"/>
          <w:iCs w:val="1"/>
          <w:color w:val="auto"/>
        </w:rPr>
        <w:t>Company</w:t>
      </w:r>
      <w:r>
        <w:rPr>
          <w:rFonts w:ascii="Arial" w:cs="Arial" w:eastAsia="Arial" w:hAnsi="Arial"/>
          <w:sz w:val="18"/>
          <w:szCs w:val="18"/>
          <w:color w:val="auto"/>
        </w:rPr>
        <w:t>”) hereby request that the effective date of the above-referenced Registration Statement be accelerated so that the Registration Statement, as then amended, will become effective under the Securities Act by 12:00 p.m. (Eastern Standard Time) on Tuesday, May 9, 2006, or as soon thereafter as practicable.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acknowledges that:</w:t>
      </w:r>
    </w:p>
    <w:p>
      <w:pPr>
        <w:spacing w:after="0" w:line="252" w:lineRule="exact"/>
        <w:rPr>
          <w:sz w:val="20"/>
          <w:szCs w:val="20"/>
          <w:color w:val="auto"/>
        </w:rPr>
      </w:pPr>
    </w:p>
    <w:p>
      <w:pPr>
        <w:ind w:left="540" w:right="140"/>
        <w:spacing w:after="0" w:line="281" w:lineRule="auto"/>
        <w:rPr>
          <w:sz w:val="20"/>
          <w:szCs w:val="20"/>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80"/>
        <w:spacing w:after="0" w:line="281" w:lineRule="auto"/>
        <w:rPr>
          <w:sz w:val="20"/>
          <w:szCs w:val="20"/>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40"/>
        <w:spacing w:after="0" w:line="299" w:lineRule="auto"/>
        <w:rPr>
          <w:sz w:val="20"/>
          <w:szCs w:val="20"/>
          <w:color w:val="auto"/>
        </w:rPr>
      </w:pPr>
      <w:r>
        <w:rPr>
          <w:rFonts w:ascii="Arial" w:cs="Arial" w:eastAsia="Arial" w:hAnsi="Arial"/>
          <w:sz w:val="18"/>
          <w:szCs w:val="18"/>
          <w:color w:val="auto"/>
        </w:rPr>
        <w:t>the Company may not assert the declaration of effectiveness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ind w:left="5280"/>
        <w:spacing w:after="0"/>
        <w:rPr>
          <w:sz w:val="20"/>
          <w:szCs w:val="20"/>
          <w:color w:val="auto"/>
        </w:rPr>
      </w:pPr>
      <w:r>
        <w:rPr>
          <w:rFonts w:ascii="Arial" w:cs="Arial" w:eastAsia="Arial" w:hAnsi="Arial"/>
          <w:sz w:val="18"/>
          <w:szCs w:val="18"/>
          <w:color w:val="auto"/>
        </w:rPr>
        <w:t>Very truly yours,</w:t>
      </w:r>
    </w:p>
    <w:p>
      <w:pPr>
        <w:spacing w:after="0" w:line="38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ICON plc</w:t>
      </w:r>
    </w:p>
    <w:p>
      <w:pPr>
        <w:spacing w:after="0" w:line="9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/s/ Ciaran Murray</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Ciaran Murray</w:t>
      </w:r>
    </w:p>
    <w:p>
      <w:pPr>
        <w:spacing w:after="0" w:line="90" w:lineRule="exact"/>
        <w:rPr>
          <w:sz w:val="20"/>
          <w:szCs w:val="20"/>
          <w:color w:val="auto"/>
        </w:rPr>
      </w:pPr>
    </w:p>
    <w:p>
      <w:pPr>
        <w:jc w:val="right"/>
        <w:ind w:right="2519"/>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Jeffrey P. Riedler</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Securities and Exchange Commission</w:t>
      </w:r>
    </w:p>
    <w:p>
      <w:pPr>
        <w:spacing w:after="0" w:line="3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Peter Gray</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ICON plc</w:t>
      </w:r>
    </w:p>
    <w:p>
      <w:pPr>
        <w:spacing w:after="0" w:line="3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William M. Hartnett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Brian S. Kelleher</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Cahill Gordon &amp; Reindel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1209675</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0219"/>
      </w:cols>
      <w:pgMar w:left="240" w:top="1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
    <w:nsid w:val="4DB127F8"/>
    <w:multiLevelType w:val="hybridMultilevel"/>
    <w:lvl w:ilvl="0">
      <w:lvlJc w:val="left"/>
      <w:lvlText w:val="(%1)"/>
      <w:numFmt w:val="lowerRoman"/>
      <w:start w:val="3"/>
    </w:lvl>
  </w:abstractNum>
  <w:abstractNum w:abstractNumId="7">
    <w:nsid w:val="216231B"/>
    <w:multiLevelType w:val="hybridMultilevel"/>
    <w:lvl w:ilvl="0">
      <w:lvlJc w:val="left"/>
      <w:lvlText w:val="%1."/>
      <w:numFmt w:val="decimal"/>
      <w:start w:val="2"/>
    </w:lvl>
    <w:lvl w:ilvl="1">
      <w:lvlJc w:val="left"/>
      <w:lvlText w:val="(%2)"/>
      <w:numFmt w:val="upperLetter"/>
      <w:start w:val="1"/>
    </w:lvl>
  </w:abstractNum>
  <w:abstractNum w:abstractNumId="8">
    <w:nsid w:val="1F16E9E8"/>
    <w:multiLevelType w:val="hybridMultilevel"/>
    <w:lvl w:ilvl="0">
      <w:lvlJc w:val="left"/>
      <w:lvlText w:val="%1."/>
      <w:numFmt w:val="decimal"/>
      <w:start w:val="6"/>
    </w:lvl>
    <w:lvl w:ilvl="1">
      <w:lvlJc w:val="left"/>
      <w:lvlText w:val="(%2)"/>
      <w:numFmt w:val="lowerRoman"/>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2019-12-14T19:20:53Z</dcterms:created>
  <dcterms:modified xsi:type="dcterms:W3CDTF">2019-12-14T19:20:53Z</dcterms:modified>
</cp:coreProperties>
</file>