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50"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October, 2023</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4"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24"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24"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2"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This report on Form 6-K is hereby incorporated by reference in the registration statement on Form F-4 (Registration No. 333-254891) of ICON plc and in the prospectus contained therein,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5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2023 we had approximately 41,150 employees in 106 locations in 53 countries. During the nine months ended September 30, 2023, we derived approximately 41.7%, 47.5% and 10.8% of our revenue in the United States, Europe and Rest of World, respectively.</w:t>
      </w: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September 29, 2023, the Company repaid $300.0 million of the senior secured term loan facility and made a quarterly interest payment of $74.5 million. This repayment resulted in an accelerated charge associated with previously capitalized fees of $2.5 million.</w:t>
      </w:r>
    </w:p>
    <w:p>
      <w:pPr>
        <w:spacing w:after="0" w:line="19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accelerated charge associated with previously capitalized fees of $1.2 million.</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March 31, 2023, the Company repaid $250.0 million of the senior secured term loan facility and made a quarterly interest payment of $75.3 million. This repayment resulted in an accelerated charge associated with previously capitalized fees of $2.2 million.</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December 30, 2022, the Company repaid $200.0 million of the senior secured term loan facility and made a quarterly interest payment of $66.1 million. This repayment resulted in an accelerated charge associated with previously capitalized fees of $1.8 million.</w:t>
      </w:r>
    </w:p>
    <w:p>
      <w:pPr>
        <w:spacing w:after="0" w:line="21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 resulted in an accelerated charge associated with previously capitalized fees of $1.9 million.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accelerated charge associated with previously capitalized fees of $3.2 million.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Senior secured revolving loan facility</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6.17%, representing one month SOFR plus a margin of 1.25%. In April 2023, the Company drew down a further $50.0 million of the senior secured revolving loan facility at an interest rate of 6.25%, representing one month SOFR plus a margin of 1.25%. The Company repaid $80.0 million of the senior secured revolving loan facility on June 30, 2023. The remaining $50.0 million was repaid on August 17, 2023. On September 29, 2023, $75.0 million of the senior secured revolving loan facility was drawn down at an interest rate of 6.68%, representing one month SOFR plus a margin of 1.25%.</w:t>
      </w:r>
    </w:p>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May 2, 2023, the Company agreed with its lenders to increase the aggregate principal amount of the senior secured revolving loan facility from $300 million to $500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translation</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nine months ended September 30, 2023.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and the conflict area in the Middle East</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242829"/>
        </w:rPr>
        <w:t xml:space="preserve">We are all saddened by recent developments in </w:t>
      </w:r>
      <w:r>
        <w:rPr>
          <w:rFonts w:ascii="Arial" w:cs="Arial" w:eastAsia="Arial" w:hAnsi="Arial"/>
          <w:sz w:val="16"/>
          <w:szCs w:val="16"/>
          <w:color w:val="000000"/>
        </w:rPr>
        <w:t>Israel and the conflict area in</w:t>
      </w:r>
      <w:r>
        <w:rPr>
          <w:rFonts w:ascii="Arial" w:cs="Arial" w:eastAsia="Arial" w:hAnsi="Arial"/>
          <w:sz w:val="16"/>
          <w:szCs w:val="16"/>
          <w:color w:val="242829"/>
        </w:rPr>
        <w:t xml:space="preserve"> the Middle East. </w:t>
      </w:r>
      <w:r>
        <w:rPr>
          <w:rFonts w:ascii="Arial" w:cs="Arial" w:eastAsia="Arial" w:hAnsi="Arial"/>
          <w:sz w:val="16"/>
          <w:szCs w:val="16"/>
          <w:color w:val="000000"/>
        </w:rPr>
        <w:t>The Company's key focus has been on the safety of</w:t>
      </w:r>
      <w:r>
        <w:rPr>
          <w:rFonts w:ascii="Arial" w:cs="Arial" w:eastAsia="Arial" w:hAnsi="Arial"/>
          <w:sz w:val="16"/>
          <w:szCs w:val="16"/>
          <w:color w:val="242829"/>
        </w:rPr>
        <w:t xml:space="preserve"> </w:t>
      </w:r>
      <w:r>
        <w:rPr>
          <w:rFonts w:ascii="Arial" w:cs="Arial" w:eastAsia="Arial" w:hAnsi="Arial"/>
          <w:sz w:val="16"/>
          <w:szCs w:val="16"/>
          <w:color w:val="000000"/>
        </w:rPr>
        <w:t>our employees and their families, patients, investigators and on the mitigation of adverse impacts on ongoing clinical trials. The Company has worked to ensure the safety of employees and their families through the implementation of a number of employee assistance programs. The team have been advised to work remotely as they continue to support our customers’ studies. The financial impact of the developments was not material to the Company during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6"/>
          <w:szCs w:val="16"/>
          <w:b w:val="1"/>
          <w:bCs w:val="1"/>
          <w:color w:val="auto"/>
        </w:rPr>
        <w:t>ICON plc</w:t>
      </w:r>
    </w:p>
    <w:p>
      <w:pPr>
        <w:spacing w:after="0" w:line="3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SEPTEMBER 30, 2023 AND DECEMBER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313,065</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288,768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1,954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1,850,362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1,731,388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941,884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957,655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121,687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150,193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137,094</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42,039</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3,421,184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3,229,066</w:t>
            </w:r>
          </w:p>
        </w:tc>
        <w:tc>
          <w:tcPr>
            <w:tcW w:w="0" w:type="dxa"/>
            <w:vAlign w:val="bottom"/>
          </w:tcPr>
          <w:p>
            <w:pPr>
              <w:spacing w:after="0"/>
              <w:rPr>
                <w:sz w:val="1"/>
                <w:szCs w:val="1"/>
                <w:color w:val="auto"/>
              </w:rPr>
            </w:pPr>
          </w:p>
        </w:tc>
      </w:tr>
      <w:tr>
        <w:trPr>
          <w:trHeight w:val="165"/>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342,262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350,320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8,982,896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8,971,670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3,934,673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4,278,659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132,319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153,832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52,797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40,481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21,380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83,095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76,930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Investments in equity- long term</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41,790</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32,631</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17,031,497</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87,317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81,194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1,663,183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1,507,449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948,829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1,005,025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41,518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130,150</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2,870,997</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2,690,601</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3,911,522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4,599,037</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Lease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121,424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131,644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41,661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242,972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239,188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liability</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883,887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988,585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8,072,463</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8,687,315</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82,326,976 shares issued and outstanding at September 30, 2023 and</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81,723,555 shares issued and outstanding at December 31, 2022</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6,688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6,924,073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6,840,306</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1,162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(190,190)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2,217,301</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1,821,384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8,959,034</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17,031,497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4"/>
        </w:trPr>
        <w:tc>
          <w:tcPr>
            <w:tcW w:w="7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NINE MONTHS ENDED SEPTEMBER 30, 2023 AND SEPTEMBER 30,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15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7"/>
        </w:trPr>
        <w:tc>
          <w:tcPr>
            <w:tcW w:w="4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4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6"/>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20" w:type="dxa"/>
            <w:vAlign w:val="bottom"/>
            <w:shd w:val="clear" w:color="auto" w:fill="CCEEFF"/>
          </w:tcPr>
          <w:p>
            <w:pPr>
              <w:spacing w:after="0"/>
              <w:rPr>
                <w:sz w:val="18"/>
                <w:szCs w:val="18"/>
                <w:color w:val="auto"/>
              </w:rPr>
            </w:pP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2,055,099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1,942,427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6,053,928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5,779,384</w:t>
            </w: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2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1,449,136</w:t>
            </w: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1,375,837</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4,274,222</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4,146,366</w:t>
            </w: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185,187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166,787</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572,999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552,000</w:t>
            </w: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146,032</w:t>
            </w: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141,861</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436,217</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427,285</w:t>
            </w: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integration-related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10,433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34,516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28,970</w:t>
            </w:r>
          </w:p>
        </w:tc>
      </w:tr>
      <w:tr>
        <w:trPr>
          <w:trHeight w:val="209"/>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6,197</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45,390</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32,890</w:t>
            </w:r>
          </w:p>
        </w:tc>
      </w:tr>
      <w:tr>
        <w:trPr>
          <w:trHeight w:val="223"/>
        </w:trPr>
        <w:tc>
          <w:tcPr>
            <w:tcW w:w="4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1,790,788</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1,698,683</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5,363,344</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5,187,511</w:t>
            </w:r>
          </w:p>
        </w:tc>
      </w:tr>
      <w:tr>
        <w:trPr>
          <w:trHeight w:val="95"/>
        </w:trPr>
        <w:tc>
          <w:tcPr>
            <w:tcW w:w="4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264,311</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243,744</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690,584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591,873</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1,434</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3,294</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1,727</w:t>
            </w:r>
          </w:p>
        </w:tc>
      </w:tr>
      <w:tr>
        <w:trPr>
          <w:trHeight w:val="226"/>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(83,908)</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(63,010)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(255,665)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(154,546)</w:t>
            </w:r>
          </w:p>
        </w:tc>
      </w:tr>
      <w:tr>
        <w:trPr>
          <w:trHeight w:val="257"/>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181,676</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182,168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438,213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439,054</w:t>
            </w:r>
          </w:p>
        </w:tc>
      </w:tr>
      <w:tr>
        <w:trPr>
          <w:trHeight w:val="223"/>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(41,913)</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(48,552)</w:t>
            </w:r>
          </w:p>
        </w:tc>
      </w:tr>
      <w:tr>
        <w:trPr>
          <w:trHeight w:val="257"/>
        </w:trPr>
        <w:tc>
          <w:tcPr>
            <w:tcW w:w="49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2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163,665</w:t>
            </w: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161,156</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396,300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390,502</w:t>
            </w:r>
          </w:p>
        </w:tc>
      </w:tr>
      <w:tr>
        <w:trPr>
          <w:trHeight w:val="226"/>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of losses in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50"/>
        </w:trPr>
        <w:tc>
          <w:tcPr>
            <w:tcW w:w="4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38"/>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163,665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160,154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395,917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387,859</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 attributable to the Group (note 13):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8"/>
        </w:trPr>
        <w:tc>
          <w:tcPr>
            <w:tcW w:w="4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4.79</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65"/>
        </w:trPr>
        <w:tc>
          <w:tcPr>
            <w:tcW w:w="4960" w:type="dxa"/>
            <w:vAlign w:val="bottom"/>
          </w:tcPr>
          <w:p>
            <w:pPr>
              <w:ind w:left="20"/>
              <w:spacing w:after="0" w:line="165" w:lineRule="exact"/>
              <w:rPr>
                <w:sz w:val="20"/>
                <w:szCs w:val="20"/>
                <w:color w:val="auto"/>
              </w:rPr>
            </w:pPr>
            <w:r>
              <w:rPr>
                <w:rFonts w:ascii="Arial" w:cs="Arial" w:eastAsia="Arial" w:hAnsi="Arial"/>
                <w:sz w:val="16"/>
                <w:szCs w:val="16"/>
                <w:color w:val="auto"/>
              </w:rPr>
              <w:t>Weighted average number of Ordinary Shares outstanding (note</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3"/>
        </w:trPr>
        <w:tc>
          <w:tcPr>
            <w:tcW w:w="4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3"/>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82,215,627</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81,582,375</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82,001,500</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81,481,686</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3"/>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82,972,888</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82,493,211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82,737,073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82,473,521</w:t>
            </w:r>
          </w:p>
        </w:tc>
      </w:tr>
      <w:tr>
        <w:trPr>
          <w:trHeight w:val="23"/>
        </w:trPr>
        <w:tc>
          <w:tcPr>
            <w:tcW w:w="4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445" w:right="3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NINE MONTHS ENDED SEPTEMBER 30, 2023 AND SEPTEMBER 30,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9"/>
              </w:rPr>
              <w:t>(UNAUDITED)</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4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4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360" w:type="dxa"/>
            <w:vAlign w:val="bottom"/>
            <w:gridSpan w:val="7"/>
            <w:shd w:val="clear" w:color="auto" w:fill="CCEEFF"/>
          </w:tcPr>
          <w:p>
            <w:pPr>
              <w:jc w:val="center"/>
              <w:ind w:right="760"/>
              <w:spacing w:after="0" w:line="175" w:lineRule="exact"/>
              <w:rPr>
                <w:sz w:val="20"/>
                <w:szCs w:val="20"/>
                <w:color w:val="auto"/>
              </w:rPr>
            </w:pPr>
            <w:r>
              <w:rPr>
                <w:rFonts w:ascii="Arial" w:cs="Arial" w:eastAsia="Arial" w:hAnsi="Arial"/>
                <w:sz w:val="16"/>
                <w:szCs w:val="16"/>
                <w:b w:val="1"/>
                <w:bCs w:val="1"/>
                <w:color w:val="auto"/>
              </w:rPr>
              <w:t>Three Months Ended</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80" w:type="dxa"/>
            <w:vAlign w:val="bottom"/>
            <w:gridSpan w:val="8"/>
            <w:shd w:val="clear" w:color="auto" w:fill="CCEEFF"/>
          </w:tcPr>
          <w:p>
            <w:pPr>
              <w:jc w:val="center"/>
              <w:ind w:right="780"/>
              <w:spacing w:after="0" w:line="175" w:lineRule="exact"/>
              <w:rPr>
                <w:sz w:val="20"/>
                <w:szCs w:val="20"/>
                <w:color w:val="auto"/>
              </w:rPr>
            </w:pPr>
            <w:r>
              <w:rPr>
                <w:rFonts w:ascii="Arial" w:cs="Arial" w:eastAsia="Arial" w:hAnsi="Arial"/>
                <w:sz w:val="16"/>
                <w:szCs w:val="16"/>
                <w:b w:val="1"/>
                <w:bCs w:val="1"/>
                <w:color w:val="auto"/>
              </w:rPr>
              <w:t>Nine Months Ended</w:t>
            </w:r>
          </w:p>
        </w:tc>
      </w:tr>
      <w:tr>
        <w:trPr>
          <w:trHeight w:val="21"/>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5"/>
                <w:szCs w:val="15"/>
                <w:color w:val="auto"/>
              </w:rPr>
            </w:pPr>
          </w:p>
        </w:tc>
        <w:tc>
          <w:tcPr>
            <w:tcW w:w="116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5"/>
                <w:szCs w:val="15"/>
                <w:color w:val="auto"/>
              </w:rPr>
            </w:pPr>
          </w:p>
        </w:tc>
        <w:tc>
          <w:tcPr>
            <w:tcW w:w="11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5"/>
                <w:szCs w:val="15"/>
                <w:color w:val="auto"/>
              </w:rPr>
            </w:pPr>
          </w:p>
        </w:tc>
        <w:tc>
          <w:tcPr>
            <w:tcW w:w="1140" w:type="dxa"/>
            <w:vAlign w:val="bottom"/>
            <w:gridSpan w:val="4"/>
          </w:tcPr>
          <w:p>
            <w:pPr>
              <w:jc w:val="right"/>
              <w:ind w:right="20"/>
              <w:spacing w:after="0" w:line="175" w:lineRule="exact"/>
              <w:rPr>
                <w:sz w:val="20"/>
                <w:szCs w:val="20"/>
                <w:color w:val="auto"/>
              </w:rPr>
            </w:pPr>
            <w:r>
              <w:rPr>
                <w:rFonts w:ascii="Arial" w:cs="Arial" w:eastAsia="Arial" w:hAnsi="Arial"/>
                <w:sz w:val="16"/>
                <w:szCs w:val="16"/>
                <w:b w:val="1"/>
                <w:bCs w:val="1"/>
                <w:color w:val="auto"/>
              </w:rPr>
              <w:t>September 30,</w:t>
            </w:r>
          </w:p>
        </w:tc>
      </w:tr>
      <w:tr>
        <w:trPr>
          <w:trHeight w:val="142"/>
        </w:trPr>
        <w:tc>
          <w:tcPr>
            <w:tcW w:w="4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2"/>
                <w:szCs w:val="12"/>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60" w:type="dxa"/>
            <w:vAlign w:val="bottom"/>
            <w:gridSpan w:val="7"/>
            <w:shd w:val="clear" w:color="auto" w:fill="CCEEFF"/>
          </w:tcPr>
          <w:p>
            <w:pPr>
              <w:jc w:val="center"/>
              <w:ind w:right="760"/>
              <w:spacing w:after="0"/>
              <w:rPr>
                <w:sz w:val="20"/>
                <w:szCs w:val="20"/>
                <w:color w:val="auto"/>
              </w:rPr>
            </w:pPr>
            <w:r>
              <w:rPr>
                <w:rFonts w:ascii="Arial" w:cs="Arial" w:eastAsia="Arial" w:hAnsi="Arial"/>
                <w:sz w:val="16"/>
                <w:szCs w:val="16"/>
                <w:color w:val="auto"/>
              </w:rPr>
              <w:t>(in thousands)</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jc w:val="center"/>
              <w:ind w:right="780"/>
              <w:spacing w:after="0"/>
              <w:rPr>
                <w:sz w:val="20"/>
                <w:szCs w:val="20"/>
                <w:color w:val="auto"/>
              </w:rPr>
            </w:pPr>
            <w:r>
              <w:rPr>
                <w:rFonts w:ascii="Arial" w:cs="Arial" w:eastAsia="Arial" w:hAnsi="Arial"/>
                <w:sz w:val="16"/>
                <w:szCs w:val="16"/>
                <w:color w:val="auto"/>
              </w:rPr>
              <w:t>(in thousands)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163,665</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160,154</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395,917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387,859</w:t>
            </w:r>
          </w:p>
        </w:tc>
        <w:tc>
          <w:tcPr>
            <w:tcW w:w="20" w:type="dxa"/>
            <w:vAlign w:val="bottom"/>
            <w:shd w:val="clear" w:color="auto" w:fill="CCEEFF"/>
          </w:tcPr>
          <w:p>
            <w:pPr>
              <w:spacing w:after="0"/>
              <w:rPr>
                <w:sz w:val="19"/>
                <w:szCs w:val="19"/>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4"/>
          </w:tcPr>
          <w:p>
            <w:pPr>
              <w:jc w:val="right"/>
              <w:ind w:right="20"/>
              <w:spacing w:after="0"/>
              <w:rPr>
                <w:sz w:val="20"/>
                <w:szCs w:val="20"/>
                <w:color w:val="auto"/>
              </w:rPr>
            </w:pPr>
            <w:r>
              <w:rPr>
                <w:rFonts w:ascii="Arial" w:cs="Arial" w:eastAsia="Arial" w:hAnsi="Arial"/>
                <w:sz w:val="16"/>
                <w:szCs w:val="16"/>
                <w:color w:val="auto"/>
              </w:rPr>
              <w:t>(38,648)</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(98,966)</w:t>
            </w:r>
          </w:p>
        </w:tc>
        <w:tc>
          <w:tcPr>
            <w:tcW w:w="60" w:type="dxa"/>
            <w:vAlign w:val="bottom"/>
          </w:tcPr>
          <w:p>
            <w:pPr>
              <w:spacing w:after="0"/>
              <w:rPr>
                <w:sz w:val="18"/>
                <w:szCs w:val="18"/>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(33,786)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(200,964)</w:t>
            </w:r>
          </w:p>
        </w:tc>
        <w:tc>
          <w:tcPr>
            <w:tcW w:w="20" w:type="dxa"/>
            <w:vAlign w:val="bottom"/>
          </w:tcPr>
          <w:p>
            <w:pPr>
              <w:spacing w:after="0"/>
              <w:rPr>
                <w:sz w:val="18"/>
                <w:szCs w:val="18"/>
                <w:color w:val="auto"/>
              </w:rPr>
            </w:pPr>
          </w:p>
        </w:tc>
      </w:tr>
      <w:tr>
        <w:trPr>
          <w:trHeight w:val="216"/>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cash flow hedge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4,986</w:t>
            </w:r>
          </w:p>
        </w:tc>
        <w:tc>
          <w:tcPr>
            <w:tcW w:w="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15,134</w:t>
            </w: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attributable to the Group</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130,003</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61,188</w:t>
            </w: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377,265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186,895</w:t>
            </w:r>
          </w:p>
        </w:tc>
        <w:tc>
          <w:tcPr>
            <w:tcW w:w="20" w:type="dxa"/>
            <w:vAlign w:val="bottom"/>
            <w:tcBorders>
              <w:bottom w:val="single" w:sz="8" w:color="auto"/>
            </w:tcBorders>
          </w:tcPr>
          <w:p>
            <w:pPr>
              <w:spacing w:after="0"/>
              <w:rPr>
                <w:sz w:val="18"/>
                <w:szCs w:val="18"/>
                <w:color w:val="auto"/>
              </w:rPr>
            </w:pPr>
          </w:p>
        </w:tc>
      </w:tr>
      <w:tr>
        <w:trPr>
          <w:trHeight w:val="24"/>
        </w:trPr>
        <w:tc>
          <w:tcPr>
            <w:tcW w:w="4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34"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81,723,555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1,821,384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136,649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12,927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Issue of restricted share units / performance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68,218</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14,658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81,928,422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6,867,887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(159,896)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1,938,038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8,653,853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115,598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115,598</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93,304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165"/>
        </w:trPr>
        <w:tc>
          <w:tcPr>
            <w:tcW w:w="3280" w:type="dxa"/>
            <w:vAlign w:val="bottom"/>
          </w:tcPr>
          <w:p>
            <w:pPr>
              <w:ind w:left="20"/>
              <w:spacing w:after="0" w:line="165" w:lineRule="exact"/>
              <w:rPr>
                <w:sz w:val="20"/>
                <w:szCs w:val="20"/>
                <w:color w:val="auto"/>
              </w:rPr>
            </w:pPr>
            <w:r>
              <w:rPr>
                <w:rFonts w:ascii="Arial" w:cs="Arial" w:eastAsia="Arial" w:hAnsi="Arial"/>
                <w:sz w:val="16"/>
                <w:szCs w:val="16"/>
                <w:color w:val="auto"/>
              </w:rPr>
              <w:t>Issue of restricted share units / performance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129,323</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82,151,049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6,676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6,891,494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(156,528)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2,053,636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8,796,440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163,665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163,665</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147,661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16,328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16,337</w:t>
            </w: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Issue of restricted share units / performance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28,266</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28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16,256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16,256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(33,662)</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(33,662)</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September 30,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82,326,976</w:t>
            </w: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6,688</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6,924,073</w:t>
            </w: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(190,190)</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2,217,301</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8,959,034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84,090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Issue of restricted share units / performance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74,769</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18,840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80" w:type="dxa"/>
            <w:vAlign w:val="bottom"/>
          </w:tcPr>
          <w:p>
            <w:pPr>
              <w:jc w:val="right"/>
              <w:spacing w:after="0"/>
              <w:rPr>
                <w:sz w:val="20"/>
                <w:szCs w:val="20"/>
                <w:color w:val="auto"/>
              </w:rPr>
            </w:pPr>
            <w:r>
              <w:rPr>
                <w:rFonts w:ascii="Arial" w:cs="Arial" w:eastAsia="Arial" w:hAnsi="Arial"/>
                <w:sz w:val="16"/>
                <w:szCs w:val="16"/>
                <w:color w:val="auto"/>
              </w:rPr>
              <w:t>(420,530)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81,293,012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6,760,238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(126,755)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1,428,050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8,069,317</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115,734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165"/>
        </w:trPr>
        <w:tc>
          <w:tcPr>
            <w:tcW w:w="3280" w:type="dxa"/>
            <w:vAlign w:val="bottom"/>
          </w:tcPr>
          <w:p>
            <w:pPr>
              <w:ind w:left="20"/>
              <w:spacing w:after="0" w:line="165" w:lineRule="exact"/>
              <w:rPr>
                <w:sz w:val="20"/>
                <w:szCs w:val="20"/>
                <w:color w:val="auto"/>
              </w:rPr>
            </w:pPr>
            <w:r>
              <w:rPr>
                <w:rFonts w:ascii="Arial" w:cs="Arial" w:eastAsia="Arial" w:hAnsi="Arial"/>
                <w:sz w:val="16"/>
                <w:szCs w:val="16"/>
                <w:color w:val="auto"/>
              </w:rPr>
              <w:t>Issue of restricted share units / performance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157,924</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81,526,607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6,787,365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(192,935)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1,543,784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8,146,013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160,154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160,154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13,831</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Issue of restricted share units</w:t>
            </w:r>
          </w:p>
        </w:tc>
        <w:tc>
          <w:tcPr>
            <w:tcW w:w="1080" w:type="dxa"/>
            <w:vAlign w:val="bottom"/>
          </w:tcPr>
          <w:p>
            <w:pPr>
              <w:jc w:val="right"/>
              <w:spacing w:after="0"/>
              <w:rPr>
                <w:sz w:val="20"/>
                <w:szCs w:val="20"/>
                <w:color w:val="auto"/>
              </w:rPr>
            </w:pPr>
            <w:r>
              <w:rPr>
                <w:rFonts w:ascii="Arial" w:cs="Arial" w:eastAsia="Arial" w:hAnsi="Arial"/>
                <w:sz w:val="16"/>
                <w:szCs w:val="16"/>
                <w:color w:val="auto"/>
              </w:rPr>
              <w:t>1,532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(98,966)</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(98,966)</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September 30,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81,645,279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6,645</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6,818,877</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(291,901)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1,703,938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8,238,721</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7720" w:type="dxa"/>
            <w:vAlign w:val="bottom"/>
          </w:tcPr>
          <w:p>
            <w:pPr>
              <w:jc w:val="center"/>
              <w:ind w:left="3319"/>
              <w:spacing w:after="0"/>
              <w:rPr>
                <w:sz w:val="20"/>
                <w:szCs w:val="20"/>
                <w:color w:val="auto"/>
              </w:rPr>
            </w:pPr>
            <w:r>
              <w:rPr>
                <w:rFonts w:ascii="Arial" w:cs="Arial" w:eastAsia="Arial" w:hAnsi="Arial"/>
                <w:sz w:val="16"/>
                <w:szCs w:val="16"/>
                <w:b w:val="1"/>
                <w:bCs w:val="1"/>
                <w:color w:val="auto"/>
              </w:rPr>
              <w:t>ICON plc</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9420" w:type="dxa"/>
            <w:vAlign w:val="bottom"/>
            <w:gridSpan w:val="3"/>
          </w:tcPr>
          <w:p>
            <w:pPr>
              <w:jc w:val="center"/>
              <w:ind w:left="161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9420" w:type="dxa"/>
            <w:vAlign w:val="bottom"/>
            <w:gridSpan w:val="3"/>
          </w:tcPr>
          <w:p>
            <w:pPr>
              <w:jc w:val="center"/>
              <w:ind w:left="1639"/>
              <w:spacing w:after="0"/>
              <w:rPr>
                <w:sz w:val="20"/>
                <w:szCs w:val="20"/>
                <w:color w:val="auto"/>
              </w:rPr>
            </w:pPr>
            <w:r>
              <w:rPr>
                <w:rFonts w:ascii="Arial" w:cs="Arial" w:eastAsia="Arial" w:hAnsi="Arial"/>
                <w:sz w:val="16"/>
                <w:szCs w:val="16"/>
                <w:b w:val="1"/>
                <w:bCs w:val="1"/>
                <w:color w:val="auto"/>
              </w:rPr>
              <w:t>FOR THE NINE MONTHS ENDED SEPTEMBER 30, 2023 AND SEPTEMBER 30, 2022 (UNAUDITED)</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0"/>
        </w:trPr>
        <w:tc>
          <w:tcPr>
            <w:tcW w:w="77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gridSpan w:val="2"/>
            <w:shd w:val="clear" w:color="auto" w:fill="CCEEFF"/>
          </w:tcPr>
          <w:p>
            <w:pPr>
              <w:jc w:val="center"/>
              <w:ind w:left="63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shd w:val="clear" w:color="auto" w:fill="CCEEFF"/>
          </w:tcPr>
          <w:p>
            <w:pPr>
              <w:spacing w:after="0"/>
              <w:rPr>
                <w:sz w:val="19"/>
                <w:szCs w:val="19"/>
                <w:color w:val="auto"/>
              </w:rPr>
            </w:pPr>
          </w:p>
        </w:tc>
      </w:tr>
      <w:tr>
        <w:trPr>
          <w:trHeight w:val="210"/>
        </w:trPr>
        <w:tc>
          <w:tcPr>
            <w:tcW w:w="7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09"/>
        </w:trPr>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63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395,917</w:t>
            </w:r>
          </w:p>
        </w:tc>
        <w:tc>
          <w:tcPr>
            <w:tcW w:w="8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387,859</w:t>
            </w:r>
          </w:p>
        </w:tc>
      </w:tr>
      <w:tr>
        <w:trPr>
          <w:trHeight w:val="216"/>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436,217</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427,285</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 lived assets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8,845</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27,727</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33,979</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35,238</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Acquisition-related gain</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(6,160)</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 on cash flow hedge</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3,335</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12,485</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13,544</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 expense</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47,303</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55,703</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Deferred taxes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(114,487)</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(126,620)</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movements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(7,670)</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(52,334)</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21,966</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18,595</w:t>
            </w:r>
          </w:p>
        </w:tc>
      </w:tr>
      <w:tr>
        <w:trPr>
          <w:trHeight w:val="219"/>
        </w:trPr>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(139,096)</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(140,760)</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revenue</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14,370</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(221,104)</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Unearned revenue</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158,269</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28,352</w:t>
            </w:r>
          </w:p>
        </w:tc>
      </w:tr>
      <w:tr>
        <w:trPr>
          <w:trHeight w:val="216"/>
        </w:trPr>
        <w:tc>
          <w:tcPr>
            <w:tcW w:w="7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 assets</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(144,760)</w:t>
            </w:r>
          </w:p>
        </w:tc>
        <w:tc>
          <w:tcPr>
            <w:tcW w:w="8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166,613</w:t>
            </w:r>
          </w:p>
        </w:tc>
      </w:tr>
      <w:tr>
        <w:trPr>
          <w:trHeight w:val="209"/>
        </w:trPr>
        <w:tc>
          <w:tcPr>
            <w:tcW w:w="772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720,896</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622,741</w:t>
            </w:r>
          </w:p>
        </w:tc>
      </w:tr>
      <w:tr>
        <w:trPr>
          <w:trHeight w:val="219"/>
        </w:trPr>
        <w:tc>
          <w:tcPr>
            <w:tcW w:w="7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(87,980)</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(85,145)</w:t>
            </w:r>
          </w:p>
        </w:tc>
      </w:tr>
      <w:tr>
        <w:trPr>
          <w:trHeight w:val="229"/>
        </w:trPr>
        <w:tc>
          <w:tcPr>
            <w:tcW w:w="7720" w:type="dxa"/>
            <w:vAlign w:val="bottom"/>
          </w:tcPr>
          <w:p>
            <w:pPr>
              <w:ind w:left="220"/>
              <w:spacing w:after="0"/>
              <w:rPr>
                <w:sz w:val="20"/>
                <w:szCs w:val="20"/>
                <w:color w:val="auto"/>
              </w:rPr>
            </w:pPr>
            <w:r>
              <w:rPr>
                <w:rFonts w:ascii="Arial" w:cs="Arial" w:eastAsia="Arial" w:hAnsi="Arial"/>
                <w:sz w:val="16"/>
                <w:szCs w:val="16"/>
                <w:color w:val="auto"/>
              </w:rPr>
              <w:t>Purchase of subsidiary undertakings</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(5,100)</w:t>
            </w:r>
          </w:p>
        </w:tc>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 of available for sale investments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1,611</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Purchase of available for sale investments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(1,852)</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Purchase of investments in equity - long term</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8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10"/>
        </w:trPr>
        <w:tc>
          <w:tcPr>
            <w:tcW w:w="772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(104,150)</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(86,985)</w:t>
            </w:r>
          </w:p>
        </w:tc>
      </w:tr>
      <w:tr>
        <w:trPr>
          <w:trHeight w:val="219"/>
        </w:trPr>
        <w:tc>
          <w:tcPr>
            <w:tcW w:w="7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Drawdown of bank credit lines and loan facilities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305,000</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Repayment of bank credit lines and loan facilities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(930,000)</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(625,000)</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36,517</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28,967</w:t>
            </w:r>
          </w:p>
        </w:tc>
      </w:tr>
      <w:tr>
        <w:trPr>
          <w:trHeight w:val="213"/>
        </w:trPr>
        <w:tc>
          <w:tcPr>
            <w:tcW w:w="7720" w:type="dxa"/>
            <w:vAlign w:val="bottom"/>
          </w:tcPr>
          <w:p>
            <w:pPr>
              <w:ind w:left="220"/>
              <w:spacing w:after="0"/>
              <w:rPr>
                <w:sz w:val="20"/>
                <w:szCs w:val="20"/>
                <w:color w:val="auto"/>
              </w:rPr>
            </w:pPr>
            <w:r>
              <w:rPr>
                <w:rFonts w:ascii="Arial" w:cs="Arial" w:eastAsia="Arial" w:hAnsi="Arial"/>
                <w:sz w:val="16"/>
                <w:szCs w:val="16"/>
                <w:color w:val="auto"/>
              </w:rPr>
              <w:t>Share issue costs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ordinary shares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r>
      <w:tr>
        <w:trPr>
          <w:trHeight w:val="213"/>
        </w:trPr>
        <w:tc>
          <w:tcPr>
            <w:tcW w:w="7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Share repurchase costs</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(588,497)</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(671,036)</w:t>
            </w:r>
          </w:p>
        </w:tc>
      </w:tr>
      <w:tr>
        <w:trPr>
          <w:trHeight w:val="216"/>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(7,775)</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24,297</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(143,055)</w:t>
            </w:r>
          </w:p>
        </w:tc>
      </w:tr>
      <w:tr>
        <w:trPr>
          <w:trHeight w:val="223"/>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288,768</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752,213</w:t>
            </w:r>
          </w:p>
        </w:tc>
      </w:tr>
      <w:tr>
        <w:trPr>
          <w:trHeight w:val="21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313,065</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609,158</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445"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2023</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2022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Operating results for the nine months ended September 30, 2023 are not necessarily indicative of the results that may be expected for the fiscal period ending December 31, 2023.</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5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Consulting services revenue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Intangible assets are measured at their fair value when acquired and amortized on the straight line basis over their respective useful lives. The Company has no indefinite life intangibles other than goodwill. The Company evaluates its intangibles for impairment when indicators of impairment exist.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9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 expected useful life, as set forth in the table below:</w:t>
            </w:r>
          </w:p>
        </w:tc>
        <w:tc>
          <w:tcPr>
            <w:tcW w:w="1830" w:type="dxa"/>
            <w:vAlign w:val="bottom"/>
          </w:tcPr>
          <w:p>
            <w:pPr>
              <w:spacing w:after="0"/>
              <w:rPr>
                <w:sz w:val="17"/>
                <w:szCs w:val="17"/>
                <w:color w:val="auto"/>
              </w:rPr>
            </w:pPr>
          </w:p>
        </w:tc>
      </w:tr>
      <w:tr>
        <w:trPr>
          <w:trHeight w:val="276"/>
        </w:trPr>
        <w:tc>
          <w:tcPr>
            <w:tcW w:w="9390" w:type="dxa"/>
            <w:vAlign w:val="bottom"/>
          </w:tcPr>
          <w:p>
            <w:pPr>
              <w:spacing w:after="0"/>
              <w:rPr>
                <w:sz w:val="24"/>
                <w:szCs w:val="24"/>
                <w:color w:val="auto"/>
              </w:rPr>
            </w:pPr>
          </w:p>
        </w:tc>
        <w:tc>
          <w:tcPr>
            <w:tcW w:w="1830" w:type="dxa"/>
            <w:vAlign w:val="bottom"/>
          </w:tcPr>
          <w:p>
            <w:pPr>
              <w:spacing w:after="0"/>
              <w:rPr>
                <w:sz w:val="24"/>
                <w:szCs w:val="24"/>
                <w:color w:val="auto"/>
              </w:rPr>
            </w:pPr>
          </w:p>
        </w:tc>
      </w:tr>
      <w:tr>
        <w:trPr>
          <w:trHeight w:val="216"/>
        </w:trPr>
        <w:tc>
          <w:tcPr>
            <w:tcW w:w="9390" w:type="dxa"/>
            <w:vAlign w:val="bottom"/>
            <w:shd w:val="clear" w:color="auto" w:fill="CCEEFF"/>
          </w:tcPr>
          <w:p>
            <w:pPr>
              <w:spacing w:after="0"/>
              <w:rPr>
                <w:sz w:val="18"/>
                <w:szCs w:val="18"/>
                <w:color w:val="auto"/>
              </w:rPr>
            </w:pPr>
          </w:p>
        </w:tc>
        <w:tc>
          <w:tcPr>
            <w:tcW w:w="183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Estimated Useful Life</w:t>
            </w:r>
          </w:p>
        </w:tc>
      </w:tr>
      <w:tr>
        <w:trPr>
          <w:trHeight w:val="213"/>
        </w:trPr>
        <w:tc>
          <w:tcPr>
            <w:tcW w:w="939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3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9"/>
        </w:trPr>
        <w:tc>
          <w:tcPr>
            <w:tcW w:w="939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Order backlog</w:t>
            </w:r>
          </w:p>
        </w:tc>
        <w:tc>
          <w:tcPr>
            <w:tcW w:w="183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 years</w:t>
            </w:r>
          </w:p>
        </w:tc>
      </w:tr>
      <w:tr>
        <w:trPr>
          <w:trHeight w:val="213"/>
        </w:trPr>
        <w:tc>
          <w:tcPr>
            <w:tcW w:w="939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183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39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Patient database</w:t>
            </w:r>
          </w:p>
        </w:tc>
        <w:tc>
          <w:tcPr>
            <w:tcW w:w="183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7 years</w:t>
            </w:r>
          </w:p>
        </w:tc>
      </w:tr>
      <w:tr>
        <w:trPr>
          <w:trHeight w:val="213"/>
        </w:trPr>
        <w:tc>
          <w:tcPr>
            <w:tcW w:w="939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183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14"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The Company periodically assesses the useful lives of intangible assets to evaluate whether what was established at acquisition continues to be appropriate.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in the period it arises and has therefore not provided for deferred taxes in respect of this item.</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concentration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4"/>
            <w:shd w:val="clear" w:color="auto" w:fill="CCEEFF"/>
          </w:tcPr>
          <w:p>
            <w:pPr>
              <w:jc w:val="center"/>
              <w:ind w:right="48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shd w:val="clear" w:color="auto" w:fill="CCEEFF"/>
          </w:tcPr>
          <w:p>
            <w:pPr>
              <w:spacing w:after="0"/>
              <w:rPr>
                <w:sz w:val="18"/>
                <w:szCs w:val="18"/>
                <w:color w:val="auto"/>
              </w:rPr>
            </w:pPr>
          </w:p>
        </w:tc>
      </w:tr>
      <w:tr>
        <w:trPr>
          <w:trHeight w:val="210"/>
        </w:trPr>
        <w:tc>
          <w:tcPr>
            <w:tcW w:w="47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rPr>
              <w:t>September 30, 2023  September 30, 2022</w:t>
            </w:r>
          </w:p>
        </w:tc>
        <w:tc>
          <w:tcPr>
            <w:tcW w:w="3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2023  September 30, 2022</w:t>
            </w:r>
          </w:p>
        </w:tc>
      </w:tr>
      <w:tr>
        <w:trPr>
          <w:trHeight w:val="210"/>
        </w:trPr>
        <w:tc>
          <w:tcPr>
            <w:tcW w:w="4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(in thousands)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shd w:val="clear" w:color="auto" w:fill="CCEEFF"/>
          </w:tcPr>
          <w:p>
            <w:pPr>
              <w:spacing w:after="0"/>
              <w:rPr>
                <w:sz w:val="18"/>
                <w:szCs w:val="18"/>
                <w:color w:val="auto"/>
              </w:rPr>
            </w:pPr>
          </w:p>
        </w:tc>
      </w:tr>
      <w:tr>
        <w:trPr>
          <w:trHeight w:val="270"/>
        </w:trPr>
        <w:tc>
          <w:tcPr>
            <w:tcW w:w="4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527,345</w:t>
            </w:r>
          </w:p>
        </w:tc>
        <w:tc>
          <w:tcPr>
            <w:tcW w:w="72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539,907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1,615,713</w:t>
            </w:r>
          </w:p>
        </w:tc>
        <w:tc>
          <w:tcPr>
            <w:tcW w:w="8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1,595,007</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302,407</w:t>
            </w:r>
          </w:p>
        </w:tc>
        <w:tc>
          <w:tcPr>
            <w:tcW w:w="720" w:type="dxa"/>
            <w:vAlign w:val="bottom"/>
          </w:tcPr>
          <w:p>
            <w:pPr>
              <w:jc w:val="center"/>
              <w:ind w:right="4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270,073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868,753</w:t>
            </w:r>
          </w:p>
        </w:tc>
        <w:tc>
          <w:tcPr>
            <w:tcW w:w="8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831,660</w:t>
            </w: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448,428</w:t>
            </w:r>
          </w:p>
        </w:tc>
        <w:tc>
          <w:tcPr>
            <w:tcW w:w="72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1,267,750</w:t>
            </w:r>
          </w:p>
        </w:tc>
        <w:tc>
          <w:tcPr>
            <w:tcW w:w="8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1,100,118</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776,919</w:t>
            </w:r>
          </w:p>
        </w:tc>
        <w:tc>
          <w:tcPr>
            <w:tcW w:w="72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2,301,712</w:t>
            </w:r>
          </w:p>
        </w:tc>
        <w:tc>
          <w:tcPr>
            <w:tcW w:w="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2,252,599</w:t>
            </w:r>
          </w:p>
        </w:tc>
      </w:tr>
      <w:tr>
        <w:trPr>
          <w:trHeight w:val="256"/>
        </w:trPr>
        <w:tc>
          <w:tcPr>
            <w:tcW w:w="47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2,055,099</w:t>
            </w:r>
          </w:p>
        </w:tc>
        <w:tc>
          <w:tcPr>
            <w:tcW w:w="72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1,942,427</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6,053,928</w:t>
            </w:r>
          </w:p>
        </w:tc>
        <w:tc>
          <w:tcPr>
            <w:tcW w:w="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5,779,384</w:t>
            </w:r>
          </w:p>
        </w:tc>
      </w:tr>
      <w:tr>
        <w:trPr>
          <w:trHeight w:val="23"/>
        </w:trPr>
        <w:tc>
          <w:tcPr>
            <w:tcW w:w="4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receivables and unbilled revenue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4"/>
          </w:tcPr>
          <w:p>
            <w:pPr>
              <w:jc w:val="right"/>
              <w:ind w:right="110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Arial" w:cs="Arial" w:eastAsia="Arial" w:hAnsi="Arial"/>
                <w:sz w:val="16"/>
                <w:szCs w:val="16"/>
                <w:color w:val="auto"/>
              </w:rPr>
              <w:t>Billed services (accounts receivable)</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1,883,296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1,751,950</w:t>
            </w:r>
          </w:p>
        </w:tc>
        <w:tc>
          <w:tcPr>
            <w:tcW w:w="0" w:type="dxa"/>
            <w:vAlign w:val="bottom"/>
          </w:tcPr>
          <w:p>
            <w:pPr>
              <w:spacing w:after="0"/>
              <w:rPr>
                <w:sz w:val="1"/>
                <w:szCs w:val="1"/>
                <w:color w:val="auto"/>
              </w:rPr>
            </w:pPr>
          </w:p>
        </w:tc>
      </w:tr>
      <w:tr>
        <w:trPr>
          <w:trHeight w:val="226"/>
        </w:trPr>
        <w:tc>
          <w:tcPr>
            <w:tcW w:w="1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Unbilled services (unbilled revenue)</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941,884</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957,655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Arial" w:cs="Arial" w:eastAsia="Arial" w:hAnsi="Arial"/>
                <w:sz w:val="16"/>
                <w:szCs w:val="16"/>
                <w:color w:val="auto"/>
              </w:rPr>
              <w:t>Accounts receivable and unbilled revenue, gross</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2,825,180</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2,709,605</w:t>
            </w:r>
          </w:p>
        </w:tc>
        <w:tc>
          <w:tcPr>
            <w:tcW w:w="0" w:type="dxa"/>
            <w:vAlign w:val="bottom"/>
          </w:tcPr>
          <w:p>
            <w:pPr>
              <w:spacing w:after="0"/>
              <w:rPr>
                <w:sz w:val="1"/>
                <w:szCs w:val="1"/>
                <w:color w:val="auto"/>
              </w:rPr>
            </w:pPr>
          </w:p>
        </w:tc>
      </w:tr>
      <w:tr>
        <w:trPr>
          <w:trHeight w:val="226"/>
        </w:trPr>
        <w:tc>
          <w:tcPr>
            <w:tcW w:w="1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(32,934)</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(20,562)</w:t>
            </w:r>
          </w:p>
        </w:tc>
        <w:tc>
          <w:tcPr>
            <w:tcW w:w="0" w:type="dxa"/>
            <w:vAlign w:val="bottom"/>
          </w:tcPr>
          <w:p>
            <w:pPr>
              <w:spacing w:after="0"/>
              <w:rPr>
                <w:sz w:val="1"/>
                <w:szCs w:val="1"/>
                <w:color w:val="auto"/>
              </w:rPr>
            </w:pPr>
          </w:p>
        </w:tc>
      </w:tr>
      <w:tr>
        <w:trPr>
          <w:trHeight w:val="213"/>
        </w:trPr>
        <w:tc>
          <w:tcPr>
            <w:tcW w:w="1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Accounts receivable and unbilled revenue, net</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2,792,246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2,689,043</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948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100" w:type="dxa"/>
            <w:vAlign w:val="bottom"/>
          </w:tcPr>
          <w:p>
            <w:pPr>
              <w:spacing w:after="0"/>
              <w:rPr>
                <w:sz w:val="24"/>
                <w:szCs w:val="24"/>
                <w:color w:val="auto"/>
              </w:rPr>
            </w:pPr>
          </w:p>
        </w:tc>
        <w:tc>
          <w:tcPr>
            <w:tcW w:w="9480" w:type="dxa"/>
            <w:vAlign w:val="bottom"/>
            <w:gridSpan w:val="7"/>
          </w:tcPr>
          <w:p>
            <w:pPr>
              <w:jc w:val="right"/>
              <w:ind w:right="759"/>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20" w:type="dxa"/>
            <w:vAlign w:val="bottom"/>
            <w:gridSpan w:val="2"/>
          </w:tcPr>
          <w:p>
            <w:pPr>
              <w:spacing w:after="0"/>
              <w:rPr>
                <w:sz w:val="12"/>
                <w:szCs w:val="12"/>
                <w:color w:val="auto"/>
              </w:rPr>
            </w:pPr>
          </w:p>
        </w:tc>
        <w:tc>
          <w:tcPr>
            <w:tcW w:w="16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202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September 30, 2023</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services (unbilled revenue)</w:t>
            </w:r>
          </w:p>
        </w:tc>
        <w:tc>
          <w:tcPr>
            <w:tcW w:w="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941,884</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957,655</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(15,771)</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Unearned revenue (payments on account)</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(1,663,183)</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(1,507,449)</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(155,734)</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(721,299)</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(549,794)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(171,505)</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Unbilled services as at September 30, 2023 decreased by $15.8 million compared to December 31, 2022. Unearned revenue increased by $155.7 million over the same period resulting in an increase of $171.5 million in the net balance of unbilled services and unearned revenue or payments on account between December 31, 2022 and September 30, 2023.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 of September 30, 2023 approximately $14.3 billion (September 30, 2022: $13.5 billion) of revenue is expected to be recognized in the future in respect of unsatisfied performance obligations. The Company expects to recognize revenue on approximately 51% of the unsatisfied performance obligations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792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4"/>
        </w:trPr>
        <w:tc>
          <w:tcPr>
            <w:tcW w:w="7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6"/>
        </w:trPr>
        <w:tc>
          <w:tcPr>
            <w:tcW w:w="7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8,971,670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9,037,931</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Prior period acquisition</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(35,692)</w:t>
            </w:r>
          </w:p>
        </w:tc>
      </w:tr>
      <w:tr>
        <w:trPr>
          <w:trHeight w:val="216"/>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(30,569)</w:t>
            </w:r>
          </w:p>
        </w:tc>
      </w:tr>
      <w:tr>
        <w:trPr>
          <w:trHeight w:val="239"/>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8"/>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8,982,896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8,971,670</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April 20, 2023, the Company completed the purchase of the majority investor's 51% majority voting share capital of Oncacare Limited ("Oncacare"), such that Oncacare and its subsidiaries became wholly-owned subsidiaries of the ICON Group. The Oncacare acquisition resulted in goodwill of $13.4 million and also gave rise to an acquisition-related gain of $6.2 million.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 charges for the nine months ended September 30, 2023 or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2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43"/>
        </w:trPr>
        <w:tc>
          <w:tcPr>
            <w:tcW w:w="792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6"/>
        </w:trPr>
        <w:tc>
          <w:tcPr>
            <w:tcW w:w="79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4,076,010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4,076,435</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536,716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536,934</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204,608</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204,621</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170,262</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170,238</w:t>
            </w:r>
          </w:p>
        </w:tc>
      </w:t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120,875</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120,984</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5,108,471</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5,109,212</w:t>
            </w:r>
          </w:p>
        </w:tc>
      </w:t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(1,173,798)</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(830,553)</w:t>
            </w:r>
          </w:p>
        </w:tc>
      </w:tr>
      <w:tr>
        <w:trPr>
          <w:trHeight w:val="235"/>
        </w:trPr>
        <w:tc>
          <w:tcPr>
            <w:tcW w:w="79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3,934,673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4,278,659</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Arial" w:cs="Arial" w:eastAsia="Arial" w:hAnsi="Arial"/>
          <w:sz w:val="17"/>
          <w:szCs w:val="17"/>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23"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7"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78" w:lineRule="auto"/>
        <w:tabs>
          <w:tab w:leader="none" w:pos="649"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firstLine="648"/>
        <w:spacing w:after="0" w:line="276"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As of September 30, 2023, the fair value of the major classes of the Company's assets and liabilities measured at fair value on a recurring basis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gridSpan w:val="2"/>
            <w:shd w:val="clear" w:color="auto" w:fill="CCEEFF"/>
          </w:tcPr>
          <w:p>
            <w:pPr>
              <w:jc w:val="right"/>
              <w:ind w:right="359"/>
              <w:spacing w:after="0" w:line="175" w:lineRule="exact"/>
              <w:rPr>
                <w:sz w:val="20"/>
                <w:szCs w:val="20"/>
                <w:color w:val="auto"/>
              </w:rPr>
            </w:pPr>
            <w:r>
              <w:rPr>
                <w:rFonts w:ascii="Arial" w:cs="Arial" w:eastAsia="Arial" w:hAnsi="Arial"/>
                <w:sz w:val="16"/>
                <w:szCs w:val="16"/>
                <w:b w:val="1"/>
                <w:bCs w:val="1"/>
                <w:color w:val="auto"/>
              </w:rPr>
              <w:t>Investments</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0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Level 2</w:t>
            </w:r>
          </w:p>
        </w:tc>
        <w:tc>
          <w:tcPr>
            <w:tcW w:w="2960" w:type="dxa"/>
            <w:vAlign w:val="bottom"/>
            <w:gridSpan w:val="3"/>
            <w:shd w:val="clear" w:color="auto" w:fill="CCEEFF"/>
          </w:tcPr>
          <w:p>
            <w:pPr>
              <w:jc w:val="right"/>
              <w:ind w:right="359"/>
              <w:spacing w:after="0" w:line="162" w:lineRule="exact"/>
              <w:rPr>
                <w:sz w:val="20"/>
                <w:szCs w:val="20"/>
                <w:color w:val="auto"/>
              </w:rPr>
            </w:pPr>
            <w:r>
              <w:rPr>
                <w:rFonts w:ascii="Arial" w:cs="Arial" w:eastAsia="Arial" w:hAnsi="Arial"/>
                <w:sz w:val="16"/>
                <w:szCs w:val="16"/>
                <w:b w:val="1"/>
                <w:bCs w:val="1"/>
                <w:color w:val="auto"/>
              </w:rPr>
              <w:t>Measured at Net</w:t>
            </w: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Level 3</w:t>
            </w:r>
          </w:p>
        </w:tc>
        <w:tc>
          <w:tcPr>
            <w:tcW w:w="154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Asset Value</w:t>
            </w:r>
          </w:p>
        </w:tc>
        <w:tc>
          <w:tcPr>
            <w:tcW w:w="92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ind w:left="9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13,111</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60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41,790</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56,855</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60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0"/>
        </w:trPr>
        <w:tc>
          <w:tcPr>
            <w:tcW w:w="11240" w:type="dxa"/>
            <w:vAlign w:val="bottom"/>
            <w:gridSpan w:val="11"/>
          </w:tcPr>
          <w:p>
            <w:pPr>
              <w:ind w:left="660"/>
              <w:spacing w:after="0"/>
              <w:rPr>
                <w:sz w:val="20"/>
                <w:szCs w:val="20"/>
                <w:color w:val="auto"/>
              </w:rPr>
            </w:pPr>
            <w:r>
              <w:rPr>
                <w:rFonts w:ascii="Arial" w:cs="Arial" w:eastAsia="Arial" w:hAnsi="Arial"/>
                <w:sz w:val="16"/>
                <w:szCs w:val="16"/>
                <w:color w:val="auto"/>
              </w:rPr>
              <w:t>As of December 31, 2022, the fair value of the major classes of the Company's assets and liabilities measured at fair value on a recurring basis</w:t>
            </w:r>
          </w:p>
        </w:tc>
        <w:tc>
          <w:tcPr>
            <w:tcW w:w="0" w:type="dxa"/>
            <w:vAlign w:val="bottom"/>
          </w:tcPr>
          <w:p>
            <w:pPr>
              <w:spacing w:after="0"/>
              <w:rPr>
                <w:sz w:val="1"/>
                <w:szCs w:val="1"/>
                <w:color w:val="auto"/>
              </w:rPr>
            </w:pPr>
          </w:p>
        </w:tc>
      </w:tr>
      <w:tr>
        <w:trPr>
          <w:trHeight w:val="207"/>
        </w:trPr>
        <w:tc>
          <w:tcPr>
            <w:tcW w:w="4600" w:type="dxa"/>
            <w:vAlign w:val="bottom"/>
          </w:tcPr>
          <w:p>
            <w:pPr>
              <w:spacing w:after="0"/>
              <w:rPr>
                <w:sz w:val="20"/>
                <w:szCs w:val="20"/>
                <w:color w:val="auto"/>
              </w:rPr>
            </w:pPr>
            <w:r>
              <w:rPr>
                <w:rFonts w:ascii="Arial" w:cs="Arial" w:eastAsia="Arial" w:hAnsi="Arial"/>
                <w:sz w:val="16"/>
                <w:szCs w:val="16"/>
                <w:color w:val="auto"/>
              </w:rPr>
              <w:t>were as follows (in thousands):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6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Investments</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Measured at Net</w:t>
            </w: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right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ind w:left="9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6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6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auto"/>
              <w:right w:val="single" w:sz="8" w:color="auto"/>
            </w:tcBorders>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firstLine="656"/>
        <w:spacing w:after="0" w:line="276" w:lineRule="auto"/>
        <w:tabs>
          <w:tab w:leader="none" w:pos="892"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fair value of investments in highly liquid investments with maturities of greater than three months and a minimum "A-" rated fixed term deposits and are based on quoted market prices.</w:t>
      </w:r>
    </w:p>
    <w:p>
      <w:pPr>
        <w:spacing w:after="0" w:line="197" w:lineRule="exact"/>
        <w:rPr>
          <w:rFonts w:ascii="Arial" w:cs="Arial" w:eastAsia="Arial" w:hAnsi="Arial"/>
          <w:sz w:val="16"/>
          <w:szCs w:val="16"/>
          <w:color w:val="auto"/>
        </w:rPr>
      </w:pPr>
    </w:p>
    <w:p>
      <w:pPr>
        <w:jc w:val="both"/>
        <w:ind w:firstLine="656"/>
        <w:spacing w:after="0" w:line="268" w:lineRule="auto"/>
        <w:tabs>
          <w:tab w:leader="none" w:pos="912"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meet the definition of equity securities without readily determinable fair values, which qualify for the Net Asset Value (NAV) practical expedient in ASC 820 'Fair value measurements and disclosures'. Any increases or decreases in fair value are recognized in net income in the period.</w:t>
      </w:r>
    </w:p>
    <w:p>
      <w:pPr>
        <w:spacing w:after="0" w:line="204" w:lineRule="exact"/>
        <w:rPr>
          <w:rFonts w:ascii="Arial" w:cs="Arial" w:eastAsia="Arial" w:hAnsi="Arial"/>
          <w:sz w:val="16"/>
          <w:szCs w:val="16"/>
          <w:color w:val="auto"/>
        </w:rPr>
      </w:pPr>
    </w:p>
    <w:p>
      <w:pPr>
        <w:jc w:val="both"/>
        <w:ind w:firstLine="656"/>
        <w:spacing w:after="0" w:line="270" w:lineRule="auto"/>
        <w:tabs>
          <w:tab w:leader="none" w:pos="882"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fair value of interest rate cap and interest rate swap agreements. The fair value of the agreements are the estimated amount that the Company would receive or pay to terminate such agreements, taking into account market interest rates and the remaining time to maturities or using market inputs with mid-market pricing as a practical expedient for bid-ask spread.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September 30, 2023, assets carried on the balance sheet at cost and not re-measured to fair value on a recurring basis totaled approximately $12,917.6 million and are identified as Level 3 assets. These assets are comprised of goodwill of $8,982.9 million and net identifiable intangible assets of $3,934.7 million.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estimated fair value of the Company’s debt was $4,032.0 million at September 30,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Restructuring</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nine months ended September 30, 2023, a restructuring charge of $45.4 million was recorded in the Condensed Consolidated Statement of Operations under a restructuring plan adopted following a review of operations. The restructuring plan reflected a workforce reduction of $34.1 million and an office consolidation program to optimize the Company's office footprint of $11.3 million.</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3"/>
            <w:shd w:val="clear" w:color="auto" w:fill="CCEEFF"/>
          </w:tcPr>
          <w:p>
            <w:pPr>
              <w:ind w:left="78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09"/>
        </w:trPr>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980"/>
              <w:spacing w:after="0"/>
              <w:rPr>
                <w:sz w:val="20"/>
                <w:szCs w:val="20"/>
                <w:color w:val="auto"/>
              </w:rPr>
            </w:pPr>
            <w:r>
              <w:rPr>
                <w:rFonts w:ascii="Arial" w:cs="Arial" w:eastAsia="Arial" w:hAnsi="Arial"/>
                <w:sz w:val="16"/>
                <w:szCs w:val="16"/>
                <w:b w:val="1"/>
                <w:bCs w:val="1"/>
                <w:color w:val="auto"/>
              </w:rPr>
              <w:t>(in thousands)</w:t>
            </w:r>
          </w:p>
        </w:tc>
      </w:tr>
      <w:tr>
        <w:trPr>
          <w:trHeight w:val="22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45,390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32,890</w:t>
            </w:r>
          </w:p>
        </w:tc>
      </w:tr>
      <w:tr>
        <w:trPr>
          <w:trHeight w:val="238"/>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45,390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32,890</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At September 30, 2023, a total liability of $19.6 million was recorded on the Consolidated Balance Sheet relating to restructuring activities. The total liability included $16.2 million of personnel related liabilities as a result of the workforce reduction; all of which have been classified as short-term. The total liability also included $3.4 million of facilities related liabilities of which $1.1 million is included within other liabilities and $2.3 million is included within non-current other liabilities.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36,704</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4,364</w:t>
            </w:r>
          </w:p>
        </w:tc>
      </w:tr>
      <w:tr>
        <w:trPr>
          <w:trHeight w:val="216"/>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(23,106)</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(8,653)</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r>
      <w:tr>
        <w:trPr>
          <w:trHeight w:val="23"/>
        </w:trPr>
        <w:tc>
          <w:tcPr>
            <w:tcW w:w="7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9. Operating leases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costs recorded under operating leases for the three and nine months ended September 30, 2023 and September 30, 2022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Borders>
              <w:bottom w:val="single" w:sz="8" w:color="auto"/>
            </w:tcBorders>
            <w:shd w:val="clear" w:color="auto" w:fill="CCEEFF"/>
          </w:tcPr>
          <w:p>
            <w:pPr>
              <w:spacing w:after="0"/>
              <w:rPr>
                <w:sz w:val="18"/>
                <w:szCs w:val="18"/>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September 30, 2023  September 30, 2022  September 30, 2023  September 30, 2022</w:t>
            </w:r>
          </w:p>
        </w:tc>
      </w:tr>
      <w:tr>
        <w:trPr>
          <w:trHeight w:val="209"/>
        </w:trPr>
        <w:tc>
          <w:tcPr>
            <w:tcW w:w="4900" w:type="dxa"/>
            <w:vAlign w:val="bottom"/>
            <w:shd w:val="clear" w:color="auto" w:fill="CCEEFF"/>
          </w:tcPr>
          <w:p>
            <w:pPr>
              <w:spacing w:after="0"/>
              <w:rPr>
                <w:sz w:val="18"/>
                <w:szCs w:val="18"/>
                <w:color w:val="auto"/>
              </w:rPr>
            </w:pPr>
          </w:p>
        </w:tc>
        <w:tc>
          <w:tcPr>
            <w:tcW w:w="2480" w:type="dxa"/>
            <w:vAlign w:val="bottom"/>
            <w:shd w:val="clear" w:color="auto" w:fill="CCEEFF"/>
          </w:tcPr>
          <w:p>
            <w:pPr>
              <w:ind w:left="1020"/>
              <w:spacing w:after="0"/>
              <w:rPr>
                <w:sz w:val="20"/>
                <w:szCs w:val="20"/>
                <w:color w:val="auto"/>
              </w:rPr>
            </w:pPr>
            <w:r>
              <w:rPr>
                <w:rFonts w:ascii="Arial" w:cs="Arial" w:eastAsia="Arial" w:hAnsi="Arial"/>
                <w:sz w:val="16"/>
                <w:szCs w:val="16"/>
                <w:b w:val="1"/>
                <w:bCs w:val="1"/>
                <w:color w:val="auto"/>
              </w:rPr>
              <w:t>(in thousands)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(in thousands)</w:t>
            </w:r>
          </w:p>
        </w:tc>
        <w:tc>
          <w:tcPr>
            <w:tcW w:w="700" w:type="dxa"/>
            <w:vAlign w:val="bottom"/>
            <w:shd w:val="clear" w:color="auto" w:fill="CCEEFF"/>
          </w:tcPr>
          <w:p>
            <w:pPr>
              <w:spacing w:after="0"/>
              <w:rPr>
                <w:sz w:val="18"/>
                <w:szCs w:val="18"/>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2480" w:type="dxa"/>
            <w:vAlign w:val="bottom"/>
          </w:tcPr>
          <w:p>
            <w:pPr>
              <w:ind w:left="1020"/>
              <w:spacing w:after="0"/>
              <w:rPr>
                <w:sz w:val="20"/>
                <w:szCs w:val="20"/>
                <w:color w:val="auto"/>
              </w:rPr>
            </w:pPr>
            <w:r>
              <w:rPr>
                <w:rFonts w:ascii="Arial" w:cs="Arial" w:eastAsia="Arial" w:hAnsi="Arial"/>
                <w:sz w:val="16"/>
                <w:szCs w:val="16"/>
                <w:color w:val="auto"/>
              </w:rPr>
              <w:t>11,850</w:t>
            </w:r>
          </w:p>
        </w:tc>
        <w:tc>
          <w:tcPr>
            <w:tcW w:w="660" w:type="dxa"/>
            <w:vAlign w:val="bottom"/>
          </w:tcPr>
          <w:p>
            <w:pPr>
              <w:jc w:val="right"/>
              <w:spacing w:after="0"/>
              <w:rPr>
                <w:sz w:val="20"/>
                <w:szCs w:val="20"/>
                <w:color w:val="auto"/>
              </w:rPr>
            </w:pPr>
            <w:r>
              <w:rPr>
                <w:rFonts w:ascii="Arial" w:cs="Arial" w:eastAsia="Arial" w:hAnsi="Arial"/>
                <w:sz w:val="16"/>
                <w:szCs w:val="16"/>
                <w:color w:val="auto"/>
              </w:rPr>
              <w:t>12,164</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Pr>
          <w:p>
            <w:pPr>
              <w:ind w:left="560"/>
              <w:spacing w:after="0"/>
              <w:rPr>
                <w:sz w:val="20"/>
                <w:szCs w:val="20"/>
                <w:color w:val="auto"/>
              </w:rPr>
            </w:pPr>
            <w:r>
              <w:rPr>
                <w:rFonts w:ascii="Arial" w:cs="Arial" w:eastAsia="Arial" w:hAnsi="Arial"/>
                <w:sz w:val="16"/>
                <w:szCs w:val="16"/>
                <w:color w:val="auto"/>
              </w:rPr>
              <w:t>37,539</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40,976</w:t>
            </w: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248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(284)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(845)</w:t>
            </w:r>
          </w:p>
        </w:tc>
        <w:tc>
          <w:tcPr>
            <w:tcW w:w="9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24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11,566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11,896</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36,694</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40,078</w:t>
            </w:r>
          </w:p>
        </w:tc>
      </w:tr>
      <w:tr>
        <w:trPr>
          <w:trHeight w:val="23"/>
        </w:trPr>
        <w:tc>
          <w:tcPr>
            <w:tcW w:w="4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6"/>
          <w:szCs w:val="16"/>
          <w:color w:val="auto"/>
        </w:rPr>
        <w:t>Of the total cost of $36.7 million incurred in the nine months ended September 30, 2023 (September 30, 2022: $40.1 million), $28.1 million (September 30, 2022: $38.1 million) is recorded within selling, general and administration costs and $8.6 million (September 30, 2022: $2.0 million) is recorded within direct costs.</w:t>
      </w:r>
    </w:p>
    <w:p>
      <w:pPr>
        <w:spacing w:after="0" w:line="21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During the nine months ended September 30, 2023 and September 30, 2022, costs incurred by the Group related to variable lease payments was de minimis.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Right-of-use assets obtained, in exchange for lease obligations during the three months ended September 30, 2023, totaled $2.1 million (September 30, 2022: $1.7 million). Right-of-use assets obtained, in exchange for lease obligations during the nine months ended September 30, 2023, totaled $24.6 million (September 30, 2022: $37.6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September 30, 2023 were 6.75 years and 3.15%,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leases as of September 30, 2023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9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6"/>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r>
      <w:tr>
        <w:trPr>
          <w:trHeight w:val="210"/>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38,084</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Year 2</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31,545</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26,709</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Year 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21,934</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w:t>
            </w:r>
          </w:p>
        </w:tc>
      </w:tr>
      <w:tr>
        <w:trPr>
          <w:trHeight w:val="223"/>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35,884</w:t>
            </w: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169,195</w:t>
            </w:r>
          </w:p>
        </w:tc>
      </w:tr>
      <w:tr>
        <w:trPr>
          <w:trHeight w:val="223"/>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(13,883)</w:t>
            </w:r>
          </w:p>
        </w:tc>
      </w:tr>
      <w:tr>
        <w:trPr>
          <w:trHeight w:val="238"/>
        </w:trPr>
        <w:tc>
          <w:tcPr>
            <w:tcW w:w="9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155,312</w:t>
            </w:r>
          </w:p>
        </w:tc>
      </w:tr>
      <w:tr>
        <w:trPr>
          <w:trHeight w:val="20"/>
        </w:trPr>
        <w:tc>
          <w:tcPr>
            <w:tcW w:w="9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$33.9 million have been included in other liabilities as at September 30, 2023 (September 30, 2022: $42.2 million).</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20"/>
                <w:szCs w:val="20"/>
                <w:color w:val="auto"/>
              </w:rPr>
            </w:pPr>
            <w:r>
              <w:rPr>
                <w:rFonts w:ascii="Arial" w:cs="Arial" w:eastAsia="Arial" w:hAnsi="Arial"/>
                <w:sz w:val="16"/>
                <w:szCs w:val="16"/>
                <w:b w:val="1"/>
                <w:bCs w:val="1"/>
                <w:color w:val="auto"/>
              </w:rPr>
              <w:t>10. Bank credit lines and loan facilities</w:t>
            </w:r>
          </w:p>
        </w:tc>
        <w:tc>
          <w:tcPr>
            <w:tcW w:w="2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620" w:type="dxa"/>
            <w:vAlign w:val="bottom"/>
            <w:gridSpan w:val="5"/>
          </w:tcPr>
          <w:p>
            <w:pPr>
              <w:ind w:left="660"/>
              <w:spacing w:after="0"/>
              <w:rPr>
                <w:sz w:val="20"/>
                <w:szCs w:val="20"/>
                <w:color w:val="auto"/>
              </w:rPr>
            </w:pPr>
            <w:r>
              <w:rPr>
                <w:rFonts w:ascii="Arial" w:cs="Arial" w:eastAsia="Arial" w:hAnsi="Arial"/>
                <w:sz w:val="16"/>
                <w:szCs w:val="16"/>
                <w:color w:val="auto"/>
              </w:rPr>
              <w:t>The Company had the following debt outstanding as of September 30, 2023 and December 31, 2022: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Principal amount</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Interest rate as of  Interest rate as of</w:t>
            </w: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December 31,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214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September 30,</w:t>
            </w:r>
          </w:p>
        </w:tc>
        <w:tc>
          <w:tcPr>
            <w:tcW w:w="14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6"/>
                <w:szCs w:val="16"/>
                <w:b w:val="1"/>
                <w:bCs w:val="1"/>
                <w:color w:val="auto"/>
              </w:rPr>
              <w:t>December 31,</w:t>
            </w:r>
          </w:p>
        </w:tc>
        <w:tc>
          <w:tcPr>
            <w:tcW w:w="122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vMerge w:val="continue"/>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2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2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7.75 %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7.09 %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3,501,213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4,201,213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2028</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2.88 %</w:t>
            </w:r>
          </w:p>
        </w:tc>
        <w:tc>
          <w:tcPr>
            <w:tcW w:w="1340" w:type="dxa"/>
            <w:vAlign w:val="bottom"/>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500,000</w:t>
            </w:r>
          </w:p>
        </w:tc>
        <w:tc>
          <w:tcPr>
            <w:tcW w:w="1300" w:type="dxa"/>
            <w:vAlign w:val="bottom"/>
          </w:tcPr>
          <w:p>
            <w:pPr>
              <w:jc w:val="right"/>
              <w:spacing w:after="0"/>
              <w:rPr>
                <w:sz w:val="20"/>
                <w:szCs w:val="20"/>
                <w:color w:val="auto"/>
              </w:rPr>
            </w:pPr>
            <w:r>
              <w:rPr>
                <w:rFonts w:ascii="Arial" w:cs="Arial" w:eastAsia="Arial" w:hAnsi="Arial"/>
                <w:sz w:val="16"/>
                <w:szCs w:val="16"/>
                <w:color w:val="auto"/>
              </w:rPr>
              <w:t>July 2026</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Revolving Loan Facility</w:t>
            </w:r>
          </w:p>
        </w:tc>
        <w:tc>
          <w:tcPr>
            <w:tcW w:w="2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6.68 %</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2023</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4,076,213</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4,701,213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(130,150)</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3,946,063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4,646,063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2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(34,541)</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(47,026)</w:t>
            </w: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long-term debt, net</w:t>
            </w:r>
          </w:p>
        </w:tc>
        <w:tc>
          <w:tcPr>
            <w:tcW w:w="2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3,911,522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4,599,037</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3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620" w:type="dxa"/>
            <w:vAlign w:val="bottom"/>
            <w:gridSpan w:val="5"/>
          </w:tcPr>
          <w:p>
            <w:pPr>
              <w:ind w:left="660"/>
              <w:spacing w:after="0"/>
              <w:rPr>
                <w:sz w:val="20"/>
                <w:szCs w:val="20"/>
                <w:color w:val="auto"/>
              </w:rPr>
            </w:pPr>
            <w:r>
              <w:rPr>
                <w:rFonts w:ascii="Arial" w:cs="Arial" w:eastAsia="Arial" w:hAnsi="Arial"/>
                <w:sz w:val="16"/>
                <w:szCs w:val="16"/>
                <w:color w:val="auto"/>
              </w:rPr>
              <w:t>As of September 30, 2023, the contractual maturities of the Company's debt obligations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long-term debt:</w:t>
            </w: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2023 (remaining)</w:t>
            </w:r>
          </w:p>
        </w:tc>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88,788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2025</w:t>
            </w:r>
          </w:p>
        </w:tc>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555,150</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2027 and thereafter</w:t>
            </w:r>
          </w:p>
        </w:tc>
        <w:tc>
          <w:tcPr>
            <w:tcW w:w="2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3,321,975</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4,076,213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Company paid a $27.6 million debt discount in connection with the Senior Secured Credit Facility and Senior Secured Notes. On May 2, 2023, the Company agreed with its lenders to increase the aggregate principal amount of the senior secured revolving loan facility from $300 million to $500 million.</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September 30, 2023, the applicable margin is 2.25%. The senior secured term loan facility is subject to a floor of 0.50%.</w:t>
      </w:r>
    </w:p>
    <w:p>
      <w:pPr>
        <w:spacing w:after="0" w:line="2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6"/>
          <w:szCs w:val="16"/>
          <w:color w:val="auto"/>
        </w:rPr>
        <w:t>are entitled to commitment fees as a percentage of the applicable margin at the time of drawing and utilization fees dependent on the proportion of the facility drawn.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6.17%, representing one month SOFR plus a margin of 1.25%. In April 2023, the Company drew down a further $50.0 million of the senior secured revolving loan facility at an interest rate of 6.25%, representing one month SOFR plus a margin of 1.25%. The Company repaid $80.0 million of the senior secured revolving loan facility on June 30, 2023. The remaining $50.0 million was repaid on August 17, 2023. On September 29, 2023, $75.0 million of the senior secured revolving loan facility was drawn down at an interest rate of 6.68%, representing one month SOFR plus a margin of 1.25%.</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213" w:lineRule="exact"/>
        <w:rPr>
          <w:sz w:val="20"/>
          <w:szCs w:val="20"/>
          <w:color w:val="auto"/>
        </w:rPr>
      </w:pPr>
    </w:p>
    <w:p>
      <w:pPr>
        <w:ind w:right="2120" w:firstLine="648"/>
        <w:spacing w:after="0" w:line="270" w:lineRule="auto"/>
        <w:rPr>
          <w:sz w:val="20"/>
          <w:szCs w:val="20"/>
          <w:color w:val="auto"/>
        </w:rPr>
      </w:pPr>
      <w:r>
        <w:rPr>
          <w:rFonts w:ascii="Arial" w:cs="Arial" w:eastAsia="Arial" w:hAnsi="Arial"/>
          <w:sz w:val="16"/>
          <w:szCs w:val="16"/>
          <w:color w:val="auto"/>
        </w:rPr>
        <w:t>On March 31, 2023 the Company repaid $250.0 million of the senior secured term loan facility and made a quarterly interest payment of $75.3 million. This repayment resulted in an additional charge associated with previously capitalized fees of $2.2 million.</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additional charge associated with previously capitalized fees of $1.2 million.</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29, 2023, the Company repaid $300.0 million of the senior secured term loan facility and made a quarterly interest payment of $74.5 million. This repayment resulted in an additional charge associated with previously capitalized fees of $2.5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estimated fair value of the Company’s debt was $4,032.0 million at September 30,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11. Derivatives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expires on December 31, 2024. The Company pays a fixed rate of 0.42% and receives a variable rate equal to the amount that the three-month SOFR exceeds 4.75%.</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begins accruing on December 31, 2024 and the interest rate swap expires on September 30, 2026. The Company pays a fixed rate of 3.4% and receives a variable rate of interest equal to the three-month SOFR on the 2022 Swap.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derivative financial instruments, on a gross basis, are summarized in the following table: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September 30, 2023</w:t>
            </w: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December 31, 2022</w:t>
            </w:r>
          </w:p>
        </w:tc>
        <w:tc>
          <w:tcPr>
            <w:tcW w:w="1080" w:type="dxa"/>
            <w:vAlign w:val="bottom"/>
            <w:tcBorders>
              <w:bottom w:val="single" w:sz="8" w:color="auto"/>
            </w:tcBorders>
            <w:shd w:val="clear" w:color="auto" w:fill="CCEEFF"/>
          </w:tcPr>
          <w:p>
            <w:pPr>
              <w:spacing w:after="0"/>
              <w:rPr>
                <w:sz w:val="18"/>
                <w:szCs w:val="18"/>
                <w:color w:val="auto"/>
              </w:rPr>
            </w:pPr>
          </w:p>
        </w:tc>
      </w:tr>
      <w:tr>
        <w:trPr>
          <w:trHeight w:val="209"/>
        </w:trPr>
        <w:tc>
          <w:tcPr>
            <w:tcW w:w="3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Asset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Liability</w:t>
            </w: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Notional</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Asset</w:t>
            </w:r>
          </w:p>
        </w:tc>
        <w:tc>
          <w:tcPr>
            <w:tcW w:w="16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Liability</w:t>
            </w: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Notional</w:t>
            </w:r>
          </w:p>
        </w:tc>
      </w:tr>
      <w:tr>
        <w:trPr>
          <w:trHeight w:val="209"/>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18"/>
                <w:szCs w:val="18"/>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3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0"/>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Interest Rate Caps</w:t>
            </w:r>
          </w:p>
        </w:tc>
        <w:tc>
          <w:tcPr>
            <w:tcW w:w="1000" w:type="dxa"/>
            <w:vAlign w:val="bottom"/>
          </w:tcPr>
          <w:p>
            <w:pPr>
              <w:jc w:val="center"/>
              <w:ind w:left="139"/>
              <w:spacing w:after="0"/>
              <w:rPr>
                <w:sz w:val="20"/>
                <w:szCs w:val="20"/>
                <w:color w:val="auto"/>
              </w:rPr>
            </w:pPr>
            <w:r>
              <w:rPr>
                <w:rFonts w:ascii="Arial" w:cs="Arial" w:eastAsia="Arial" w:hAnsi="Arial"/>
                <w:sz w:val="16"/>
                <w:szCs w:val="16"/>
                <w:color w:val="auto"/>
              </w:rPr>
              <w:t>$4,262</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99"/>
              <w:spacing w:after="0"/>
              <w:rPr>
                <w:sz w:val="20"/>
                <w:szCs w:val="20"/>
                <w:color w:val="auto"/>
              </w:rPr>
            </w:pPr>
            <w:r>
              <w:rPr>
                <w:rFonts w:ascii="Arial" w:cs="Arial" w:eastAsia="Arial" w:hAnsi="Arial"/>
                <w:sz w:val="16"/>
                <w:szCs w:val="16"/>
                <w:color w:val="auto"/>
              </w:rPr>
              <w:t>$1,750,606</w:t>
            </w:r>
          </w:p>
        </w:tc>
        <w:tc>
          <w:tcPr>
            <w:tcW w:w="80" w:type="dxa"/>
            <w:vAlign w:val="bottom"/>
          </w:tcPr>
          <w:p>
            <w:pPr>
              <w:spacing w:after="0"/>
              <w:rPr>
                <w:sz w:val="19"/>
                <w:szCs w:val="19"/>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rPr>
              <w:t>$12</w:t>
            </w:r>
          </w:p>
        </w:tc>
        <w:tc>
          <w:tcPr>
            <w:tcW w:w="1660" w:type="dxa"/>
            <w:vAlign w:val="bottom"/>
          </w:tcPr>
          <w:p>
            <w:pPr>
              <w:jc w:val="center"/>
              <w:spacing w:after="0"/>
              <w:rPr>
                <w:sz w:val="20"/>
                <w:szCs w:val="20"/>
                <w:color w:val="auto"/>
              </w:rPr>
            </w:pPr>
            <w:r>
              <w:rPr>
                <w:rFonts w:ascii="Arial" w:cs="Arial" w:eastAsia="Arial" w:hAnsi="Arial"/>
                <w:sz w:val="16"/>
                <w:szCs w:val="16"/>
                <w:color w:val="auto"/>
              </w:rPr>
              <w:t>$3,363</w:t>
            </w:r>
          </w:p>
        </w:tc>
        <w:tc>
          <w:tcPr>
            <w:tcW w:w="1080" w:type="dxa"/>
            <w:vAlign w:val="bottom"/>
          </w:tcPr>
          <w:p>
            <w:pPr>
              <w:jc w:val="center"/>
              <w:ind w:right="79"/>
              <w:spacing w:after="0"/>
              <w:rPr>
                <w:sz w:val="20"/>
                <w:szCs w:val="20"/>
                <w:color w:val="auto"/>
              </w:rPr>
            </w:pPr>
            <w:r>
              <w:rPr>
                <w:rFonts w:ascii="Arial" w:cs="Arial" w:eastAsia="Arial" w:hAnsi="Arial"/>
                <w:sz w:val="16"/>
                <w:szCs w:val="16"/>
                <w:color w:val="auto"/>
                <w:w w:val="99"/>
              </w:rPr>
              <w:t>$2,100,606</w:t>
            </w:r>
          </w:p>
        </w:tc>
      </w:tr>
      <w:tr>
        <w:trPr>
          <w:trHeight w:val="23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00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$8,849</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$1,100,606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6"/>
              </w:rPr>
              <w:t>$—</w:t>
            </w:r>
          </w:p>
        </w:tc>
        <w:tc>
          <w:tcPr>
            <w:tcW w:w="16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$307</w:t>
            </w:r>
          </w:p>
        </w:tc>
        <w:tc>
          <w:tcPr>
            <w:tcW w:w="10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$1,100,606</w:t>
            </w:r>
          </w:p>
        </w:tc>
      </w:tr>
      <w:tr>
        <w:trPr>
          <w:trHeight w:val="257"/>
        </w:trPr>
        <w:tc>
          <w:tcPr>
            <w:tcW w:w="3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hedging</w:t>
            </w:r>
          </w:p>
        </w:tc>
        <w:tc>
          <w:tcPr>
            <w:tcW w:w="10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$13,111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$2,851,212</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$12</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$3,670</w:t>
            </w:r>
          </w:p>
        </w:tc>
        <w:tc>
          <w:tcPr>
            <w:tcW w:w="10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$3,201,212</w:t>
            </w:r>
          </w:p>
        </w:tc>
      </w:tr>
      <w:tr>
        <w:trPr>
          <w:trHeight w:val="24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As of September 30, 2023, the Company recognized a current derivative asset of $3.8 million within other receivables (December 31, 2022, current derivative asset of $0.01 million recognized within other receivables and a current derivative liability of $3.3 million recognized within other liabilities). A further $9.3 million non-current derivative asset was recognized within non-current other receivables (December 31,2022, non-current derivative liability of $0.4 million recognized within non-current other liabilities).</w:t>
      </w:r>
    </w:p>
    <w:p>
      <w:pPr>
        <w:spacing w:after="0" w:line="22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During the next 12 months, the Company estimates that an additional $2.3 million will be reflected as interest income in the consolidated statements.</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Company recognized $5.0 million of a gain within other comprehensive income ("OCI") for the three months ended September 30, 2023 (September 30, 2022: $nil) after a reclassification of $0.3 million from OCI to the income statement (September 30, 2022: $nil). The Company recognized $15.1 million of a net gain within OCI for the nine months ended September 30, 2023 (September 30, 2022: $nil) after a reclassification of $3.3 million from OCI to the income statement (September 30, 2022: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12. 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gridSpan w:val="7"/>
          </w:tcPr>
          <w:p>
            <w:pPr>
              <w:jc w:val="right"/>
              <w:ind w:right="259"/>
              <w:spacing w:after="0"/>
              <w:rPr>
                <w:sz w:val="20"/>
                <w:szCs w:val="20"/>
                <w:color w:val="auto"/>
              </w:rPr>
            </w:pPr>
            <w:r>
              <w:rPr>
                <w:rFonts w:ascii="Arial" w:cs="Arial" w:eastAsia="Arial" w:hAnsi="Arial"/>
                <w:sz w:val="16"/>
                <w:szCs w:val="16"/>
                <w:color w:val="auto"/>
              </w:rPr>
              <w:t>Income taxes recognized during the three and nine months ended September 30, 2023 and September 30, 2022, comprise:</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76"/>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3"/>
          </w:tcPr>
          <w:p>
            <w:pPr>
              <w:spacing w:after="0"/>
              <w:rPr>
                <w:sz w:val="24"/>
                <w:szCs w:val="24"/>
                <w:color w:val="auto"/>
              </w:rPr>
            </w:pPr>
          </w:p>
        </w:tc>
      </w:tr>
      <w:tr>
        <w:trPr>
          <w:trHeight w:val="216"/>
        </w:trPr>
        <w:tc>
          <w:tcPr>
            <w:tcW w:w="5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48,552</w:t>
            </w:r>
          </w:p>
        </w:tc>
      </w:tr>
      <w:tr>
        <w:trPr>
          <w:trHeight w:val="24"/>
        </w:trPr>
        <w:tc>
          <w:tcPr>
            <w:tcW w:w="5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As at September 30, 2023 the Company maintains a $251.1 million liability (December 31, 2022: $240.2 million) for unrecognized tax benefit, which is comprised of $221.1 million (December 31, 2022: $217.6 million) related to items generating unrecognized tax benefits and $30.0 million (December 31, 2022: $22.6 million) for interest and penalties related to such items. The Company recognizes interest accrued on unrecognized tax benefits as an additional income tax expense.</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2022 tax years. During such audits, local tax authorities may challenge the positions taken by us in our tax returns.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income per ordinary share</w:t>
      </w:r>
    </w:p>
    <w:p>
      <w:pPr>
        <w:spacing w:after="0" w:line="2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18"/>
                <w:szCs w:val="18"/>
                <w:color w:val="auto"/>
              </w:rPr>
            </w:pPr>
          </w:p>
        </w:tc>
        <w:tc>
          <w:tcPr>
            <w:tcW w:w="2940" w:type="dxa"/>
            <w:vAlign w:val="bottom"/>
            <w:tcBorders>
              <w:bottom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tcBorders>
              <w:bottom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5"/>
        </w:trPr>
        <w:tc>
          <w:tcPr>
            <w:tcW w:w="5520" w:type="dxa"/>
            <w:vAlign w:val="bottom"/>
          </w:tcPr>
          <w:p>
            <w:pPr>
              <w:spacing w:after="0"/>
              <w:rPr>
                <w:sz w:val="13"/>
                <w:szCs w:val="13"/>
                <w:color w:val="auto"/>
              </w:rPr>
            </w:pPr>
          </w:p>
        </w:tc>
        <w:tc>
          <w:tcPr>
            <w:tcW w:w="150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September 30,</w:t>
            </w: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59"/>
        </w:trPr>
        <w:tc>
          <w:tcPr>
            <w:tcW w:w="55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15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82,215,627</w:t>
            </w:r>
          </w:p>
        </w:tc>
        <w:tc>
          <w:tcPr>
            <w:tcW w:w="14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81,582,375</w:t>
            </w:r>
          </w:p>
        </w:tc>
        <w:tc>
          <w:tcPr>
            <w:tcW w:w="14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82,001,500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81,481,686</w:t>
            </w:r>
          </w:p>
        </w:tc>
        <w:tc>
          <w:tcPr>
            <w:tcW w:w="0" w:type="dxa"/>
            <w:vAlign w:val="bottom"/>
          </w:tcPr>
          <w:p>
            <w:pPr>
              <w:spacing w:after="0"/>
              <w:rPr>
                <w:sz w:val="1"/>
                <w:szCs w:val="1"/>
                <w:color w:val="auto"/>
              </w:rPr>
            </w:pP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50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520" w:type="dxa"/>
            <w:vAlign w:val="bottom"/>
          </w:tcPr>
          <w:p>
            <w:pPr>
              <w:ind w:left="20"/>
              <w:spacing w:after="0" w:line="165" w:lineRule="exact"/>
              <w:rPr>
                <w:sz w:val="20"/>
                <w:szCs w:val="20"/>
                <w:color w:val="auto"/>
              </w:rPr>
            </w:pPr>
            <w:r>
              <w:rPr>
                <w:rFonts w:ascii="Arial" w:cs="Arial" w:eastAsia="Arial" w:hAnsi="Arial"/>
                <w:sz w:val="16"/>
                <w:szCs w:val="16"/>
                <w:color w:val="auto"/>
              </w:rPr>
              <w:t>Effect of dilutive share options and other awards outstanding under share</w:t>
            </w:r>
          </w:p>
        </w:tc>
        <w:tc>
          <w:tcPr>
            <w:tcW w:w="1500" w:type="dxa"/>
            <w:vAlign w:val="bottom"/>
            <w:vMerge w:val="restart"/>
          </w:tcPr>
          <w:p>
            <w:pPr>
              <w:jc w:val="right"/>
              <w:ind w:right="139"/>
              <w:spacing w:after="0"/>
              <w:rPr>
                <w:sz w:val="20"/>
                <w:szCs w:val="20"/>
                <w:color w:val="auto"/>
              </w:rPr>
            </w:pPr>
            <w:r>
              <w:rPr>
                <w:rFonts w:ascii="Arial" w:cs="Arial" w:eastAsia="Arial" w:hAnsi="Arial"/>
                <w:sz w:val="16"/>
                <w:szCs w:val="16"/>
                <w:color w:val="auto"/>
              </w:rPr>
              <w:t>757,261</w:t>
            </w:r>
          </w:p>
        </w:tc>
        <w:tc>
          <w:tcPr>
            <w:tcW w:w="1440" w:type="dxa"/>
            <w:vAlign w:val="bottom"/>
            <w:vMerge w:val="restart"/>
          </w:tcPr>
          <w:p>
            <w:pPr>
              <w:jc w:val="right"/>
              <w:ind w:right="139"/>
              <w:spacing w:after="0"/>
              <w:rPr>
                <w:sz w:val="20"/>
                <w:szCs w:val="20"/>
                <w:color w:val="auto"/>
              </w:rPr>
            </w:pPr>
            <w:r>
              <w:rPr>
                <w:rFonts w:ascii="Arial" w:cs="Arial" w:eastAsia="Arial" w:hAnsi="Arial"/>
                <w:sz w:val="16"/>
                <w:szCs w:val="16"/>
                <w:color w:val="auto"/>
              </w:rPr>
              <w:t>910,836</w:t>
            </w:r>
          </w:p>
        </w:tc>
        <w:tc>
          <w:tcPr>
            <w:tcW w:w="1440" w:type="dxa"/>
            <w:vAlign w:val="bottom"/>
            <w:vMerge w:val="restart"/>
          </w:tcPr>
          <w:p>
            <w:pPr>
              <w:jc w:val="right"/>
              <w:ind w:right="139"/>
              <w:spacing w:after="0"/>
              <w:rPr>
                <w:sz w:val="20"/>
                <w:szCs w:val="20"/>
                <w:color w:val="auto"/>
              </w:rPr>
            </w:pPr>
            <w:r>
              <w:rPr>
                <w:rFonts w:ascii="Arial" w:cs="Arial" w:eastAsia="Arial" w:hAnsi="Arial"/>
                <w:sz w:val="16"/>
                <w:szCs w:val="16"/>
                <w:color w:val="auto"/>
              </w:rPr>
              <w:t>735,573</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991,835</w:t>
            </w:r>
          </w:p>
        </w:tc>
        <w:tc>
          <w:tcPr>
            <w:tcW w:w="0" w:type="dxa"/>
            <w:vAlign w:val="bottom"/>
          </w:tcPr>
          <w:p>
            <w:pPr>
              <w:spacing w:after="0"/>
              <w:rPr>
                <w:sz w:val="1"/>
                <w:szCs w:val="1"/>
                <w:color w:val="auto"/>
              </w:rPr>
            </w:pPr>
          </w:p>
        </w:tc>
      </w:tr>
      <w:tr>
        <w:trPr>
          <w:trHeight w:val="22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based compensation programs</w:t>
            </w:r>
          </w:p>
        </w:tc>
        <w:tc>
          <w:tcPr>
            <w:tcW w:w="15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5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15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82,972,888</w:t>
            </w:r>
          </w:p>
        </w:tc>
        <w:tc>
          <w:tcPr>
            <w:tcW w:w="14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82,493,211</w:t>
            </w:r>
          </w:p>
        </w:tc>
        <w:tc>
          <w:tcPr>
            <w:tcW w:w="14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82,737,073</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82,473,521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18"/>
                <w:szCs w:val="18"/>
                <w:color w:val="auto"/>
              </w:rPr>
            </w:pPr>
          </w:p>
        </w:tc>
        <w:tc>
          <w:tcPr>
            <w:tcW w:w="29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560" w:type="dxa"/>
            <w:vAlign w:val="bottom"/>
          </w:tcPr>
          <w:p>
            <w:pPr>
              <w:spacing w:after="0"/>
              <w:rPr>
                <w:sz w:val="13"/>
                <w:szCs w:val="13"/>
                <w:color w:val="auto"/>
              </w:rPr>
            </w:pPr>
          </w:p>
        </w:tc>
        <w:tc>
          <w:tcPr>
            <w:tcW w:w="1500" w:type="dxa"/>
            <w:vAlign w:val="bottom"/>
          </w:tcPr>
          <w:p>
            <w:pPr>
              <w:ind w:left="220"/>
              <w:spacing w:after="0" w:line="155" w:lineRule="exact"/>
              <w:rPr>
                <w:sz w:val="20"/>
                <w:szCs w:val="20"/>
                <w:color w:val="auto"/>
              </w:rPr>
            </w:pPr>
            <w:r>
              <w:rPr>
                <w:rFonts w:ascii="Arial" w:cs="Arial" w:eastAsia="Arial" w:hAnsi="Arial"/>
                <w:sz w:val="16"/>
                <w:szCs w:val="16"/>
                <w:b w:val="1"/>
                <w:bCs w:val="1"/>
                <w:color w:val="auto"/>
              </w:rPr>
              <w:t>September 30,</w:t>
            </w:r>
          </w:p>
        </w:tc>
        <w:tc>
          <w:tcPr>
            <w:tcW w:w="144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September 30,</w:t>
            </w:r>
          </w:p>
        </w:tc>
        <w:tc>
          <w:tcPr>
            <w:tcW w:w="1440" w:type="dxa"/>
            <w:vAlign w:val="bottom"/>
          </w:tcPr>
          <w:p>
            <w:pPr>
              <w:ind w:left="180"/>
              <w:spacing w:after="0" w:line="155" w:lineRule="exact"/>
              <w:rPr>
                <w:sz w:val="20"/>
                <w:szCs w:val="20"/>
                <w:color w:val="auto"/>
              </w:rPr>
            </w:pPr>
            <w:r>
              <w:rPr>
                <w:rFonts w:ascii="Arial" w:cs="Arial" w:eastAsia="Arial" w:hAnsi="Arial"/>
                <w:sz w:val="16"/>
                <w:szCs w:val="16"/>
                <w:b w:val="1"/>
                <w:bCs w:val="1"/>
                <w:color w:val="auto"/>
              </w:rPr>
              <w:t>September 30,</w:t>
            </w:r>
          </w:p>
        </w:tc>
        <w:tc>
          <w:tcPr>
            <w:tcW w:w="1300" w:type="dxa"/>
            <w:vAlign w:val="bottom"/>
          </w:tcPr>
          <w:p>
            <w:pPr>
              <w:ind w:left="180"/>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5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2022</w:t>
            </w:r>
          </w:p>
        </w:tc>
        <w:tc>
          <w:tcPr>
            <w:tcW w:w="144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2023</w:t>
            </w: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2022</w:t>
            </w:r>
          </w:p>
        </w:tc>
      </w:tr>
      <w:tr>
        <w:trPr>
          <w:trHeight w:val="210"/>
        </w:trPr>
        <w:tc>
          <w:tcPr>
            <w:tcW w:w="556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Basic</w:t>
            </w:r>
          </w:p>
        </w:tc>
        <w:tc>
          <w:tcPr>
            <w:tcW w:w="1500" w:type="dxa"/>
            <w:vAlign w:val="bottom"/>
          </w:tcPr>
          <w:p>
            <w:pPr>
              <w:ind w:left="960"/>
              <w:spacing w:after="0"/>
              <w:rPr>
                <w:sz w:val="20"/>
                <w:szCs w:val="20"/>
                <w:color w:val="auto"/>
              </w:rPr>
            </w:pPr>
            <w:r>
              <w:rPr>
                <w:rFonts w:ascii="Arial" w:cs="Arial" w:eastAsia="Arial" w:hAnsi="Arial"/>
                <w:sz w:val="16"/>
                <w:szCs w:val="16"/>
                <w:color w:val="auto"/>
              </w:rPr>
              <w:t>1.99</w:t>
            </w:r>
          </w:p>
        </w:tc>
        <w:tc>
          <w:tcPr>
            <w:tcW w:w="1440" w:type="dxa"/>
            <w:vAlign w:val="bottom"/>
          </w:tcPr>
          <w:p>
            <w:pPr>
              <w:ind w:left="900"/>
              <w:spacing w:after="0"/>
              <w:rPr>
                <w:sz w:val="20"/>
                <w:szCs w:val="20"/>
                <w:color w:val="auto"/>
              </w:rPr>
            </w:pPr>
            <w:r>
              <w:rPr>
                <w:rFonts w:ascii="Arial" w:cs="Arial" w:eastAsia="Arial" w:hAnsi="Arial"/>
                <w:sz w:val="16"/>
                <w:szCs w:val="16"/>
                <w:color w:val="auto"/>
              </w:rPr>
              <w:t>1.96</w:t>
            </w:r>
          </w:p>
        </w:tc>
        <w:tc>
          <w:tcPr>
            <w:tcW w:w="1440" w:type="dxa"/>
            <w:vAlign w:val="bottom"/>
          </w:tcPr>
          <w:p>
            <w:pPr>
              <w:ind w:left="900"/>
              <w:spacing w:after="0"/>
              <w:rPr>
                <w:sz w:val="20"/>
                <w:szCs w:val="20"/>
                <w:color w:val="auto"/>
              </w:rPr>
            </w:pPr>
            <w:r>
              <w:rPr>
                <w:rFonts w:ascii="Arial" w:cs="Arial" w:eastAsia="Arial" w:hAnsi="Arial"/>
                <w:sz w:val="16"/>
                <w:szCs w:val="16"/>
                <w:color w:val="auto"/>
              </w:rPr>
              <w:t>4.83</w:t>
            </w:r>
          </w:p>
        </w:tc>
        <w:tc>
          <w:tcPr>
            <w:tcW w:w="1300" w:type="dxa"/>
            <w:vAlign w:val="bottom"/>
          </w:tcPr>
          <w:p>
            <w:pPr>
              <w:ind w:left="920"/>
              <w:spacing w:after="0"/>
              <w:rPr>
                <w:sz w:val="20"/>
                <w:szCs w:val="20"/>
                <w:color w:val="auto"/>
              </w:rPr>
            </w:pPr>
            <w:r>
              <w:rPr>
                <w:rFonts w:ascii="Arial" w:cs="Arial" w:eastAsia="Arial" w:hAnsi="Arial"/>
                <w:sz w:val="16"/>
                <w:szCs w:val="16"/>
                <w:color w:val="auto"/>
              </w:rPr>
              <w:t>4.76</w:t>
            </w:r>
          </w:p>
        </w:tc>
      </w:tr>
      <w:tr>
        <w:trPr>
          <w:trHeight w:val="241"/>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1.97</w:t>
            </w:r>
          </w:p>
        </w:tc>
        <w:tc>
          <w:tcPr>
            <w:tcW w:w="14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1.94</w:t>
            </w:r>
          </w:p>
        </w:tc>
        <w:tc>
          <w:tcPr>
            <w:tcW w:w="14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4.79</w:t>
            </w:r>
          </w:p>
        </w:tc>
        <w:tc>
          <w:tcPr>
            <w:tcW w:w="13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4.70</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14.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nine months ended September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66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Exercise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1,378,119</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119.86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Granted</w:t>
            </w:r>
          </w:p>
        </w:tc>
        <w:tc>
          <w:tcPr>
            <w:tcW w:w="3180" w:type="dxa"/>
            <w:vAlign w:val="bottom"/>
          </w:tcPr>
          <w:p>
            <w:pPr>
              <w:jc w:val="right"/>
              <w:ind w:right="39"/>
              <w:spacing w:after="0"/>
              <w:rPr>
                <w:sz w:val="20"/>
                <w:szCs w:val="20"/>
                <w:color w:val="auto"/>
              </w:rPr>
            </w:pPr>
            <w:r>
              <w:rPr>
                <w:rFonts w:ascii="Arial" w:cs="Arial" w:eastAsia="Arial" w:hAnsi="Arial"/>
                <w:sz w:val="16"/>
                <w:szCs w:val="16"/>
                <w:color w:val="auto"/>
              </w:rPr>
              <w:t>82,472</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232.48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3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(377,614)</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96.67</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Canceled/expired</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(6,885)</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116.33</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2023</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1,076,092</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136.65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September 30, 2023</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804,953</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113.75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September 30, 2023 was 804,953. Fully vested share options at September 30, 2023 have an average remaining contractual term of 3.91 years and an average exercise price of $113.75.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weighted average fair value of options granted during the nine months ended September 30, 2023 and September 30, 2022 was calculated using the Black-Scholes option pricing model. The weighted average grant date fair values and assumptions used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380" w:type="dxa"/>
            <w:vAlign w:val="bottom"/>
            <w:tcBorders>
              <w:bottom w:val="single" w:sz="8" w:color="auto"/>
            </w:tcBorders>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7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68.40</w:t>
            </w:r>
          </w:p>
        </w:tc>
      </w:tr>
      <w:tr>
        <w:trPr>
          <w:trHeight w:val="175"/>
        </w:trPr>
        <w:tc>
          <w:tcPr>
            <w:tcW w:w="20" w:type="dxa"/>
            <w:vAlign w:val="bottom"/>
          </w:tcPr>
          <w:p>
            <w:pPr>
              <w:spacing w:after="0"/>
              <w:rPr>
                <w:sz w:val="15"/>
                <w:szCs w:val="15"/>
                <w:color w:val="auto"/>
              </w:rPr>
            </w:pPr>
          </w:p>
        </w:tc>
        <w:tc>
          <w:tcPr>
            <w:tcW w:w="768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3.98 %</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13"/>
        </w:trPr>
        <w:tc>
          <w:tcPr>
            <w:tcW w:w="20" w:type="dxa"/>
            <w:vAlign w:val="bottom"/>
            <w:tcBorders>
              <w:bottom w:val="single" w:sz="8" w:color="auto"/>
            </w:tcBorders>
          </w:tcPr>
          <w:p>
            <w:pPr>
              <w:spacing w:after="0"/>
              <w:rPr>
                <w:sz w:val="18"/>
                <w:szCs w:val="18"/>
                <w:color w:val="auto"/>
              </w:rPr>
            </w:pPr>
          </w:p>
        </w:tc>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4"/>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2013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3" w:name="page24"/>
    <w:bookmarkEnd w:id="23"/>
    <w:p>
      <w:pPr>
        <w:jc w:val="both"/>
        <w:ind w:firstLine="648"/>
        <w:spacing w:after="0" w:line="262"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2021 and 2022 vest in twelve months.</w:t>
      </w:r>
    </w:p>
    <w:p>
      <w:pPr>
        <w:spacing w:after="0" w:line="211" w:lineRule="exact"/>
        <w:rPr>
          <w:sz w:val="20"/>
          <w:szCs w:val="20"/>
          <w:color w:val="auto"/>
        </w:rPr>
      </w:pPr>
    </w:p>
    <w:p>
      <w:pPr>
        <w:ind w:right="220" w:firstLine="180"/>
        <w:spacing w:after="0" w:line="27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nine months ended September 30,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9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5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PSU</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90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Weighted</w:t>
            </w:r>
          </w:p>
        </w:tc>
        <w:tc>
          <w:tcPr>
            <w:tcW w:w="1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90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98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Average Grant Date</w:t>
            </w:r>
          </w:p>
        </w:tc>
        <w:tc>
          <w:tcPr>
            <w:tcW w:w="1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 Date</w:t>
            </w:r>
          </w:p>
        </w:tc>
      </w:tr>
      <w:tr>
        <w:trPr>
          <w:trHeight w:val="216"/>
        </w:trPr>
        <w:tc>
          <w:tcPr>
            <w:tcW w:w="39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5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2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152,420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192.29</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582,612</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207.73</w:t>
            </w:r>
          </w:p>
        </w:tc>
      </w:tr>
      <w:tr>
        <w:trPr>
          <w:trHeight w:val="243"/>
        </w:trPr>
        <w:tc>
          <w:tcPr>
            <w:tcW w:w="390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Granted</w:t>
            </w: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60,374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232.51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306,780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218.68</w:t>
            </w: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(47,026)</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159.57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(178,781)</w:t>
            </w: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186.35</w:t>
            </w: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(59,260)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w:t>
            </w:r>
          </w:p>
        </w:tc>
      </w:tr>
      <w:tr>
        <w:trPr>
          <w:trHeight w:val="243"/>
        </w:trPr>
        <w:tc>
          <w:tcPr>
            <w:tcW w:w="390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2023</w:t>
            </w:r>
          </w:p>
        </w:tc>
        <w:tc>
          <w:tcPr>
            <w:tcW w:w="2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165,768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216.22</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651,351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218.41</w:t>
            </w:r>
          </w:p>
        </w:tc>
      </w:tr>
      <w:tr>
        <w:trPr>
          <w:trHeight w:val="24"/>
        </w:trPr>
        <w:tc>
          <w:tcPr>
            <w:tcW w:w="39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nine months ended September 30, 2023 totaled $7.5 million (full year 2022: $6.5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nine months ended September 30, 2023 totaled $33.3 million (full year 2022: $34.1 million).</w:t>
      </w:r>
    </w:p>
    <w:p>
      <w:pPr>
        <w:spacing w:after="0" w:line="2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PSUs vest based on service and specified EPS targets over the periods 2021 - 2023, 2022 - 2024, and 2023 - 2025. Depending on the amount of EPS from 2021 to 2025, up to an additional 82,884 PSUs may also be granted.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compensation expense for the three and nine months ended September 30, 2023 and September 30, 2022 has been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shd w:val="clear" w:color="auto" w:fill="CCEEFF"/>
          </w:tcPr>
          <w:p>
            <w:pPr>
              <w:spacing w:after="0"/>
              <w:rPr>
                <w:sz w:val="18"/>
                <w:szCs w:val="18"/>
                <w:color w:val="auto"/>
              </w:rPr>
            </w:pPr>
          </w:p>
        </w:tc>
      </w:tr>
      <w:tr>
        <w:trPr>
          <w:trHeight w:val="209"/>
        </w:trPr>
        <w:tc>
          <w:tcPr>
            <w:tcW w:w="4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10"/>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shd w:val="clear" w:color="auto" w:fill="CCEEFF"/>
          </w:tcPr>
          <w:p>
            <w:pPr>
              <w:spacing w:after="0"/>
              <w:rPr>
                <w:sz w:val="18"/>
                <w:szCs w:val="18"/>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6,637</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6,285</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18,725</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17,117</w:t>
            </w:r>
          </w:p>
        </w:tc>
      </w:tr>
      <w:tr>
        <w:trPr>
          <w:trHeight w:val="22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9,828</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11,232</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29,097</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38,586</w:t>
            </w:r>
          </w:p>
        </w:tc>
      </w:tr>
      <w:tr>
        <w:trPr>
          <w:trHeight w:val="243"/>
        </w:trPr>
        <w:tc>
          <w:tcPr>
            <w:tcW w:w="4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16,465</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17,517</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i w:val="1"/>
                <w:iCs w:val="1"/>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47,822</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55,703</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and the Company’s constitutional documents through open market share acquisitions.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 operates as one reporting segment, which is the provision of outsourced development services on a global basis to the pharmaceutical, biotechnology and medical devices industries.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Ireland remunerates other operating entities in the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6"/>
          <w:szCs w:val="16"/>
          <w:color w:val="auto"/>
        </w:rPr>
        <w:t>The geographical distribution of the Company’s segment measures for the three and nine months ended September 30, 2023 and September 30, 2022 and at September 30, 2023 and December 31, 2022 is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09"/>
        </w:trPr>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Ireland</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596,337</w:t>
            </w:r>
          </w:p>
        </w:tc>
        <w:tc>
          <w:tcPr>
            <w:tcW w:w="8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526,867</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1,701,580</w:t>
            </w:r>
          </w:p>
        </w:tc>
        <w:tc>
          <w:tcPr>
            <w:tcW w:w="78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1,395,198</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384,720</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397,538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1,172,752</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1,281,996</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U.S.</w:t>
            </w:r>
          </w:p>
        </w:tc>
        <w:tc>
          <w:tcPr>
            <w:tcW w:w="4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831,789</w:t>
            </w:r>
          </w:p>
        </w:tc>
        <w:tc>
          <w:tcPr>
            <w:tcW w:w="8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903,200</w:t>
            </w:r>
          </w:p>
        </w:tc>
        <w:tc>
          <w:tcPr>
            <w:tcW w:w="5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2,524,212</w:t>
            </w: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2,767,844</w:t>
            </w:r>
          </w:p>
        </w:tc>
      </w:tr>
      <w:tr>
        <w:trPr>
          <w:trHeight w:val="22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242,253</w:t>
            </w:r>
          </w:p>
        </w:tc>
        <w:tc>
          <w:tcPr>
            <w:tcW w:w="8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114,822</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655,384</w:t>
            </w:r>
          </w:p>
        </w:tc>
        <w:tc>
          <w:tcPr>
            <w:tcW w:w="7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334,346</w:t>
            </w:r>
          </w:p>
        </w:tc>
      </w:tr>
      <w:tr>
        <w:trPr>
          <w:trHeight w:val="243"/>
        </w:trPr>
        <w:tc>
          <w:tcPr>
            <w:tcW w:w="4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8"/>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2,055,099</w:t>
            </w:r>
          </w:p>
        </w:tc>
        <w:tc>
          <w:tcPr>
            <w:tcW w:w="8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1,942,427</w:t>
            </w:r>
          </w:p>
        </w:tc>
        <w:tc>
          <w:tcPr>
            <w:tcW w:w="5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6,053,928</w:t>
            </w: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5,779,384</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09"/>
        </w:trPr>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shd w:val="clear" w:color="auto" w:fill="CCEEFF"/>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Ireland *</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121,343</w:t>
            </w: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93,640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298,567</w:t>
            </w: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159,059</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56,705</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76,178</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138,959</w:t>
            </w: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194,860</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U.S.</w:t>
            </w:r>
          </w:p>
        </w:tc>
        <w:tc>
          <w:tcPr>
            <w:tcW w:w="4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70,013</w:t>
            </w:r>
          </w:p>
        </w:tc>
        <w:tc>
          <w:tcPr>
            <w:tcW w:w="8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63,356</w:t>
            </w:r>
          </w:p>
        </w:tc>
        <w:tc>
          <w:tcPr>
            <w:tcW w:w="5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213,846</w:t>
            </w: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177,145</w:t>
            </w:r>
          </w:p>
        </w:tc>
      </w:tr>
      <w:tr>
        <w:trPr>
          <w:trHeight w:val="22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16,250</w:t>
            </w:r>
          </w:p>
        </w:tc>
        <w:tc>
          <w:tcPr>
            <w:tcW w:w="8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10,570</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39,212</w:t>
            </w: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60,809</w:t>
            </w:r>
          </w:p>
        </w:tc>
      </w:tr>
      <w:tr>
        <w:trPr>
          <w:trHeight w:val="243"/>
        </w:trPr>
        <w:tc>
          <w:tcPr>
            <w:tcW w:w="4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8"/>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264,311</w:t>
            </w:r>
          </w:p>
        </w:tc>
        <w:tc>
          <w:tcPr>
            <w:tcW w:w="8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243,744</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690,584</w:t>
            </w:r>
          </w:p>
        </w:tc>
        <w:tc>
          <w:tcPr>
            <w:tcW w:w="8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591,873</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44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30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143,025</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46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89,265</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99,721</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165,597</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213,311</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47,703</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48,095</w:t>
            </w:r>
          </w:p>
        </w:tc>
      </w:tr>
      <w:tr>
        <w:trPr>
          <w:trHeight w:val="243"/>
        </w:trPr>
        <w:tc>
          <w:tcPr>
            <w:tcW w:w="44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474,581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504,152</w:t>
            </w:r>
          </w:p>
        </w:tc>
      </w:tr>
      <w:tr>
        <w:trPr>
          <w:trHeight w:val="23"/>
        </w:trPr>
        <w:tc>
          <w:tcPr>
            <w:tcW w:w="44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On October 2, 2023, the Company acquired 100% of the equity of BioTel Research, LLC which comprised the business formerly known as Philips Pharma Solutions, a leading provider of medical imaging and cardiac safety monitoring services. The initial consideration paid on the closing date of the acquisition was $68.1 million.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statements were available to be issued. The Company has determined that there are no items, other than the items described above, to disclose.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2022. The consolidated financial statements have been prepared in accordance with accounting principles generally accepted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2023, we employed approximately 41,150 employees in 106 locations in 53 countries. During the three months ended September 30, 2023 we derived approximately 40.5%, 47.7% and 11.8% of our revenue in the United States, Europe and Rest of World, respectively.</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September 30, 2023 we had unsatisfied performance obligations of approximately $14.3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6"/>
          <w:szCs w:val="16"/>
          <w:color w:val="auto"/>
        </w:rPr>
        <w:t>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2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September 30, 2023</w:t>
            </w: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6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176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 2023</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to 2023</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7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70.5 %</w:t>
            </w:r>
          </w:p>
        </w:tc>
        <w:tc>
          <w:tcPr>
            <w:tcW w:w="1700" w:type="dxa"/>
            <w:vAlign w:val="bottom"/>
          </w:tcPr>
          <w:p>
            <w:pPr>
              <w:jc w:val="right"/>
              <w:spacing w:after="0"/>
              <w:rPr>
                <w:sz w:val="20"/>
                <w:szCs w:val="20"/>
                <w:color w:val="auto"/>
              </w:rPr>
            </w:pPr>
            <w:r>
              <w:rPr>
                <w:rFonts w:ascii="Arial" w:cs="Arial" w:eastAsia="Arial" w:hAnsi="Arial"/>
                <w:sz w:val="16"/>
                <w:szCs w:val="16"/>
                <w:color w:val="auto"/>
              </w:rPr>
              <w:t>70.8 %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1.5 %</w:t>
            </w:r>
          </w:p>
        </w:tc>
        <w:tc>
          <w:tcPr>
            <w:tcW w:w="17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Transaction and integration-related</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0.5 %</w:t>
            </w:r>
          </w:p>
        </w:tc>
        <w:tc>
          <w:tcPr>
            <w:tcW w:w="170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30.4 %</w:t>
            </w: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12.9 %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5720" w:type="dxa"/>
            <w:vAlign w:val="bottom"/>
            <w:gridSpan w:val="3"/>
          </w:tcPr>
          <w:p>
            <w:pPr>
              <w:spacing w:after="0"/>
              <w:rPr>
                <w:sz w:val="20"/>
                <w:szCs w:val="20"/>
                <w:color w:val="auto"/>
              </w:rPr>
            </w:pPr>
            <w:r>
              <w:rPr>
                <w:rFonts w:ascii="Arial" w:cs="Arial" w:eastAsia="Arial" w:hAnsi="Arial"/>
                <w:sz w:val="16"/>
                <w:szCs w:val="16"/>
                <w:b w:val="1"/>
                <w:bCs w:val="1"/>
                <w:color w:val="auto"/>
              </w:rPr>
              <w:t>Nine Months Ended September 30, 2023</w:t>
            </w: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6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Nine Months Ended</w:t>
            </w:r>
          </w:p>
        </w:tc>
        <w:tc>
          <w:tcPr>
            <w:tcW w:w="176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 2023</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to 2023</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7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70.6 %</w:t>
            </w:r>
          </w:p>
        </w:tc>
        <w:tc>
          <w:tcPr>
            <w:tcW w:w="1700" w:type="dxa"/>
            <w:vAlign w:val="bottom"/>
          </w:tcPr>
          <w:p>
            <w:pPr>
              <w:jc w:val="right"/>
              <w:spacing w:after="0"/>
              <w:rPr>
                <w:sz w:val="20"/>
                <w:szCs w:val="20"/>
                <w:color w:val="auto"/>
              </w:rPr>
            </w:pPr>
            <w:r>
              <w:rPr>
                <w:rFonts w:ascii="Arial" w:cs="Arial" w:eastAsia="Arial" w:hAnsi="Arial"/>
                <w:sz w:val="16"/>
                <w:szCs w:val="16"/>
                <w:color w:val="auto"/>
              </w:rPr>
              <w:t>71.7 %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1.5 %</w:t>
            </w:r>
          </w:p>
        </w:tc>
        <w:tc>
          <w:tcPr>
            <w:tcW w:w="17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Transaction and integration-related</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0.6 %</w:t>
            </w:r>
          </w:p>
        </w:tc>
        <w:tc>
          <w:tcPr>
            <w:tcW w:w="170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19.1 %</w:t>
            </w: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0.7 %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5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11.4 %</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2,055,099 $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1,942,427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112,672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Revenue for the three months ended September 30, 2023 increased by $112.7 million, or 5.8%, to $2,055.1 million, compared to $1,942.4 million for the three months ended September 30, 2022. Revenue increased by 4.8% in constant currency terms. The increase in revenue for the three months ended September 30, 2023 is due to continued organic growth across the Company's markets.</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During the three months ended September 30, 2023, we derived approximately 40.5%, 47.7% and 11.8% of our revenue in the United States, Europe and Rest of World respectively. During the three months ended September 30, 2023, $527.3 million or 25.7% of our revenues were derived from our top 5 customers. New customer accounts are continually added across the full portfolio of large pharma customers, mid-tier pharma customers and biotech customers.</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Revenue in Ireland for the three months ended September 30, 2023 increased to $596.3 million compared to $526.9 million for the three months ended September 30, 2022. Regional revenue is principally a function of the Company’s global transfer pricing model (see </w:t>
      </w:r>
      <w:r>
        <w:rPr>
          <w:rFonts w:ascii="Arial" w:cs="Arial" w:eastAsia="Arial" w:hAnsi="Arial"/>
          <w:sz w:val="16"/>
          <w:szCs w:val="16"/>
          <w:i w:val="1"/>
          <w:iCs w:val="1"/>
          <w:color w:val="auto"/>
        </w:rPr>
        <w:t>note 16 - Business Segment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Geographical Information </w:t>
      </w:r>
      <w:r>
        <w:rPr>
          <w:rFonts w:ascii="Arial" w:cs="Arial" w:eastAsia="Arial" w:hAnsi="Arial"/>
          <w:sz w:val="16"/>
          <w:szCs w:val="16"/>
          <w:color w:val="auto"/>
        </w:rPr>
        <w:t>for further details). Revenue in our Rest of Europe region decreased to $384.7 million compared to $397.5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Revenue in the Rest of World region increased to $242.3 million compared to $114.8 million for the three months ended September 30, 2022. Revenue in the U.S. region decreased to $831.8 million from $903.2 million for the three months ended September 30, 2022.</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jc w:val="center"/>
              <w:ind w:right="239"/>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6,053,928 $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5,779,384</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274,544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Revenue for the nine months ended September 30, 2023 increased by $274.5 million, or 4.8%, to $6,053.9 million, compared to $5,779.4 million for the nine months ended September 30, 2022. Revenue increased by 4.8% in constant currency terms. The increase in revenue for the nine months ended September 30, 2023 is due to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both"/>
        <w:ind w:firstLine="648"/>
        <w:spacing w:after="0" w:line="262" w:lineRule="auto"/>
        <w:rPr>
          <w:sz w:val="20"/>
          <w:szCs w:val="20"/>
          <w:color w:val="auto"/>
        </w:rPr>
      </w:pPr>
      <w:r>
        <w:rPr>
          <w:rFonts w:ascii="Arial" w:cs="Arial" w:eastAsia="Arial" w:hAnsi="Arial"/>
          <w:sz w:val="16"/>
          <w:szCs w:val="16"/>
          <w:color w:val="auto"/>
        </w:rPr>
        <w:t>During the nine months ended September 30, 2023 we derived approximately 41.7%, 47.5% and 10.8% of our revenue in the United States, Europe and Rest of World, respectively. During the nine months ended September 30, 2023, $1,615.7 million or 26.7% of our revenues were derived from our top 5 customers. New customer accounts are continually added across the full portfolio of large pharma customers, mid-tier pharma customers and biotech customers.</w:t>
      </w:r>
    </w:p>
    <w:p>
      <w:pPr>
        <w:spacing w:after="0" w:line="2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Revenue in Ireland for the nine months ended September 30, 2023 increased to $1,701.6 million compared to $1,395.2 million for the nine months ended September 30, 2022. Revenue in Ireland is principally a function of the Company’s global transfer pricing model (see </w:t>
      </w:r>
      <w:r>
        <w:rPr>
          <w:rFonts w:ascii="Arial" w:cs="Arial" w:eastAsia="Arial" w:hAnsi="Arial"/>
          <w:sz w:val="16"/>
          <w:szCs w:val="16"/>
          <w:i w:val="1"/>
          <w:iCs w:val="1"/>
          <w:color w:val="auto"/>
        </w:rPr>
        <w:t>note 16 -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decreased to $1,172.8 million compared to $1,282.0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Revenue in the Rest of World region increased to $655.4 million compared to $334.3 million for the nine months ended September 30, 2022. Revenue in the U.S. region decreased to $2,524.2 million compared to $2,767.8 million for the nine months ended September 30, 2022.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92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8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shd w:val="clear" w:color="auto" w:fill="CCEEFF"/>
          </w:tcPr>
          <w:p>
            <w:pPr>
              <w:spacing w:after="0"/>
              <w:rPr>
                <w:sz w:val="16"/>
                <w:szCs w:val="16"/>
                <w:color w:val="auto"/>
              </w:rPr>
            </w:pPr>
          </w:p>
        </w:tc>
      </w:tr>
      <w:tr>
        <w:trPr>
          <w:trHeight w:val="216"/>
        </w:trPr>
        <w:tc>
          <w:tcPr>
            <w:tcW w:w="2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09"/>
        </w:trPr>
        <w:tc>
          <w:tcPr>
            <w:tcW w:w="274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Direct costs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1,449,136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1,375,837</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73,299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4,274,222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4,146,366</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127,856</w:t>
            </w: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 of revenue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70.5 %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70.8 %</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71.7 %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3.1 %</w:t>
            </w:r>
          </w:p>
        </w:tc>
      </w:tr>
    </w:tbl>
    <w:p>
      <w:pPr>
        <w:spacing w:after="0" w:line="3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Direct costs for the three months ended September 30, 2023 increased by $73.3 million, or 5.3%, to $1,449.1 million compared to $1,375.8 million for the three months ended September 30, 2022.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laboratory costs, travel and other direct project driven costs. This was offset by a decrease in third party investigator and other reimbursable costs in the period to September 30, 2023.</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Direct costs for the nine months ended September 30, 2023 increased by $127.9 million, or 3.1%, to $4,274.2 million compared to $4,146.4 million for the nine months ended September 30, 2022. The increase in direct costs arose due to an increase in personnel related costs, laboratory costs, travel and other direct project driven costs. This was offset by a decrease in third party investigator and other reimbursable costs in the period. As a percentage of revenue, direct costs have decreased to 70.6% compared to 71.7% for the nine months ended September 30, 2022.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4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4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spacing w:after="0" w:line="145" w:lineRule="exact"/>
              <w:rPr>
                <w:sz w:val="20"/>
                <w:szCs w:val="20"/>
                <w:color w:val="auto"/>
              </w:rPr>
            </w:pPr>
            <w:r>
              <w:rPr>
                <w:rFonts w:ascii="Arial" w:cs="Arial" w:eastAsia="Arial" w:hAnsi="Arial"/>
                <w:sz w:val="16"/>
                <w:szCs w:val="16"/>
                <w:color w:val="auto"/>
              </w:rPr>
              <w:t>Selling, general and administrative</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185,187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166,787</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18,400</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572,999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552,000</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20,999</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3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9.0 %</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8.6 %</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Selling, general and administrative expenses for the three months ended September 30, 2023 increased by $18.4 million, or 11%, to $185.2 million, compared to $166.8 million for the three months ended September 30, 2022.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increased to 9.0% compared to 8.6% for the three months ended September 30, 2022. The increase in selling, general and administrative expenses primarily relates to foreign exchange movements, professional fees and personnel costs offset by decreases in general overhead costs and marketing costs.</w:t>
      </w:r>
    </w:p>
    <w:p>
      <w:pPr>
        <w:spacing w:after="0" w:line="2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Selling, general and administrative expenses for the nine months ended September 30, 2023 increased by $21.0 million, or 3.8%, to $573.0 million compared to $552.0 million for the nine months ended September 30, 2022. As a percentage of revenue, selling, general and administrative expenses have decreased to 9.5% compared to 9.6% for the nine months ended September 30, 2022. The increase in costs for the nine months ended September 30, 2023 primarily relates to foreign exchange movements and professional fees offset by decreases in personnel costs, general overhead costs, acquisition related costs, marketing costs and a gain of $6.2 million related to the Oncacare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8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4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shd w:val="clear" w:color="auto" w:fill="CCEEFF"/>
          </w:tcPr>
          <w:p>
            <w:pPr>
              <w:spacing w:after="0"/>
              <w:rPr>
                <w:sz w:val="16"/>
                <w:szCs w:val="16"/>
                <w:color w:val="auto"/>
              </w:rPr>
            </w:pPr>
          </w:p>
        </w:tc>
      </w:tr>
      <w:tr>
        <w:trPr>
          <w:trHeight w:val="216"/>
        </w:trPr>
        <w:tc>
          <w:tcPr>
            <w:tcW w:w="2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31,459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26,870</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4,589</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92,349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79,167</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13,182</w:t>
            </w: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1.5 %</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19"/>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114,573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114,991</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343,868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348,118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(4,250)</w:t>
            </w:r>
          </w:p>
        </w:tc>
      </w:tr>
      <w:tr>
        <w:trPr>
          <w:trHeight w:val="210"/>
        </w:trPr>
        <w:tc>
          <w:tcPr>
            <w:tcW w:w="2800" w:type="dxa"/>
            <w:vAlign w:val="bottom"/>
          </w:tcPr>
          <w:p>
            <w:pPr>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5.9 %</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3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depreciation charge reflects investments in facilities, information systems and equipment to support the Company’s continued growth. The depreciation expense for the three months ended September 30, 2023 increased by $4.6 million, or 17.1%, to $31.5 million compared to $26.9 million for the three months ended September 30, 2022. As a percentage of revenue the depreciation expense was 1.5%, which increased from 1.5% for the three months ended September 30, 2022.</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depreciation expense for the nine months ended September 30, 2023 increased by $13.2 million, or 16.7%, to $92.3 million compared to $79.2 million for the nine months ended September 30, 2022. As a percentage of revenue the depreciation expense was 1.5%, which increased from 1.4% for the nine months ended September 30, 2022. The depreciation charge, from a value perspective, for the three and nine months ended September 30, 2023 has increased mainly due to an increase in our depreciable asset base and additional spend related to computer hardware and software.</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amortization expense represents the amortization of intangible assets acquired in business combinations. Amortization of intangibles for the three months ended September 30, 2023 decreased by $0.4 million, or 0.4%, to $114.6 million compared to $115.0 million for the three months ended September 30, 2022. As a percentage of revenue, the amortization expense decreased to 5.6%, compared to 5.9% for the three months ended September 30, 2022.</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amortization expense for the nine months ended September 30, 2023 decreased by $4.3 million, or 1.2%, to $343.9 million compared to $348.1 million for the nine months ended September 30, 2022. As a percentage of revenue, the amortization expense was 5.7%, which decreased from 6.0% for the nine months ended September 30,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78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78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5"/>
        </w:trPr>
        <w:tc>
          <w:tcPr>
            <w:tcW w:w="29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Transaction and integration-related</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10,433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8,001</w:t>
            </w: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2,432</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34,516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28,970</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5,546</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4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0.4 %</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30.4 %</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6,197</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(6,197)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45,390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32,890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0.3 %</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During the three and nine months ended September 30, 2023, the Company incurred $10.4 million and $79.9 million, respectively, for restructuring, transaction and integration-related expenses. The charge includes transaction and integration costs of $10.4 million and costs amounting to $34.5 million comprising professional fees, retention agreements and ongoing integration activities.</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During the nine months ended September 30, 2023 the Company has undertaken a restructuring program aimed at realigning its workforce as well as reviewing its global office footprint and optimizing its locations to best fit the requirements of the Company. This program has resulted in a restructuring charge of $45.4 million in the nine months ended September 30, 2023.</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58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0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264,311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243,744</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20,567</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12.9 %</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12.5 %</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8.4 %</w:t>
            </w:r>
          </w:p>
        </w:tc>
      </w:tr>
    </w:tbl>
    <w:p>
      <w:pPr>
        <w:spacing w:after="0" w:line="200" w:lineRule="exact"/>
        <w:rPr>
          <w:sz w:val="20"/>
          <w:szCs w:val="20"/>
          <w:color w:val="auto"/>
        </w:rPr>
      </w:pP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Income from operations for the three months ended September 30, 2023 increased by $20.6 million or 8.4% to $264.3 million compared to $243.7 million for the three months ended September 30, 2022. As a percentage of revenue, income from operations increased to 12.9% compared to 12.5% of revenue for the three months ended September 30, 2022.</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Income from operations in Ireland increased to $121.3 million compared to $93.6 million for the three months ended September 30, 2022.Income from operations in Ireland and other geographic regions are reflective of the Company’s global transfer pricing model.</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Rest of Europe region, income from operations decreased to $56.7 million compared to $76.2 million for the three months ended September 30, 2022. As a percentage of revenues in the Rest of Europe region, income from operations in the Rest of Europe region decreased to 14.7% compared to 19.2% for the period ended September 30, 2022.</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the U.S. region, income from operations increased to $70.0 million, compared to $63.4 million for the period ended September 30, 2022. As a percentage of revenues in the U.S. region, income from operations in the U.S. region increased to 8.4% compared to 7.0% for the period ended September 30, 2022.</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Rest of World region, income from operations increased by $5.7 million to $16.3 million compared to $10.6 million for the three months ended September 30, 2022. As percentage of revenues in other regions, income from operations in other regions decreased to 6.7% compared to 9.2% for the period ended September 30, 2022.</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59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690,584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591,873</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98,711</w:t>
            </w: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10.2 %</w:t>
            </w: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16.7 %</w:t>
            </w:r>
          </w:p>
        </w:tc>
      </w:tr>
    </w:tbl>
    <w:p>
      <w:pPr>
        <w:spacing w:after="0" w:line="200" w:lineRule="exact"/>
        <w:rPr>
          <w:sz w:val="20"/>
          <w:szCs w:val="20"/>
          <w:color w:val="auto"/>
        </w:rPr>
      </w:pPr>
    </w:p>
    <w:p>
      <w:pPr>
        <w:spacing w:after="0" w:line="3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Income from operations for the nine months ended September 30, 2023 increased by $98.7 million or 16.7% to $690.6 million compared to $591.9 million for the nine months ended September 30, 2022. As a percentage of revenue, income from operations increased to 11.4% compared to 10.2% of revenue for the nine months ended September 30, 2022.</w:t>
      </w:r>
    </w:p>
    <w:p>
      <w:pPr>
        <w:spacing w:after="0" w:line="20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Income from operations in Ireland increased to $298.6 million compared to $159.1 million for the nine months ended September 30, 2022. Income from operations in Ireland and other geographic regions are reflective of the Company’s global transfer pricing model.</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Rest of Europe region, income from operations decreased to $139.0 million compared to $194.9 million for the nine months ended September 30, 2022. As a percentage of revenues in the Rest of Europe region, income from operations in the Rest of Europe region decreased to 11.8% compared to 15.2% for the nine months ended September 30, 2022.</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U.S. region, income from operations increased by $36.7 million, to $213.8 million compared to $177.1 million, for the nine months ended September 30, 2022. As a percentage of revenues in the US region, income from operations in the U.S. region increased to 8.5% compared to 6.4% for the nine months ended September 30, 2022.</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In other regions, income from operations decreased by $21.6 million to $39.2 million compared to $60.8 million for the nine months ended September 30, 2022. As percentage of revenues in other regions, income from operations in other regions decreased to 6.0% compared to 18.2% for the nine months ended September 30, 2022.</w:t>
      </w: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32" w:name="page33"/>
    <w:bookmarkEnd w:id="32"/>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1,567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90.7 %</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(83,908)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(63,010)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(20,898)</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33.2 % $</w:t>
            </w:r>
          </w:p>
        </w:tc>
        <w:tc>
          <w:tcPr>
            <w:tcW w:w="880" w:type="dxa"/>
            <w:vAlign w:val="bottom"/>
          </w:tcPr>
          <w:p>
            <w:pPr>
              <w:jc w:val="right"/>
              <w:spacing w:after="0"/>
              <w:rPr>
                <w:sz w:val="20"/>
                <w:szCs w:val="20"/>
                <w:color w:val="auto"/>
              </w:rPr>
            </w:pPr>
            <w:r>
              <w:rPr>
                <w:rFonts w:ascii="Arial" w:cs="Arial" w:eastAsia="Arial" w:hAnsi="Arial"/>
                <w:sz w:val="16"/>
                <w:szCs w:val="16"/>
                <w:color w:val="auto"/>
              </w:rPr>
              <w:t>(255,665)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(154,546)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(101,119)</w:t>
            </w:r>
          </w:p>
        </w:tc>
        <w:tc>
          <w:tcPr>
            <w:tcW w:w="700" w:type="dxa"/>
            <w:vAlign w:val="bottom"/>
          </w:tcPr>
          <w:p>
            <w:pPr>
              <w:jc w:val="right"/>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Interest expense for the three months ended September 30, 2023 increased to $83.9 million, compared to $63.0 million for the three months ended September 30, 2022. The increase during the period reflects the impact of financing costs associated with the Merger and the impact of rising interest rates. Interest income for the three months ended September 30, 2023 decreased to $1.3 million, compared to $1.4 million for the three months ended September 30, 2022.</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Interest expense for the nine months ended September 30, 2023 increased to $255.7 million, compared to $154.5 million for the nine months ended September 30, 2022 due to the impact of financing costs associated with the Merger. Interest income for the nine months ended September 30, 2023 increased to $3.3 million, compared to $1.7 million for the nine months ended September 30, 2022. The increase in interest income can be attributed to rising interest rates over the last nine months.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40" w:type="dxa"/>
            <w:vAlign w:val="bottom"/>
            <w:gridSpan w:val="3"/>
            <w:shd w:val="clear" w:color="auto" w:fill="CCEEFF"/>
          </w:tcPr>
          <w:p>
            <w:pPr>
              <w:jc w:val="center"/>
              <w:ind w:right="27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380" w:type="dxa"/>
            <w:vAlign w:val="bottom"/>
            <w:shd w:val="clear" w:color="auto" w:fill="CCEEFF"/>
          </w:tcPr>
          <w:p>
            <w:pPr>
              <w:spacing w:after="0"/>
              <w:rPr>
                <w:sz w:val="16"/>
                <w:szCs w:val="16"/>
                <w:color w:val="auto"/>
              </w:rPr>
            </w:pPr>
          </w:p>
        </w:tc>
        <w:tc>
          <w:tcPr>
            <w:tcW w:w="2600" w:type="dxa"/>
            <w:vAlign w:val="bottom"/>
            <w:gridSpan w:val="3"/>
            <w:shd w:val="clear" w:color="auto" w:fill="CCEEFF"/>
          </w:tcPr>
          <w:p>
            <w:pPr>
              <w:jc w:val="center"/>
              <w:ind w:right="479"/>
              <w:spacing w:after="0"/>
              <w:rPr>
                <w:sz w:val="20"/>
                <w:szCs w:val="20"/>
                <w:color w:val="auto"/>
              </w:rPr>
            </w:pPr>
            <w:r>
              <w:rPr>
                <w:rFonts w:ascii="Arial" w:cs="Arial" w:eastAsia="Arial" w:hAnsi="Arial"/>
                <w:sz w:val="16"/>
                <w:szCs w:val="16"/>
                <w:b w:val="1"/>
                <w:bCs w:val="1"/>
                <w:color w:val="auto"/>
              </w:rPr>
              <w:t>Nine Months Ended</w:t>
            </w:r>
          </w:p>
        </w:tc>
        <w:tc>
          <w:tcPr>
            <w:tcW w:w="12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jc w:val="center"/>
              <w:ind w:left="33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18,011</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21,012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41,913</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48,552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(6,639)</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9.9 %</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11.5 %</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9.6 %</w:t>
            </w:r>
          </w:p>
        </w:tc>
        <w:tc>
          <w:tcPr>
            <w:tcW w:w="6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11.1 %</w:t>
            </w: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Provision for income taxes decreased to a $18.0 million charge for the three months ended September 30, 2023, compared to a $21.0 million charge for the three months ended September 30, 2022. The Company’s effective tax rate for the three months ended September 30, 2023 was 9.9% compared with 11.5% for the three months ended September 30, 2022.</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Provision for income taxes decreased to a $41.9 million charge for the nine months ended September 30, 2023, compared to $48.6 million for the nine months ended September 30, 2022. The Company’s effective tax rate for the nine months ended September 30, 2023 was 9.6% compared with 11.1% for the nine months ended September 30,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2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(Drawn</w:t>
            </w:r>
          </w:p>
        </w:tc>
        <w:tc>
          <w:tcPr>
            <w:tcW w:w="9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Net cash</w:t>
            </w:r>
          </w:p>
        </w:tc>
        <w:tc>
          <w:tcPr>
            <w:tcW w:w="11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Other non-</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Effect of</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22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13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b w:val="1"/>
                <w:bCs w:val="1"/>
                <w:color w:val="auto"/>
              </w:rPr>
              <w:t>inflow/</w:t>
            </w:r>
          </w:p>
        </w:tc>
        <w:tc>
          <w:tcPr>
            <w:tcW w:w="112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exchange</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Down)</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(outflow)</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cash</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rates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 (in thousands)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288,768</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28,249</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1,713</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241</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Senior Secured Credit Facilities &amp; Senior</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(4,654,187)</w:t>
            </w:r>
          </w:p>
        </w:tc>
        <w:tc>
          <w:tcPr>
            <w:tcW w:w="12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(305,000)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930,000</w:t>
            </w:r>
          </w:p>
        </w:tc>
        <w:tc>
          <w:tcPr>
            <w:tcW w:w="13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(12,485)</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(4,041,672)</w:t>
            </w: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(4,363,706)</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930,000</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28,490</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(12,485)</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(3,726,653)</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Company’s cash and short term investment balances at September 30, 2023 amounted to $315.0 million compared with cash and short term investment balances of $290.5 million at December 31, 2022.</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term loan facility will mature in July 2028 and the revolving loan facility will mature in July 2026. 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6.68%, representing one month SOFR plus a margin of 1.25%. In April 2023, the Company drew down $50.0 million of the senior secured revolving loan facility at an interest rate of 6.25%, representing one month SOFR plus a margin of 1.25%. In May 2023, the Company agreed with its lenders to increase the aggregate principal amount of the senior secured revolving loan facility from $300.0 million to $500.0 million. The Company repaid $80.0 million of the senior secured revolving loan facility on June 30, 2023. The remaining $50.0 million was repaid on August 17, 2023. On September 29, 2023, $75.0 million of the of the senior secured revolving loan facility was drawn down at an interest rate of 6.68%, representing one month SOFR plus a margin of 1.25%.</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31, 2023 the Company repaid $250.0 million of the senior secured term loan facility and made a quarterly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of $75.3 million. This repayment resulted in an accelerated charge associated with previously capitalized fees of $2.2 million.</w:t>
      </w:r>
    </w:p>
    <w:p>
      <w:pPr>
        <w:spacing w:after="0" w:line="2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June 30, 2023 the Company repaid $150.0 million of the senior secured term loan facility and made a quarterly interest payment of $74.0 million. This repayment resulted in an accelerated charge associated with previously capitalized fees of $1.2 million.</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29, 2023, the Company repaid $300.0 million of the senior secured term loan facility and made a quarterly interest payment of $74.5 million. This repayment resulted in an accelerated charge associated with previously capitalized fees of $2.5 million.</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senior secured notes will mature on July 15, 2026.</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Net cash provided by operating activities increased by $98.2 million to $720.9 million for the nine months ended September 30, 2023 as compared to net cash provided by operating activities of $622.7 million for the nine months ended September 30, 2022. The increase in net cash provided by operating activities of $98.2 million is primarily due to an increase in underlying operating activity and improved working capital.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ind w:firstLine="648"/>
        <w:spacing w:after="0" w:line="245" w:lineRule="auto"/>
        <w:rPr>
          <w:sz w:val="20"/>
          <w:szCs w:val="20"/>
          <w:color w:val="auto"/>
        </w:rPr>
      </w:pPr>
      <w:r>
        <w:rPr>
          <w:rFonts w:ascii="Arial" w:cs="Arial" w:eastAsia="Arial" w:hAnsi="Arial"/>
          <w:sz w:val="16"/>
          <w:szCs w:val="16"/>
          <w:color w:val="auto"/>
        </w:rPr>
        <w:t>The change in working capital is primarily attributable to an increase in the movement of unbilled revenue of $235.5 million and an increase in the movement of unearned revenue of $129.9 million for the nine months ended September 30, 2023 in comparison with the nine months ended September 30, 2022. These changes result from differences in timing of revenue recognition and billing on clinical trials. The number of days’ revenue outstanding at September 30, 2023 was 49 days compared to 54 days at December 31, 2022 and 43 days at September 30, 2022. 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A decrease in the number of days’ revenue outstanding during a period will result in cash inflows to the Company while an increase in days revenue outstanding will lead to cash outflows.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Net cash used in investing activities was $104.2 million for the nine months ended September 30, 2023 compared to net cash used in investing activities of $87.0 million for the nine months ended September 30, 2022. Net cash used in investing activities during the nine months ended September 30, 2023 was primarily related to cash outflows of $88.0 million for capital expenditures made mainly relating to investment in facilities and IT infrastructure, $5.1 million in relation to purchase of subsidiary undertakings, and $10.8 million in relation to investments in long-term 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Net cash used in financing activities during the nine months ended September 30, 2023 amounted to $588.5 million compared to net cash used in financing activities of $671.0 million for the nine months ended September 30, 2022. During the nine months ended September 30, 2023, the Company made a net repayment of $625.0 million on external financing. This was offset by $36.5 million that was received by the Company from the exercise of share options.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inflow</w:t>
      </w:r>
    </w:p>
    <w:p>
      <w:pPr>
        <w:spacing w:after="0" w:line="25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As a result of these cash flows, cash and cash equivalents increased by $24.3 million for the nine months ended September 30, 2023 compared to a decrease of $143.1 million for the nine months ended September 30,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an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the challenges associated with the integration of the PRA, competition and the continuing consolidation of the industry, the dependence on certain key executives, changes in the regulatory environment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February 24, 2023 for risks and uncertainties facing the Company.</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35" w:name="page36"/>
    <w:bookmarkEnd w:id="35"/>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56" w:lineRule="exact"/>
        <w:rPr>
          <w:sz w:val="20"/>
          <w:szCs w:val="20"/>
          <w:color w:val="auto"/>
        </w:rPr>
      </w:pPr>
    </w:p>
    <w:p>
      <w:pPr>
        <w:ind w:firstLine="277"/>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53"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75"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27, 2023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2023-10-27T07:33:10Z</dcterms:created>
  <dcterms:modified xsi:type="dcterms:W3CDTF">2023-10-27T07:33:10Z</dcterms:modified>
</cp:coreProperties>
</file>