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ICON plc</w:t>
      </w:r>
    </w:p>
    <w:p>
      <w:pPr>
        <w:jc w:val="right"/>
        <w:spacing w:after="0" w:line="238" w:lineRule="auto"/>
        <w:rPr>
          <w:sz w:val="20"/>
          <w:szCs w:val="20"/>
          <w:color w:val="auto"/>
        </w:rPr>
      </w:pPr>
      <w:r>
        <w:rPr>
          <w:rFonts w:ascii="Arial" w:cs="Arial" w:eastAsia="Arial" w:hAnsi="Arial"/>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Arial" w:cs="Arial" w:eastAsia="Arial" w:hAnsi="Arial"/>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Arial" w:cs="Arial" w:eastAsia="Arial" w:hAnsi="Arial"/>
          <w:sz w:val="19"/>
          <w:szCs w:val="19"/>
          <w:color w:val="auto"/>
        </w:rPr>
        <w:t>(Commission File No. 001-36732)</w:t>
      </w:r>
    </w:p>
    <w:p>
      <w:pPr>
        <w:spacing w:after="0" w:line="25" w:lineRule="exact"/>
        <w:rPr>
          <w:sz w:val="24"/>
          <w:szCs w:val="24"/>
          <w:color w:val="auto"/>
        </w:rPr>
      </w:pPr>
    </w:p>
    <w:p>
      <w:pPr>
        <w:ind w:left="9120"/>
        <w:spacing w:after="0"/>
        <w:rPr>
          <w:sz w:val="20"/>
          <w:szCs w:val="20"/>
          <w:color w:val="auto"/>
        </w:rPr>
      </w:pPr>
      <w:r>
        <w:rPr>
          <w:rFonts w:ascii="Arial" w:cs="Arial" w:eastAsia="Arial" w:hAnsi="Arial"/>
          <w:sz w:val="19"/>
          <w:szCs w:val="19"/>
          <w:color w:val="auto"/>
        </w:rPr>
        <w:t>Date: February 24, 2021</w:t>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9"/>
          <w:szCs w:val="19"/>
          <w:color w:val="auto"/>
        </w:rPr>
        <w:t>The following communications were made available by ICON plc via Social Media as indicated below on February 24, 2021.</w:t>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Twitter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4314190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165100</wp:posOffset>
            </wp:positionV>
            <wp:extent cx="5151755" cy="3574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51755" cy="357441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172720</wp:posOffset>
            </wp:positionV>
            <wp:extent cx="5109210" cy="4363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09210" cy="4363085"/>
                    </a:xfrm>
                    <a:prstGeom prst="rect">
                      <a:avLst/>
                    </a:prstGeom>
                    <a:noFill/>
                  </pic:spPr>
                </pic:pic>
              </a:graphicData>
            </a:graphic>
          </wp:anchor>
        </w:drawing>
      </w:r>
    </w:p>
    <w:p>
      <w:pPr>
        <w:sectPr>
          <w:pgSz w:w="11900" w:h="16838" w:orient="portrait"/>
          <w:cols w:equalWidth="0" w:num="1">
            <w:col w:w="10139"/>
          </w:cols>
          <w:pgMar w:left="320" w:top="598" w:right="1440" w:bottom="1440" w:gutter="0" w:footer="0" w:header="0"/>
        </w:sectPr>
      </w:pPr>
    </w:p>
    <w:bookmarkStart w:id="2" w:name="page3"/>
    <w:bookmarkEnd w:id="2"/>
    <w:p>
      <w:pPr>
        <w:spacing w:after="0"/>
        <w:rPr>
          <w:sz w:val="20"/>
          <w:szCs w:val="20"/>
          <w:color w:val="auto"/>
        </w:rPr>
      </w:pPr>
      <w:r>
        <w:rPr>
          <w:rFonts w:ascii="Arial" w:cs="Arial" w:eastAsia="Arial" w:hAnsi="Arial"/>
          <w:sz w:val="19"/>
          <w:szCs w:val="19"/>
          <w:b w:val="1"/>
          <w:bCs w:val="1"/>
          <w:color w:val="auto"/>
        </w:rPr>
        <w:t>Facebook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5219065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187325</wp:posOffset>
            </wp:positionV>
            <wp:extent cx="4431665" cy="4149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31665" cy="4149090"/>
                    </a:xfrm>
                    <a:prstGeom prst="rect">
                      <a:avLst/>
                    </a:prstGeom>
                    <a:noFill/>
                  </pic:spPr>
                </pic:pic>
              </a:graphicData>
            </a:graphic>
          </wp:anchor>
        </w:drawing>
      </w:r>
    </w:p>
    <w:p>
      <w:pPr>
        <w:sectPr>
          <w:pgSz w:w="11900" w:h="16838" w:orient="portrait"/>
          <w:cols w:equalWidth="0" w:num="1">
            <w:col w:w="10139"/>
          </w:cols>
          <w:pgMar w:left="320" w:top="598" w:right="1440"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15"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 w:name="page5"/>
    <w:bookmarkEnd w:id="4"/>
    <w:p>
      <w:pPr>
        <w:ind w:left="60"/>
        <w:spacing w:after="0"/>
        <w:rPr>
          <w:sz w:val="20"/>
          <w:szCs w:val="20"/>
          <w:color w:val="auto"/>
        </w:rPr>
      </w:pPr>
      <w:r>
        <w:rPr>
          <w:rFonts w:ascii="Arial" w:cs="Arial" w:eastAsia="Arial" w:hAnsi="Arial"/>
          <w:sz w:val="22"/>
          <w:szCs w:val="22"/>
          <w:b w:val="1"/>
          <w:bCs w:val="1"/>
          <w:color w:val="auto"/>
        </w:rPr>
        <w:t>No Offer or Solicitation</w:t>
      </w:r>
    </w:p>
    <w:p>
      <w:pPr>
        <w:spacing w:after="0" w:line="240"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84"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term “ICON” may refer to ICON public limited company, one or more of its consolidated subsidiaries, or to all of them taken as a whole. The term “PRA” may refer to PRA Health Sciences, Inc.,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2021-02-24T16:27:51Z</dcterms:created>
  <dcterms:modified xsi:type="dcterms:W3CDTF">2021-02-24T16:27:51Z</dcterms:modified>
</cp:coreProperties>
</file>