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79"/>
        <w:spacing w:after="0"/>
        <w:rPr>
          <w:sz w:val="20"/>
          <w:szCs w:val="20"/>
          <w:color w:val="auto"/>
        </w:rPr>
      </w:pPr>
      <w:r>
        <w:rPr>
          <w:rFonts w:ascii="Courier New" w:cs="Courier New" w:eastAsia="Courier New" w:hAnsi="Courier New"/>
          <w:sz w:val="18"/>
          <w:szCs w:val="18"/>
          <w:color w:val="auto"/>
        </w:rPr>
        <w:t>FORM 6-K</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Report of Foreign Private Issuer</w:t>
      </w:r>
    </w:p>
    <w:p>
      <w:pPr>
        <w:jc w:val="center"/>
        <w:ind w:right="1659"/>
        <w:spacing w:after="0" w:line="238" w:lineRule="auto"/>
        <w:rPr>
          <w:sz w:val="20"/>
          <w:szCs w:val="20"/>
          <w:color w:val="auto"/>
        </w:rPr>
      </w:pPr>
      <w:r>
        <w:rPr>
          <w:rFonts w:ascii="Courier New" w:cs="Courier New" w:eastAsia="Courier New" w:hAnsi="Courier New"/>
          <w:sz w:val="18"/>
          <w:szCs w:val="18"/>
          <w:color w:val="auto"/>
        </w:rPr>
        <w:t>Pursuant to Rule 13a - 16 under</w:t>
      </w:r>
    </w:p>
    <w:p>
      <w:pPr>
        <w:jc w:val="center"/>
        <w:ind w:right="1659"/>
        <w:spacing w:after="0"/>
        <w:rPr>
          <w:sz w:val="20"/>
          <w:szCs w:val="20"/>
          <w:color w:val="auto"/>
        </w:rPr>
      </w:pPr>
      <w:r>
        <w:rPr>
          <w:rFonts w:ascii="Courier New" w:cs="Courier New" w:eastAsia="Courier New" w:hAnsi="Courier New"/>
          <w:sz w:val="18"/>
          <w:szCs w:val="18"/>
          <w:color w:val="auto"/>
        </w:rPr>
        <w:t>the Securities Exchange Act of 1934</w:t>
      </w:r>
    </w:p>
    <w:p>
      <w:pPr>
        <w:spacing w:after="0" w:line="200"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For the quarterly period ended August 31, 2004</w:t>
      </w:r>
    </w:p>
    <w:p>
      <w:pPr>
        <w:spacing w:after="0" w:line="201" w:lineRule="exact"/>
        <w:rPr>
          <w:sz w:val="24"/>
          <w:szCs w:val="24"/>
          <w:color w:val="auto"/>
        </w:rPr>
      </w:pPr>
    </w:p>
    <w:p>
      <w:pPr>
        <w:ind w:left="3800"/>
        <w:spacing w:after="0"/>
        <w:rPr>
          <w:sz w:val="20"/>
          <w:szCs w:val="20"/>
          <w:color w:val="auto"/>
        </w:rPr>
      </w:pPr>
      <w:r>
        <w:rPr>
          <w:rFonts w:ascii="Courier New" w:cs="Courier New" w:eastAsia="Courier New" w:hAnsi="Courier New"/>
          <w:sz w:val="18"/>
          <w:szCs w:val="18"/>
          <w:color w:val="auto"/>
        </w:rPr>
        <w:t>ICON plc</w:t>
      </w:r>
    </w:p>
    <w:p>
      <w:pPr>
        <w:ind w:left="3280"/>
        <w:spacing w:after="0" w:line="238" w:lineRule="auto"/>
        <w:rPr>
          <w:sz w:val="20"/>
          <w:szCs w:val="20"/>
          <w:color w:val="auto"/>
        </w:rPr>
      </w:pPr>
      <w:r>
        <w:rPr>
          <w:rFonts w:ascii="Courier New" w:cs="Courier New" w:eastAsia="Courier New" w:hAnsi="Courier New"/>
          <w:sz w:val="18"/>
          <w:szCs w:val="18"/>
          <w:color w:val="auto"/>
        </w:rPr>
        <w:t>(Registrant's name)</w:t>
      </w:r>
    </w:p>
    <w:p>
      <w:pPr>
        <w:spacing w:after="0" w:line="202" w:lineRule="exact"/>
        <w:rPr>
          <w:sz w:val="24"/>
          <w:szCs w:val="24"/>
          <w:color w:val="auto"/>
        </w:rPr>
      </w:pPr>
    </w:p>
    <w:p>
      <w:pPr>
        <w:ind w:left="3900"/>
        <w:spacing w:after="0"/>
        <w:rPr>
          <w:sz w:val="20"/>
          <w:szCs w:val="20"/>
          <w:color w:val="auto"/>
        </w:rPr>
      </w:pPr>
      <w:r>
        <w:rPr>
          <w:rFonts w:ascii="Courier New" w:cs="Courier New" w:eastAsia="Courier New" w:hAnsi="Courier New"/>
          <w:sz w:val="18"/>
          <w:szCs w:val="18"/>
          <w:color w:val="auto"/>
        </w:rPr>
        <w:t>0-29714</w:t>
      </w:r>
    </w:p>
    <w:p>
      <w:pPr>
        <w:ind w:left="2960"/>
        <w:spacing w:after="0" w:line="238" w:lineRule="auto"/>
        <w:rPr>
          <w:sz w:val="20"/>
          <w:szCs w:val="20"/>
          <w:color w:val="auto"/>
        </w:rPr>
      </w:pPr>
      <w:r>
        <w:rPr>
          <w:rFonts w:ascii="Courier New" w:cs="Courier New" w:eastAsia="Courier New" w:hAnsi="Courier New"/>
          <w:sz w:val="18"/>
          <w:szCs w:val="18"/>
          <w:color w:val="auto"/>
        </w:rPr>
        <w:t>(Commission file number)</w:t>
      </w:r>
    </w:p>
    <w:p>
      <w:pPr>
        <w:spacing w:after="0" w:line="202" w:lineRule="exact"/>
        <w:rPr>
          <w:sz w:val="24"/>
          <w:szCs w:val="24"/>
          <w:color w:val="auto"/>
        </w:rPr>
      </w:pPr>
    </w:p>
    <w:p>
      <w:pPr>
        <w:jc w:val="center"/>
        <w:ind w:right="1659"/>
        <w:spacing w:after="0"/>
        <w:rPr>
          <w:sz w:val="20"/>
          <w:szCs w:val="20"/>
          <w:color w:val="auto"/>
        </w:rPr>
      </w:pPr>
      <w:r>
        <w:rPr>
          <w:rFonts w:ascii="Courier New" w:cs="Courier New" w:eastAsia="Courier New" w:hAnsi="Courier New"/>
          <w:sz w:val="18"/>
          <w:szCs w:val="18"/>
          <w:color w:val="auto"/>
        </w:rPr>
        <w:t>South County Business Park, Leopardstown, Dublin 18, Ireland.</w:t>
      </w:r>
    </w:p>
    <w:p>
      <w:pPr>
        <w:jc w:val="center"/>
        <w:ind w:right="1779"/>
        <w:spacing w:after="0" w:line="238" w:lineRule="auto"/>
        <w:rPr>
          <w:sz w:val="20"/>
          <w:szCs w:val="20"/>
          <w:color w:val="auto"/>
        </w:rPr>
      </w:pPr>
      <w:r>
        <w:rPr>
          <w:rFonts w:ascii="Courier New" w:cs="Courier New" w:eastAsia="Courier New" w:hAnsi="Courier New"/>
          <w:sz w:val="18"/>
          <w:szCs w:val="18"/>
          <w:color w:val="auto"/>
        </w:rPr>
        <w:t>(Address of principal executive offices)</w:t>
      </w:r>
    </w:p>
    <w:p>
      <w:pPr>
        <w:spacing w:after="0" w:line="207" w:lineRule="exact"/>
        <w:rPr>
          <w:sz w:val="24"/>
          <w:szCs w:val="24"/>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Indicate by check mark whether the registrant files or will file annual reports under cover Form 20-F or Form 40-F.</w:t>
      </w:r>
    </w:p>
    <w:p>
      <w:pPr>
        <w:spacing w:after="0" w:line="203" w:lineRule="exact"/>
        <w:rPr>
          <w:sz w:val="24"/>
          <w:szCs w:val="24"/>
          <w:color w:val="auto"/>
        </w:rPr>
      </w:pPr>
    </w:p>
    <w:p>
      <w:pPr>
        <w:ind w:left="2000"/>
        <w:spacing w:after="0"/>
        <w:tabs>
          <w:tab w:leader="none" w:pos="2720" w:val="left"/>
          <w:tab w:leader="none" w:pos="4840" w:val="left"/>
        </w:tabs>
        <w:rPr>
          <w:sz w:val="20"/>
          <w:szCs w:val="20"/>
          <w:color w:val="auto"/>
        </w:rPr>
      </w:pPr>
      <w:r>
        <w:rPr>
          <w:rFonts w:ascii="Courier New" w:cs="Courier New" w:eastAsia="Courier New" w:hAnsi="Courier New"/>
          <w:sz w:val="18"/>
          <w:szCs w:val="18"/>
          <w:color w:val="auto"/>
        </w:rPr>
        <w:t>Yes</w:t>
      </w:r>
      <w:r>
        <w:rPr>
          <w:sz w:val="20"/>
          <w:szCs w:val="20"/>
          <w:color w:val="auto"/>
        </w:rPr>
        <w:tab/>
      </w:r>
      <w:r>
        <w:rPr>
          <w:rFonts w:ascii="Courier New" w:cs="Courier New" w:eastAsia="Courier New" w:hAnsi="Courier New"/>
          <w:sz w:val="18"/>
          <w:szCs w:val="18"/>
          <w:color w:val="auto"/>
        </w:rPr>
        <w:t>X</w:t>
      </w:r>
      <w:r>
        <w:rPr>
          <w:sz w:val="20"/>
          <w:szCs w:val="20"/>
          <w:color w:val="auto"/>
        </w:rPr>
        <w:tab/>
      </w:r>
      <w:r>
        <w:rPr>
          <w:rFonts w:ascii="Courier New" w:cs="Courier New" w:eastAsia="Courier New" w:hAnsi="Courier New"/>
          <w:sz w:val="16"/>
          <w:szCs w:val="16"/>
          <w:color w:val="auto"/>
        </w:rPr>
        <w:t>No ____</w:t>
      </w:r>
    </w:p>
    <w:p>
      <w:pPr>
        <w:spacing w:after="0" w:line="207" w:lineRule="exact"/>
        <w:rPr>
          <w:sz w:val="24"/>
          <w:szCs w:val="24"/>
          <w:color w:val="auto"/>
        </w:rPr>
      </w:pPr>
    </w:p>
    <w:p>
      <w:pPr>
        <w:ind w:right="2319"/>
        <w:spacing w:after="0" w:line="235" w:lineRule="auto"/>
        <w:rPr>
          <w:sz w:val="20"/>
          <w:szCs w:val="20"/>
          <w:color w:val="auto"/>
        </w:rPr>
      </w:pPr>
      <w:r>
        <w:rPr>
          <w:rFonts w:ascii="Courier New" w:cs="Courier New" w:eastAsia="Courier New" w:hAnsi="Courier New"/>
          <w:sz w:val="18"/>
          <w:szCs w:val="18"/>
          <w:color w:val="auto"/>
        </w:rPr>
        <w:t>Indicate by check mark whether the registrant is submitting the Form 6-K in paper as permitted by Regulation S-T Rule 101(b)(1):</w:t>
      </w:r>
    </w:p>
    <w:p>
      <w:pPr>
        <w:spacing w:after="0" w:line="203" w:lineRule="exact"/>
        <w:rPr>
          <w:sz w:val="24"/>
          <w:szCs w:val="24"/>
          <w:color w:val="auto"/>
        </w:rPr>
      </w:pPr>
    </w:p>
    <w:p>
      <w:pPr>
        <w:ind w:left="2000"/>
        <w:spacing w:after="0"/>
        <w:tabs>
          <w:tab w:leader="none" w:pos="2520" w:val="left"/>
          <w:tab w:leader="none" w:pos="4840" w:val="left"/>
          <w:tab w:leader="none" w:pos="5260" w:val="left"/>
        </w:tabs>
        <w:rPr>
          <w:sz w:val="20"/>
          <w:szCs w:val="20"/>
          <w:color w:val="auto"/>
        </w:rPr>
      </w:pPr>
      <w:r>
        <w:rPr>
          <w:rFonts w:ascii="Courier New" w:cs="Courier New" w:eastAsia="Courier New" w:hAnsi="Courier New"/>
          <w:sz w:val="18"/>
          <w:szCs w:val="18"/>
          <w:color w:val="auto"/>
        </w:rPr>
        <w:t>Yes</w:t>
        <w:tab/>
        <w:t>____</w:t>
      </w:r>
      <w:r>
        <w:rPr>
          <w:sz w:val="20"/>
          <w:szCs w:val="20"/>
          <w:color w:val="auto"/>
        </w:rPr>
        <w:tab/>
      </w:r>
      <w:r>
        <w:rPr>
          <w:rFonts w:ascii="Courier New" w:cs="Courier New" w:eastAsia="Courier New" w:hAnsi="Courier New"/>
          <w:sz w:val="18"/>
          <w:szCs w:val="18"/>
          <w:color w:val="auto"/>
        </w:rPr>
        <w:t>No</w:t>
      </w:r>
      <w:r>
        <w:rPr>
          <w:sz w:val="20"/>
          <w:szCs w:val="20"/>
          <w:color w:val="auto"/>
        </w:rPr>
        <w:tab/>
      </w:r>
      <w:r>
        <w:rPr>
          <w:rFonts w:ascii="Courier New" w:cs="Courier New" w:eastAsia="Courier New" w:hAnsi="Courier New"/>
          <w:sz w:val="16"/>
          <w:szCs w:val="16"/>
          <w:color w:val="auto"/>
        </w:rPr>
        <w:t>X</w:t>
      </w:r>
    </w:p>
    <w:p>
      <w:pPr>
        <w:spacing w:after="0" w:line="207" w:lineRule="exact"/>
        <w:rPr>
          <w:sz w:val="24"/>
          <w:szCs w:val="24"/>
          <w:color w:val="auto"/>
        </w:rPr>
      </w:pPr>
    </w:p>
    <w:p>
      <w:pPr>
        <w:ind w:right="2319"/>
        <w:spacing w:after="0" w:line="235" w:lineRule="auto"/>
        <w:rPr>
          <w:sz w:val="20"/>
          <w:szCs w:val="20"/>
          <w:color w:val="auto"/>
        </w:rPr>
      </w:pPr>
      <w:r>
        <w:rPr>
          <w:rFonts w:ascii="Courier New" w:cs="Courier New" w:eastAsia="Courier New" w:hAnsi="Courier New"/>
          <w:sz w:val="18"/>
          <w:szCs w:val="18"/>
          <w:color w:val="auto"/>
        </w:rPr>
        <w:t>Indicate by check mark whether the registrant is submitting the Form 6-K in paper as permitted by Regulation S-T Rule 101(b)(7):</w:t>
      </w:r>
    </w:p>
    <w:p>
      <w:pPr>
        <w:spacing w:after="0" w:line="203" w:lineRule="exact"/>
        <w:rPr>
          <w:sz w:val="24"/>
          <w:szCs w:val="24"/>
          <w:color w:val="auto"/>
        </w:rPr>
      </w:pPr>
    </w:p>
    <w:p>
      <w:pPr>
        <w:ind w:left="2000"/>
        <w:spacing w:after="0"/>
        <w:tabs>
          <w:tab w:leader="none" w:pos="2520" w:val="left"/>
          <w:tab w:leader="none" w:pos="4840" w:val="left"/>
          <w:tab w:leader="none" w:pos="5260" w:val="left"/>
        </w:tabs>
        <w:rPr>
          <w:sz w:val="20"/>
          <w:szCs w:val="20"/>
          <w:color w:val="auto"/>
        </w:rPr>
      </w:pPr>
      <w:r>
        <w:rPr>
          <w:rFonts w:ascii="Courier New" w:cs="Courier New" w:eastAsia="Courier New" w:hAnsi="Courier New"/>
          <w:sz w:val="18"/>
          <w:szCs w:val="18"/>
          <w:color w:val="auto"/>
        </w:rPr>
        <w:t>Yes</w:t>
        <w:tab/>
        <w:t>____</w:t>
      </w:r>
      <w:r>
        <w:rPr>
          <w:sz w:val="20"/>
          <w:szCs w:val="20"/>
          <w:color w:val="auto"/>
        </w:rPr>
        <w:tab/>
      </w:r>
      <w:r>
        <w:rPr>
          <w:rFonts w:ascii="Courier New" w:cs="Courier New" w:eastAsia="Courier New" w:hAnsi="Courier New"/>
          <w:sz w:val="18"/>
          <w:szCs w:val="18"/>
          <w:color w:val="auto"/>
        </w:rPr>
        <w:t>No</w:t>
      </w:r>
      <w:r>
        <w:rPr>
          <w:sz w:val="20"/>
          <w:szCs w:val="20"/>
          <w:color w:val="auto"/>
        </w:rPr>
        <w:tab/>
      </w:r>
      <w:r>
        <w:rPr>
          <w:rFonts w:ascii="Courier New" w:cs="Courier New" w:eastAsia="Courier New" w:hAnsi="Courier New"/>
          <w:sz w:val="16"/>
          <w:szCs w:val="16"/>
          <w:color w:val="auto"/>
        </w:rPr>
        <w:t>X</w:t>
      </w:r>
    </w:p>
    <w:p>
      <w:pPr>
        <w:spacing w:after="0" w:line="200" w:lineRule="exact"/>
        <w:rPr>
          <w:sz w:val="24"/>
          <w:szCs w:val="24"/>
          <w:color w:val="auto"/>
        </w:rPr>
      </w:pPr>
    </w:p>
    <w:p>
      <w:pPr>
        <w:spacing w:after="0" w:line="209" w:lineRule="exact"/>
        <w:rPr>
          <w:sz w:val="24"/>
          <w:szCs w:val="24"/>
          <w:color w:val="auto"/>
        </w:rPr>
      </w:pPr>
    </w:p>
    <w:p>
      <w:pPr>
        <w:ind w:right="1779"/>
        <w:spacing w:after="0" w:line="279" w:lineRule="auto"/>
        <w:rPr>
          <w:sz w:val="20"/>
          <w:szCs w:val="20"/>
          <w:color w:val="auto"/>
        </w:rPr>
      </w:pPr>
      <w:r>
        <w:rPr>
          <w:rFonts w:ascii="Courier New" w:cs="Courier New" w:eastAsia="Courier New" w:hAnsi="Courier New"/>
          <w:sz w:val="16"/>
          <w:szCs w:val="16"/>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173" w:lineRule="exact"/>
        <w:rPr>
          <w:sz w:val="24"/>
          <w:szCs w:val="24"/>
          <w:color w:val="auto"/>
        </w:rPr>
      </w:pPr>
    </w:p>
    <w:p>
      <w:pPr>
        <w:ind w:left="2000"/>
        <w:spacing w:after="0"/>
        <w:tabs>
          <w:tab w:leader="none" w:pos="2520" w:val="left"/>
          <w:tab w:leader="none" w:pos="4840" w:val="left"/>
          <w:tab w:leader="none" w:pos="5260" w:val="left"/>
        </w:tabs>
        <w:rPr>
          <w:sz w:val="20"/>
          <w:szCs w:val="20"/>
          <w:color w:val="auto"/>
        </w:rPr>
      </w:pPr>
      <w:r>
        <w:rPr>
          <w:rFonts w:ascii="Courier New" w:cs="Courier New" w:eastAsia="Courier New" w:hAnsi="Courier New"/>
          <w:sz w:val="18"/>
          <w:szCs w:val="18"/>
          <w:color w:val="auto"/>
        </w:rPr>
        <w:t>Yes</w:t>
        <w:tab/>
        <w:t>____</w:t>
      </w:r>
      <w:r>
        <w:rPr>
          <w:sz w:val="20"/>
          <w:szCs w:val="20"/>
          <w:color w:val="auto"/>
        </w:rPr>
        <w:tab/>
      </w:r>
      <w:r>
        <w:rPr>
          <w:rFonts w:ascii="Courier New" w:cs="Courier New" w:eastAsia="Courier New" w:hAnsi="Courier New"/>
          <w:sz w:val="18"/>
          <w:szCs w:val="18"/>
          <w:color w:val="auto"/>
        </w:rPr>
        <w:t>No</w:t>
      </w:r>
      <w:r>
        <w:rPr>
          <w:sz w:val="20"/>
          <w:szCs w:val="20"/>
          <w:color w:val="auto"/>
        </w:rPr>
        <w:tab/>
      </w:r>
      <w:r>
        <w:rPr>
          <w:rFonts w:ascii="Courier New" w:cs="Courier New" w:eastAsia="Courier New" w:hAnsi="Courier New"/>
          <w:sz w:val="16"/>
          <w:szCs w:val="16"/>
          <w:color w:val="auto"/>
        </w:rPr>
        <w:t>X</w:t>
      </w:r>
    </w:p>
    <w:p>
      <w:pPr>
        <w:spacing w:after="0" w:line="200" w:lineRule="exact"/>
        <w:rPr>
          <w:sz w:val="24"/>
          <w:szCs w:val="24"/>
          <w:color w:val="auto"/>
        </w:rPr>
      </w:pPr>
    </w:p>
    <w:p>
      <w:pPr>
        <w:spacing w:after="0" w:line="209" w:lineRule="exact"/>
        <w:rPr>
          <w:sz w:val="24"/>
          <w:szCs w:val="24"/>
          <w:color w:val="auto"/>
        </w:rPr>
      </w:pPr>
    </w:p>
    <w:p>
      <w:pPr>
        <w:ind w:right="1779"/>
        <w:spacing w:after="0" w:line="235" w:lineRule="auto"/>
        <w:rPr>
          <w:sz w:val="20"/>
          <w:szCs w:val="20"/>
          <w:color w:val="auto"/>
        </w:rPr>
      </w:pPr>
      <w:r>
        <w:rPr>
          <w:rFonts w:ascii="Courier New" w:cs="Courier New" w:eastAsia="Courier New" w:hAnsi="Courier New"/>
          <w:sz w:val="18"/>
          <w:szCs w:val="18"/>
          <w:color w:val="auto"/>
        </w:rPr>
        <w:t>If "Yes" is marked, indicate below the file number assigned to the registrant in connection with Rule 12g3-2(b):82 N/A</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Other Events.</w:t>
      </w:r>
    </w:p>
    <w:p>
      <w:pPr>
        <w:spacing w:after="0" w:line="200" w:lineRule="exact"/>
        <w:rPr>
          <w:sz w:val="24"/>
          <w:szCs w:val="24"/>
          <w:color w:val="auto"/>
        </w:rPr>
      </w:pPr>
    </w:p>
    <w:p>
      <w:pPr>
        <w:spacing w:after="0" w:line="209" w:lineRule="exact"/>
        <w:rPr>
          <w:sz w:val="24"/>
          <w:szCs w:val="24"/>
          <w:color w:val="auto"/>
        </w:rPr>
      </w:pPr>
    </w:p>
    <w:p>
      <w:pPr>
        <w:ind w:right="1879" w:firstLine="527"/>
        <w:spacing w:after="0" w:line="235" w:lineRule="auto"/>
        <w:rPr>
          <w:sz w:val="20"/>
          <w:szCs w:val="20"/>
          <w:color w:val="auto"/>
        </w:rPr>
      </w:pPr>
      <w:r>
        <w:rPr>
          <w:rFonts w:ascii="Courier New" w:cs="Courier New" w:eastAsia="Courier New" w:hAnsi="Courier New"/>
          <w:sz w:val="18"/>
          <w:szCs w:val="18"/>
          <w:color w:val="auto"/>
        </w:rPr>
        <w:t>The registrant hereby incorporates by reference the press release attached hereto as Exhibit 99.1 into this report.</w:t>
      </w:r>
    </w:p>
    <w:p>
      <w:pPr>
        <w:sectPr>
          <w:pgSz w:w="11900" w:h="16838" w:orient="portrait"/>
          <w:cols w:equalWidth="0" w:num="1">
            <w:col w:w="10219"/>
          </w:cols>
          <w:pgMar w:left="240" w:top="244" w:right="1440" w:bottom="1440" w:gutter="0" w:footer="0" w:header="0"/>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Financial Statements and Exhibits.</w:t>
      </w:r>
    </w:p>
    <w:p>
      <w:pPr>
        <w:spacing w:after="0" w:line="200" w:lineRule="exact"/>
        <w:rPr>
          <w:sz w:val="20"/>
          <w:szCs w:val="20"/>
          <w:color w:val="auto"/>
        </w:rPr>
      </w:pPr>
    </w:p>
    <w:p>
      <w:pPr>
        <w:spacing w:after="0" w:line="209"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(c) The following Exhibits are filed as part of this report:</w:t>
      </w:r>
    </w:p>
    <w:p>
      <w:pPr>
        <w:sectPr>
          <w:pgSz w:w="11900" w:h="16838" w:orient="portrait"/>
          <w:cols w:equalWidth="0" w:num="1">
            <w:col w:w="10219"/>
          </w:cols>
          <w:pgMar w:left="240" w:top="919" w:right="1440" w:bottom="1440" w:gutter="0" w:footer="0" w:header="0"/>
        </w:sectPr>
      </w:pPr>
    </w:p>
    <w:p>
      <w:pPr>
        <w:spacing w:after="0" w:line="200" w:lineRule="exact"/>
        <w:rPr>
          <w:sz w:val="20"/>
          <w:szCs w:val="20"/>
          <w:color w:val="auto"/>
        </w:rPr>
      </w:pPr>
    </w:p>
    <w:p>
      <w:pPr>
        <w:spacing w:after="0" w:line="226" w:lineRule="exact"/>
        <w:rPr>
          <w:sz w:val="20"/>
          <w:szCs w:val="20"/>
          <w:color w:val="auto"/>
        </w:rPr>
      </w:pPr>
    </w:p>
    <w:p>
      <w:pPr>
        <w:ind w:left="960"/>
        <w:spacing w:after="0"/>
        <w:rPr>
          <w:sz w:val="20"/>
          <w:szCs w:val="20"/>
          <w:color w:val="auto"/>
        </w:rPr>
      </w:pPr>
      <w:r>
        <w:rPr>
          <w:rFonts w:ascii="Courier New" w:cs="Courier New" w:eastAsia="Courier New" w:hAnsi="Courier New"/>
          <w:sz w:val="16"/>
          <w:szCs w:val="16"/>
          <w:color w:val="auto"/>
        </w:rPr>
        <w:t>EXHIBIT NO.</w:t>
      </w:r>
    </w:p>
    <w:p>
      <w:pPr>
        <w:spacing w:after="0" w:line="218"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99.1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DESCRIPTION</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Press Release.</w:t>
      </w:r>
    </w:p>
    <w:p>
      <w:pPr>
        <w:sectPr>
          <w:pgSz w:w="11900" w:h="16838" w:orient="portrait"/>
          <w:cols w:equalWidth="0" w:num="2">
            <w:col w:w="3720" w:space="720"/>
            <w:col w:w="5779"/>
          </w:cols>
          <w:pgMar w:left="240" w:top="919" w:right="1440" w:bottom="1440" w:gutter="0" w:footer="0" w:header="0"/>
          <w:type w:val="continuous"/>
        </w:sectPr>
      </w:pPr>
    </w:p>
    <w:bookmarkStart w:id="2" w:name="page3"/>
    <w:bookmarkEnd w:id="2"/>
    <w:p>
      <w:pPr>
        <w:ind w:left="3700"/>
        <w:spacing w:after="0"/>
        <w:rPr>
          <w:sz w:val="20"/>
          <w:szCs w:val="20"/>
          <w:color w:val="auto"/>
        </w:rPr>
      </w:pPr>
      <w:r>
        <w:rPr>
          <w:rFonts w:ascii="Courier New" w:cs="Courier New" w:eastAsia="Courier New" w:hAnsi="Courier New"/>
          <w:sz w:val="18"/>
          <w:szCs w:val="18"/>
          <w:color w:val="auto"/>
        </w:rPr>
        <w:t>SIGNATURES</w:t>
      </w:r>
    </w:p>
    <w:p>
      <w:pPr>
        <w:spacing w:after="0" w:line="207" w:lineRule="exact"/>
        <w:rPr>
          <w:sz w:val="20"/>
          <w:szCs w:val="20"/>
          <w:color w:val="auto"/>
        </w:rPr>
      </w:pPr>
    </w:p>
    <w:p>
      <w:pPr>
        <w:jc w:val="both"/>
        <w:ind w:right="2619"/>
        <w:spacing w:after="0" w:line="236"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duly caused this report to be signed on its behalf by the undersigned, thereunto duly authorized.</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ICON plc</w:t>
      </w:r>
    </w:p>
    <w:p>
      <w:pPr>
        <w:sectPr>
          <w:pgSz w:w="11900" w:h="16838" w:orient="portrait"/>
          <w:cols w:equalWidth="0" w:num="1">
            <w:col w:w="10219"/>
          </w:cols>
          <w:pgMar w:left="240" w:top="919"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right="1280"/>
        <w:spacing w:after="0" w:line="236" w:lineRule="auto"/>
        <w:rPr>
          <w:sz w:val="20"/>
          <w:szCs w:val="20"/>
          <w:color w:val="auto"/>
        </w:rPr>
      </w:pPr>
      <w:r>
        <w:rPr>
          <w:rFonts w:ascii="Courier New" w:cs="Courier New" w:eastAsia="Courier New" w:hAnsi="Courier New"/>
          <w:sz w:val="18"/>
          <w:szCs w:val="18"/>
          <w:color w:val="auto"/>
        </w:rPr>
        <w:t>September 28, 2004 - ------------------ 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Sean Leech</w:t>
      </w:r>
    </w:p>
    <w:p>
      <w:pPr>
        <w:spacing w:after="0" w:line="4"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Sean Leech</w:t>
      </w:r>
    </w:p>
    <w:p>
      <w:pPr>
        <w:spacing w:after="0" w:line="238" w:lineRule="auto"/>
        <w:rPr>
          <w:sz w:val="20"/>
          <w:szCs w:val="20"/>
          <w:color w:val="auto"/>
        </w:rPr>
      </w:pPr>
      <w:r>
        <w:rPr>
          <w:rFonts w:ascii="Courier New" w:cs="Courier New" w:eastAsia="Courier New" w:hAnsi="Courier New"/>
          <w:sz w:val="18"/>
          <w:szCs w:val="18"/>
          <w:color w:val="auto"/>
        </w:rPr>
        <w:t>Chief Financial Officer</w:t>
      </w:r>
    </w:p>
    <w:p>
      <w:pPr>
        <w:sectPr>
          <w:pgSz w:w="11900" w:h="16838" w:orient="portrait"/>
          <w:cols w:equalWidth="0" w:num="2">
            <w:col w:w="3400" w:space="720"/>
            <w:col w:w="6099"/>
          </w:cols>
          <w:pgMar w:left="240" w:top="919" w:right="1440" w:bottom="1440" w:gutter="0" w:footer="0" w:header="0"/>
          <w:type w:val="continuous"/>
        </w:sectPr>
      </w:pPr>
    </w:p>
    <w:bookmarkStart w:id="3" w:name="page4"/>
    <w:bookmarkEnd w:id="3"/>
    <w:p>
      <w:pPr>
        <w:ind w:left="7180"/>
        <w:spacing w:after="0"/>
        <w:rPr>
          <w:sz w:val="20"/>
          <w:szCs w:val="20"/>
          <w:color w:val="auto"/>
        </w:rPr>
      </w:pPr>
      <w:r>
        <w:rPr>
          <w:rFonts w:ascii="Courier New" w:cs="Courier New" w:eastAsia="Courier New" w:hAnsi="Courier New"/>
          <w:sz w:val="16"/>
          <w:szCs w:val="16"/>
          <w:color w:val="auto"/>
        </w:rPr>
        <w:t>Exhibit 99.1</w:t>
      </w:r>
    </w:p>
    <w:p>
      <w:pPr>
        <w:spacing w:after="0" w:line="224" w:lineRule="exact"/>
        <w:rPr>
          <w:sz w:val="20"/>
          <w:szCs w:val="20"/>
          <w:color w:val="auto"/>
        </w:rPr>
      </w:pPr>
    </w:p>
    <w:p>
      <w:pPr>
        <w:ind w:right="2419"/>
        <w:spacing w:after="0" w:line="235" w:lineRule="auto"/>
        <w:rPr>
          <w:sz w:val="20"/>
          <w:szCs w:val="20"/>
          <w:color w:val="auto"/>
        </w:rPr>
      </w:pPr>
      <w:r>
        <w:rPr>
          <w:rFonts w:ascii="Courier New" w:cs="Courier New" w:eastAsia="Courier New" w:hAnsi="Courier New"/>
          <w:sz w:val="18"/>
          <w:szCs w:val="18"/>
          <w:color w:val="auto"/>
        </w:rPr>
        <w:t>ICON Reports Strong Results with 24% increase in operating income in First Quarter FY 2005 (NASDAQ:ICLR)</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Highlights - First Quarter Fiscal 2005</w:t>
      </w:r>
    </w:p>
    <w:p>
      <w:pPr>
        <w:spacing w:after="0" w:line="207" w:lineRule="exact"/>
        <w:rPr>
          <w:sz w:val="20"/>
          <w:szCs w:val="20"/>
          <w:color w:val="auto"/>
        </w:rPr>
      </w:pPr>
    </w:p>
    <w:p>
      <w:pPr>
        <w:ind w:left="540" w:right="1999" w:hanging="532"/>
        <w:spacing w:after="0" w:line="235" w:lineRule="auto"/>
        <w:tabs>
          <w:tab w:leader="none" w:pos="54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First Quarter net revenues increased 14% over the first quarter of fiscal 2004 to $78.3 million.</w:t>
      </w:r>
    </w:p>
    <w:p>
      <w:pPr>
        <w:spacing w:after="0" w:line="208" w:lineRule="exact"/>
        <w:rPr>
          <w:rFonts w:ascii="Courier New" w:cs="Courier New" w:eastAsia="Courier New" w:hAnsi="Courier New"/>
          <w:sz w:val="18"/>
          <w:szCs w:val="18"/>
          <w:color w:val="auto"/>
        </w:rPr>
      </w:pPr>
    </w:p>
    <w:p>
      <w:pPr>
        <w:ind w:left="540" w:right="2099" w:hanging="532"/>
        <w:spacing w:after="0" w:line="235" w:lineRule="auto"/>
        <w:tabs>
          <w:tab w:leader="none" w:pos="54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Income from operations increased by 24% over the first quarter of fiscal 2004 to $9.5 million.</w:t>
      </w:r>
    </w:p>
    <w:p>
      <w:pPr>
        <w:spacing w:after="0" w:line="208" w:lineRule="exact"/>
        <w:rPr>
          <w:rFonts w:ascii="Courier New" w:cs="Courier New" w:eastAsia="Courier New" w:hAnsi="Courier New"/>
          <w:sz w:val="18"/>
          <w:szCs w:val="18"/>
          <w:color w:val="auto"/>
        </w:rPr>
      </w:pPr>
    </w:p>
    <w:p>
      <w:pPr>
        <w:ind w:left="540" w:right="1879" w:hanging="532"/>
        <w:spacing w:after="0" w:line="235" w:lineRule="auto"/>
        <w:tabs>
          <w:tab w:leader="none" w:pos="54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Diluted earnings per share increased 18% for the first quarter to 52 cents compared to 44 cents for the same quarter last year.</w:t>
      </w:r>
    </w:p>
    <w:p>
      <w:pPr>
        <w:spacing w:after="0" w:line="208" w:lineRule="exact"/>
        <w:rPr>
          <w:rFonts w:ascii="Courier New" w:cs="Courier New" w:eastAsia="Courier New" w:hAnsi="Courier New"/>
          <w:sz w:val="18"/>
          <w:szCs w:val="18"/>
          <w:color w:val="auto"/>
        </w:rPr>
      </w:pPr>
    </w:p>
    <w:p>
      <w:pPr>
        <w:ind w:left="540" w:right="1879" w:hanging="532"/>
        <w:spacing w:after="0" w:line="235" w:lineRule="auto"/>
        <w:tabs>
          <w:tab w:leader="none" w:pos="54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$93 million of gross ($46 million net) new business awarded to ICON during the quarter.</w:t>
      </w:r>
    </w:p>
    <w:p>
      <w:pPr>
        <w:spacing w:after="0" w:line="208"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Dublin, Ireland, September 28, 2004 - ICON plc (NASDAQ: ICLR), a global contract clinical research organisation, which has over 2,550 employees providing services to the pharmaceutical, biotech and medical device industries from 35 locations in 21 countries worldwide, today reported the financial results for its first quarter ended August 31, 2004.</w:t>
      </w:r>
    </w:p>
    <w:p>
      <w:pPr>
        <w:spacing w:after="0" w:line="209" w:lineRule="exact"/>
        <w:rPr>
          <w:sz w:val="20"/>
          <w:szCs w:val="20"/>
          <w:color w:val="auto"/>
        </w:rPr>
      </w:pPr>
    </w:p>
    <w:p>
      <w:pPr>
        <w:ind w:right="1779"/>
        <w:spacing w:after="0" w:line="279" w:lineRule="auto"/>
        <w:rPr>
          <w:sz w:val="20"/>
          <w:szCs w:val="20"/>
          <w:color w:val="auto"/>
        </w:rPr>
      </w:pPr>
      <w:r>
        <w:rPr>
          <w:rFonts w:ascii="Courier New" w:cs="Courier New" w:eastAsia="Courier New" w:hAnsi="Courier New"/>
          <w:sz w:val="16"/>
          <w:szCs w:val="16"/>
          <w:color w:val="auto"/>
        </w:rPr>
        <w:t>Net revenues for the quarter were $78.3 million, representing a 14% increase over net revenues of $68.9 million for the same quarter last year. Excluding the impact of acquisitions, revenue growth was 8% over the same quarter last year.</w:t>
      </w:r>
    </w:p>
    <w:p>
      <w:pPr>
        <w:spacing w:after="0" w:line="178"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Income from operations was $9.5 million, which represents an increase of 24% from the $7.6 million reported for the first quarter last year. Operating margin for the quarter was 12.1%, compared with 11.1% for the equivalent period last year. Net income for the quarter was $7.3 million or 52 cents per share, on a diluted basis, compared with $5.6 million or 44 cents per share for the first quarter last year.</w:t>
      </w:r>
    </w:p>
    <w:p>
      <w:pPr>
        <w:spacing w:after="0" w:line="210" w:lineRule="exact"/>
        <w:rPr>
          <w:sz w:val="20"/>
          <w:szCs w:val="20"/>
          <w:color w:val="auto"/>
        </w:rPr>
      </w:pPr>
    </w:p>
    <w:p>
      <w:pPr>
        <w:ind w:right="1779"/>
        <w:spacing w:after="0" w:line="236" w:lineRule="auto"/>
        <w:rPr>
          <w:sz w:val="20"/>
          <w:szCs w:val="20"/>
          <w:color w:val="auto"/>
        </w:rPr>
      </w:pPr>
      <w:r>
        <w:rPr>
          <w:rFonts w:ascii="Courier New" w:cs="Courier New" w:eastAsia="Courier New" w:hAnsi="Courier New"/>
          <w:sz w:val="18"/>
          <w:szCs w:val="18"/>
          <w:color w:val="auto"/>
        </w:rPr>
        <w:t>Days sales outstanding, comprising accounts receivable and unbilled revenue less payments on account, were 59 days at August 31, 2004, a decrease from the 60 days reported at May 31, 2004.</w:t>
      </w:r>
    </w:p>
    <w:p>
      <w:pPr>
        <w:spacing w:after="0" w:line="209"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For the quarter ending August 31, 2004, capital expenditure was $4.5 million and $9.9 million was paid in relation to the acquisition of 70% of the common stock of Beacon Biosciences Inc, on July 1, 2004. As a result, the company's net cash, short-term debt and short-term investments were $65.6 million at August 31, 2004, compared to $78.8 million at May 31, 2004.</w:t>
      </w:r>
    </w:p>
    <w:p>
      <w:pPr>
        <w:spacing w:after="0" w:line="209" w:lineRule="exact"/>
        <w:rPr>
          <w:sz w:val="20"/>
          <w:szCs w:val="20"/>
          <w:color w:val="auto"/>
        </w:rPr>
      </w:pPr>
    </w:p>
    <w:p>
      <w:pPr>
        <w:ind w:right="1779"/>
        <w:spacing w:after="0" w:line="275" w:lineRule="auto"/>
        <w:rPr>
          <w:sz w:val="20"/>
          <w:szCs w:val="20"/>
          <w:color w:val="auto"/>
        </w:rPr>
      </w:pPr>
      <w:r>
        <w:rPr>
          <w:rFonts w:ascii="Courier New" w:cs="Courier New" w:eastAsia="Courier New" w:hAnsi="Courier New"/>
          <w:sz w:val="16"/>
          <w:szCs w:val="16"/>
          <w:color w:val="auto"/>
        </w:rPr>
        <w:t>"We are pleased with the performance in our first quarter of fiscal 2005", commented Chairman Dr. John Climax. "Our operating margins were strong, earnings per share increased by 18% and we made further progress on our strategic development with the acquisition of a 70% interest in Beacon Biosciences, Inc".</w:t>
      </w:r>
    </w:p>
    <w:p>
      <w:pPr>
        <w:spacing w:after="0" w:line="182"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Commenting on the outlook, Dr Climax said "As previously indicated, due to the high level of recent delays and cancellations we expect a small sequential decline in revenues for our second quarter of Fiscal 2005. We remain confident in the outlook for the business and anticipate a re-establishment of revenue growth in the second half of the year."</w:t>
      </w:r>
    </w:p>
    <w:p>
      <w:pPr>
        <w:spacing w:after="0" w:line="209"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The company will hold its first quarter conference call today, September 28, 2004 at 08:00 EST [13:00 Ireland &amp; UK / 14:00 CET]. This call and linked slide presentation can be accessed live from our website at http://www.iconclinical.com. A recording will also be available on the website for 90 days following the call. In addition, a calendar of company events, including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right="2939"/>
        <w:spacing w:after="0" w:line="290" w:lineRule="auto"/>
        <w:rPr>
          <w:sz w:val="20"/>
          <w:szCs w:val="20"/>
          <w:color w:val="auto"/>
        </w:rPr>
      </w:pPr>
      <w:r>
        <w:rPr>
          <w:rFonts w:ascii="Courier New" w:cs="Courier New" w:eastAsia="Courier New" w:hAnsi="Courier New"/>
          <w:sz w:val="16"/>
          <w:szCs w:val="16"/>
          <w:color w:val="auto"/>
        </w:rPr>
        <w:t>upcoming conference presentations, is available on our website, under "shareholders services". This calendar will be updated regularly.</w:t>
      </w:r>
    </w:p>
    <w:p>
      <w:pPr>
        <w:sectPr>
          <w:pgSz w:w="11900" w:h="16838" w:orient="portrait"/>
          <w:cols w:equalWidth="0" w:num="1">
            <w:col w:w="10219"/>
          </w:cols>
          <w:pgMar w:left="240" w:top="142" w:right="1440" w:bottom="1440" w:gutter="0" w:footer="0" w:header="0"/>
        </w:sectPr>
      </w:pPr>
    </w:p>
    <w:bookmarkStart w:id="4" w:name="page5"/>
    <w:bookmarkEnd w:id="4"/>
    <w:p>
      <w:pPr>
        <w:ind w:right="1779"/>
        <w:spacing w:after="0" w:line="237" w:lineRule="auto"/>
        <w:rPr>
          <w:sz w:val="20"/>
          <w:szCs w:val="20"/>
          <w:color w:val="auto"/>
        </w:rPr>
      </w:pPr>
      <w:r>
        <w:rPr>
          <w:rFonts w:ascii="Courier New" w:cs="Courier New" w:eastAsia="Courier New" w:hAnsi="Courier New"/>
          <w:sz w:val="18"/>
          <w:szCs w:val="18"/>
          <w:color w:val="auto"/>
        </w:rPr>
        <w:t>The statements made in this Press Release may contain forward-looking statements that involve a number of risks and uncertainties. In addition to the matters described in this Press Release, the ability to maintain large client contracts or enter into new contracts, maintain client relationships and the ability to manage the opening of new offices, the integration of new business mergers and acquisitions, as well as other risks and uncertainties detailed from time to time in SEC reports filed by ICON, including its Form 20-F, F-1, S-8 and F-3, may affect the actual results achieved by ICON. ICON disclaims any intent or obligation to update these forward-looking statements.</w:t>
      </w:r>
    </w:p>
    <w:p>
      <w:pPr>
        <w:spacing w:after="0" w:line="214" w:lineRule="exact"/>
        <w:rPr>
          <w:sz w:val="20"/>
          <w:szCs w:val="20"/>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The financial information presented herein has been prepared in accordance with U.S. GAAP.</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Source: ICON plc</w:t>
      </w:r>
    </w:p>
    <w:p>
      <w:pPr>
        <w:spacing w:after="0" w:line="207" w:lineRule="exact"/>
        <w:rPr>
          <w:sz w:val="20"/>
          <w:szCs w:val="20"/>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Contact : Investor Relations 1-888-381-7923 or Sean Leech CFO + 353 -1-291-2000 Both at ICON.</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http://www.iconclinical.com</w:t>
      </w:r>
    </w:p>
    <w:p>
      <w:pPr>
        <w:sectPr>
          <w:pgSz w:w="11900" w:h="16838" w:orient="portrait"/>
          <w:cols w:equalWidth="0" w:num="1">
            <w:col w:w="10219"/>
          </w:cols>
          <w:pgMar w:left="240" w:top="1128" w:right="1440" w:bottom="1440" w:gutter="0" w:footer="0" w:header="0"/>
        </w:sectPr>
      </w:pPr>
    </w:p>
    <w:bookmarkStart w:id="5" w:name="page6"/>
    <w:bookmarkEnd w:id="5"/>
    <w:p>
      <w:pPr>
        <w:jc w:val="center"/>
        <w:ind w:right="1779"/>
        <w:spacing w:after="0"/>
        <w:rPr>
          <w:sz w:val="20"/>
          <w:szCs w:val="20"/>
          <w:color w:val="auto"/>
        </w:rPr>
      </w:pPr>
      <w:r>
        <w:rPr>
          <w:rFonts w:ascii="Courier New" w:cs="Courier New" w:eastAsia="Courier New" w:hAnsi="Courier New"/>
          <w:sz w:val="18"/>
          <w:szCs w:val="18"/>
          <w:color w:val="auto"/>
        </w:rPr>
        <w:t>ICON plc</w:t>
      </w:r>
    </w:p>
    <w:p>
      <w:pPr>
        <w:spacing w:after="0" w:line="201"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Consolidated Income Statements</w:t>
      </w:r>
    </w:p>
    <w:p>
      <w:pPr>
        <w:ind w:left="3700"/>
        <w:spacing w:after="0" w:line="238" w:lineRule="auto"/>
        <w:rPr>
          <w:sz w:val="20"/>
          <w:szCs w:val="20"/>
          <w:color w:val="auto"/>
        </w:rPr>
      </w:pPr>
      <w:r>
        <w:rPr>
          <w:rFonts w:ascii="Courier New" w:cs="Courier New" w:eastAsia="Courier New" w:hAnsi="Courier New"/>
          <w:sz w:val="18"/>
          <w:szCs w:val="18"/>
          <w:color w:val="auto"/>
        </w:rPr>
        <w:t>(Unaudited)</w:t>
      </w:r>
    </w:p>
    <w:p>
      <w:pPr>
        <w:spacing w:after="0" w:line="207" w:lineRule="exact"/>
        <w:rPr>
          <w:sz w:val="20"/>
          <w:szCs w:val="20"/>
          <w:color w:val="auto"/>
        </w:rPr>
      </w:pPr>
    </w:p>
    <w:p>
      <w:pPr>
        <w:ind w:left="1280" w:right="3039" w:firstLine="737"/>
        <w:spacing w:after="0" w:line="290" w:lineRule="auto"/>
        <w:rPr>
          <w:sz w:val="20"/>
          <w:szCs w:val="20"/>
          <w:color w:val="auto"/>
        </w:rPr>
      </w:pPr>
      <w:r>
        <w:rPr>
          <w:rFonts w:ascii="Courier New" w:cs="Courier New" w:eastAsia="Courier New" w:hAnsi="Courier New"/>
          <w:sz w:val="16"/>
          <w:szCs w:val="16"/>
          <w:color w:val="auto"/>
        </w:rPr>
        <w:t>Three months ended August 31, 2004 and 2003 (Dollars, in thousands, except share and per share data)</w:t>
      </w:r>
    </w:p>
    <w:p>
      <w:pPr>
        <w:spacing w:after="0" w:line="367"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960" w:type="dxa"/>
            <w:vAlign w:val="bottom"/>
          </w:tcPr>
          <w:p>
            <w:pPr>
              <w:spacing w:after="0"/>
              <w:rPr>
                <w:sz w:val="17"/>
                <w:szCs w:val="17"/>
                <w:color w:val="auto"/>
              </w:rPr>
            </w:pPr>
          </w:p>
        </w:tc>
        <w:tc>
          <w:tcPr>
            <w:tcW w:w="3260" w:type="dxa"/>
            <w:vAlign w:val="bottom"/>
            <w:gridSpan w:val="2"/>
          </w:tcPr>
          <w:p>
            <w:pPr>
              <w:jc w:val="right"/>
              <w:ind w:right="232"/>
              <w:spacing w:after="0"/>
              <w:rPr>
                <w:sz w:val="20"/>
                <w:szCs w:val="20"/>
                <w:color w:val="auto"/>
              </w:rPr>
            </w:pPr>
            <w:r>
              <w:rPr>
                <w:rFonts w:ascii="Courier New" w:cs="Courier New" w:eastAsia="Courier New" w:hAnsi="Courier New"/>
                <w:sz w:val="18"/>
                <w:szCs w:val="18"/>
                <w:color w:val="auto"/>
              </w:rPr>
              <w:t>Three Months Ended</w:t>
            </w:r>
          </w:p>
        </w:tc>
      </w:tr>
      <w:tr>
        <w:trPr>
          <w:trHeight w:val="203"/>
        </w:trPr>
        <w:tc>
          <w:tcPr>
            <w:tcW w:w="4960" w:type="dxa"/>
            <w:vAlign w:val="bottom"/>
          </w:tcPr>
          <w:p>
            <w:pPr>
              <w:spacing w:after="0"/>
              <w:rPr>
                <w:sz w:val="17"/>
                <w:szCs w:val="17"/>
                <w:color w:val="auto"/>
              </w:rPr>
            </w:pPr>
          </w:p>
        </w:tc>
        <w:tc>
          <w:tcPr>
            <w:tcW w:w="19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Aug 31,</w:t>
            </w:r>
          </w:p>
        </w:tc>
        <w:tc>
          <w:tcPr>
            <w:tcW w:w="13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Aug 31,</w:t>
            </w:r>
          </w:p>
        </w:tc>
      </w:tr>
      <w:tr>
        <w:trPr>
          <w:trHeight w:val="203"/>
        </w:trPr>
        <w:tc>
          <w:tcPr>
            <w:tcW w:w="4960" w:type="dxa"/>
            <w:vAlign w:val="bottom"/>
          </w:tcPr>
          <w:p>
            <w:pPr>
              <w:spacing w:after="0"/>
              <w:rPr>
                <w:sz w:val="17"/>
                <w:szCs w:val="17"/>
                <w:color w:val="auto"/>
              </w:rPr>
            </w:pPr>
          </w:p>
        </w:tc>
        <w:tc>
          <w:tcPr>
            <w:tcW w:w="19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2004</w:t>
            </w:r>
          </w:p>
        </w:tc>
        <w:tc>
          <w:tcPr>
            <w:tcW w:w="13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2003</w:t>
            </w:r>
          </w:p>
        </w:tc>
      </w:tr>
      <w:tr>
        <w:trPr>
          <w:trHeight w:val="405"/>
        </w:trPr>
        <w:tc>
          <w:tcPr>
            <w:tcW w:w="4960" w:type="dxa"/>
            <w:vAlign w:val="bottom"/>
          </w:tcPr>
          <w:p>
            <w:pPr>
              <w:spacing w:after="0"/>
              <w:rPr>
                <w:sz w:val="20"/>
                <w:szCs w:val="20"/>
                <w:color w:val="auto"/>
              </w:rPr>
            </w:pPr>
            <w:r>
              <w:rPr>
                <w:rFonts w:ascii="Courier New" w:cs="Courier New" w:eastAsia="Courier New" w:hAnsi="Courier New"/>
                <w:sz w:val="18"/>
                <w:szCs w:val="18"/>
                <w:color w:val="auto"/>
              </w:rPr>
              <w:t>Gross Revenue</w:t>
            </w:r>
          </w:p>
        </w:tc>
        <w:tc>
          <w:tcPr>
            <w:tcW w:w="190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$117,195</w:t>
            </w:r>
          </w:p>
        </w:tc>
        <w:tc>
          <w:tcPr>
            <w:tcW w:w="13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106,177</w:t>
            </w:r>
          </w:p>
        </w:tc>
      </w:tr>
      <w:tr>
        <w:trPr>
          <w:trHeight w:val="405"/>
        </w:trPr>
        <w:tc>
          <w:tcPr>
            <w:tcW w:w="4960" w:type="dxa"/>
            <w:vAlign w:val="bottom"/>
          </w:tcPr>
          <w:p>
            <w:pPr>
              <w:spacing w:after="0"/>
              <w:rPr>
                <w:sz w:val="20"/>
                <w:szCs w:val="20"/>
                <w:color w:val="auto"/>
              </w:rPr>
            </w:pPr>
            <w:r>
              <w:rPr>
                <w:rFonts w:ascii="Courier New" w:cs="Courier New" w:eastAsia="Courier New" w:hAnsi="Courier New"/>
                <w:sz w:val="18"/>
                <w:szCs w:val="18"/>
                <w:color w:val="auto"/>
              </w:rPr>
              <w:t>Subcontractor costs</w:t>
            </w:r>
          </w:p>
        </w:tc>
        <w:tc>
          <w:tcPr>
            <w:tcW w:w="190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38,856</w:t>
            </w:r>
          </w:p>
        </w:tc>
        <w:tc>
          <w:tcPr>
            <w:tcW w:w="13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37,242</w:t>
            </w:r>
          </w:p>
        </w:tc>
      </w:tr>
      <w:tr>
        <w:trPr>
          <w:trHeight w:val="405"/>
        </w:trPr>
        <w:tc>
          <w:tcPr>
            <w:tcW w:w="4960" w:type="dxa"/>
            <w:vAlign w:val="bottom"/>
          </w:tcPr>
          <w:p>
            <w:pPr>
              <w:spacing w:after="0"/>
              <w:rPr>
                <w:sz w:val="24"/>
                <w:szCs w:val="24"/>
                <w:color w:val="auto"/>
              </w:rPr>
            </w:pPr>
          </w:p>
        </w:tc>
        <w:tc>
          <w:tcPr>
            <w:tcW w:w="326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 -------------</w:t>
            </w:r>
          </w:p>
        </w:tc>
      </w:tr>
      <w:tr>
        <w:trPr>
          <w:trHeight w:val="203"/>
        </w:trPr>
        <w:tc>
          <w:tcPr>
            <w:tcW w:w="4960" w:type="dxa"/>
            <w:vAlign w:val="bottom"/>
          </w:tcPr>
          <w:p>
            <w:pPr>
              <w:spacing w:after="0" w:line="203" w:lineRule="exact"/>
              <w:rPr>
                <w:sz w:val="20"/>
                <w:szCs w:val="20"/>
                <w:color w:val="auto"/>
              </w:rPr>
            </w:pPr>
            <w:r>
              <w:rPr>
                <w:rFonts w:ascii="Courier New" w:cs="Courier New" w:eastAsia="Courier New" w:hAnsi="Courier New"/>
                <w:sz w:val="18"/>
                <w:szCs w:val="18"/>
                <w:color w:val="auto"/>
              </w:rPr>
              <w:t>Net Revenue</w:t>
            </w:r>
          </w:p>
        </w:tc>
        <w:tc>
          <w:tcPr>
            <w:tcW w:w="19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78,339</w:t>
            </w:r>
          </w:p>
        </w:tc>
        <w:tc>
          <w:tcPr>
            <w:tcW w:w="13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68,935</w:t>
            </w:r>
          </w:p>
        </w:tc>
      </w:tr>
      <w:tr>
        <w:trPr>
          <w:trHeight w:val="405"/>
        </w:trPr>
        <w:tc>
          <w:tcPr>
            <w:tcW w:w="4960" w:type="dxa"/>
            <w:vAlign w:val="bottom"/>
          </w:tcPr>
          <w:p>
            <w:pPr>
              <w:spacing w:after="0"/>
              <w:rPr>
                <w:sz w:val="20"/>
                <w:szCs w:val="20"/>
                <w:color w:val="auto"/>
              </w:rPr>
            </w:pPr>
            <w:r>
              <w:rPr>
                <w:rFonts w:ascii="Courier New" w:cs="Courier New" w:eastAsia="Courier New" w:hAnsi="Courier New"/>
                <w:sz w:val="18"/>
                <w:szCs w:val="18"/>
                <w:color w:val="auto"/>
              </w:rPr>
              <w:t>Costs and expenses</w:t>
            </w:r>
          </w:p>
        </w:tc>
        <w:tc>
          <w:tcPr>
            <w:tcW w:w="190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03"/>
        </w:trPr>
        <w:tc>
          <w:tcPr>
            <w:tcW w:w="4960" w:type="dxa"/>
            <w:vAlign w:val="bottom"/>
          </w:tcPr>
          <w:p>
            <w:pPr>
              <w:spacing w:after="0" w:line="203" w:lineRule="exact"/>
              <w:rPr>
                <w:sz w:val="20"/>
                <w:szCs w:val="20"/>
                <w:color w:val="auto"/>
              </w:rPr>
            </w:pPr>
            <w:r>
              <w:rPr>
                <w:rFonts w:ascii="Courier New" w:cs="Courier New" w:eastAsia="Courier New" w:hAnsi="Courier New"/>
                <w:sz w:val="18"/>
                <w:szCs w:val="18"/>
                <w:color w:val="auto"/>
              </w:rPr>
              <w:t>Direct costs</w:t>
            </w:r>
          </w:p>
        </w:tc>
        <w:tc>
          <w:tcPr>
            <w:tcW w:w="19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42,453</w:t>
            </w:r>
          </w:p>
        </w:tc>
        <w:tc>
          <w:tcPr>
            <w:tcW w:w="13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37,699</w:t>
            </w:r>
          </w:p>
        </w:tc>
      </w:tr>
      <w:tr>
        <w:trPr>
          <w:trHeight w:val="203"/>
        </w:trPr>
        <w:tc>
          <w:tcPr>
            <w:tcW w:w="4960" w:type="dxa"/>
            <w:vAlign w:val="bottom"/>
          </w:tcPr>
          <w:p>
            <w:pPr>
              <w:spacing w:after="0" w:line="203" w:lineRule="exact"/>
              <w:rPr>
                <w:sz w:val="20"/>
                <w:szCs w:val="20"/>
                <w:color w:val="auto"/>
              </w:rPr>
            </w:pPr>
            <w:r>
              <w:rPr>
                <w:rFonts w:ascii="Courier New" w:cs="Courier New" w:eastAsia="Courier New" w:hAnsi="Courier New"/>
                <w:sz w:val="18"/>
                <w:szCs w:val="18"/>
                <w:color w:val="auto"/>
              </w:rPr>
              <w:t>Selling, general and administrative</w:t>
            </w:r>
          </w:p>
        </w:tc>
        <w:tc>
          <w:tcPr>
            <w:tcW w:w="19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23,339</w:t>
            </w:r>
          </w:p>
        </w:tc>
        <w:tc>
          <w:tcPr>
            <w:tcW w:w="13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21,025</w:t>
            </w:r>
          </w:p>
        </w:tc>
      </w:tr>
      <w:tr>
        <w:trPr>
          <w:trHeight w:val="203"/>
        </w:trPr>
        <w:tc>
          <w:tcPr>
            <w:tcW w:w="4960" w:type="dxa"/>
            <w:vAlign w:val="bottom"/>
          </w:tcPr>
          <w:p>
            <w:pPr>
              <w:spacing w:after="0" w:line="203" w:lineRule="exact"/>
              <w:rPr>
                <w:sz w:val="20"/>
                <w:szCs w:val="20"/>
                <w:color w:val="auto"/>
              </w:rPr>
            </w:pPr>
            <w:r>
              <w:rPr>
                <w:rFonts w:ascii="Courier New" w:cs="Courier New" w:eastAsia="Courier New" w:hAnsi="Courier New"/>
                <w:sz w:val="18"/>
                <w:szCs w:val="18"/>
                <w:color w:val="auto"/>
              </w:rPr>
              <w:t>Depreciation</w:t>
            </w:r>
          </w:p>
        </w:tc>
        <w:tc>
          <w:tcPr>
            <w:tcW w:w="19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3,062</w:t>
            </w:r>
          </w:p>
        </w:tc>
        <w:tc>
          <w:tcPr>
            <w:tcW w:w="13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2,589</w:t>
            </w:r>
          </w:p>
        </w:tc>
      </w:tr>
      <w:tr>
        <w:trPr>
          <w:trHeight w:val="405"/>
        </w:trPr>
        <w:tc>
          <w:tcPr>
            <w:tcW w:w="4960" w:type="dxa"/>
            <w:vAlign w:val="bottom"/>
          </w:tcPr>
          <w:p>
            <w:pPr>
              <w:spacing w:after="0"/>
              <w:rPr>
                <w:sz w:val="24"/>
                <w:szCs w:val="24"/>
                <w:color w:val="auto"/>
              </w:rPr>
            </w:pPr>
          </w:p>
        </w:tc>
        <w:tc>
          <w:tcPr>
            <w:tcW w:w="326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 -------------</w:t>
            </w:r>
          </w:p>
        </w:tc>
      </w:tr>
      <w:tr>
        <w:trPr>
          <w:trHeight w:val="203"/>
        </w:trPr>
        <w:tc>
          <w:tcPr>
            <w:tcW w:w="4960" w:type="dxa"/>
            <w:vAlign w:val="bottom"/>
          </w:tcPr>
          <w:p>
            <w:pPr>
              <w:spacing w:after="0" w:line="203" w:lineRule="exact"/>
              <w:rPr>
                <w:sz w:val="20"/>
                <w:szCs w:val="20"/>
                <w:color w:val="auto"/>
              </w:rPr>
            </w:pPr>
            <w:r>
              <w:rPr>
                <w:rFonts w:ascii="Courier New" w:cs="Courier New" w:eastAsia="Courier New" w:hAnsi="Courier New"/>
                <w:sz w:val="18"/>
                <w:szCs w:val="18"/>
                <w:color w:val="auto"/>
              </w:rPr>
              <w:t>Total costs and expenses</w:t>
            </w:r>
          </w:p>
        </w:tc>
        <w:tc>
          <w:tcPr>
            <w:tcW w:w="19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68,854</w:t>
            </w:r>
          </w:p>
        </w:tc>
        <w:tc>
          <w:tcPr>
            <w:tcW w:w="13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61,313</w:t>
            </w:r>
          </w:p>
        </w:tc>
      </w:tr>
      <w:tr>
        <w:trPr>
          <w:trHeight w:val="405"/>
        </w:trPr>
        <w:tc>
          <w:tcPr>
            <w:tcW w:w="4960" w:type="dxa"/>
            <w:vAlign w:val="bottom"/>
          </w:tcPr>
          <w:p>
            <w:pPr>
              <w:spacing w:after="0"/>
              <w:rPr>
                <w:sz w:val="20"/>
                <w:szCs w:val="20"/>
                <w:color w:val="auto"/>
              </w:rPr>
            </w:pPr>
            <w:r>
              <w:rPr>
                <w:rFonts w:ascii="Courier New" w:cs="Courier New" w:eastAsia="Courier New" w:hAnsi="Courier New"/>
                <w:sz w:val="18"/>
                <w:szCs w:val="18"/>
                <w:color w:val="auto"/>
              </w:rPr>
              <w:t>Income from operations</w:t>
            </w:r>
          </w:p>
        </w:tc>
        <w:tc>
          <w:tcPr>
            <w:tcW w:w="190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9,485</w:t>
            </w:r>
          </w:p>
        </w:tc>
        <w:tc>
          <w:tcPr>
            <w:tcW w:w="13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7,622</w:t>
            </w:r>
          </w:p>
        </w:tc>
      </w:tr>
      <w:tr>
        <w:trPr>
          <w:trHeight w:val="405"/>
        </w:trPr>
        <w:tc>
          <w:tcPr>
            <w:tcW w:w="4960" w:type="dxa"/>
            <w:vAlign w:val="bottom"/>
          </w:tcPr>
          <w:p>
            <w:pPr>
              <w:spacing w:after="0"/>
              <w:rPr>
                <w:sz w:val="20"/>
                <w:szCs w:val="20"/>
                <w:color w:val="auto"/>
              </w:rPr>
            </w:pPr>
            <w:r>
              <w:rPr>
                <w:rFonts w:ascii="Courier New" w:cs="Courier New" w:eastAsia="Courier New" w:hAnsi="Courier New"/>
                <w:sz w:val="18"/>
                <w:szCs w:val="18"/>
                <w:color w:val="auto"/>
              </w:rPr>
              <w:t>Interest income (net)</w:t>
            </w:r>
          </w:p>
        </w:tc>
        <w:tc>
          <w:tcPr>
            <w:tcW w:w="190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164</w:t>
            </w:r>
          </w:p>
        </w:tc>
        <w:tc>
          <w:tcPr>
            <w:tcW w:w="13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47</w:t>
            </w:r>
          </w:p>
        </w:tc>
      </w:tr>
      <w:tr>
        <w:trPr>
          <w:trHeight w:val="405"/>
        </w:trPr>
        <w:tc>
          <w:tcPr>
            <w:tcW w:w="4960" w:type="dxa"/>
            <w:vAlign w:val="bottom"/>
          </w:tcPr>
          <w:p>
            <w:pPr>
              <w:spacing w:after="0"/>
              <w:rPr>
                <w:sz w:val="24"/>
                <w:szCs w:val="24"/>
                <w:color w:val="auto"/>
              </w:rPr>
            </w:pPr>
          </w:p>
        </w:tc>
        <w:tc>
          <w:tcPr>
            <w:tcW w:w="326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 -------------</w:t>
            </w:r>
          </w:p>
        </w:tc>
      </w:tr>
      <w:tr>
        <w:trPr>
          <w:trHeight w:val="203"/>
        </w:trPr>
        <w:tc>
          <w:tcPr>
            <w:tcW w:w="4960" w:type="dxa"/>
            <w:vAlign w:val="bottom"/>
          </w:tcPr>
          <w:p>
            <w:pPr>
              <w:spacing w:after="0" w:line="203" w:lineRule="exact"/>
              <w:rPr>
                <w:sz w:val="20"/>
                <w:szCs w:val="20"/>
                <w:color w:val="auto"/>
              </w:rPr>
            </w:pPr>
            <w:r>
              <w:rPr>
                <w:rFonts w:ascii="Courier New" w:cs="Courier New" w:eastAsia="Courier New" w:hAnsi="Courier New"/>
                <w:sz w:val="18"/>
                <w:szCs w:val="18"/>
                <w:color w:val="auto"/>
              </w:rPr>
              <w:t>Income before provision of income taxes</w:t>
            </w:r>
          </w:p>
        </w:tc>
        <w:tc>
          <w:tcPr>
            <w:tcW w:w="19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9,649</w:t>
            </w:r>
          </w:p>
        </w:tc>
        <w:tc>
          <w:tcPr>
            <w:tcW w:w="13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7,669</w:t>
            </w:r>
          </w:p>
        </w:tc>
      </w:tr>
      <w:tr>
        <w:trPr>
          <w:trHeight w:val="405"/>
        </w:trPr>
        <w:tc>
          <w:tcPr>
            <w:tcW w:w="4960" w:type="dxa"/>
            <w:vAlign w:val="bottom"/>
          </w:tcPr>
          <w:p>
            <w:pPr>
              <w:spacing w:after="0"/>
              <w:rPr>
                <w:sz w:val="20"/>
                <w:szCs w:val="20"/>
                <w:color w:val="auto"/>
              </w:rPr>
            </w:pPr>
            <w:r>
              <w:rPr>
                <w:rFonts w:ascii="Courier New" w:cs="Courier New" w:eastAsia="Courier New" w:hAnsi="Courier New"/>
                <w:sz w:val="18"/>
                <w:szCs w:val="18"/>
                <w:color w:val="auto"/>
              </w:rPr>
              <w:t>Provision for income taxes</w:t>
            </w:r>
          </w:p>
        </w:tc>
        <w:tc>
          <w:tcPr>
            <w:tcW w:w="190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2,322</w:t>
            </w:r>
          </w:p>
        </w:tc>
        <w:tc>
          <w:tcPr>
            <w:tcW w:w="13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2,065</w:t>
            </w:r>
          </w:p>
        </w:tc>
      </w:tr>
      <w:tr>
        <w:trPr>
          <w:trHeight w:val="203"/>
        </w:trPr>
        <w:tc>
          <w:tcPr>
            <w:tcW w:w="4960" w:type="dxa"/>
            <w:vAlign w:val="bottom"/>
          </w:tcPr>
          <w:p>
            <w:pPr>
              <w:spacing w:after="0" w:line="203" w:lineRule="exact"/>
              <w:rPr>
                <w:sz w:val="20"/>
                <w:szCs w:val="20"/>
                <w:color w:val="auto"/>
              </w:rPr>
            </w:pPr>
            <w:r>
              <w:rPr>
                <w:rFonts w:ascii="Courier New" w:cs="Courier New" w:eastAsia="Courier New" w:hAnsi="Courier New"/>
                <w:sz w:val="18"/>
                <w:szCs w:val="18"/>
                <w:color w:val="auto"/>
              </w:rPr>
              <w:t>Minority Interest</w:t>
            </w:r>
          </w:p>
        </w:tc>
        <w:tc>
          <w:tcPr>
            <w:tcW w:w="19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22</w:t>
            </w:r>
          </w:p>
        </w:tc>
        <w:tc>
          <w:tcPr>
            <w:tcW w:w="13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960" w:type="dxa"/>
            <w:vAlign w:val="bottom"/>
          </w:tcPr>
          <w:p>
            <w:pPr>
              <w:spacing w:after="0"/>
              <w:rPr>
                <w:sz w:val="17"/>
                <w:szCs w:val="17"/>
                <w:color w:val="auto"/>
              </w:rPr>
            </w:pPr>
          </w:p>
        </w:tc>
        <w:tc>
          <w:tcPr>
            <w:tcW w:w="32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 -------------</w:t>
            </w:r>
          </w:p>
        </w:tc>
      </w:tr>
      <w:tr>
        <w:trPr>
          <w:trHeight w:val="405"/>
        </w:trPr>
        <w:tc>
          <w:tcPr>
            <w:tcW w:w="4960" w:type="dxa"/>
            <w:vAlign w:val="bottom"/>
          </w:tcPr>
          <w:p>
            <w:pPr>
              <w:spacing w:after="0"/>
              <w:rPr>
                <w:sz w:val="20"/>
                <w:szCs w:val="20"/>
                <w:color w:val="auto"/>
              </w:rPr>
            </w:pPr>
            <w:r>
              <w:rPr>
                <w:rFonts w:ascii="Courier New" w:cs="Courier New" w:eastAsia="Courier New" w:hAnsi="Courier New"/>
                <w:sz w:val="18"/>
                <w:szCs w:val="18"/>
                <w:color w:val="auto"/>
              </w:rPr>
              <w:t>Net income</w:t>
            </w:r>
          </w:p>
        </w:tc>
        <w:tc>
          <w:tcPr>
            <w:tcW w:w="190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7,305</w:t>
            </w:r>
          </w:p>
        </w:tc>
        <w:tc>
          <w:tcPr>
            <w:tcW w:w="13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5,604</w:t>
            </w:r>
          </w:p>
        </w:tc>
      </w:tr>
      <w:tr>
        <w:trPr>
          <w:trHeight w:val="203"/>
        </w:trPr>
        <w:tc>
          <w:tcPr>
            <w:tcW w:w="4960" w:type="dxa"/>
            <w:vAlign w:val="bottom"/>
          </w:tcPr>
          <w:p>
            <w:pPr>
              <w:spacing w:after="0"/>
              <w:rPr>
                <w:sz w:val="17"/>
                <w:szCs w:val="17"/>
                <w:color w:val="auto"/>
              </w:rPr>
            </w:pPr>
          </w:p>
        </w:tc>
        <w:tc>
          <w:tcPr>
            <w:tcW w:w="32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 =============</w:t>
            </w:r>
          </w:p>
        </w:tc>
      </w:tr>
      <w:tr>
        <w:trPr>
          <w:trHeight w:val="405"/>
        </w:trPr>
        <w:tc>
          <w:tcPr>
            <w:tcW w:w="4960" w:type="dxa"/>
            <w:vAlign w:val="bottom"/>
          </w:tcPr>
          <w:p>
            <w:pPr>
              <w:spacing w:after="0"/>
              <w:rPr>
                <w:sz w:val="20"/>
                <w:szCs w:val="20"/>
                <w:color w:val="auto"/>
              </w:rPr>
            </w:pPr>
            <w:r>
              <w:rPr>
                <w:rFonts w:ascii="Courier New" w:cs="Courier New" w:eastAsia="Courier New" w:hAnsi="Courier New"/>
                <w:sz w:val="18"/>
                <w:szCs w:val="18"/>
                <w:color w:val="auto"/>
              </w:rPr>
              <w:t>Net income per ordinary share</w:t>
            </w:r>
          </w:p>
        </w:tc>
        <w:tc>
          <w:tcPr>
            <w:tcW w:w="190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03"/>
        </w:trPr>
        <w:tc>
          <w:tcPr>
            <w:tcW w:w="4960" w:type="dxa"/>
            <w:vAlign w:val="bottom"/>
          </w:tcPr>
          <w:p>
            <w:pPr>
              <w:spacing w:after="0" w:line="203" w:lineRule="exact"/>
              <w:rPr>
                <w:sz w:val="20"/>
                <w:szCs w:val="20"/>
                <w:color w:val="auto"/>
              </w:rPr>
            </w:pPr>
            <w:r>
              <w:rPr>
                <w:rFonts w:ascii="Courier New" w:cs="Courier New" w:eastAsia="Courier New" w:hAnsi="Courier New"/>
                <w:sz w:val="18"/>
                <w:szCs w:val="18"/>
                <w:color w:val="auto"/>
              </w:rPr>
              <w:t>Basic</w:t>
            </w:r>
          </w:p>
        </w:tc>
        <w:tc>
          <w:tcPr>
            <w:tcW w:w="19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$0.53</w:t>
            </w:r>
          </w:p>
        </w:tc>
        <w:tc>
          <w:tcPr>
            <w:tcW w:w="13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$0.46</w:t>
            </w:r>
          </w:p>
        </w:tc>
      </w:tr>
      <w:tr>
        <w:trPr>
          <w:trHeight w:val="203"/>
        </w:trPr>
        <w:tc>
          <w:tcPr>
            <w:tcW w:w="4960" w:type="dxa"/>
            <w:vAlign w:val="bottom"/>
          </w:tcPr>
          <w:p>
            <w:pPr>
              <w:spacing w:after="0"/>
              <w:rPr>
                <w:sz w:val="17"/>
                <w:szCs w:val="17"/>
                <w:color w:val="auto"/>
              </w:rPr>
            </w:pPr>
          </w:p>
        </w:tc>
        <w:tc>
          <w:tcPr>
            <w:tcW w:w="32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 -------------</w:t>
            </w:r>
          </w:p>
        </w:tc>
      </w:tr>
      <w:tr>
        <w:trPr>
          <w:trHeight w:val="405"/>
        </w:trPr>
        <w:tc>
          <w:tcPr>
            <w:tcW w:w="4960" w:type="dxa"/>
            <w:vAlign w:val="bottom"/>
          </w:tcPr>
          <w:p>
            <w:pPr>
              <w:spacing w:after="0"/>
              <w:rPr>
                <w:sz w:val="20"/>
                <w:szCs w:val="20"/>
                <w:color w:val="auto"/>
              </w:rPr>
            </w:pPr>
            <w:r>
              <w:rPr>
                <w:rFonts w:ascii="Courier New" w:cs="Courier New" w:eastAsia="Courier New" w:hAnsi="Courier New"/>
                <w:sz w:val="18"/>
                <w:szCs w:val="18"/>
                <w:color w:val="auto"/>
              </w:rPr>
              <w:t>Diluted</w:t>
            </w:r>
          </w:p>
        </w:tc>
        <w:tc>
          <w:tcPr>
            <w:tcW w:w="190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$0.52</w:t>
            </w:r>
          </w:p>
        </w:tc>
        <w:tc>
          <w:tcPr>
            <w:tcW w:w="13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$0.44</w:t>
            </w:r>
          </w:p>
        </w:tc>
      </w:tr>
      <w:tr>
        <w:trPr>
          <w:trHeight w:val="203"/>
        </w:trPr>
        <w:tc>
          <w:tcPr>
            <w:tcW w:w="4960" w:type="dxa"/>
            <w:vAlign w:val="bottom"/>
          </w:tcPr>
          <w:p>
            <w:pPr>
              <w:spacing w:after="0"/>
              <w:rPr>
                <w:sz w:val="17"/>
                <w:szCs w:val="17"/>
                <w:color w:val="auto"/>
              </w:rPr>
            </w:pPr>
          </w:p>
        </w:tc>
        <w:tc>
          <w:tcPr>
            <w:tcW w:w="32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 -------------</w:t>
            </w:r>
          </w:p>
        </w:tc>
      </w:tr>
      <w:tr>
        <w:trPr>
          <w:trHeight w:val="405"/>
        </w:trPr>
        <w:tc>
          <w:tcPr>
            <w:tcW w:w="4960" w:type="dxa"/>
            <w:vAlign w:val="bottom"/>
          </w:tcPr>
          <w:p>
            <w:pPr>
              <w:spacing w:after="0"/>
              <w:rPr>
                <w:sz w:val="20"/>
                <w:szCs w:val="20"/>
                <w:color w:val="auto"/>
              </w:rPr>
            </w:pPr>
            <w:r>
              <w:rPr>
                <w:rFonts w:ascii="Courier New" w:cs="Courier New" w:eastAsia="Courier New" w:hAnsi="Courier New"/>
                <w:sz w:val="18"/>
                <w:szCs w:val="18"/>
                <w:color w:val="auto"/>
              </w:rPr>
              <w:t>Weighted average number of ordinary shares</w:t>
            </w:r>
          </w:p>
        </w:tc>
        <w:tc>
          <w:tcPr>
            <w:tcW w:w="190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03"/>
        </w:trPr>
        <w:tc>
          <w:tcPr>
            <w:tcW w:w="4960" w:type="dxa"/>
            <w:vAlign w:val="bottom"/>
          </w:tcPr>
          <w:p>
            <w:pPr>
              <w:spacing w:after="0" w:line="203" w:lineRule="exact"/>
              <w:rPr>
                <w:sz w:val="20"/>
                <w:szCs w:val="20"/>
                <w:color w:val="auto"/>
              </w:rPr>
            </w:pPr>
            <w:r>
              <w:rPr>
                <w:rFonts w:ascii="Courier New" w:cs="Courier New" w:eastAsia="Courier New" w:hAnsi="Courier New"/>
                <w:sz w:val="18"/>
                <w:szCs w:val="18"/>
                <w:color w:val="auto"/>
              </w:rPr>
              <w:t>Basic</w:t>
            </w:r>
          </w:p>
        </w:tc>
        <w:tc>
          <w:tcPr>
            <w:tcW w:w="19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13,837,986</w:t>
            </w:r>
          </w:p>
        </w:tc>
        <w:tc>
          <w:tcPr>
            <w:tcW w:w="13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12,153,772</w:t>
            </w:r>
          </w:p>
        </w:tc>
      </w:tr>
      <w:tr>
        <w:trPr>
          <w:trHeight w:val="405"/>
        </w:trPr>
        <w:tc>
          <w:tcPr>
            <w:tcW w:w="4960" w:type="dxa"/>
            <w:vAlign w:val="bottom"/>
          </w:tcPr>
          <w:p>
            <w:pPr>
              <w:spacing w:after="0"/>
              <w:rPr>
                <w:sz w:val="20"/>
                <w:szCs w:val="20"/>
                <w:color w:val="auto"/>
              </w:rPr>
            </w:pPr>
            <w:r>
              <w:rPr>
                <w:rFonts w:ascii="Courier New" w:cs="Courier New" w:eastAsia="Courier New" w:hAnsi="Courier New"/>
                <w:sz w:val="18"/>
                <w:szCs w:val="18"/>
                <w:color w:val="auto"/>
              </w:rPr>
              <w:t>Diluted</w:t>
            </w:r>
          </w:p>
        </w:tc>
        <w:tc>
          <w:tcPr>
            <w:tcW w:w="190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14,105,288</w:t>
            </w:r>
          </w:p>
        </w:tc>
        <w:tc>
          <w:tcPr>
            <w:tcW w:w="13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12,606,971</w:t>
            </w:r>
          </w:p>
        </w:tc>
      </w:tr>
    </w:tbl>
    <w:p>
      <w:pPr>
        <w:sectPr>
          <w:pgSz w:w="11900" w:h="16838" w:orient="portrait"/>
          <w:cols w:equalWidth="0" w:num="1">
            <w:col w:w="10219"/>
          </w:cols>
          <w:pgMar w:left="240" w:top="1325" w:right="1440" w:bottom="1440" w:gutter="0" w:footer="0" w:header="0"/>
        </w:sectPr>
      </w:pPr>
    </w:p>
    <w:bookmarkStart w:id="6" w:name="page7"/>
    <w:bookmarkEnd w:id="6"/>
    <w:p>
      <w:pPr>
        <w:jc w:val="center"/>
        <w:ind w:right="1779"/>
        <w:spacing w:after="0"/>
        <w:rPr>
          <w:sz w:val="20"/>
          <w:szCs w:val="20"/>
          <w:color w:val="auto"/>
        </w:rPr>
      </w:pPr>
      <w:r>
        <w:rPr>
          <w:rFonts w:ascii="Courier New" w:cs="Courier New" w:eastAsia="Courier New" w:hAnsi="Courier New"/>
          <w:sz w:val="18"/>
          <w:szCs w:val="18"/>
          <w:color w:val="auto"/>
        </w:rPr>
        <w:t>ICON plc</w:t>
      </w:r>
    </w:p>
    <w:p>
      <w:pPr>
        <w:spacing w:after="0" w:line="201"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Summary Balance Sheet Data</w:t>
      </w:r>
    </w:p>
    <w:p>
      <w:pPr>
        <w:spacing w:after="0" w:line="200" w:lineRule="exact"/>
        <w:rPr>
          <w:sz w:val="20"/>
          <w:szCs w:val="20"/>
          <w:color w:val="auto"/>
        </w:rPr>
      </w:pPr>
    </w:p>
    <w:p>
      <w:pPr>
        <w:spacing w:after="0" w:line="204"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August 31, 2004 and May 31, 2004</w:t>
      </w:r>
    </w:p>
    <w:tbl>
      <w:tblPr>
        <w:tblLayout w:type="fixed"/>
        <w:tblInd w:w="0" w:type="dxa"/>
        <w:tblCellMar>
          <w:top w:w="0" w:type="dxa"/>
          <w:left w:w="0" w:type="dxa"/>
          <w:bottom w:w="0" w:type="dxa"/>
          <w:right w:w="0" w:type="dxa"/>
        </w:tblCellMar>
      </w:tblPr>
      <w:tr>
        <w:trPr>
          <w:trHeight w:val="203"/>
        </w:trPr>
        <w:tc>
          <w:tcPr>
            <w:tcW w:w="6860" w:type="dxa"/>
            <w:vAlign w:val="bottom"/>
            <w:gridSpan w:val="2"/>
          </w:tcPr>
          <w:p>
            <w:pPr>
              <w:jc w:val="right"/>
              <w:ind w:right="1292"/>
              <w:spacing w:after="0" w:line="203" w:lineRule="exact"/>
              <w:rPr>
                <w:sz w:val="20"/>
                <w:szCs w:val="20"/>
                <w:color w:val="auto"/>
              </w:rPr>
            </w:pPr>
            <w:r>
              <w:rPr>
                <w:rFonts w:ascii="Courier New" w:cs="Courier New" w:eastAsia="Courier New" w:hAnsi="Courier New"/>
                <w:sz w:val="18"/>
                <w:szCs w:val="18"/>
                <w:color w:val="auto"/>
              </w:rPr>
              <w:t>(Dollars, in thousands)</w:t>
            </w:r>
          </w:p>
        </w:tc>
        <w:tc>
          <w:tcPr>
            <w:tcW w:w="1040" w:type="dxa"/>
            <w:vAlign w:val="bottom"/>
          </w:tcPr>
          <w:p>
            <w:pPr>
              <w:spacing w:after="0"/>
              <w:rPr>
                <w:sz w:val="17"/>
                <w:szCs w:val="17"/>
                <w:color w:val="auto"/>
              </w:rPr>
            </w:pPr>
          </w:p>
        </w:tc>
      </w:tr>
      <w:tr>
        <w:trPr>
          <w:trHeight w:val="405"/>
        </w:trPr>
        <w:tc>
          <w:tcPr>
            <w:tcW w:w="3380" w:type="dxa"/>
            <w:vAlign w:val="bottom"/>
          </w:tcPr>
          <w:p>
            <w:pPr>
              <w:spacing w:after="0"/>
              <w:rPr>
                <w:sz w:val="24"/>
                <w:szCs w:val="24"/>
                <w:color w:val="auto"/>
              </w:rPr>
            </w:pPr>
          </w:p>
        </w:tc>
        <w:tc>
          <w:tcPr>
            <w:tcW w:w="3480" w:type="dxa"/>
            <w:vAlign w:val="bottom"/>
          </w:tcPr>
          <w:p>
            <w:pPr>
              <w:jc w:val="right"/>
              <w:ind w:right="1292"/>
              <w:spacing w:after="0"/>
              <w:rPr>
                <w:sz w:val="20"/>
                <w:szCs w:val="20"/>
                <w:color w:val="auto"/>
              </w:rPr>
            </w:pPr>
            <w:r>
              <w:rPr>
                <w:rFonts w:ascii="Courier New" w:cs="Courier New" w:eastAsia="Courier New" w:hAnsi="Courier New"/>
                <w:sz w:val="18"/>
                <w:szCs w:val="18"/>
                <w:color w:val="auto"/>
              </w:rPr>
              <w:t>August 31,</w:t>
            </w:r>
          </w:p>
        </w:tc>
        <w:tc>
          <w:tcPr>
            <w:tcW w:w="1040" w:type="dxa"/>
            <w:vAlign w:val="bottom"/>
          </w:tcPr>
          <w:p>
            <w:pPr>
              <w:jc w:val="right"/>
              <w:spacing w:after="0"/>
              <w:rPr>
                <w:sz w:val="20"/>
                <w:szCs w:val="20"/>
                <w:color w:val="auto"/>
              </w:rPr>
            </w:pPr>
            <w:r>
              <w:rPr>
                <w:rFonts w:ascii="Courier New" w:cs="Courier New" w:eastAsia="Courier New" w:hAnsi="Courier New"/>
                <w:sz w:val="18"/>
                <w:szCs w:val="18"/>
                <w:color w:val="auto"/>
              </w:rPr>
              <w:t>May 31,</w:t>
            </w:r>
          </w:p>
        </w:tc>
      </w:tr>
      <w:tr>
        <w:trPr>
          <w:trHeight w:val="203"/>
        </w:trPr>
        <w:tc>
          <w:tcPr>
            <w:tcW w:w="3380" w:type="dxa"/>
            <w:vAlign w:val="bottom"/>
          </w:tcPr>
          <w:p>
            <w:pPr>
              <w:spacing w:after="0"/>
              <w:rPr>
                <w:sz w:val="17"/>
                <w:szCs w:val="17"/>
                <w:color w:val="auto"/>
              </w:rPr>
            </w:pPr>
          </w:p>
        </w:tc>
        <w:tc>
          <w:tcPr>
            <w:tcW w:w="3480" w:type="dxa"/>
            <w:vAlign w:val="bottom"/>
          </w:tcPr>
          <w:p>
            <w:pPr>
              <w:jc w:val="right"/>
              <w:ind w:right="1292"/>
              <w:spacing w:after="0" w:line="203" w:lineRule="exact"/>
              <w:rPr>
                <w:sz w:val="20"/>
                <w:szCs w:val="20"/>
                <w:color w:val="auto"/>
              </w:rPr>
            </w:pPr>
            <w:r>
              <w:rPr>
                <w:rFonts w:ascii="Courier New" w:cs="Courier New" w:eastAsia="Courier New" w:hAnsi="Courier New"/>
                <w:sz w:val="18"/>
                <w:szCs w:val="18"/>
                <w:color w:val="auto"/>
              </w:rPr>
              <w:t>2004</w:t>
            </w:r>
          </w:p>
        </w:tc>
        <w:tc>
          <w:tcPr>
            <w:tcW w:w="1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2004</w:t>
            </w:r>
          </w:p>
        </w:tc>
      </w:tr>
      <w:tr>
        <w:trPr>
          <w:trHeight w:val="203"/>
        </w:trPr>
        <w:tc>
          <w:tcPr>
            <w:tcW w:w="3380" w:type="dxa"/>
            <w:vAlign w:val="bottom"/>
          </w:tcPr>
          <w:p>
            <w:pPr>
              <w:spacing w:after="0"/>
              <w:rPr>
                <w:sz w:val="17"/>
                <w:szCs w:val="17"/>
                <w:color w:val="auto"/>
              </w:rPr>
            </w:pPr>
          </w:p>
        </w:tc>
        <w:tc>
          <w:tcPr>
            <w:tcW w:w="3480" w:type="dxa"/>
            <w:vAlign w:val="bottom"/>
          </w:tcPr>
          <w:p>
            <w:pPr>
              <w:jc w:val="right"/>
              <w:ind w:right="1292"/>
              <w:spacing w:after="0" w:line="203" w:lineRule="exact"/>
              <w:rPr>
                <w:sz w:val="20"/>
                <w:szCs w:val="20"/>
                <w:color w:val="auto"/>
              </w:rPr>
            </w:pPr>
            <w:r>
              <w:rPr>
                <w:rFonts w:ascii="Courier New" w:cs="Courier New" w:eastAsia="Courier New" w:hAnsi="Courier New"/>
                <w:sz w:val="18"/>
                <w:szCs w:val="18"/>
                <w:color w:val="auto"/>
              </w:rPr>
              <w:t>(unaudited)</w:t>
            </w:r>
          </w:p>
        </w:tc>
        <w:tc>
          <w:tcPr>
            <w:tcW w:w="1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(audited)</w:t>
            </w:r>
          </w:p>
        </w:tc>
      </w:tr>
      <w:tr>
        <w:trPr>
          <w:trHeight w:val="203"/>
        </w:trPr>
        <w:tc>
          <w:tcPr>
            <w:tcW w:w="3380" w:type="dxa"/>
            <w:vAlign w:val="bottom"/>
          </w:tcPr>
          <w:p>
            <w:pPr>
              <w:spacing w:after="0" w:line="203" w:lineRule="exact"/>
              <w:rPr>
                <w:sz w:val="20"/>
                <w:szCs w:val="20"/>
                <w:color w:val="auto"/>
              </w:rPr>
            </w:pPr>
            <w:r>
              <w:rPr>
                <w:rFonts w:ascii="Courier New" w:cs="Courier New" w:eastAsia="Courier New" w:hAnsi="Courier New"/>
                <w:sz w:val="18"/>
                <w:szCs w:val="18"/>
                <w:color w:val="auto"/>
              </w:rPr>
              <w:t>Cash and short-term investments</w:t>
            </w:r>
          </w:p>
        </w:tc>
        <w:tc>
          <w:tcPr>
            <w:tcW w:w="3480" w:type="dxa"/>
            <w:vAlign w:val="bottom"/>
          </w:tcPr>
          <w:p>
            <w:pPr>
              <w:jc w:val="right"/>
              <w:ind w:right="1292"/>
              <w:spacing w:after="0" w:line="203" w:lineRule="exact"/>
              <w:rPr>
                <w:sz w:val="20"/>
                <w:szCs w:val="20"/>
                <w:color w:val="auto"/>
              </w:rPr>
            </w:pPr>
            <w:r>
              <w:rPr>
                <w:rFonts w:ascii="Courier New" w:cs="Courier New" w:eastAsia="Courier New" w:hAnsi="Courier New"/>
                <w:sz w:val="18"/>
                <w:szCs w:val="18"/>
                <w:color w:val="auto"/>
              </w:rPr>
              <w:t>72,573</w:t>
            </w:r>
          </w:p>
        </w:tc>
        <w:tc>
          <w:tcPr>
            <w:tcW w:w="1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78,763</w:t>
            </w:r>
          </w:p>
        </w:tc>
      </w:tr>
      <w:tr>
        <w:trPr>
          <w:trHeight w:val="203"/>
        </w:trPr>
        <w:tc>
          <w:tcPr>
            <w:tcW w:w="3380" w:type="dxa"/>
            <w:vAlign w:val="bottom"/>
          </w:tcPr>
          <w:p>
            <w:pPr>
              <w:spacing w:after="0" w:line="203" w:lineRule="exact"/>
              <w:rPr>
                <w:sz w:val="20"/>
                <w:szCs w:val="20"/>
                <w:color w:val="auto"/>
              </w:rPr>
            </w:pPr>
            <w:r>
              <w:rPr>
                <w:rFonts w:ascii="Courier New" w:cs="Courier New" w:eastAsia="Courier New" w:hAnsi="Courier New"/>
                <w:sz w:val="18"/>
                <w:szCs w:val="18"/>
                <w:color w:val="auto"/>
              </w:rPr>
              <w:t>Short-term debt</w:t>
            </w:r>
          </w:p>
        </w:tc>
        <w:tc>
          <w:tcPr>
            <w:tcW w:w="3480" w:type="dxa"/>
            <w:vAlign w:val="bottom"/>
          </w:tcPr>
          <w:p>
            <w:pPr>
              <w:jc w:val="right"/>
              <w:ind w:right="1292"/>
              <w:spacing w:after="0" w:line="203" w:lineRule="exact"/>
              <w:rPr>
                <w:sz w:val="20"/>
                <w:szCs w:val="20"/>
                <w:color w:val="auto"/>
              </w:rPr>
            </w:pPr>
            <w:r>
              <w:rPr>
                <w:rFonts w:ascii="Courier New" w:cs="Courier New" w:eastAsia="Courier New" w:hAnsi="Courier New"/>
                <w:sz w:val="18"/>
                <w:szCs w:val="18"/>
                <w:color w:val="auto"/>
              </w:rPr>
              <w:t>(7,000)</w:t>
            </w:r>
          </w:p>
        </w:tc>
        <w:tc>
          <w:tcPr>
            <w:tcW w:w="1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380" w:type="dxa"/>
            <w:vAlign w:val="bottom"/>
          </w:tcPr>
          <w:p>
            <w:pPr>
              <w:spacing w:after="0" w:line="203" w:lineRule="exact"/>
              <w:rPr>
                <w:sz w:val="20"/>
                <w:szCs w:val="20"/>
                <w:color w:val="auto"/>
              </w:rPr>
            </w:pPr>
            <w:r>
              <w:rPr>
                <w:rFonts w:ascii="Courier New" w:cs="Courier New" w:eastAsia="Courier New" w:hAnsi="Courier New"/>
                <w:sz w:val="18"/>
                <w:szCs w:val="18"/>
                <w:color w:val="auto"/>
              </w:rPr>
              <w:t>Net cash</w:t>
            </w:r>
          </w:p>
        </w:tc>
        <w:tc>
          <w:tcPr>
            <w:tcW w:w="3480" w:type="dxa"/>
            <w:vAlign w:val="bottom"/>
          </w:tcPr>
          <w:p>
            <w:pPr>
              <w:jc w:val="right"/>
              <w:ind w:right="1292"/>
              <w:spacing w:after="0" w:line="203" w:lineRule="exact"/>
              <w:rPr>
                <w:sz w:val="20"/>
                <w:szCs w:val="20"/>
                <w:color w:val="auto"/>
              </w:rPr>
            </w:pPr>
            <w:r>
              <w:rPr>
                <w:rFonts w:ascii="Courier New" w:cs="Courier New" w:eastAsia="Courier New" w:hAnsi="Courier New"/>
                <w:sz w:val="18"/>
                <w:szCs w:val="18"/>
                <w:color w:val="auto"/>
              </w:rPr>
              <w:t>65,573</w:t>
            </w:r>
          </w:p>
        </w:tc>
        <w:tc>
          <w:tcPr>
            <w:tcW w:w="1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78,763</w:t>
            </w:r>
          </w:p>
        </w:tc>
      </w:tr>
      <w:tr>
        <w:trPr>
          <w:trHeight w:val="405"/>
        </w:trPr>
        <w:tc>
          <w:tcPr>
            <w:tcW w:w="3380" w:type="dxa"/>
            <w:vAlign w:val="bottom"/>
          </w:tcPr>
          <w:p>
            <w:pPr>
              <w:spacing w:after="0"/>
              <w:rPr>
                <w:sz w:val="20"/>
                <w:szCs w:val="20"/>
                <w:color w:val="auto"/>
              </w:rPr>
            </w:pPr>
            <w:r>
              <w:rPr>
                <w:rFonts w:ascii="Courier New" w:cs="Courier New" w:eastAsia="Courier New" w:hAnsi="Courier New"/>
                <w:sz w:val="18"/>
                <w:szCs w:val="18"/>
                <w:color w:val="auto"/>
              </w:rPr>
              <w:t>Accounts receivable</w:t>
            </w:r>
          </w:p>
        </w:tc>
        <w:tc>
          <w:tcPr>
            <w:tcW w:w="3480" w:type="dxa"/>
            <w:vAlign w:val="bottom"/>
          </w:tcPr>
          <w:p>
            <w:pPr>
              <w:jc w:val="right"/>
              <w:ind w:right="1292"/>
              <w:spacing w:after="0"/>
              <w:rPr>
                <w:sz w:val="20"/>
                <w:szCs w:val="20"/>
                <w:color w:val="auto"/>
              </w:rPr>
            </w:pPr>
            <w:r>
              <w:rPr>
                <w:rFonts w:ascii="Courier New" w:cs="Courier New" w:eastAsia="Courier New" w:hAnsi="Courier New"/>
                <w:sz w:val="18"/>
                <w:szCs w:val="18"/>
                <w:color w:val="auto"/>
              </w:rPr>
              <w:t>70,125</w:t>
            </w:r>
          </w:p>
        </w:tc>
        <w:tc>
          <w:tcPr>
            <w:tcW w:w="1040" w:type="dxa"/>
            <w:vAlign w:val="bottom"/>
          </w:tcPr>
          <w:p>
            <w:pPr>
              <w:jc w:val="right"/>
              <w:spacing w:after="0"/>
              <w:rPr>
                <w:sz w:val="20"/>
                <w:szCs w:val="20"/>
                <w:color w:val="auto"/>
              </w:rPr>
            </w:pPr>
            <w:r>
              <w:rPr>
                <w:rFonts w:ascii="Courier New" w:cs="Courier New" w:eastAsia="Courier New" w:hAnsi="Courier New"/>
                <w:sz w:val="18"/>
                <w:szCs w:val="18"/>
                <w:color w:val="auto"/>
              </w:rPr>
              <w:t>74,079</w:t>
            </w:r>
          </w:p>
        </w:tc>
      </w:tr>
      <w:tr>
        <w:trPr>
          <w:trHeight w:val="203"/>
        </w:trPr>
        <w:tc>
          <w:tcPr>
            <w:tcW w:w="3380" w:type="dxa"/>
            <w:vAlign w:val="bottom"/>
          </w:tcPr>
          <w:p>
            <w:pPr>
              <w:spacing w:after="0" w:line="203" w:lineRule="exact"/>
              <w:rPr>
                <w:sz w:val="20"/>
                <w:szCs w:val="20"/>
                <w:color w:val="auto"/>
              </w:rPr>
            </w:pPr>
            <w:r>
              <w:rPr>
                <w:rFonts w:ascii="Courier New" w:cs="Courier New" w:eastAsia="Courier New" w:hAnsi="Courier New"/>
                <w:sz w:val="18"/>
                <w:szCs w:val="18"/>
                <w:color w:val="auto"/>
              </w:rPr>
              <w:t>Unbilled revenue</w:t>
            </w:r>
          </w:p>
        </w:tc>
        <w:tc>
          <w:tcPr>
            <w:tcW w:w="3480" w:type="dxa"/>
            <w:vAlign w:val="bottom"/>
          </w:tcPr>
          <w:p>
            <w:pPr>
              <w:jc w:val="right"/>
              <w:ind w:right="1292"/>
              <w:spacing w:after="0" w:line="203" w:lineRule="exact"/>
              <w:rPr>
                <w:sz w:val="20"/>
                <w:szCs w:val="20"/>
                <w:color w:val="auto"/>
              </w:rPr>
            </w:pPr>
            <w:r>
              <w:rPr>
                <w:rFonts w:ascii="Courier New" w:cs="Courier New" w:eastAsia="Courier New" w:hAnsi="Courier New"/>
                <w:sz w:val="18"/>
                <w:szCs w:val="18"/>
                <w:color w:val="auto"/>
              </w:rPr>
              <w:t>66,984</w:t>
            </w:r>
          </w:p>
        </w:tc>
        <w:tc>
          <w:tcPr>
            <w:tcW w:w="1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59,861</w:t>
            </w:r>
          </w:p>
        </w:tc>
      </w:tr>
      <w:tr>
        <w:trPr>
          <w:trHeight w:val="203"/>
        </w:trPr>
        <w:tc>
          <w:tcPr>
            <w:tcW w:w="3380" w:type="dxa"/>
            <w:vAlign w:val="bottom"/>
          </w:tcPr>
          <w:p>
            <w:pPr>
              <w:spacing w:after="0" w:line="203" w:lineRule="exact"/>
              <w:rPr>
                <w:sz w:val="20"/>
                <w:szCs w:val="20"/>
                <w:color w:val="auto"/>
              </w:rPr>
            </w:pPr>
            <w:r>
              <w:rPr>
                <w:rFonts w:ascii="Courier New" w:cs="Courier New" w:eastAsia="Courier New" w:hAnsi="Courier New"/>
                <w:sz w:val="18"/>
                <w:szCs w:val="18"/>
                <w:color w:val="auto"/>
              </w:rPr>
              <w:t>Payments on account</w:t>
            </w:r>
          </w:p>
        </w:tc>
        <w:tc>
          <w:tcPr>
            <w:tcW w:w="3480" w:type="dxa"/>
            <w:vAlign w:val="bottom"/>
          </w:tcPr>
          <w:p>
            <w:pPr>
              <w:jc w:val="right"/>
              <w:ind w:right="1292"/>
              <w:spacing w:after="0" w:line="203" w:lineRule="exact"/>
              <w:rPr>
                <w:sz w:val="20"/>
                <w:szCs w:val="20"/>
                <w:color w:val="auto"/>
              </w:rPr>
            </w:pPr>
            <w:r>
              <w:rPr>
                <w:rFonts w:ascii="Courier New" w:cs="Courier New" w:eastAsia="Courier New" w:hAnsi="Courier New"/>
                <w:sz w:val="18"/>
                <w:szCs w:val="18"/>
                <w:color w:val="auto"/>
              </w:rPr>
              <w:t>(61,376)</w:t>
            </w:r>
          </w:p>
        </w:tc>
        <w:tc>
          <w:tcPr>
            <w:tcW w:w="1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(61,960)</w:t>
            </w:r>
          </w:p>
        </w:tc>
      </w:tr>
      <w:tr>
        <w:trPr>
          <w:trHeight w:val="203"/>
        </w:trPr>
        <w:tc>
          <w:tcPr>
            <w:tcW w:w="3380" w:type="dxa"/>
            <w:vAlign w:val="bottom"/>
          </w:tcPr>
          <w:p>
            <w:pPr>
              <w:spacing w:after="0" w:line="203" w:lineRule="exact"/>
              <w:rPr>
                <w:sz w:val="20"/>
                <w:szCs w:val="20"/>
                <w:color w:val="auto"/>
              </w:rPr>
            </w:pPr>
            <w:r>
              <w:rPr>
                <w:rFonts w:ascii="Courier New" w:cs="Courier New" w:eastAsia="Courier New" w:hAnsi="Courier New"/>
                <w:sz w:val="18"/>
                <w:szCs w:val="18"/>
                <w:color w:val="auto"/>
              </w:rPr>
              <w:t>Total</w:t>
            </w:r>
          </w:p>
        </w:tc>
        <w:tc>
          <w:tcPr>
            <w:tcW w:w="3480" w:type="dxa"/>
            <w:vAlign w:val="bottom"/>
          </w:tcPr>
          <w:p>
            <w:pPr>
              <w:jc w:val="right"/>
              <w:ind w:right="1292"/>
              <w:spacing w:after="0" w:line="203" w:lineRule="exact"/>
              <w:rPr>
                <w:sz w:val="20"/>
                <w:szCs w:val="20"/>
                <w:color w:val="auto"/>
              </w:rPr>
            </w:pPr>
            <w:r>
              <w:rPr>
                <w:rFonts w:ascii="Courier New" w:cs="Courier New" w:eastAsia="Courier New" w:hAnsi="Courier New"/>
                <w:sz w:val="18"/>
                <w:szCs w:val="18"/>
                <w:color w:val="auto"/>
              </w:rPr>
              <w:t>75,733</w:t>
            </w:r>
          </w:p>
        </w:tc>
        <w:tc>
          <w:tcPr>
            <w:tcW w:w="1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71,980</w:t>
            </w:r>
          </w:p>
        </w:tc>
      </w:tr>
      <w:tr>
        <w:trPr>
          <w:trHeight w:val="405"/>
        </w:trPr>
        <w:tc>
          <w:tcPr>
            <w:tcW w:w="3380" w:type="dxa"/>
            <w:vAlign w:val="bottom"/>
          </w:tcPr>
          <w:p>
            <w:pPr>
              <w:spacing w:after="0"/>
              <w:rPr>
                <w:sz w:val="20"/>
                <w:szCs w:val="20"/>
                <w:color w:val="auto"/>
              </w:rPr>
            </w:pPr>
            <w:r>
              <w:rPr>
                <w:rFonts w:ascii="Courier New" w:cs="Courier New" w:eastAsia="Courier New" w:hAnsi="Courier New"/>
                <w:sz w:val="18"/>
                <w:szCs w:val="18"/>
                <w:color w:val="auto"/>
              </w:rPr>
              <w:t>Working Capital</w:t>
            </w:r>
          </w:p>
        </w:tc>
        <w:tc>
          <w:tcPr>
            <w:tcW w:w="3480" w:type="dxa"/>
            <w:vAlign w:val="bottom"/>
          </w:tcPr>
          <w:p>
            <w:pPr>
              <w:jc w:val="right"/>
              <w:ind w:right="1292"/>
              <w:spacing w:after="0"/>
              <w:rPr>
                <w:sz w:val="20"/>
                <w:szCs w:val="20"/>
                <w:color w:val="auto"/>
              </w:rPr>
            </w:pPr>
            <w:r>
              <w:rPr>
                <w:rFonts w:ascii="Courier New" w:cs="Courier New" w:eastAsia="Courier New" w:hAnsi="Courier New"/>
                <w:sz w:val="18"/>
                <w:szCs w:val="18"/>
                <w:color w:val="auto"/>
              </w:rPr>
              <w:t>110,411</w:t>
            </w:r>
          </w:p>
        </w:tc>
        <w:tc>
          <w:tcPr>
            <w:tcW w:w="1040" w:type="dxa"/>
            <w:vAlign w:val="bottom"/>
          </w:tcPr>
          <w:p>
            <w:pPr>
              <w:jc w:val="right"/>
              <w:spacing w:after="0"/>
              <w:rPr>
                <w:sz w:val="20"/>
                <w:szCs w:val="20"/>
                <w:color w:val="auto"/>
              </w:rPr>
            </w:pPr>
            <w:r>
              <w:rPr>
                <w:rFonts w:ascii="Courier New" w:cs="Courier New" w:eastAsia="Courier New" w:hAnsi="Courier New"/>
                <w:sz w:val="18"/>
                <w:szCs w:val="18"/>
                <w:color w:val="auto"/>
              </w:rPr>
              <w:t>113,813</w:t>
            </w:r>
          </w:p>
        </w:tc>
      </w:tr>
      <w:tr>
        <w:trPr>
          <w:trHeight w:val="405"/>
        </w:trPr>
        <w:tc>
          <w:tcPr>
            <w:tcW w:w="3380" w:type="dxa"/>
            <w:vAlign w:val="bottom"/>
          </w:tcPr>
          <w:p>
            <w:pPr>
              <w:spacing w:after="0"/>
              <w:rPr>
                <w:sz w:val="20"/>
                <w:szCs w:val="20"/>
                <w:color w:val="auto"/>
              </w:rPr>
            </w:pPr>
            <w:r>
              <w:rPr>
                <w:rFonts w:ascii="Courier New" w:cs="Courier New" w:eastAsia="Courier New" w:hAnsi="Courier New"/>
                <w:sz w:val="18"/>
                <w:szCs w:val="18"/>
                <w:color w:val="auto"/>
              </w:rPr>
              <w:t>Total assets</w:t>
            </w:r>
          </w:p>
        </w:tc>
        <w:tc>
          <w:tcPr>
            <w:tcW w:w="3480" w:type="dxa"/>
            <w:vAlign w:val="bottom"/>
          </w:tcPr>
          <w:p>
            <w:pPr>
              <w:jc w:val="right"/>
              <w:ind w:right="1292"/>
              <w:spacing w:after="0"/>
              <w:rPr>
                <w:sz w:val="20"/>
                <w:szCs w:val="20"/>
                <w:color w:val="auto"/>
              </w:rPr>
            </w:pPr>
            <w:r>
              <w:rPr>
                <w:rFonts w:ascii="Courier New" w:cs="Courier New" w:eastAsia="Courier New" w:hAnsi="Courier New"/>
                <w:sz w:val="18"/>
                <w:szCs w:val="18"/>
                <w:color w:val="auto"/>
              </w:rPr>
              <w:t>341,016</w:t>
            </w:r>
          </w:p>
        </w:tc>
        <w:tc>
          <w:tcPr>
            <w:tcW w:w="1040" w:type="dxa"/>
            <w:vAlign w:val="bottom"/>
          </w:tcPr>
          <w:p>
            <w:pPr>
              <w:jc w:val="right"/>
              <w:spacing w:after="0"/>
              <w:rPr>
                <w:sz w:val="20"/>
                <w:szCs w:val="20"/>
                <w:color w:val="auto"/>
              </w:rPr>
            </w:pPr>
            <w:r>
              <w:rPr>
                <w:rFonts w:ascii="Courier New" w:cs="Courier New" w:eastAsia="Courier New" w:hAnsi="Courier New"/>
                <w:sz w:val="18"/>
                <w:szCs w:val="18"/>
                <w:color w:val="auto"/>
              </w:rPr>
              <w:t>335,323</w:t>
            </w:r>
          </w:p>
        </w:tc>
      </w:tr>
      <w:tr>
        <w:trPr>
          <w:trHeight w:val="405"/>
        </w:trPr>
        <w:tc>
          <w:tcPr>
            <w:tcW w:w="3380" w:type="dxa"/>
            <w:vAlign w:val="bottom"/>
          </w:tcPr>
          <w:p>
            <w:pPr>
              <w:spacing w:after="0"/>
              <w:rPr>
                <w:sz w:val="20"/>
                <w:szCs w:val="20"/>
                <w:color w:val="auto"/>
              </w:rPr>
            </w:pPr>
            <w:r>
              <w:rPr>
                <w:rFonts w:ascii="Courier New" w:cs="Courier New" w:eastAsia="Courier New" w:hAnsi="Courier New"/>
                <w:sz w:val="18"/>
                <w:szCs w:val="18"/>
                <w:color w:val="auto"/>
              </w:rPr>
              <w:t>Shareholder's equity</w:t>
            </w:r>
          </w:p>
        </w:tc>
        <w:tc>
          <w:tcPr>
            <w:tcW w:w="3480" w:type="dxa"/>
            <w:vAlign w:val="bottom"/>
          </w:tcPr>
          <w:p>
            <w:pPr>
              <w:jc w:val="right"/>
              <w:ind w:right="1292"/>
              <w:spacing w:after="0"/>
              <w:rPr>
                <w:sz w:val="20"/>
                <w:szCs w:val="20"/>
                <w:color w:val="auto"/>
              </w:rPr>
            </w:pPr>
            <w:r>
              <w:rPr>
                <w:rFonts w:ascii="Courier New" w:cs="Courier New" w:eastAsia="Courier New" w:hAnsi="Courier New"/>
                <w:sz w:val="18"/>
                <w:szCs w:val="18"/>
                <w:color w:val="auto"/>
              </w:rPr>
              <w:t>222,454</w:t>
            </w:r>
          </w:p>
        </w:tc>
        <w:tc>
          <w:tcPr>
            <w:tcW w:w="1040" w:type="dxa"/>
            <w:vAlign w:val="bottom"/>
          </w:tcPr>
          <w:p>
            <w:pPr>
              <w:jc w:val="right"/>
              <w:spacing w:after="0"/>
              <w:rPr>
                <w:sz w:val="20"/>
                <w:szCs w:val="20"/>
                <w:color w:val="auto"/>
              </w:rPr>
            </w:pPr>
            <w:r>
              <w:rPr>
                <w:rFonts w:ascii="Courier New" w:cs="Courier New" w:eastAsia="Courier New" w:hAnsi="Courier New"/>
                <w:sz w:val="18"/>
                <w:szCs w:val="18"/>
                <w:color w:val="auto"/>
              </w:rPr>
              <w:t>216,760</w:t>
            </w:r>
          </w:p>
        </w:tc>
      </w:tr>
      <w:tr>
        <w:trPr>
          <w:trHeight w:val="608"/>
        </w:trPr>
        <w:tc>
          <w:tcPr>
            <w:tcW w:w="3380" w:type="dxa"/>
            <w:vAlign w:val="bottom"/>
          </w:tcPr>
          <w:p>
            <w:pPr>
              <w:spacing w:after="0"/>
              <w:rPr>
                <w:sz w:val="20"/>
                <w:szCs w:val="20"/>
                <w:color w:val="auto"/>
              </w:rPr>
            </w:pPr>
            <w:r>
              <w:rPr>
                <w:rFonts w:ascii="Courier New" w:cs="Courier New" w:eastAsia="Courier New" w:hAnsi="Courier New"/>
                <w:sz w:val="18"/>
                <w:szCs w:val="18"/>
                <w:color w:val="auto"/>
              </w:rPr>
              <w:t>Source:</w:t>
            </w:r>
          </w:p>
        </w:tc>
        <w:tc>
          <w:tcPr>
            <w:tcW w:w="3480" w:type="dxa"/>
            <w:vAlign w:val="bottom"/>
          </w:tcPr>
          <w:p>
            <w:pPr>
              <w:ind w:left="100"/>
              <w:spacing w:after="0"/>
              <w:rPr>
                <w:sz w:val="20"/>
                <w:szCs w:val="20"/>
                <w:color w:val="auto"/>
              </w:rPr>
            </w:pPr>
            <w:r>
              <w:rPr>
                <w:rFonts w:ascii="Courier New" w:cs="Courier New" w:eastAsia="Courier New" w:hAnsi="Courier New"/>
                <w:sz w:val="18"/>
                <w:szCs w:val="18"/>
                <w:color w:val="auto"/>
              </w:rPr>
              <w:t>ICON plc</w:t>
            </w:r>
          </w:p>
        </w:tc>
        <w:tc>
          <w:tcPr>
            <w:tcW w:w="1040" w:type="dxa"/>
            <w:vAlign w:val="bottom"/>
          </w:tcPr>
          <w:p>
            <w:pPr>
              <w:spacing w:after="0"/>
              <w:rPr>
                <w:sz w:val="24"/>
                <w:szCs w:val="24"/>
                <w:color w:val="auto"/>
              </w:rPr>
            </w:pPr>
          </w:p>
        </w:tc>
      </w:tr>
      <w:tr>
        <w:trPr>
          <w:trHeight w:val="405"/>
        </w:trPr>
        <w:tc>
          <w:tcPr>
            <w:tcW w:w="3380" w:type="dxa"/>
            <w:vAlign w:val="bottom"/>
          </w:tcPr>
          <w:p>
            <w:pPr>
              <w:spacing w:after="0"/>
              <w:rPr>
                <w:sz w:val="20"/>
                <w:szCs w:val="20"/>
                <w:color w:val="auto"/>
              </w:rPr>
            </w:pPr>
            <w:r>
              <w:rPr>
                <w:rFonts w:ascii="Courier New" w:cs="Courier New" w:eastAsia="Courier New" w:hAnsi="Courier New"/>
                <w:sz w:val="18"/>
                <w:szCs w:val="18"/>
                <w:color w:val="auto"/>
              </w:rPr>
              <w:t>Contact:</w:t>
            </w:r>
          </w:p>
        </w:tc>
        <w:tc>
          <w:tcPr>
            <w:tcW w:w="4520" w:type="dxa"/>
            <w:vAlign w:val="bottom"/>
            <w:gridSpan w:val="2"/>
          </w:tcPr>
          <w:p>
            <w:pPr>
              <w:ind w:left="100"/>
              <w:spacing w:after="0"/>
              <w:rPr>
                <w:sz w:val="20"/>
                <w:szCs w:val="20"/>
                <w:color w:val="auto"/>
              </w:rPr>
            </w:pPr>
            <w:r>
              <w:rPr>
                <w:rFonts w:ascii="Courier New" w:cs="Courier New" w:eastAsia="Courier New" w:hAnsi="Courier New"/>
                <w:sz w:val="18"/>
                <w:szCs w:val="18"/>
                <w:color w:val="auto"/>
              </w:rPr>
              <w:t>Investor Relations 1-888-381-7923 or</w:t>
            </w:r>
          </w:p>
        </w:tc>
      </w:tr>
      <w:tr>
        <w:trPr>
          <w:trHeight w:val="203"/>
        </w:trPr>
        <w:tc>
          <w:tcPr>
            <w:tcW w:w="3380" w:type="dxa"/>
            <w:vAlign w:val="bottom"/>
          </w:tcPr>
          <w:p>
            <w:pPr>
              <w:spacing w:after="0"/>
              <w:rPr>
                <w:sz w:val="17"/>
                <w:szCs w:val="17"/>
                <w:color w:val="auto"/>
              </w:rPr>
            </w:pPr>
          </w:p>
        </w:tc>
        <w:tc>
          <w:tcPr>
            <w:tcW w:w="34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Sean Leech CFO + 353 1 291 2000</w:t>
            </w:r>
          </w:p>
        </w:tc>
        <w:tc>
          <w:tcPr>
            <w:tcW w:w="1040" w:type="dxa"/>
            <w:vAlign w:val="bottom"/>
          </w:tcPr>
          <w:p>
            <w:pPr>
              <w:spacing w:after="0"/>
              <w:rPr>
                <w:sz w:val="17"/>
                <w:szCs w:val="17"/>
                <w:color w:val="auto"/>
              </w:rPr>
            </w:pPr>
          </w:p>
        </w:tc>
      </w:tr>
      <w:tr>
        <w:trPr>
          <w:trHeight w:val="203"/>
        </w:trPr>
        <w:tc>
          <w:tcPr>
            <w:tcW w:w="3380" w:type="dxa"/>
            <w:vAlign w:val="bottom"/>
          </w:tcPr>
          <w:p>
            <w:pPr>
              <w:spacing w:after="0"/>
              <w:rPr>
                <w:sz w:val="17"/>
                <w:szCs w:val="17"/>
                <w:color w:val="auto"/>
              </w:rPr>
            </w:pPr>
          </w:p>
        </w:tc>
        <w:tc>
          <w:tcPr>
            <w:tcW w:w="34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both at ICON.</w:t>
            </w:r>
          </w:p>
        </w:tc>
        <w:tc>
          <w:tcPr>
            <w:tcW w:w="1040" w:type="dxa"/>
            <w:vAlign w:val="bottom"/>
          </w:tcPr>
          <w:p>
            <w:pPr>
              <w:spacing w:after="0"/>
              <w:rPr>
                <w:sz w:val="17"/>
                <w:szCs w:val="17"/>
                <w:color w:val="auto"/>
              </w:rPr>
            </w:pPr>
          </w:p>
        </w:tc>
      </w:tr>
    </w:tbl>
    <w:p>
      <w:pPr>
        <w:spacing w:after="0" w:line="201"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http://www.iconclinical.com</w:t>
      </w:r>
    </w:p>
    <w:sectPr>
      <w:pgSz w:w="11900" w:h="16838" w:orient="portrait"/>
      <w:cols w:equalWidth="0" w:num="1">
        <w:col w:w="10219"/>
      </w:cols>
      <w:pgMar w:left="240" w:top="132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2019-12-14T20:52:40Z</dcterms:created>
  <dcterms:modified xsi:type="dcterms:W3CDTF">2019-12-14T20:52:40Z</dcterms:modified>
</cp:coreProperties>
</file>