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FORM 6-K</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Pursuant to Rule 13a - 16 under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quarterly period ended November 30, 2004</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ICON plc</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(Registrant's name)</w:t>
      </w:r>
    </w:p>
    <w:p>
      <w:pPr>
        <w:spacing w:after="0" w:line="195"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0-29714</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5"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3" w:lineRule="exact"/>
        <w:rPr>
          <w:sz w:val="24"/>
          <w:szCs w:val="24"/>
          <w:color w:val="auto"/>
        </w:rPr>
      </w:pPr>
    </w:p>
    <w:p>
      <w:pPr>
        <w:ind w:left="880"/>
        <w:spacing w:after="0"/>
        <w:tabs>
          <w:tab w:leader="none" w:pos="1740" w:val="left"/>
          <w:tab w:leader="none" w:pos="38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3" w:lineRule="exact"/>
        <w:rPr>
          <w:sz w:val="24"/>
          <w:szCs w:val="24"/>
          <w:color w:val="auto"/>
        </w:rPr>
      </w:pPr>
    </w:p>
    <w:p>
      <w:pPr>
        <w:ind w:left="880"/>
        <w:spacing w:after="0"/>
        <w:tabs>
          <w:tab w:leader="none" w:pos="3980" w:val="left"/>
          <w:tab w:leader="none" w:pos="43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3" w:lineRule="exact"/>
        <w:rPr>
          <w:sz w:val="24"/>
          <w:szCs w:val="24"/>
          <w:color w:val="auto"/>
        </w:rPr>
      </w:pPr>
    </w:p>
    <w:p>
      <w:pPr>
        <w:ind w:left="880"/>
        <w:spacing w:after="0"/>
        <w:tabs>
          <w:tab w:leader="none" w:pos="3980" w:val="left"/>
          <w:tab w:leader="none" w:pos="43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5" w:lineRule="exact"/>
        <w:rPr>
          <w:sz w:val="24"/>
          <w:szCs w:val="24"/>
          <w:color w:val="auto"/>
        </w:rPr>
      </w:pPr>
    </w:p>
    <w:p>
      <w:pPr>
        <w:ind w:left="880"/>
        <w:spacing w:after="0"/>
        <w:tabs>
          <w:tab w:leader="none" w:pos="3980" w:val="left"/>
          <w:tab w:leader="none" w:pos="43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83" w:lineRule="exact"/>
        <w:rPr>
          <w:sz w:val="24"/>
          <w:szCs w:val="24"/>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ectPr>
          <w:pgSz w:w="11900" w:h="16838" w:orient="portrait"/>
          <w:cols w:equalWidth="0" w:num="1">
            <w:col w:w="10219"/>
          </w:cols>
          <w:pgMar w:left="240" w:top="618"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868" w:right="1440" w:bottom="1440" w:gutter="0" w:footer="0" w:header="0"/>
        </w:sectPr>
      </w:pP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EXHIBIT NO.</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2">
            <w:col w:w="4060" w:space="720"/>
            <w:col w:w="5439"/>
          </w:cols>
          <w:pgMar w:left="240" w:top="868" w:right="1440" w:bottom="1440" w:gutter="0" w:footer="0" w:header="0"/>
          <w:type w:val="continuous"/>
        </w:sectPr>
      </w:pPr>
    </w:p>
    <w:bookmarkStart w:id="2" w:name="page3"/>
    <w:bookmarkEnd w:id="2"/>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6,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Sean Leech</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2">
            <w:col w:w="3480" w:space="720"/>
            <w:col w:w="6019"/>
          </w:cols>
          <w:pgMar w:left="240" w:top="868" w:right="1440" w:bottom="1440" w:gutter="0" w:footer="0" w:header="0"/>
          <w:type w:val="continuous"/>
        </w:sectPr>
      </w:pPr>
    </w:p>
    <w:bookmarkStart w:id="3" w:name="page4"/>
    <w:bookmarkEnd w:id="3"/>
    <w:p>
      <w:pPr>
        <w:spacing w:after="0" w:line="12"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99.1</w:t>
      </w:r>
    </w:p>
    <w:p>
      <w:pPr>
        <w:spacing w:after="0" w:line="383"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ICON reports a 9% increase in net revenues, EPS of $0.41 and net new business awards of $120 million for the Second Quarter FY 2005 (NASDAQ:ICLR)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Highlights - Second Quarter Fiscal 2005</w:t>
      </w:r>
    </w:p>
    <w:p>
      <w:pPr>
        <w:spacing w:after="0" w:line="195" w:lineRule="exact"/>
        <w:rPr>
          <w:sz w:val="20"/>
          <w:szCs w:val="20"/>
          <w:color w:val="auto"/>
        </w:rPr>
      </w:pPr>
    </w:p>
    <w:p>
      <w:pPr>
        <w:ind w:left="480" w:right="249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quarter net revenues increased 9% over the second quarter of fiscal 2004 to $79.5 million and increased 11% on a year-to-date basis.</w:t>
      </w:r>
    </w:p>
    <w:p>
      <w:pPr>
        <w:spacing w:after="0" w:line="183" w:lineRule="exact"/>
        <w:rPr>
          <w:rFonts w:ascii="Courier New" w:cs="Courier New" w:eastAsia="Courier New" w:hAnsi="Courier New"/>
          <w:sz w:val="16"/>
          <w:szCs w:val="16"/>
          <w:color w:val="auto"/>
        </w:rPr>
      </w:pPr>
    </w:p>
    <w:p>
      <w:pPr>
        <w:ind w:left="480" w:right="239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decreased 16% over the second quarter of fiscal 2004 to $7.0 million and increased 3% in the six months to November 30, 2004.</w:t>
      </w:r>
    </w:p>
    <w:p>
      <w:pPr>
        <w:spacing w:after="0" w:line="183" w:lineRule="exact"/>
        <w:rPr>
          <w:rFonts w:ascii="Courier New" w:cs="Courier New" w:eastAsia="Courier New" w:hAnsi="Courier New"/>
          <w:sz w:val="16"/>
          <w:szCs w:val="16"/>
          <w:color w:val="auto"/>
        </w:rPr>
      </w:pPr>
    </w:p>
    <w:p>
      <w:pPr>
        <w:ind w:left="480" w:right="2499" w:hanging="480"/>
        <w:spacing w:after="0" w:line="249"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decreased 9% for the second quarter to 41 cents compared to 45 cents in same quarter last year. Year-to-date diluted earnings per share was 93 cents compared to 92 cents for the comparable period last year.</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 million of net new business awarded to ICON during the quarter.</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Dublin, Ireland, January 6, 2005 - ICON plc (NASDAQ: ICLR), a global contract clinical research organisation, which has approximately 2,600 employees providing services to the pharmaceutical, biotech and medical device industries from 37 locations in 23 countries worldwide, today reported the financial results for its second quarter ended November 30, 2004.</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revenues for the quarter were $79.5 million, representing a 9% increase over net revenues of $73.2 million for the same quarter last year. Excluding the impact of acquisitions, revenue growth for the quarter was 6% over the same quarter last year.</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Income from operations for the quarter was $7.0 million, which represents a decrease of 16% from the $8.4 million reported for the second quarter last year. Operating margin for the quarter was 8.8% compared with 11.4% for the equivalent period last year. Net income for the quarter was $5.8 million or 41 cents per share, on a diluted basis, compared with $6.3 million or 45 cents per share for the second quarter last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the six months to November 30, 2004, net revenues were $157.8 million, representing an 11% increase over net revenues of $142.1 million reported for the first six months of last year. Excluding the impact of acquisitions, revenue growth was 7% for the six months ending November 30, 2004.</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Income from operations for the six months to November 30, 2004 was $16.5 million, representing an increase of 3% from the $16.0 million reported for the same period last year. Operating margin for the six months to November 30, 2004 was 10.4%, compared with 11.2% in the same period last year. Net income was $13.1 million or 93 cents per share, on a diluted basis compared with $11.9 million or 92 cents per share reported for the same period last year.</w:t>
      </w:r>
    </w:p>
    <w:p>
      <w:pPr>
        <w:spacing w:after="0" w:line="187"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69 days at November 30, 2004 compared with 60 days at May 31, 2004.</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Capital expenditure in the quarter ended November 30, 2004, was $2.9 million and year to date was $7.5 million. As a result, the company's net cash, short-term debt and short-term investments were $61.0 million at November 30, 2004, compared to $65.6 million at August 31, 2004 and $78.8 million at May 31, 2004.</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quarter ended November 30, 2004 was the first quarter in over 5 years in which our earnings declined, but was in line with our expectations following the exceptionally high level of cancellations we suffered in the previous quarter", commented Chairman, Dr John Climax. " As predicted, this high cancellation experience appears to have been an anomaly. With strong gross wins of $122 million, and cancellations of only $2 million in our most recent quarter, we believe we have a solid foundation for a return to growth in Fiscal 2006 although we will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399"/>
        <w:spacing w:after="0" w:line="251" w:lineRule="auto"/>
        <w:rPr>
          <w:sz w:val="20"/>
          <w:szCs w:val="20"/>
          <w:color w:val="auto"/>
        </w:rPr>
      </w:pPr>
      <w:r>
        <w:rPr>
          <w:rFonts w:ascii="Courier New" w:cs="Courier New" w:eastAsia="Courier New" w:hAnsi="Courier New"/>
          <w:sz w:val="16"/>
          <w:szCs w:val="16"/>
          <w:color w:val="auto"/>
        </w:rPr>
        <w:t>further quarters of solid business wins to consolidate this. Nevertheless we are revising our EPS guidance for Fiscal 2005 to between $1.68 - $1.70. The rationale for this revision will be discussed in more detail on our conference call today"</w:t>
      </w:r>
    </w:p>
    <w:p>
      <w:pPr>
        <w:spacing w:after="0" w:line="37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will hold its second quarter conference call today, January 6, 2005 at 8:00 EST [13:00 GMT / 14:00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statements made in this Press Release may contain forward-looking statements</w:t>
      </w:r>
    </w:p>
    <w:p>
      <w:pPr>
        <w:sectPr>
          <w:pgSz w:w="11900" w:h="16850" w:orient="portrait"/>
          <w:cols w:equalWidth="0" w:num="1">
            <w:col w:w="10219"/>
          </w:cols>
          <w:pgMar w:left="240" w:top="330" w:right="1440" w:bottom="0" w:gutter="0" w:footer="0" w:header="0"/>
        </w:sectPr>
      </w:pPr>
    </w:p>
    <w:bookmarkStart w:id="4" w:name="page5"/>
    <w:bookmarkEnd w:id="4"/>
    <w:p>
      <w:pPr>
        <w:ind w:right="2499"/>
        <w:spacing w:after="0" w:line="249" w:lineRule="auto"/>
        <w:rPr>
          <w:sz w:val="20"/>
          <w:szCs w:val="20"/>
          <w:color w:val="auto"/>
        </w:rPr>
      </w:pPr>
      <w:r>
        <w:rPr>
          <w:rFonts w:ascii="Courier New" w:cs="Courier New" w:eastAsia="Courier New" w:hAnsi="Courier New"/>
          <w:sz w:val="16"/>
          <w:szCs w:val="16"/>
          <w:color w:val="auto"/>
        </w:rPr>
        <w:t>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7"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ICON plc</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Contact : Investor Relations 1-888-381-7923 or Sean Leech CFO + 353 -1-291-2000 Both at ICON.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ectPr>
          <w:pgSz w:w="11900" w:h="16838" w:orient="portrait"/>
          <w:cols w:equalWidth="0" w:num="1">
            <w:col w:w="10219"/>
          </w:cols>
          <w:pgMar w:left="240" w:top="142" w:right="1440" w:bottom="1440" w:gutter="0" w:footer="0" w:header="0"/>
        </w:sectPr>
      </w:pPr>
    </w:p>
    <w:bookmarkStart w:id="5" w:name="page6"/>
    <w:bookmarkEnd w:id="5"/>
    <w:p>
      <w:pPr>
        <w:jc w:val="center"/>
        <w:ind w:right="3700"/>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Consolidated Income Statements</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Three and Six Months ended November 30, 2004 and 2003</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Ended</w:t>
            </w:r>
          </w:p>
        </w:tc>
        <w:tc>
          <w:tcPr>
            <w:tcW w:w="34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Six Months Ended</w:t>
            </w:r>
          </w:p>
        </w:tc>
      </w:tr>
      <w:tr>
        <w:trPr>
          <w:trHeight w:val="188"/>
        </w:trPr>
        <w:tc>
          <w:tcPr>
            <w:tcW w:w="4340" w:type="dxa"/>
            <w:vAlign w:val="bottom"/>
          </w:tcPr>
          <w:p>
            <w:pPr>
              <w:spacing w:after="0"/>
              <w:rPr>
                <w:sz w:val="16"/>
                <w:szCs w:val="16"/>
                <w:color w:val="auto"/>
              </w:rPr>
            </w:pP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November 30,</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November 30,</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November 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r>
      <w:tr>
        <w:trPr>
          <w:trHeight w:val="188"/>
        </w:trPr>
        <w:tc>
          <w:tcPr>
            <w:tcW w:w="4340" w:type="dxa"/>
            <w:vAlign w:val="bottom"/>
          </w:tcPr>
          <w:p>
            <w:pPr>
              <w:spacing w:after="0"/>
              <w:rPr>
                <w:sz w:val="16"/>
                <w:szCs w:val="16"/>
                <w:color w:val="auto"/>
              </w:rPr>
            </w:pP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117,068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113,173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234,263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219,350</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37,573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39,966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76,429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77,208</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79,495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73,207</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157,834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142,142</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43,671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40,070</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86,124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77,769</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25,520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22,041</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48,859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43,066</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3,296</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2,732</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6,358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5,321</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72,487</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64,843</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141,341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126,156</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7,008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8,364</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16,493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15,986</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75</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376"/>
        </w:trPr>
        <w:tc>
          <w:tcPr>
            <w:tcW w:w="4340" w:type="dxa"/>
            <w:vAlign w:val="bottom"/>
          </w:tcPr>
          <w:p>
            <w:pPr>
              <w:spacing w:after="0"/>
              <w:rPr>
                <w:sz w:val="24"/>
                <w:szCs w:val="24"/>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7,187</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8,439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16,836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16,108</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1,310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2,174</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3,632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4,239</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5,819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6,265</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13,124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11,869</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$0.42</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$0.46</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$0.95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$0.96</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$0.41</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$0.45</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$0.93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$0.92</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13,847,689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13,578,859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13,839,857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12,346,147</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14,067,079</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14,040,419</w:t>
            </w:r>
          </w:p>
        </w:tc>
        <w:tc>
          <w:tcPr>
            <w:tcW w:w="1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14,088,030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12,849,374</w:t>
            </w:r>
          </w:p>
        </w:tc>
      </w:tr>
    </w:tbl>
    <w:p>
      <w:pPr>
        <w:sectPr>
          <w:pgSz w:w="11900" w:h="16838" w:orient="portrait"/>
          <w:cols w:equalWidth="0" w:num="1">
            <w:col w:w="11520"/>
          </w:cols>
          <w:pgMar w:left="240" w:top="1244" w:right="1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ICON plc</w:t>
            </w:r>
          </w:p>
        </w:tc>
        <w:tc>
          <w:tcPr>
            <w:tcW w:w="2200" w:type="dxa"/>
            <w:vAlign w:val="bottom"/>
          </w:tcPr>
          <w:p>
            <w:pPr>
              <w:spacing w:after="0"/>
              <w:rPr>
                <w:sz w:val="15"/>
                <w:szCs w:val="15"/>
                <w:color w:val="auto"/>
              </w:rPr>
            </w:pPr>
          </w:p>
        </w:tc>
      </w:tr>
      <w:tr>
        <w:trPr>
          <w:trHeight w:val="376"/>
        </w:trPr>
        <w:tc>
          <w:tcPr>
            <w:tcW w:w="3080" w:type="dxa"/>
            <w:vAlign w:val="bottom"/>
          </w:tcPr>
          <w:p>
            <w:pPr>
              <w:spacing w:after="0"/>
              <w:rPr>
                <w:sz w:val="24"/>
                <w:szCs w:val="24"/>
                <w:color w:val="auto"/>
              </w:rPr>
            </w:pPr>
          </w:p>
        </w:tc>
        <w:tc>
          <w:tcPr>
            <w:tcW w:w="4340" w:type="dxa"/>
            <w:vAlign w:val="bottom"/>
            <w:gridSpan w:val="2"/>
          </w:tcPr>
          <w:p>
            <w:pPr>
              <w:jc w:val="right"/>
              <w:ind w:right="1279"/>
              <w:spacing w:after="0"/>
              <w:rPr>
                <w:sz w:val="20"/>
                <w:szCs w:val="20"/>
                <w:color w:val="auto"/>
              </w:rPr>
            </w:pPr>
            <w:r>
              <w:rPr>
                <w:rFonts w:ascii="Courier New" w:cs="Courier New" w:eastAsia="Courier New" w:hAnsi="Courier New"/>
                <w:sz w:val="16"/>
                <w:szCs w:val="16"/>
                <w:color w:val="auto"/>
              </w:rPr>
              <w:t>Summary Balance Sheet Data</w:t>
            </w:r>
          </w:p>
        </w:tc>
      </w:tr>
      <w:tr>
        <w:trPr>
          <w:trHeight w:val="188"/>
        </w:trPr>
        <w:tc>
          <w:tcPr>
            <w:tcW w:w="30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November 30, 2004 and</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May 31, 2004</w:t>
            </w:r>
          </w:p>
        </w:tc>
      </w:tr>
      <w:tr>
        <w:trPr>
          <w:trHeight w:val="188"/>
        </w:trPr>
        <w:tc>
          <w:tcPr>
            <w:tcW w:w="3080" w:type="dxa"/>
            <w:vAlign w:val="bottom"/>
          </w:tcPr>
          <w:p>
            <w:pPr>
              <w:spacing w:after="0"/>
              <w:rPr>
                <w:sz w:val="16"/>
                <w:szCs w:val="16"/>
                <w:color w:val="auto"/>
              </w:rPr>
            </w:pPr>
          </w:p>
        </w:tc>
        <w:tc>
          <w:tcPr>
            <w:tcW w:w="4340" w:type="dxa"/>
            <w:vAlign w:val="bottom"/>
            <w:gridSpan w:val="2"/>
          </w:tcPr>
          <w:p>
            <w:pPr>
              <w:jc w:val="right"/>
              <w:ind w:right="1379"/>
              <w:spacing w:after="0"/>
              <w:rPr>
                <w:sz w:val="20"/>
                <w:szCs w:val="20"/>
                <w:color w:val="auto"/>
              </w:rPr>
            </w:pPr>
            <w:r>
              <w:rPr>
                <w:rFonts w:ascii="Courier New" w:cs="Courier New" w:eastAsia="Courier New" w:hAnsi="Courier New"/>
                <w:sz w:val="16"/>
                <w:szCs w:val="16"/>
                <w:color w:val="auto"/>
              </w:rPr>
              <w:t>(Dollars, in thousands)</w:t>
            </w:r>
          </w:p>
        </w:tc>
      </w:tr>
      <w:tr>
        <w:trPr>
          <w:trHeight w:val="376"/>
        </w:trPr>
        <w:tc>
          <w:tcPr>
            <w:tcW w:w="30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November 30,</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8"/>
        </w:trPr>
        <w:tc>
          <w:tcPr>
            <w:tcW w:w="30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188"/>
        </w:trPr>
        <w:tc>
          <w:tcPr>
            <w:tcW w:w="30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(audited)</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Cash and short-term investments</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71,020</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78,763</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61,020</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78,763</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91,324</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74,079</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Unbilled revenue</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71,246</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59,861</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Payments on account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(74,186)</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(61,960)</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88,384</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71,980</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120,020</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113,813</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370,369</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335,323</w:t>
            </w: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236,254</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216,760</w:t>
            </w:r>
          </w:p>
        </w:tc>
      </w:tr>
      <w:tr>
        <w:trPr>
          <w:trHeight w:val="5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Source:</w:t>
            </w:r>
          </w:p>
        </w:tc>
        <w:tc>
          <w:tcPr>
            <w:tcW w:w="2140" w:type="dxa"/>
            <w:vAlign w:val="bottom"/>
          </w:tcPr>
          <w:p>
            <w:pPr>
              <w:ind w:left="340"/>
              <w:spacing w:after="0"/>
              <w:rPr>
                <w:sz w:val="20"/>
                <w:szCs w:val="20"/>
                <w:color w:val="auto"/>
              </w:rPr>
            </w:pPr>
            <w:r>
              <w:rPr>
                <w:rFonts w:ascii="Courier New" w:cs="Courier New" w:eastAsia="Courier New" w:hAnsi="Courier New"/>
                <w:sz w:val="16"/>
                <w:szCs w:val="16"/>
                <w:color w:val="auto"/>
              </w:rPr>
              <w:t>ICON plc</w:t>
            </w:r>
          </w:p>
        </w:tc>
        <w:tc>
          <w:tcPr>
            <w:tcW w:w="2200" w:type="dxa"/>
            <w:vAlign w:val="bottom"/>
          </w:tcPr>
          <w:p>
            <w:pPr>
              <w:spacing w:after="0"/>
              <w:rPr>
                <w:sz w:val="24"/>
                <w:szCs w:val="24"/>
                <w:color w:val="auto"/>
              </w:rPr>
            </w:pPr>
          </w:p>
        </w:tc>
      </w:tr>
      <w:tr>
        <w:trPr>
          <w:trHeight w:val="376"/>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Contact:</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Investor Relations</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1-888-381-7923 or</w:t>
            </w:r>
          </w:p>
        </w:tc>
      </w:tr>
      <w:tr>
        <w:trPr>
          <w:trHeight w:val="188"/>
        </w:trPr>
        <w:tc>
          <w:tcPr>
            <w:tcW w:w="3080" w:type="dxa"/>
            <w:vAlign w:val="bottom"/>
          </w:tcPr>
          <w:p>
            <w:pPr>
              <w:spacing w:after="0"/>
              <w:rPr>
                <w:sz w:val="16"/>
                <w:szCs w:val="16"/>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Sean Leech CFO + 353 1 291 2000</w:t>
            </w:r>
          </w:p>
        </w:tc>
      </w:tr>
      <w:tr>
        <w:trPr>
          <w:trHeight w:val="188"/>
        </w:trPr>
        <w:tc>
          <w:tcPr>
            <w:tcW w:w="3080" w:type="dxa"/>
            <w:vAlign w:val="bottom"/>
          </w:tcPr>
          <w:p>
            <w:pPr>
              <w:spacing w:after="0"/>
              <w:rPr>
                <w:sz w:val="16"/>
                <w:szCs w:val="16"/>
                <w:color w:val="auto"/>
              </w:rPr>
            </w:pPr>
          </w:p>
        </w:tc>
        <w:tc>
          <w:tcPr>
            <w:tcW w:w="2140" w:type="dxa"/>
            <w:vAlign w:val="bottom"/>
          </w:tcPr>
          <w:p>
            <w:pPr>
              <w:ind w:left="340"/>
              <w:spacing w:after="0"/>
              <w:rPr>
                <w:sz w:val="20"/>
                <w:szCs w:val="20"/>
                <w:color w:val="auto"/>
              </w:rPr>
            </w:pPr>
            <w:r>
              <w:rPr>
                <w:rFonts w:ascii="Courier New" w:cs="Courier New" w:eastAsia="Courier New" w:hAnsi="Courier New"/>
                <w:sz w:val="16"/>
                <w:szCs w:val="16"/>
                <w:color w:val="auto"/>
              </w:rPr>
              <w:t>both at ICON.</w:t>
            </w:r>
          </w:p>
        </w:tc>
        <w:tc>
          <w:tcPr>
            <w:tcW w:w="2200" w:type="dxa"/>
            <w:vAlign w:val="bottom"/>
          </w:tcPr>
          <w:p>
            <w:pPr>
              <w:spacing w:after="0"/>
              <w:rPr>
                <w:sz w:val="16"/>
                <w:szCs w:val="16"/>
                <w:color w:val="auto"/>
              </w:rPr>
            </w:pPr>
          </w:p>
        </w:tc>
      </w:tr>
    </w:tbl>
    <w:p>
      <w:pPr>
        <w:spacing w:after="0" w:line="19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http://www.iconclinical.com</w:t>
      </w:r>
    </w:p>
    <w:sectPr>
      <w:pgSz w:w="11900" w:h="16838" w:orient="portrait"/>
      <w:cols w:equalWidth="0" w:num="1">
        <w:col w:w="10219"/>
      </w:cols>
      <w:pgMar w:left="240" w:top="1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2019-12-14T20:51:38Z</dcterms:created>
  <dcterms:modified xsi:type="dcterms:W3CDTF">2019-12-14T20:51:38Z</dcterms:modified>
</cp:coreProperties>
</file>