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May 16, 2019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ICON plc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4200" w:type="dxa"/>
            <w:vAlign w:val="bottom"/>
            <w:gridSpan w:val="4"/>
          </w:tcPr>
          <w:p>
            <w:pPr>
              <w:spacing w:after="0"/>
              <w:rPr>
                <w:sz w:val="20"/>
                <w:szCs w:val="20"/>
                <w:color w:val="auto"/>
              </w:rPr>
            </w:pPr>
            <w:r>
              <w:rPr>
                <w:rFonts w:ascii="Arial" w:cs="Arial" w:eastAsia="Arial" w:hAnsi="Arial"/>
                <w:sz w:val="18"/>
                <w:szCs w:val="18"/>
                <w:b w:val="1"/>
                <w:bCs w:val="1"/>
                <w:color w:val="auto"/>
              </w:rPr>
              <w:t>Ireland</w:t>
            </w:r>
          </w:p>
        </w:tc>
        <w:tc>
          <w:tcPr>
            <w:tcW w:w="414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0"/>
              </w:rPr>
              <w:t>Not Applicable</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1220"/>
              <w:spacing w:after="0"/>
              <w:rPr>
                <w:sz w:val="20"/>
                <w:szCs w:val="20"/>
                <w:color w:val="auto"/>
              </w:rPr>
            </w:pPr>
            <w:r>
              <w:rPr>
                <w:rFonts w:ascii="Arial" w:cs="Arial" w:eastAsia="Arial" w:hAnsi="Arial"/>
                <w:sz w:val="18"/>
                <w:szCs w:val="18"/>
                <w:color w:val="auto"/>
                <w:w w:val="89"/>
              </w:rPr>
              <w:t>(State or other jurisdiction</w:t>
            </w: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vMerge w:val="continue"/>
          </w:tcPr>
          <w:p>
            <w:pPr>
              <w:spacing w:after="0"/>
              <w:rPr>
                <w:sz w:val="19"/>
                <w:szCs w:val="19"/>
                <w:color w:val="auto"/>
              </w:rPr>
            </w:pPr>
          </w:p>
        </w:tc>
        <w:tc>
          <w:tcPr>
            <w:tcW w:w="4200" w:type="dxa"/>
            <w:vAlign w:val="bottom"/>
            <w:gridSpan w:val="4"/>
          </w:tcPr>
          <w:p>
            <w:pPr>
              <w:ind w:left="80"/>
              <w:spacing w:after="0"/>
              <w:rPr>
                <w:sz w:val="20"/>
                <w:szCs w:val="20"/>
                <w:color w:val="auto"/>
              </w:rPr>
            </w:pPr>
            <w:r>
              <w:rPr>
                <w:rFonts w:ascii="Arial" w:cs="Arial" w:eastAsia="Arial" w:hAnsi="Arial"/>
                <w:sz w:val="18"/>
                <w:szCs w:val="18"/>
                <w:color w:val="auto"/>
              </w:rPr>
              <w:t>of incorporation or organization)</w:t>
            </w:r>
          </w:p>
        </w:tc>
        <w:tc>
          <w:tcPr>
            <w:tcW w:w="4140" w:type="dxa"/>
            <w:vAlign w:val="bottom"/>
            <w:gridSpan w:val="3"/>
          </w:tcPr>
          <w:p>
            <w:pPr>
              <w:jc w:val="center"/>
              <w:ind w:right="47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3"/>
        </w:trPr>
        <w:tc>
          <w:tcPr>
            <w:tcW w:w="3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South County Business Park</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80" w:type="dxa"/>
            <w:vAlign w:val="bottom"/>
            <w:gridSpan w:val="2"/>
          </w:tcPr>
          <w:p>
            <w:pPr>
              <w:jc w:val="center"/>
              <w:ind w:right="860"/>
              <w:spacing w:after="0" w:line="202" w:lineRule="exact"/>
              <w:rPr>
                <w:sz w:val="20"/>
                <w:szCs w:val="20"/>
                <w:color w:val="auto"/>
              </w:rPr>
            </w:pPr>
            <w:r>
              <w:rPr>
                <w:rFonts w:ascii="Arial" w:cs="Arial" w:eastAsia="Arial" w:hAnsi="Arial"/>
                <w:sz w:val="18"/>
                <w:szCs w:val="18"/>
                <w:b w:val="1"/>
                <w:bCs w:val="1"/>
                <w:color w:val="auto"/>
                <w:w w:val="89"/>
              </w:rPr>
              <w:t>Leopardstown</w:t>
            </w: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80" w:type="dxa"/>
            <w:vAlign w:val="bottom"/>
            <w:gridSpan w:val="2"/>
          </w:tcPr>
          <w:p>
            <w:pPr>
              <w:jc w:val="center"/>
              <w:ind w:right="860"/>
              <w:spacing w:after="0" w:line="194" w:lineRule="exact"/>
              <w:rPr>
                <w:sz w:val="20"/>
                <w:szCs w:val="20"/>
                <w:color w:val="auto"/>
              </w:rPr>
            </w:pPr>
            <w:r>
              <w:rPr>
                <w:rFonts w:ascii="Arial" w:cs="Arial" w:eastAsia="Arial" w:hAnsi="Arial"/>
                <w:sz w:val="18"/>
                <w:szCs w:val="18"/>
                <w:b w:val="1"/>
                <w:bCs w:val="1"/>
                <w:color w:val="auto"/>
                <w:w w:val="94"/>
              </w:rPr>
              <w:t>Dublin 18, Ireland</w:t>
            </w: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color w:val="auto"/>
              </w:rPr>
              <w:t>(Address of Principal Executive Offices)</w:t>
            </w:r>
          </w:p>
        </w:tc>
        <w:tc>
          <w:tcPr>
            <w:tcW w:w="142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80" w:type="dxa"/>
            <w:vAlign w:val="bottom"/>
          </w:tcPr>
          <w:p>
            <w:pPr>
              <w:ind w:left="98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ICON plc 2019 Consultants and Directors Restricted Share Unit Plan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Cahill Gordon &amp; Reindel </w:t>
      </w:r>
      <w:r>
        <w:rPr>
          <w:rFonts w:ascii="Arial" w:cs="Arial" w:eastAsia="Arial" w:hAnsi="Arial"/>
          <w:sz w:val="12"/>
          <w:szCs w:val="12"/>
          <w:b w:val="1"/>
          <w:bCs w:val="1"/>
          <w:color w:val="auto"/>
        </w:rPr>
        <w:t>LLP</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 Pine Street</w:t>
      </w:r>
    </w:p>
    <w:p>
      <w:pPr>
        <w:jc w:val="center"/>
        <w:spacing w:after="0" w:line="234" w:lineRule="auto"/>
        <w:rPr>
          <w:sz w:val="20"/>
          <w:szCs w:val="20"/>
          <w:color w:val="auto"/>
        </w:rPr>
      </w:pPr>
      <w:r>
        <w:rPr>
          <w:rFonts w:ascii="Arial" w:cs="Arial" w:eastAsia="Arial" w:hAnsi="Arial"/>
          <w:sz w:val="18"/>
          <w:szCs w:val="18"/>
          <w:b w:val="1"/>
          <w:bCs w:val="1"/>
          <w:color w:val="auto"/>
        </w:rPr>
        <w:t>New York, New York 10005</w:t>
      </w:r>
    </w:p>
    <w:p>
      <w:pPr>
        <w:jc w:val="center"/>
        <w:spacing w:after="0" w:line="235" w:lineRule="auto"/>
        <w:rPr>
          <w:sz w:val="20"/>
          <w:szCs w:val="20"/>
          <w:color w:val="auto"/>
        </w:rPr>
      </w:pPr>
      <w:r>
        <w:rPr>
          <w:rFonts w:ascii="Arial" w:cs="Arial" w:eastAsia="Arial" w:hAnsi="Arial"/>
          <w:sz w:val="18"/>
          <w:szCs w:val="18"/>
          <w:b w:val="1"/>
          <w:bCs w:val="1"/>
          <w:u w:val="single" w:color="auto"/>
          <w:color w:val="auto"/>
        </w:rPr>
        <w:t>Attention: Kimberly Petillo-Décossard, Esq.</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(212) 701-3000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23" w:lineRule="exact"/>
        <w:rPr>
          <w:sz w:val="24"/>
          <w:szCs w:val="24"/>
          <w:color w:val="auto"/>
        </w:rPr>
      </w:pPr>
    </w:p>
    <w:p>
      <w:pPr>
        <w:ind w:right="80"/>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85"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60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ind w:left="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3"/>
        </w:trPr>
        <w:tc>
          <w:tcPr>
            <w:tcW w:w="60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5"/>
          </w:tcPr>
          <w:p>
            <w:pPr>
              <w:ind w:left="6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7460" w:type="dxa"/>
            <w:vAlign w:val="bottom"/>
            <w:gridSpan w:val="5"/>
          </w:tcPr>
          <w:p>
            <w:pPr>
              <w:ind w:left="3980"/>
              <w:spacing w:after="0"/>
              <w:rPr>
                <w:sz w:val="20"/>
                <w:szCs w:val="20"/>
                <w:color w:val="auto"/>
              </w:rPr>
            </w:pPr>
            <w:r>
              <w:rPr>
                <w:rFonts w:ascii="Arial" w:cs="Arial" w:eastAsia="Arial" w:hAnsi="Arial"/>
                <w:sz w:val="18"/>
                <w:szCs w:val="18"/>
                <w:b w:val="1"/>
                <w:bCs w:val="1"/>
                <w:color w:val="auto"/>
              </w:rPr>
              <w:t>CALCULATION OF REGISTRATION FEE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84"/>
        </w:trPr>
        <w:tc>
          <w:tcPr>
            <w:tcW w:w="5960" w:type="dxa"/>
            <w:vAlign w:val="bottom"/>
            <w:tcBorders>
              <w:left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ind w:left="40"/>
              <w:spacing w:after="0" w:line="184" w:lineRule="exact"/>
              <w:rPr>
                <w:sz w:val="20"/>
                <w:szCs w:val="20"/>
                <w:color w:val="auto"/>
              </w:rPr>
            </w:pPr>
            <w:r>
              <w:rPr>
                <w:rFonts w:ascii="Arial" w:cs="Arial" w:eastAsia="Arial" w:hAnsi="Arial"/>
                <w:sz w:val="18"/>
                <w:szCs w:val="18"/>
                <w:b w:val="1"/>
                <w:bCs w:val="1"/>
                <w:color w:val="auto"/>
              </w:rPr>
              <w:t>Amount to be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right w:val="single" w:sz="8" w:color="auto"/>
            </w:tcBorders>
            <w:gridSpan w:val="2"/>
          </w:tcPr>
          <w:p>
            <w:pPr>
              <w:ind w:left="80"/>
              <w:spacing w:after="0" w:line="184" w:lineRule="exact"/>
              <w:rPr>
                <w:sz w:val="20"/>
                <w:szCs w:val="20"/>
                <w:color w:val="auto"/>
              </w:rPr>
            </w:pPr>
            <w:r>
              <w:rPr>
                <w:rFonts w:ascii="Arial" w:cs="Arial" w:eastAsia="Arial" w:hAnsi="Arial"/>
                <w:sz w:val="18"/>
                <w:szCs w:val="18"/>
                <w:b w:val="1"/>
                <w:bCs w:val="1"/>
                <w:color w:val="auto"/>
              </w:rPr>
              <w:t>Proposed</w:t>
            </w:r>
          </w:p>
        </w:tc>
        <w:tc>
          <w:tcPr>
            <w:tcW w:w="10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20"/>
              <w:spacing w:after="0" w:line="184" w:lineRule="exact"/>
              <w:rPr>
                <w:sz w:val="20"/>
                <w:szCs w:val="20"/>
                <w:color w:val="auto"/>
              </w:rPr>
            </w:pPr>
            <w:r>
              <w:rPr>
                <w:rFonts w:ascii="Arial" w:cs="Arial" w:eastAsia="Arial" w:hAnsi="Arial"/>
                <w:sz w:val="18"/>
                <w:szCs w:val="18"/>
                <w:b w:val="1"/>
                <w:bCs w:val="1"/>
                <w:color w:val="auto"/>
                <w:w w:val="86"/>
              </w:rPr>
              <w:t>Proposed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180"/>
              <w:spacing w:after="0" w:line="184" w:lineRule="exact"/>
              <w:rPr>
                <w:sz w:val="20"/>
                <w:szCs w:val="20"/>
                <w:color w:val="auto"/>
              </w:rPr>
            </w:pPr>
            <w:r>
              <w:rPr>
                <w:rFonts w:ascii="Arial" w:cs="Arial" w:eastAsia="Arial" w:hAnsi="Arial"/>
                <w:sz w:val="18"/>
                <w:szCs w:val="18"/>
                <w:b w:val="1"/>
                <w:bCs w:val="1"/>
                <w:color w:val="auto"/>
                <w:w w:val="91"/>
              </w:rPr>
              <w:t>Amount of</w:t>
            </w:r>
          </w:p>
        </w:tc>
      </w:tr>
      <w:tr>
        <w:trPr>
          <w:trHeight w:val="203"/>
        </w:trPr>
        <w:tc>
          <w:tcPr>
            <w:tcW w:w="59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Title of Securities to</w:t>
            </w:r>
          </w:p>
        </w:tc>
        <w:tc>
          <w:tcPr>
            <w:tcW w:w="120" w:type="dxa"/>
            <w:vAlign w:val="bottom"/>
          </w:tcPr>
          <w:p>
            <w:pPr>
              <w:spacing w:after="0"/>
              <w:rPr>
                <w:sz w:val="17"/>
                <w:szCs w:val="17"/>
                <w:color w:val="auto"/>
              </w:rPr>
            </w:pPr>
          </w:p>
        </w:tc>
        <w:tc>
          <w:tcPr>
            <w:tcW w:w="130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b w:val="1"/>
                <w:bCs w:val="1"/>
                <w:color w:val="auto"/>
              </w:rPr>
              <w:t>Registered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b w:val="1"/>
                <w:bCs w:val="1"/>
                <w:color w:val="auto"/>
              </w:rPr>
              <w:t>Maximum</w:t>
            </w:r>
          </w:p>
        </w:tc>
        <w:tc>
          <w:tcPr>
            <w:tcW w:w="10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6"/>
              </w:rPr>
              <w:t>Maximum</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1"/>
              </w:rPr>
              <w:t>Registration</w:t>
            </w:r>
          </w:p>
        </w:tc>
      </w:tr>
      <w:tr>
        <w:trPr>
          <w:trHeight w:val="203"/>
        </w:trPr>
        <w:tc>
          <w:tcPr>
            <w:tcW w:w="59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7"/>
              </w:rPr>
              <w:t>be Registered</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right w:val="single" w:sz="8" w:color="auto"/>
            </w:tcBorders>
            <w:gridSpan w:val="3"/>
          </w:tcPr>
          <w:p>
            <w:pPr>
              <w:ind w:left="20"/>
              <w:spacing w:after="0" w:line="202" w:lineRule="exact"/>
              <w:rPr>
                <w:sz w:val="20"/>
                <w:szCs w:val="20"/>
                <w:color w:val="auto"/>
              </w:rPr>
            </w:pPr>
            <w:r>
              <w:rPr>
                <w:rFonts w:ascii="Arial" w:cs="Arial" w:eastAsia="Arial" w:hAnsi="Arial"/>
                <w:sz w:val="18"/>
                <w:szCs w:val="18"/>
                <w:b w:val="1"/>
                <w:bCs w:val="1"/>
                <w:color w:val="auto"/>
                <w:w w:val="99"/>
              </w:rPr>
              <w:t>Offering Price</w:t>
            </w:r>
          </w:p>
        </w:tc>
        <w:tc>
          <w:tcPr>
            <w:tcW w:w="10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87"/>
              </w:rPr>
              <w:t>Aggregate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9"/>
              </w:rPr>
              <w:t>Fee (3)</w:t>
            </w:r>
          </w:p>
        </w:tc>
      </w:tr>
      <w:tr>
        <w:trPr>
          <w:trHeight w:val="203"/>
        </w:trPr>
        <w:tc>
          <w:tcPr>
            <w:tcW w:w="5960" w:type="dxa"/>
            <w:vAlign w:val="bottom"/>
            <w:tcBorders>
              <w:left w:val="single" w:sz="8" w:color="auto"/>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right w:val="single" w:sz="8" w:color="auto"/>
            </w:tcBorders>
            <w:gridSpan w:val="3"/>
          </w:tcPr>
          <w:p>
            <w:pPr>
              <w:ind w:left="80"/>
              <w:spacing w:after="0" w:line="202" w:lineRule="exact"/>
              <w:rPr>
                <w:sz w:val="20"/>
                <w:szCs w:val="20"/>
                <w:color w:val="auto"/>
              </w:rPr>
            </w:pPr>
            <w:r>
              <w:rPr>
                <w:rFonts w:ascii="Arial" w:cs="Arial" w:eastAsia="Arial" w:hAnsi="Arial"/>
                <w:sz w:val="18"/>
                <w:szCs w:val="18"/>
                <w:b w:val="1"/>
                <w:bCs w:val="1"/>
                <w:color w:val="auto"/>
              </w:rPr>
              <w:t>per share (2)</w:t>
            </w:r>
          </w:p>
        </w:tc>
        <w:tc>
          <w:tcPr>
            <w:tcW w:w="10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4"/>
              </w:rPr>
              <w:t>Offering</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28"/>
        </w:trPr>
        <w:tc>
          <w:tcPr>
            <w:tcW w:w="5960" w:type="dxa"/>
            <w:vAlign w:val="bottom"/>
            <w:tcBorders>
              <w:left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2"/>
              </w:rPr>
              <w:t>Price (2)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r>
      <w:tr>
        <w:trPr>
          <w:trHeight w:val="188"/>
        </w:trPr>
        <w:tc>
          <w:tcPr>
            <w:tcW w:w="5960" w:type="dxa"/>
            <w:vAlign w:val="bottom"/>
            <w:tcBorders>
              <w:left w:val="single" w:sz="8" w:color="auto"/>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Ordinary Shares, par value 6 Euro cents each reserved for issuance under the</w:t>
            </w:r>
          </w:p>
        </w:tc>
        <w:tc>
          <w:tcPr>
            <w:tcW w:w="1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r>
      <w:tr>
        <w:trPr>
          <w:trHeight w:val="224"/>
        </w:trPr>
        <w:tc>
          <w:tcPr>
            <w:tcW w:w="596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ICON plc 2019 Consultants and Directors Restricted Share Unit Plan</w:t>
            </w:r>
          </w:p>
        </w:tc>
        <w:tc>
          <w:tcPr>
            <w:tcW w:w="12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135.41</w:t>
            </w:r>
          </w:p>
        </w:tc>
        <w:tc>
          <w:tcPr>
            <w:tcW w:w="100" w:type="dxa"/>
            <w:vAlign w:val="bottom"/>
            <w:shd w:val="clear" w:color="auto" w:fill="CCEEFF"/>
          </w:tcPr>
          <w:p>
            <w:pPr>
              <w:spacing w:after="0"/>
              <w:rPr>
                <w:sz w:val="19"/>
                <w:szCs w:val="19"/>
                <w:color w:val="auto"/>
              </w:rPr>
            </w:pPr>
          </w:p>
        </w:tc>
        <w:tc>
          <w:tcPr>
            <w:tcW w:w="1280" w:type="dxa"/>
            <w:vAlign w:val="bottom"/>
            <w:tcBorders>
              <w:right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   33,852,500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4,102.92</w:t>
            </w:r>
          </w:p>
        </w:tc>
      </w:tr>
      <w:tr>
        <w:trPr>
          <w:trHeight w:val="426"/>
        </w:trPr>
        <w:tc>
          <w:tcPr>
            <w:tcW w:w="59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ind w:left="660" w:right="140" w:hanging="652"/>
        <w:spacing w:after="0" w:line="25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416(c) under the Securities Act of 1933, as amended (the “Securities Act”), this Registration Statement shall also cover an indeterminate number of Ordinary Shares that may, with respect to the Ordinary Shares registered hereunder, become issuable under the ICON plc 2019 Consultants and Directors Restricted Share Unit Plan (the “RSU Plan”) by reason of any stock dividend, stock split, recapitalization, or other similar transaction effected without ICON’s receipt of consideration that results in an increase in the number of outstanding Ordinary Shares in accordance with the provisions of the RSU Plan described herein.</w:t>
      </w:r>
    </w:p>
    <w:p>
      <w:pPr>
        <w:spacing w:after="0" w:line="188" w:lineRule="exact"/>
        <w:rPr>
          <w:rFonts w:ascii="Arial" w:cs="Arial" w:eastAsia="Arial" w:hAnsi="Arial"/>
          <w:sz w:val="18"/>
          <w:szCs w:val="18"/>
          <w:color w:val="auto"/>
        </w:rPr>
      </w:pPr>
    </w:p>
    <w:p>
      <w:pPr>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computed pursuant to Rule 457(c) and Rule 457(h)(1) under the Securities Act of 1933, as amended, on the basis of the average of the high and low sales prices of an ordinary share, as reported on The NASDAQ Global Select Market on May 13, 2019.</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is based on the proposed maximum aggregate offering price of $33,852,500. See note (2)</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r>
        <w:rPr>
          <w:rFonts w:ascii="Arial" w:cs="Arial" w:eastAsia="Arial" w:hAnsi="Arial"/>
          <w:sz w:val="17"/>
          <w:szCs w:val="17"/>
          <w:color w:val="auto"/>
        </w:rPr>
        <w:t>*</w:t>
      </w:r>
    </w:p>
    <w:p>
      <w:pPr>
        <w:spacing w:after="0" w:line="23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r>
        <w:rPr>
          <w:rFonts w:ascii="Arial" w:cs="Arial" w:eastAsia="Arial" w:hAnsi="Arial"/>
          <w:sz w:val="16"/>
          <w:szCs w:val="16"/>
          <w:color w:val="auto"/>
        </w:rPr>
        <w:t>*</w:t>
      </w:r>
    </w:p>
    <w:p>
      <w:pPr>
        <w:spacing w:after="0" w:line="243" w:lineRule="exact"/>
        <w:rPr>
          <w:sz w:val="20"/>
          <w:szCs w:val="20"/>
          <w:color w:val="auto"/>
        </w:rPr>
      </w:pPr>
    </w:p>
    <w:p>
      <w:pPr>
        <w:ind w:right="660" w:firstLine="8"/>
        <w:spacing w:after="0" w:line="291" w:lineRule="auto"/>
        <w:tabs>
          <w:tab w:leader="none" w:pos="585" w:val="left"/>
        </w:tabs>
        <w:numPr>
          <w:ilvl w:val="0"/>
          <w:numId w:val="2"/>
        </w:numPr>
        <w:rPr>
          <w:rFonts w:ascii="Arial" w:cs="Arial" w:eastAsia="Arial" w:hAnsi="Arial"/>
          <w:sz w:val="17"/>
          <w:szCs w:val="17"/>
          <w:color w:val="auto"/>
        </w:rPr>
      </w:pPr>
      <w:r>
        <w:rPr>
          <w:rFonts w:ascii="Arial" w:cs="Arial" w:eastAsia="Arial" w:hAnsi="Arial"/>
          <w:sz w:val="17"/>
          <w:szCs w:val="17"/>
          <w:color w:val="auto"/>
        </w:rPr>
        <w:t>Information required by Part I to be contained in the Section 10(a) prospectus is omitted from this Registration Statement (this “Registration Statement”) in accordance with Rule 428 under the Securities Act of 1933, as amended, and the Note to Part I of Form S-8.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4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documents have been filed with the Securities and Exchange Commission (the “Commission”) by ICON plc (“ICON” or the “Registrant”) and are hereby incorporated by reference into this Registration Statement:</w:t>
      </w:r>
    </w:p>
    <w:p>
      <w:pPr>
        <w:spacing w:after="0" w:line="19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ICON’s Annual Report on Form 20-F for the fiscal year ended December 31, 2018, filed with the Commission on March 1, 2019; and</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80" w:right="660" w:hanging="324"/>
        <w:spacing w:after="0" w:line="324"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description of ICON’s ordinary shares, par value 6 euro cents each (the “Ordinary Shares”) incorporated by reference to ICON’s Registration Statement on Form F-3 (File No. 333-133371) filed with the Commission on April 19, 2006, as amended on May 5, 2006.</w:t>
      </w:r>
    </w:p>
    <w:p>
      <w:pPr>
        <w:spacing w:after="0" w:line="15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addition, all documents subsequently filed by the Company with the Commission pursuant to Sections 13(a), 13(c), 14 or 15(d) of the Securities Exchange Act of 1934, as amended,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date of filing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 w:name="page3"/>
    <w:bookmarkEnd w:id="2"/>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4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Paragraph 141 of the Constitution of ICON provides as follows:</w:t>
      </w:r>
    </w:p>
    <w:p>
      <w:pPr>
        <w:spacing w:after="0" w:line="239" w:lineRule="exact"/>
        <w:rPr>
          <w:sz w:val="20"/>
          <w:szCs w:val="20"/>
          <w:color w:val="auto"/>
        </w:rPr>
      </w:pPr>
    </w:p>
    <w:p>
      <w:pPr>
        <w:ind w:left="660" w:right="40"/>
        <w:spacing w:after="0" w:line="239" w:lineRule="auto"/>
        <w:rPr>
          <w:sz w:val="20"/>
          <w:szCs w:val="20"/>
          <w:color w:val="auto"/>
        </w:rPr>
      </w:pPr>
      <w:r>
        <w:rPr>
          <w:rFonts w:ascii="Arial" w:cs="Arial" w:eastAsia="Arial" w:hAnsi="Arial"/>
          <w:sz w:val="18"/>
          <w:szCs w:val="18"/>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218" w:lineRule="exact"/>
        <w:rPr>
          <w:sz w:val="20"/>
          <w:szCs w:val="20"/>
          <w:color w:val="auto"/>
        </w:rPr>
      </w:pPr>
    </w:p>
    <w:p>
      <w:pPr>
        <w:ind w:left="660" w:right="160"/>
        <w:spacing w:after="0" w:line="324" w:lineRule="auto"/>
        <w:rPr>
          <w:sz w:val="20"/>
          <w:szCs w:val="20"/>
          <w:color w:val="auto"/>
        </w:rPr>
      </w:pPr>
      <w:r>
        <w:rPr>
          <w:rFonts w:ascii="Arial" w:cs="Arial" w:eastAsia="Arial" w:hAnsi="Arial"/>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ICON maintains a standard form of directors’ and officers’ insurance policy, which provides coverage to its directors and officers for certain liabilities.</w:t>
      </w:r>
    </w:p>
    <w:p>
      <w:pPr>
        <w:spacing w:after="0" w:line="24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complete list of exhibits filed or incorporated by reference as a part of this Registration Statement: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60" w:type="dxa"/>
            <w:vAlign w:val="bottom"/>
            <w:gridSpan w:val="3"/>
          </w:tcPr>
          <w:p>
            <w:pPr>
              <w:ind w:left="40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0160" w:type="dxa"/>
            <w:vAlign w:val="bottom"/>
            <w:gridSpan w:val="3"/>
          </w:tcPr>
          <w:p>
            <w:pPr>
              <w:ind w:left="400"/>
              <w:spacing w:after="0"/>
              <w:rPr>
                <w:sz w:val="20"/>
                <w:szCs w:val="20"/>
                <w:color w:val="auto"/>
              </w:rPr>
            </w:pPr>
            <w:r>
              <w:rPr>
                <w:rFonts w:ascii="Arial" w:cs="Arial" w:eastAsia="Arial" w:hAnsi="Arial"/>
                <w:sz w:val="18"/>
                <w:szCs w:val="18"/>
                <w:color w:val="auto"/>
              </w:rPr>
              <w:t>ICON plc 2019 Consultants and Directors Restricted Share Unit Plan.</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10160" w:type="dxa"/>
            <w:vAlign w:val="bottom"/>
            <w:gridSpan w:val="3"/>
          </w:tcPr>
          <w:p>
            <w:pPr>
              <w:ind w:left="400"/>
              <w:spacing w:after="0"/>
              <w:rPr>
                <w:sz w:val="20"/>
                <w:szCs w:val="20"/>
                <w:color w:val="auto"/>
              </w:rPr>
            </w:pPr>
            <w:r>
              <w:rPr>
                <w:rFonts w:ascii="Arial" w:cs="Arial" w:eastAsia="Arial" w:hAnsi="Arial"/>
                <w:sz w:val="18"/>
                <w:szCs w:val="18"/>
                <w:color w:val="auto"/>
              </w:rPr>
              <w:t>Opinion of A&amp;L Goodbody Solicitors with respect to the legality of the Ordinary Shares being registered hereby.</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10160" w:type="dxa"/>
            <w:vAlign w:val="bottom"/>
            <w:gridSpan w:val="3"/>
          </w:tcPr>
          <w:p>
            <w:pPr>
              <w:ind w:left="400"/>
              <w:spacing w:after="0"/>
              <w:rPr>
                <w:sz w:val="20"/>
                <w:szCs w:val="20"/>
                <w:color w:val="auto"/>
              </w:rPr>
            </w:pPr>
            <w:r>
              <w:rPr>
                <w:rFonts w:ascii="Arial" w:cs="Arial" w:eastAsia="Arial" w:hAnsi="Arial"/>
                <w:sz w:val="18"/>
                <w:szCs w:val="18"/>
                <w:color w:val="auto"/>
              </w:rPr>
              <w:t>Consent of KPMG.</w:t>
            </w:r>
          </w:p>
        </w:tc>
      </w:tr>
      <w:tr>
        <w:trPr>
          <w:trHeight w:val="412"/>
        </w:trPr>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4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65" w:lineRule="exact"/>
        <w:rPr>
          <w:rFonts w:ascii="Arial" w:cs="Arial" w:eastAsia="Arial" w:hAnsi="Arial"/>
          <w:sz w:val="18"/>
          <w:szCs w:val="18"/>
          <w:color w:val="auto"/>
        </w:rPr>
      </w:pPr>
    </w:p>
    <w:p>
      <w:pPr>
        <w:ind w:left="1800" w:hanging="495"/>
        <w:spacing w:after="0"/>
        <w:tabs>
          <w:tab w:leader="none" w:pos="18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77" w:lineRule="exact"/>
        <w:rPr>
          <w:rFonts w:ascii="Arial" w:cs="Arial" w:eastAsia="Arial" w:hAnsi="Arial"/>
          <w:sz w:val="17"/>
          <w:szCs w:val="17"/>
          <w:color w:val="auto"/>
        </w:rPr>
      </w:pPr>
    </w:p>
    <w:p>
      <w:pPr>
        <w:ind w:left="2400" w:hanging="447"/>
        <w:spacing w:after="0"/>
        <w:tabs>
          <w:tab w:leader="none" w:pos="24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65" w:lineRule="exact"/>
        <w:rPr>
          <w:rFonts w:ascii="Arial" w:cs="Arial" w:eastAsia="Arial" w:hAnsi="Arial"/>
          <w:sz w:val="18"/>
          <w:szCs w:val="18"/>
          <w:color w:val="auto"/>
        </w:rPr>
      </w:pPr>
    </w:p>
    <w:p>
      <w:pPr>
        <w:ind w:left="1300" w:right="60" w:firstLine="653"/>
        <w:spacing w:after="0" w:line="261" w:lineRule="auto"/>
        <w:tabs>
          <w:tab w:leader="none" w:pos="2445"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00" w:lineRule="exact"/>
        <w:rPr>
          <w:rFonts w:ascii="Arial" w:cs="Arial" w:eastAsia="Arial" w:hAnsi="Arial"/>
          <w:sz w:val="17"/>
          <w:szCs w:val="17"/>
          <w:color w:val="auto"/>
        </w:rPr>
      </w:pPr>
    </w:p>
    <w:p>
      <w:pPr>
        <w:ind w:left="1300" w:right="320" w:firstLine="653"/>
        <w:spacing w:after="0" w:line="293" w:lineRule="auto"/>
        <w:tabs>
          <w:tab w:leader="none" w:pos="2495"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239" w:lineRule="exact"/>
        <w:rPr>
          <w:sz w:val="20"/>
          <w:szCs w:val="20"/>
          <w:color w:val="auto"/>
        </w:rPr>
      </w:pPr>
    </w:p>
    <w:p>
      <w:pPr>
        <w:ind w:left="1300" w:right="160" w:firstLine="648"/>
        <w:spacing w:after="0" w:line="243" w:lineRule="auto"/>
        <w:rPr>
          <w:sz w:val="20"/>
          <w:szCs w:val="20"/>
          <w:color w:val="auto"/>
        </w:rPr>
      </w:pPr>
      <w:r>
        <w:rPr>
          <w:rFonts w:ascii="Arial" w:cs="Arial" w:eastAsia="Arial" w:hAnsi="Arial"/>
          <w:sz w:val="18"/>
          <w:szCs w:val="18"/>
          <w:color w:val="auto"/>
        </w:rPr>
        <w:t>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this Registration Statement.</w:t>
      </w:r>
    </w:p>
    <w:p>
      <w:pPr>
        <w:spacing w:after="0" w:line="215" w:lineRule="exact"/>
        <w:rPr>
          <w:sz w:val="20"/>
          <w:szCs w:val="20"/>
          <w:color w:val="auto"/>
        </w:rPr>
      </w:pPr>
    </w:p>
    <w:p>
      <w:pPr>
        <w:ind w:left="660" w:firstLine="645"/>
        <w:spacing w:after="0" w:line="264" w:lineRule="auto"/>
        <w:tabs>
          <w:tab w:leader="none" w:pos="1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660" w:right="220" w:firstLine="645"/>
        <w:spacing w:after="0" w:line="293" w:lineRule="auto"/>
        <w:tabs>
          <w:tab w:leader="none" w:pos="1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69" w:lineRule="exact"/>
        <w:rPr>
          <w:rFonts w:ascii="Arial" w:cs="Arial" w:eastAsia="Arial" w:hAnsi="Arial"/>
          <w:sz w:val="18"/>
          <w:szCs w:val="18"/>
          <w:color w:val="auto"/>
        </w:rPr>
      </w:pPr>
    </w:p>
    <w:p>
      <w:pPr>
        <w:ind w:left="660" w:right="80" w:firstLine="645"/>
        <w:spacing w:after="0" w:line="267" w:lineRule="auto"/>
        <w:tabs>
          <w:tab w:leader="none" w:pos="179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5" w:lineRule="exact"/>
        <w:rPr>
          <w:rFonts w:ascii="Arial" w:cs="Arial" w:eastAsia="Arial" w:hAnsi="Arial"/>
          <w:sz w:val="17"/>
          <w:szCs w:val="17"/>
          <w:color w:val="auto"/>
        </w:rPr>
      </w:pPr>
    </w:p>
    <w:p>
      <w:pPr>
        <w:ind w:left="660" w:right="80" w:firstLine="645"/>
        <w:spacing w:after="0" w:line="259" w:lineRule="auto"/>
        <w:tabs>
          <w:tab w:leader="none" w:pos="179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Dublin, Ireland on May 16, 2019.</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Brendan Brennan</w:t>
      </w:r>
    </w:p>
    <w:p>
      <w:pPr>
        <w:spacing w:after="0" w:line="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Brendan Brennan</w:t>
      </w:r>
    </w:p>
    <w:p>
      <w:pPr>
        <w:ind w:left="716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Dr. Steve Cutler and Brendan Brennan, and each of them, his or her true and lawful attorneys-in-fact and agents, with full power of substitution and resubstitution, for him or her and in his or her name, place, and stead, in any and all capacities, to sign the Registration Statement on Form S-8 under the Securities Act of 1933, as amended, to sign any and all pre- or post-effective amendments to the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080" w:type="dxa"/>
            <w:vAlign w:val="bottom"/>
            <w:gridSpan w:val="14"/>
          </w:tcPr>
          <w:p>
            <w:pPr>
              <w:spacing w:after="0"/>
              <w:rPr>
                <w:sz w:val="20"/>
                <w:szCs w:val="20"/>
                <w:color w:val="auto"/>
              </w:rPr>
            </w:pPr>
            <w:r>
              <w:rPr>
                <w:rFonts w:ascii="Arial" w:cs="Arial" w:eastAsia="Arial" w:hAnsi="Arial"/>
                <w:sz w:val="18"/>
                <w:szCs w:val="18"/>
                <w:b w:val="1"/>
                <w:bCs w:val="1"/>
                <w:color w:val="auto"/>
              </w:rPr>
              <w:t>Signature</w:t>
            </w:r>
          </w:p>
        </w:tc>
        <w:tc>
          <w:tcPr>
            <w:tcW w:w="5720" w:type="dxa"/>
            <w:vAlign w:val="bottom"/>
            <w:gridSpan w:val="3"/>
          </w:tcPr>
          <w:p>
            <w:pPr>
              <w:ind w:left="2020"/>
              <w:spacing w:after="0"/>
              <w:rPr>
                <w:sz w:val="20"/>
                <w:szCs w:val="20"/>
                <w:color w:val="auto"/>
              </w:rPr>
            </w:pPr>
            <w:r>
              <w:rPr>
                <w:rFonts w:ascii="Arial" w:cs="Arial" w:eastAsia="Arial" w:hAnsi="Arial"/>
                <w:sz w:val="18"/>
                <w:szCs w:val="18"/>
                <w:b w:val="1"/>
                <w:bCs w:val="1"/>
                <w:color w:val="auto"/>
              </w:rPr>
              <w:t>Title</w:t>
            </w:r>
          </w:p>
        </w:tc>
        <w:tc>
          <w:tcPr>
            <w:tcW w:w="3120" w:type="dxa"/>
            <w:vAlign w:val="bottom"/>
            <w:gridSpan w:val="3"/>
          </w:tcPr>
          <w:p>
            <w:pPr>
              <w:ind w:left="1540"/>
              <w:spacing w:after="0"/>
              <w:rPr>
                <w:sz w:val="20"/>
                <w:szCs w:val="20"/>
                <w:color w:val="auto"/>
              </w:rPr>
            </w:pPr>
            <w:r>
              <w:rPr>
                <w:rFonts w:ascii="Arial" w:cs="Arial" w:eastAsia="Arial" w:hAnsi="Arial"/>
                <w:sz w:val="18"/>
                <w:szCs w:val="18"/>
                <w:b w:val="1"/>
                <w:bCs w:val="1"/>
                <w:color w:val="auto"/>
              </w:rPr>
              <w:t>Date</w:t>
            </w:r>
          </w:p>
        </w:tc>
      </w:tr>
      <w:tr>
        <w:trPr>
          <w:trHeight w:val="20"/>
        </w:trPr>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85"/>
        </w:trPr>
        <w:tc>
          <w:tcPr>
            <w:tcW w:w="2580" w:type="dxa"/>
            <w:vAlign w:val="bottom"/>
            <w:gridSpan w:val="15"/>
          </w:tcPr>
          <w:p>
            <w:pPr>
              <w:spacing w:after="0"/>
              <w:rPr>
                <w:sz w:val="20"/>
                <w:szCs w:val="20"/>
                <w:color w:val="auto"/>
              </w:rPr>
            </w:pPr>
            <w:r>
              <w:rPr>
                <w:rFonts w:ascii="Arial" w:cs="Arial" w:eastAsia="Arial" w:hAnsi="Arial"/>
                <w:sz w:val="18"/>
                <w:szCs w:val="18"/>
                <w:color w:val="auto"/>
              </w:rPr>
              <w:t>/s/ Ciaran Murray</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Non-Executive Chairman of the Board, Director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2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Ciaran Murray</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2580" w:type="dxa"/>
            <w:vAlign w:val="bottom"/>
            <w:gridSpan w:val="15"/>
          </w:tcPr>
          <w:p>
            <w:pPr>
              <w:spacing w:after="0"/>
              <w:rPr>
                <w:sz w:val="20"/>
                <w:szCs w:val="20"/>
                <w:color w:val="auto"/>
              </w:rPr>
            </w:pPr>
            <w:r>
              <w:rPr>
                <w:rFonts w:ascii="Arial" w:cs="Arial" w:eastAsia="Arial" w:hAnsi="Arial"/>
                <w:sz w:val="18"/>
                <w:szCs w:val="18"/>
                <w:color w:val="auto"/>
              </w:rPr>
              <w:t>/s/ Dr. Steve Cutler</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Chief Executive Officer, Director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3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Dr. Steve Cutler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(principal executive officer)</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2580" w:type="dxa"/>
            <w:vAlign w:val="bottom"/>
            <w:gridSpan w:val="15"/>
          </w:tcPr>
          <w:p>
            <w:pPr>
              <w:spacing w:after="0"/>
              <w:rPr>
                <w:sz w:val="20"/>
                <w:szCs w:val="20"/>
                <w:color w:val="auto"/>
              </w:rPr>
            </w:pPr>
            <w:r>
              <w:rPr>
                <w:rFonts w:ascii="Arial" w:cs="Arial" w:eastAsia="Arial" w:hAnsi="Arial"/>
                <w:sz w:val="18"/>
                <w:szCs w:val="18"/>
                <w:color w:val="auto"/>
              </w:rPr>
              <w:t>/s/ Brendan Brennan</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Chief Financial Officer, Chief Accounting Officer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4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Brendan Brennan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(principal financial and accounting officer)</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2580" w:type="dxa"/>
            <w:vAlign w:val="bottom"/>
            <w:gridSpan w:val="15"/>
          </w:tcPr>
          <w:p>
            <w:pPr>
              <w:spacing w:after="0"/>
              <w:rPr>
                <w:sz w:val="20"/>
                <w:szCs w:val="20"/>
                <w:color w:val="auto"/>
              </w:rPr>
            </w:pPr>
            <w:r>
              <w:rPr>
                <w:rFonts w:ascii="Arial" w:cs="Arial" w:eastAsia="Arial" w:hAnsi="Arial"/>
                <w:sz w:val="18"/>
                <w:szCs w:val="18"/>
                <w:color w:val="auto"/>
              </w:rPr>
              <w:t>/s/ Dr. John Climax</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4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Dr. John Climax</w:t>
            </w: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2580" w:type="dxa"/>
            <w:vAlign w:val="bottom"/>
            <w:gridSpan w:val="15"/>
          </w:tcPr>
          <w:p>
            <w:pPr>
              <w:spacing w:after="0"/>
              <w:rPr>
                <w:sz w:val="20"/>
                <w:szCs w:val="20"/>
                <w:color w:val="auto"/>
              </w:rPr>
            </w:pPr>
            <w:r>
              <w:rPr>
                <w:rFonts w:ascii="Arial" w:cs="Arial" w:eastAsia="Arial" w:hAnsi="Arial"/>
                <w:sz w:val="18"/>
                <w:szCs w:val="18"/>
                <w:color w:val="auto"/>
              </w:rPr>
              <w:t>/s/ Ronan Murphy</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3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Ronan Murphy</w:t>
            </w:r>
          </w:p>
        </w:tc>
        <w:tc>
          <w:tcPr>
            <w:tcW w:w="8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2580" w:type="dxa"/>
            <w:vAlign w:val="bottom"/>
            <w:gridSpan w:val="15"/>
          </w:tcPr>
          <w:p>
            <w:pPr>
              <w:spacing w:after="0"/>
              <w:rPr>
                <w:sz w:val="20"/>
                <w:szCs w:val="20"/>
                <w:color w:val="auto"/>
              </w:rPr>
            </w:pPr>
            <w:r>
              <w:rPr>
                <w:rFonts w:ascii="Arial" w:cs="Arial" w:eastAsia="Arial" w:hAnsi="Arial"/>
                <w:sz w:val="18"/>
                <w:szCs w:val="18"/>
                <w:color w:val="auto"/>
              </w:rPr>
              <w:t>/s/ Prof. Dermot Kelleher</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84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Prof. Dermot Kelleher</w:t>
            </w:r>
          </w:p>
        </w:tc>
        <w:tc>
          <w:tcPr>
            <w:tcW w:w="7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2580" w:type="dxa"/>
            <w:vAlign w:val="bottom"/>
            <w:gridSpan w:val="15"/>
          </w:tcPr>
          <w:p>
            <w:pPr>
              <w:spacing w:after="0"/>
              <w:rPr>
                <w:sz w:val="20"/>
                <w:szCs w:val="20"/>
                <w:color w:val="auto"/>
              </w:rPr>
            </w:pPr>
            <w:r>
              <w:rPr>
                <w:rFonts w:ascii="Arial" w:cs="Arial" w:eastAsia="Arial" w:hAnsi="Arial"/>
                <w:sz w:val="18"/>
                <w:szCs w:val="18"/>
                <w:color w:val="auto"/>
              </w:rPr>
              <w:t>/s/ Declan McKeon</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4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Declan McKeon</w:t>
            </w:r>
          </w:p>
        </w:tc>
        <w:tc>
          <w:tcPr>
            <w:tcW w:w="40" w:type="dxa"/>
            <w:vAlign w:val="bottom"/>
            <w:gridSpan w:val="2"/>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2580" w:type="dxa"/>
            <w:vAlign w:val="bottom"/>
            <w:gridSpan w:val="15"/>
          </w:tcPr>
          <w:p>
            <w:pPr>
              <w:spacing w:after="0"/>
              <w:rPr>
                <w:sz w:val="20"/>
                <w:szCs w:val="20"/>
                <w:color w:val="auto"/>
              </w:rPr>
            </w:pPr>
            <w:r>
              <w:rPr>
                <w:rFonts w:ascii="Arial" w:cs="Arial" w:eastAsia="Arial" w:hAnsi="Arial"/>
                <w:sz w:val="18"/>
                <w:szCs w:val="18"/>
                <w:color w:val="auto"/>
              </w:rPr>
              <w:t>/s/ Prof. William Hall</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56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Prof. William Hall</w:t>
            </w:r>
          </w:p>
        </w:tc>
        <w:tc>
          <w:tcPr>
            <w:tcW w:w="1020" w:type="dxa"/>
            <w:vAlign w:val="bottom"/>
            <w:gridSpan w:val="2"/>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2580" w:type="dxa"/>
            <w:vAlign w:val="bottom"/>
            <w:gridSpan w:val="15"/>
          </w:tcPr>
          <w:p>
            <w:pPr>
              <w:spacing w:after="0"/>
              <w:rPr>
                <w:sz w:val="20"/>
                <w:szCs w:val="20"/>
                <w:color w:val="auto"/>
              </w:rPr>
            </w:pPr>
            <w:r>
              <w:rPr>
                <w:rFonts w:ascii="Arial" w:cs="Arial" w:eastAsia="Arial" w:hAnsi="Arial"/>
                <w:sz w:val="18"/>
                <w:szCs w:val="18"/>
                <w:color w:val="auto"/>
              </w:rPr>
              <w:t>/s/ Mary Pendergast</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4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Mary Pendergast</w:t>
            </w: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3"/>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2580" w:type="dxa"/>
            <w:vAlign w:val="bottom"/>
            <w:gridSpan w:val="15"/>
          </w:tcPr>
          <w:p>
            <w:pPr>
              <w:spacing w:after="0"/>
              <w:rPr>
                <w:sz w:val="20"/>
                <w:szCs w:val="20"/>
                <w:color w:val="auto"/>
              </w:rPr>
            </w:pPr>
            <w:r>
              <w:rPr>
                <w:rFonts w:ascii="Arial" w:cs="Arial" w:eastAsia="Arial" w:hAnsi="Arial"/>
                <w:sz w:val="18"/>
                <w:szCs w:val="18"/>
                <w:color w:val="auto"/>
              </w:rPr>
              <w:t>/s/ Prof. Hugh Brady</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52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Prof. Hugh Brady</w:t>
            </w:r>
          </w:p>
        </w:tc>
        <w:tc>
          <w:tcPr>
            <w:tcW w:w="1060" w:type="dxa"/>
            <w:vAlign w:val="bottom"/>
            <w:gridSpan w:val="3"/>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2580" w:type="dxa"/>
            <w:vAlign w:val="bottom"/>
            <w:gridSpan w:val="15"/>
          </w:tcPr>
          <w:p>
            <w:pPr>
              <w:spacing w:after="0"/>
              <w:rPr>
                <w:sz w:val="20"/>
                <w:szCs w:val="20"/>
                <w:color w:val="auto"/>
              </w:rPr>
            </w:pPr>
            <w:r>
              <w:rPr>
                <w:rFonts w:ascii="Arial" w:cs="Arial" w:eastAsia="Arial" w:hAnsi="Arial"/>
                <w:sz w:val="18"/>
                <w:szCs w:val="18"/>
                <w:color w:val="auto"/>
              </w:rPr>
              <w:t>/s/ Eugene McCague</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50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Eugene McCague</w:t>
            </w:r>
          </w:p>
        </w:tc>
        <w:tc>
          <w:tcPr>
            <w:tcW w:w="1080" w:type="dxa"/>
            <w:vAlign w:val="bottom"/>
            <w:gridSpan w:val="4"/>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2580" w:type="dxa"/>
            <w:vAlign w:val="bottom"/>
            <w:gridSpan w:val="15"/>
          </w:tcPr>
          <w:p>
            <w:pPr>
              <w:spacing w:after="0"/>
              <w:rPr>
                <w:sz w:val="20"/>
                <w:szCs w:val="20"/>
                <w:color w:val="auto"/>
              </w:rPr>
            </w:pPr>
            <w:r>
              <w:rPr>
                <w:rFonts w:ascii="Arial" w:cs="Arial" w:eastAsia="Arial" w:hAnsi="Arial"/>
                <w:sz w:val="18"/>
                <w:szCs w:val="18"/>
                <w:color w:val="auto"/>
              </w:rPr>
              <w:t>/s/ Joan Garahy</w:t>
            </w:r>
          </w:p>
        </w:tc>
        <w:tc>
          <w:tcPr>
            <w:tcW w:w="5720" w:type="dxa"/>
            <w:vAlign w:val="bottom"/>
            <w:gridSpan w:val="3"/>
          </w:tcPr>
          <w:p>
            <w:pPr>
              <w:ind w:left="72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ind w:left="1380"/>
              <w:spacing w:after="0"/>
              <w:rPr>
                <w:sz w:val="20"/>
                <w:szCs w:val="20"/>
                <w:color w:val="auto"/>
              </w:rPr>
            </w:pPr>
            <w:r>
              <w:rPr>
                <w:rFonts w:ascii="Arial" w:cs="Arial" w:eastAsia="Arial" w:hAnsi="Arial"/>
                <w:sz w:val="18"/>
                <w:szCs w:val="18"/>
                <w:color w:val="auto"/>
              </w:rPr>
              <w:t>May 16, 2019</w:t>
            </w:r>
          </w:p>
        </w:tc>
      </w:tr>
      <w:tr>
        <w:trPr>
          <w:trHeight w:val="224"/>
        </w:trPr>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Joan Garahy</w:t>
            </w:r>
          </w:p>
        </w:tc>
        <w:tc>
          <w:tcPr>
            <w:tcW w:w="1460" w:type="dxa"/>
            <w:vAlign w:val="bottom"/>
            <w:gridSpan w:val="13"/>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1"/>
        </w:trPr>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180" w:type="dxa"/>
            <w:vAlign w:val="bottom"/>
          </w:tcPr>
          <w:p>
            <w:pPr>
              <w:ind w:left="640"/>
              <w:spacing w:after="0"/>
              <w:rPr>
                <w:sz w:val="20"/>
                <w:szCs w:val="20"/>
                <w:color w:val="auto"/>
              </w:rPr>
            </w:pPr>
            <w:r>
              <w:rPr>
                <w:rFonts w:ascii="Arial" w:cs="Arial" w:eastAsia="Arial" w:hAnsi="Arial"/>
                <w:sz w:val="18"/>
                <w:szCs w:val="18"/>
                <w:b w:val="1"/>
                <w:bCs w:val="1"/>
                <w:color w:val="auto"/>
              </w:rPr>
              <w:t>AUTHORIZED REPRESENTATIVE</w:t>
            </w:r>
          </w:p>
        </w:tc>
        <w:tc>
          <w:tcPr>
            <w:tcW w:w="2620" w:type="dxa"/>
            <w:vAlign w:val="bottom"/>
          </w:tcPr>
          <w:p>
            <w:pPr>
              <w:spacing w:after="0"/>
              <w:rPr>
                <w:sz w:val="20"/>
                <w:szCs w:val="20"/>
                <w:color w:val="auto"/>
              </w:rPr>
            </w:pPr>
          </w:p>
        </w:tc>
      </w:tr>
      <w:tr>
        <w:trPr>
          <w:trHeight w:val="419"/>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Puglisi &amp; Associates</w:t>
            </w:r>
          </w:p>
        </w:tc>
        <w:tc>
          <w:tcPr>
            <w:tcW w:w="51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65"/>
        </w:trPr>
        <w:tc>
          <w:tcPr>
            <w:tcW w:w="3620" w:type="dxa"/>
            <w:vAlign w:val="bottom"/>
            <w:gridSpan w:val="2"/>
          </w:tcPr>
          <w:p>
            <w:pPr>
              <w:spacing w:after="0"/>
              <w:rPr>
                <w:sz w:val="20"/>
                <w:szCs w:val="20"/>
                <w:color w:val="auto"/>
              </w:rPr>
            </w:pPr>
            <w:r>
              <w:rPr>
                <w:rFonts w:ascii="Arial" w:cs="Arial" w:eastAsia="Arial" w:hAnsi="Arial"/>
                <w:sz w:val="18"/>
                <w:szCs w:val="18"/>
                <w:color w:val="auto"/>
              </w:rPr>
              <w:t>/s/ Donald J. Puglisi</w:t>
            </w:r>
          </w:p>
        </w:tc>
        <w:tc>
          <w:tcPr>
            <w:tcW w:w="5180" w:type="dxa"/>
            <w:vAlign w:val="bottom"/>
          </w:tcPr>
          <w:p>
            <w:pPr>
              <w:ind w:left="900"/>
              <w:spacing w:after="0"/>
              <w:rPr>
                <w:sz w:val="20"/>
                <w:szCs w:val="20"/>
                <w:color w:val="auto"/>
              </w:rPr>
            </w:pPr>
            <w:r>
              <w:rPr>
                <w:rFonts w:ascii="Arial" w:cs="Arial" w:eastAsia="Arial" w:hAnsi="Arial"/>
                <w:sz w:val="18"/>
                <w:szCs w:val="18"/>
                <w:color w:val="auto"/>
              </w:rPr>
              <w:t>Authorized Representative in the United States</w:t>
            </w:r>
          </w:p>
        </w:tc>
        <w:tc>
          <w:tcPr>
            <w:tcW w:w="2620" w:type="dxa"/>
            <w:vAlign w:val="bottom"/>
          </w:tcPr>
          <w:p>
            <w:pPr>
              <w:ind w:left="880"/>
              <w:spacing w:after="0"/>
              <w:rPr>
                <w:sz w:val="20"/>
                <w:szCs w:val="20"/>
                <w:color w:val="auto"/>
              </w:rPr>
            </w:pPr>
            <w:r>
              <w:rPr>
                <w:rFonts w:ascii="Arial" w:cs="Arial" w:eastAsia="Arial" w:hAnsi="Arial"/>
                <w:sz w:val="18"/>
                <w:szCs w:val="18"/>
                <w:color w:val="auto"/>
              </w:rPr>
              <w:t>May 16, 2019</w:t>
            </w:r>
          </w:p>
        </w:tc>
      </w:tr>
      <w:tr>
        <w:trPr>
          <w:trHeight w:val="195"/>
        </w:trPr>
        <w:tc>
          <w:tcPr>
            <w:tcW w:w="1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Donald J. Puglisi</w:t>
            </w:r>
          </w:p>
        </w:tc>
        <w:tc>
          <w:tcPr>
            <w:tcW w:w="21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Managing Director, Puglisi &amp; Associates</w:t>
            </w:r>
          </w:p>
        </w:tc>
        <w:tc>
          <w:tcPr>
            <w:tcW w:w="51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12"/>
        </w:trPr>
        <w:tc>
          <w:tcPr>
            <w:tcW w:w="1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300" w:type="dxa"/>
            <w:vAlign w:val="bottom"/>
          </w:tcPr>
          <w:p>
            <w:pPr>
              <w:ind w:left="2100"/>
              <w:spacing w:after="0"/>
              <w:rPr>
                <w:sz w:val="20"/>
                <w:szCs w:val="20"/>
                <w:color w:val="auto"/>
              </w:rPr>
            </w:pPr>
            <w:r>
              <w:rPr>
                <w:rFonts w:ascii="Arial" w:cs="Arial" w:eastAsia="Arial" w:hAnsi="Arial"/>
                <w:sz w:val="18"/>
                <w:szCs w:val="18"/>
                <w:b w:val="1"/>
                <w:bCs w:val="1"/>
                <w:color w:val="auto"/>
              </w:rPr>
              <w:t>INDEX TO EXHIBITS</w:t>
            </w:r>
          </w:p>
        </w:tc>
      </w:tr>
      <w:tr>
        <w:trPr>
          <w:trHeight w:val="405"/>
        </w:trPr>
        <w:tc>
          <w:tcPr>
            <w:tcW w:w="18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1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24"/>
                <w:szCs w:val="24"/>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ICON plc 2019 Consultants and Directors Restricted Share Unit Plan</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1040" w:type="dxa"/>
            <w:vAlign w:val="bottom"/>
          </w:tcPr>
          <w:p>
            <w:pPr>
              <w:spacing w:after="0"/>
              <w:rPr>
                <w:sz w:val="24"/>
                <w:szCs w:val="24"/>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w w:val="91"/>
              </w:rPr>
              <w:t>Opinion of A&amp;L Goodbody Solicitors with respect to the legality of the Ordinary Shares being registered hereby.</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1040" w:type="dxa"/>
            <w:vAlign w:val="bottom"/>
          </w:tcPr>
          <w:p>
            <w:pPr>
              <w:spacing w:after="0"/>
              <w:rPr>
                <w:sz w:val="24"/>
                <w:szCs w:val="24"/>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Consent of KPMG.</w:t>
            </w:r>
          </w:p>
        </w:tc>
      </w:tr>
    </w:tbl>
    <w:p>
      <w:pPr>
        <w:sectPr>
          <w:pgSz w:w="11900" w:h="16838" w:orient="portrait"/>
          <w:cols w:equalWidth="0" w:num="1">
            <w:col w:w="10219"/>
          </w:cols>
          <w:pgMar w:left="240" w:top="364"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4.1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Consultants and Directors Restricted Share Unit Plan</w:t>
      </w:r>
    </w:p>
    <w:p>
      <w:pPr>
        <w:jc w:val="center"/>
        <w:spacing w:after="0"/>
        <w:rPr>
          <w:sz w:val="20"/>
          <w:szCs w:val="20"/>
          <w:color w:val="auto"/>
        </w:rPr>
      </w:pPr>
      <w:r>
        <w:rPr>
          <w:rFonts w:ascii="Arial" w:cs="Arial" w:eastAsia="Arial" w:hAnsi="Arial"/>
          <w:sz w:val="22"/>
          <w:szCs w:val="22"/>
          <w:color w:val="auto"/>
        </w:rPr>
        <w:t>(Effective as of 16th May, 2019)</w:t>
      </w:r>
    </w:p>
    <w:p>
      <w:pPr>
        <w:spacing w:after="0" w:line="215"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right="220" w:firstLine="1297"/>
        <w:spacing w:after="0" w:line="224" w:lineRule="auto"/>
        <w:rPr>
          <w:sz w:val="20"/>
          <w:szCs w:val="20"/>
          <w:color w:val="auto"/>
        </w:rPr>
      </w:pPr>
      <w:r>
        <w:rPr>
          <w:rFonts w:ascii="Arial" w:cs="Arial" w:eastAsia="Arial" w:hAnsi="Arial"/>
          <w:sz w:val="21"/>
          <w:szCs w:val="21"/>
          <w:color w:val="auto"/>
        </w:rPr>
        <w:t>The ICON plc 2019 Consultants and Directors Restricted Share Unit Plan (the “Plan”) is established, pursuant to a resolution of Directors dated 30</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April, 2019. The purpose of the Plan is to promote the long-term success of the Company and the creation of shareholder value by (a) encouraging Consultants and Directors (as defined below) to focus on critical long-range objectives, (b) encouraging the attraction and retention of Consultants and Directors, and (c) linking Consultants and Directors directly to shareholder interests through increased share ownership. The Plan seeks to achieve this purpose by providing for Awards in the form of Restricted Share Units and Other Share-Based Awards. The Plan shall be governed by, and construed in accordance with, the laws of Ireland.</w:t>
      </w:r>
    </w:p>
    <w:p>
      <w:pPr>
        <w:spacing w:after="0" w:line="190" w:lineRule="exact"/>
        <w:rPr>
          <w:sz w:val="20"/>
          <w:szCs w:val="20"/>
          <w:color w:val="auto"/>
        </w:rPr>
      </w:pPr>
    </w:p>
    <w:p>
      <w:pPr>
        <w:ind w:left="1960" w:hanging="655"/>
        <w:spacing w:after="0"/>
        <w:tabs>
          <w:tab w:leader="none" w:pos="196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purposes of the Plan, the following terms shall be defined as set forth below:</w:t>
      </w:r>
    </w:p>
    <w:p>
      <w:pPr>
        <w:spacing w:after="0" w:line="206" w:lineRule="exact"/>
        <w:rPr>
          <w:sz w:val="20"/>
          <w:szCs w:val="20"/>
          <w:color w:val="auto"/>
        </w:rPr>
      </w:pPr>
    </w:p>
    <w:p>
      <w:pPr>
        <w:ind w:left="1820" w:hanging="515"/>
        <w:spacing w:after="0"/>
        <w:tabs>
          <w:tab w:leader="none" w:pos="1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“Award” means any Restricted Share Unit or Other Share-Based Award granted under the Plan.</w:t>
      </w:r>
    </w:p>
    <w:p>
      <w:pPr>
        <w:spacing w:after="0" w:line="206" w:lineRule="exact"/>
        <w:rPr>
          <w:rFonts w:ascii="Arial" w:cs="Arial" w:eastAsia="Arial" w:hAnsi="Arial"/>
          <w:sz w:val="22"/>
          <w:szCs w:val="22"/>
          <w:color w:val="auto"/>
        </w:rPr>
      </w:pPr>
    </w:p>
    <w:p>
      <w:pPr>
        <w:ind w:right="260" w:firstLine="1305"/>
        <w:spacing w:after="0" w:line="251" w:lineRule="auto"/>
        <w:tabs>
          <w:tab w:leader="none" w:pos="1826" w:val="left"/>
        </w:tabs>
        <w:numPr>
          <w:ilvl w:val="0"/>
          <w:numId w:val="8"/>
        </w:numPr>
        <w:rPr>
          <w:rFonts w:ascii="Arial" w:cs="Arial" w:eastAsia="Arial" w:hAnsi="Arial"/>
          <w:sz w:val="22"/>
          <w:szCs w:val="22"/>
          <w:color w:val="auto"/>
        </w:rPr>
      </w:pPr>
      <w:r>
        <w:rPr>
          <w:rFonts w:ascii="Arial" w:cs="Arial" w:eastAsia="Arial" w:hAnsi="Arial"/>
          <w:sz w:val="22"/>
          <w:szCs w:val="22"/>
          <w:color w:val="auto"/>
        </w:rPr>
        <w:t>“Award Agreement” means any written agreement, contract, or other instrument or document evidencing an Award which may be included electronically or in writing.</w:t>
      </w:r>
    </w:p>
    <w:p>
      <w:pPr>
        <w:spacing w:after="0" w:line="173" w:lineRule="exact"/>
        <w:rPr>
          <w:rFonts w:ascii="Arial" w:cs="Arial" w:eastAsia="Arial" w:hAnsi="Arial"/>
          <w:sz w:val="22"/>
          <w:szCs w:val="22"/>
          <w:color w:val="auto"/>
        </w:rPr>
      </w:pPr>
    </w:p>
    <w:p>
      <w:pPr>
        <w:ind w:right="180" w:firstLine="1305"/>
        <w:spacing w:after="0" w:line="236" w:lineRule="auto"/>
        <w:tabs>
          <w:tab w:leader="none" w:pos="1814" w:val="left"/>
        </w:tabs>
        <w:numPr>
          <w:ilvl w:val="0"/>
          <w:numId w:val="8"/>
        </w:numPr>
        <w:rPr>
          <w:rFonts w:ascii="Arial" w:cs="Arial" w:eastAsia="Arial" w:hAnsi="Arial"/>
          <w:sz w:val="22"/>
          <w:szCs w:val="22"/>
          <w:color w:val="auto"/>
        </w:rPr>
      </w:pPr>
      <w:r>
        <w:rPr>
          <w:rFonts w:ascii="Arial" w:cs="Arial" w:eastAsia="Arial" w:hAnsi="Arial"/>
          <w:sz w:val="22"/>
          <w:szCs w:val="22"/>
          <w:color w:val="auto"/>
        </w:rPr>
        <w:t>“Beneficiary” means the person, persons, trust or trusts which have been designated by a Participant in his or her most recent written beneficiary designation filed with the Company to receive the benefits specified under this Plan upon the death of the Participant, or, if there is no designated Beneficiary or surviving designated Beneficiary or if no such designation can be made under applicable law, then the person, persons, trust or trusts entitled by will or the laws of descent and distribution to receive such benefits.</w:t>
      </w:r>
    </w:p>
    <w:p>
      <w:pPr>
        <w:spacing w:after="0" w:line="187" w:lineRule="exact"/>
        <w:rPr>
          <w:rFonts w:ascii="Arial" w:cs="Arial" w:eastAsia="Arial" w:hAnsi="Arial"/>
          <w:sz w:val="22"/>
          <w:szCs w:val="22"/>
          <w:color w:val="auto"/>
        </w:rPr>
      </w:pPr>
    </w:p>
    <w:p>
      <w:pPr>
        <w:ind w:left="1840" w:hanging="535"/>
        <w:spacing w:after="0"/>
        <w:tabs>
          <w:tab w:leader="none" w:pos="1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“Board” means the Board of Directors of the Company, as constituted from time to time.</w:t>
      </w:r>
    </w:p>
    <w:p>
      <w:pPr>
        <w:spacing w:after="0" w:line="206" w:lineRule="exact"/>
        <w:rPr>
          <w:rFonts w:ascii="Arial" w:cs="Arial" w:eastAsia="Arial" w:hAnsi="Arial"/>
          <w:sz w:val="22"/>
          <w:szCs w:val="22"/>
          <w:color w:val="auto"/>
        </w:rPr>
      </w:pPr>
    </w:p>
    <w:p>
      <w:pPr>
        <w:ind w:left="1820" w:hanging="515"/>
        <w:spacing w:after="0"/>
        <w:tabs>
          <w:tab w:leader="none" w:pos="1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“Change in Control” means:</w:t>
      </w:r>
    </w:p>
    <w:p>
      <w:pPr>
        <w:spacing w:after="0" w:line="206" w:lineRule="exact"/>
        <w:rPr>
          <w:rFonts w:ascii="Arial" w:cs="Arial" w:eastAsia="Arial" w:hAnsi="Arial"/>
          <w:sz w:val="22"/>
          <w:szCs w:val="22"/>
          <w:color w:val="auto"/>
        </w:rPr>
      </w:pPr>
    </w:p>
    <w:p>
      <w:pPr>
        <w:ind w:left="660" w:right="140" w:firstLine="1293"/>
        <w:spacing w:after="0" w:line="251" w:lineRule="auto"/>
        <w:tabs>
          <w:tab w:leader="none" w:pos="2269"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consummation of a merger or consolidation of the Company with or into another entity or any other corporate reorganisation (however effected,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jc w:val="both"/>
        <w:ind w:right="40"/>
        <w:spacing w:after="0" w:line="238" w:lineRule="auto"/>
        <w:rPr>
          <w:sz w:val="20"/>
          <w:szCs w:val="20"/>
          <w:color w:val="auto"/>
        </w:rPr>
      </w:pPr>
      <w:r>
        <w:rPr>
          <w:rFonts w:ascii="Arial" w:cs="Arial" w:eastAsia="Arial" w:hAnsi="Arial"/>
          <w:sz w:val="22"/>
          <w:szCs w:val="22"/>
          <w:color w:val="auto"/>
        </w:rPr>
        <w:t>by general offer or court-sanctioned compromise, arrangement or scheme), if more 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185" w:lineRule="exact"/>
        <w:rPr>
          <w:sz w:val="20"/>
          <w:szCs w:val="20"/>
          <w:color w:val="auto"/>
        </w:rPr>
      </w:pPr>
    </w:p>
    <w:p>
      <w:pPr>
        <w:ind w:left="1660" w:hanging="367"/>
        <w:spacing w:after="0"/>
        <w:tabs>
          <w:tab w:leader="none" w:pos="1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sale, transfer or other disposition of all or substantially all of the Company’s assets;</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firstLine="1293"/>
        <w:spacing w:after="0" w:line="282" w:lineRule="auto"/>
        <w:tabs>
          <w:tab w:leader="none" w:pos="1729" w:val="left"/>
        </w:tabs>
        <w:numPr>
          <w:ilvl w:val="0"/>
          <w:numId w:val="9"/>
        </w:numPr>
        <w:rPr>
          <w:rFonts w:ascii="Arial" w:cs="Arial" w:eastAsia="Arial" w:hAnsi="Arial"/>
          <w:sz w:val="19"/>
          <w:szCs w:val="19"/>
          <w:color w:val="auto"/>
        </w:rPr>
      </w:pPr>
      <w:r>
        <w:rPr>
          <w:rFonts w:ascii="Arial" w:cs="Arial" w:eastAsia="Arial" w:hAnsi="Arial"/>
          <w:sz w:val="19"/>
          <w:szCs w:val="19"/>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364" w:lineRule="exact"/>
        <w:rPr>
          <w:rFonts w:ascii="Arial" w:cs="Arial" w:eastAsia="Arial" w:hAnsi="Arial"/>
          <w:sz w:val="19"/>
          <w:szCs w:val="19"/>
          <w:color w:val="auto"/>
        </w:rPr>
      </w:pPr>
    </w:p>
    <w:p>
      <w:pPr>
        <w:ind w:right="160" w:firstLine="1293"/>
        <w:spacing w:after="0" w:line="277" w:lineRule="auto"/>
        <w:tabs>
          <w:tab w:leader="none" w:pos="1717"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any employee benefit plan of the Company or of a Subsidiary and (ii) a company owned directly or indirectly by the shareholders of the Company in substantially the same proportions as their ownership of the ordinary shares of the Company.</w:t>
      </w:r>
    </w:p>
    <w:p>
      <w:pPr>
        <w:spacing w:after="0" w:line="369"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pacing w:after="0" w:line="213" w:lineRule="exact"/>
        <w:rPr>
          <w:sz w:val="20"/>
          <w:szCs w:val="20"/>
          <w:color w:val="auto"/>
        </w:rPr>
      </w:pPr>
    </w:p>
    <w:p>
      <w:pPr>
        <w:ind w:left="-660" w:right="20" w:firstLine="1305"/>
        <w:spacing w:after="0" w:line="328" w:lineRule="auto"/>
        <w:tabs>
          <w:tab w:leader="none" w:pos="113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“Code” means the United States Internal Revenue Code of 1986, as amended from time to time. References to any provision of the Code shall be deemed to include successor provisions thereto and regulations thereunder.</w:t>
      </w:r>
    </w:p>
    <w:p>
      <w:pPr>
        <w:spacing w:after="0" w:line="105" w:lineRule="exact"/>
        <w:rPr>
          <w:rFonts w:ascii="Arial" w:cs="Arial" w:eastAsia="Arial" w:hAnsi="Arial"/>
          <w:sz w:val="19"/>
          <w:szCs w:val="19"/>
          <w:color w:val="auto"/>
        </w:rPr>
      </w:pPr>
    </w:p>
    <w:p>
      <w:pPr>
        <w:ind w:left="-660" w:right="180" w:firstLine="1305"/>
        <w:spacing w:after="0" w:line="251" w:lineRule="auto"/>
        <w:tabs>
          <w:tab w:leader="none" w:pos="1166"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“Committee” means the Compensation Committee of the Board, or such other Board committee (which may include the entire Board) as may be designated by the Board to administer the Plan.</w:t>
      </w:r>
    </w:p>
    <w:p>
      <w:pPr>
        <w:spacing w:after="0" w:line="173" w:lineRule="exact"/>
        <w:rPr>
          <w:rFonts w:ascii="Arial" w:cs="Arial" w:eastAsia="Arial" w:hAnsi="Arial"/>
          <w:sz w:val="22"/>
          <w:szCs w:val="22"/>
          <w:color w:val="auto"/>
        </w:rPr>
      </w:pPr>
    </w:p>
    <w:p>
      <w:pPr>
        <w:ind w:left="1180" w:hanging="535"/>
        <w:spacing w:after="0"/>
        <w:tabs>
          <w:tab w:leader="none" w:pos="11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“Company” means ICON plc, an Irish corporation and its successor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410210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900" w:top="361" w:right="259" w:bottom="1440" w:gutter="0" w:footer="0" w:header="0"/>
        </w:sectPr>
      </w:pPr>
    </w:p>
    <w:bookmarkStart w:id="10" w:name="page11"/>
    <w:bookmarkEnd w:id="10"/>
    <w:p>
      <w:pPr>
        <w:jc w:val="both"/>
        <w:ind w:right="200" w:firstLine="1305"/>
        <w:spacing w:after="0"/>
        <w:tabs>
          <w:tab w:leader="none" w:pos="1778"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“Consultant” means a consultant or adviser retained by the Company or any Subsidiary to render services to the Company or any Subsidiary on a continuous basis on a part time or full time basis for such minimum period as determined by the Committee.</w:t>
      </w:r>
    </w:p>
    <w:p>
      <w:pPr>
        <w:spacing w:after="0" w:line="186" w:lineRule="exact"/>
        <w:rPr>
          <w:rFonts w:ascii="Arial" w:cs="Arial" w:eastAsia="Arial" w:hAnsi="Arial"/>
          <w:sz w:val="22"/>
          <w:szCs w:val="22"/>
          <w:color w:val="auto"/>
        </w:rPr>
      </w:pPr>
    </w:p>
    <w:p>
      <w:pPr>
        <w:ind w:right="220" w:firstLine="1305"/>
        <w:spacing w:after="0" w:line="251" w:lineRule="auto"/>
        <w:tabs>
          <w:tab w:leader="none" w:pos="1778" w:val="left"/>
        </w:tabs>
        <w:numPr>
          <w:ilvl w:val="0"/>
          <w:numId w:val="11"/>
        </w:numPr>
        <w:rPr>
          <w:rFonts w:ascii="Arial" w:cs="Arial" w:eastAsia="Arial" w:hAnsi="Arial"/>
          <w:sz w:val="22"/>
          <w:szCs w:val="22"/>
          <w:color w:val="auto"/>
        </w:rPr>
      </w:pPr>
      <w:r>
        <w:rPr>
          <w:rFonts w:ascii="Arial" w:cs="Arial" w:eastAsia="Arial" w:hAnsi="Arial"/>
          <w:sz w:val="22"/>
          <w:szCs w:val="22"/>
          <w:color w:val="auto"/>
        </w:rPr>
        <w:t>“Director” means a member of the Board who is not also an employee of the Company or of a Subsidiary, as determined by the Committee.</w:t>
      </w:r>
    </w:p>
    <w:p>
      <w:pPr>
        <w:spacing w:after="0" w:line="173" w:lineRule="exact"/>
        <w:rPr>
          <w:rFonts w:ascii="Arial" w:cs="Arial" w:eastAsia="Arial" w:hAnsi="Arial"/>
          <w:sz w:val="22"/>
          <w:szCs w:val="22"/>
          <w:color w:val="auto"/>
        </w:rPr>
      </w:pPr>
    </w:p>
    <w:p>
      <w:pPr>
        <w:ind w:right="380" w:firstLine="1305"/>
        <w:spacing w:after="0" w:line="251" w:lineRule="auto"/>
        <w:tabs>
          <w:tab w:leader="none" w:pos="1826" w:val="left"/>
        </w:tabs>
        <w:numPr>
          <w:ilvl w:val="0"/>
          <w:numId w:val="11"/>
        </w:numPr>
        <w:rPr>
          <w:rFonts w:ascii="Arial" w:cs="Arial" w:eastAsia="Arial" w:hAnsi="Arial"/>
          <w:sz w:val="22"/>
          <w:szCs w:val="22"/>
          <w:color w:val="auto"/>
        </w:rPr>
      </w:pPr>
      <w:r>
        <w:rPr>
          <w:rFonts w:ascii="Arial" w:cs="Arial" w:eastAsia="Arial" w:hAnsi="Arial"/>
          <w:sz w:val="22"/>
          <w:szCs w:val="22"/>
          <w:color w:val="auto"/>
        </w:rPr>
        <w:t>“Dividend Equivalent” means a right to receive cash, Shares, or other property equal in value to dividends paid with respect to a specified number of Shares.</w:t>
      </w:r>
    </w:p>
    <w:p>
      <w:pPr>
        <w:spacing w:after="0" w:line="173" w:lineRule="exact"/>
        <w:rPr>
          <w:rFonts w:ascii="Arial" w:cs="Arial" w:eastAsia="Arial" w:hAnsi="Arial"/>
          <w:sz w:val="22"/>
          <w:szCs w:val="22"/>
          <w:color w:val="auto"/>
        </w:rPr>
      </w:pPr>
    </w:p>
    <w:p>
      <w:pPr>
        <w:ind w:left="1840" w:hanging="535"/>
        <w:spacing w:after="0"/>
        <w:tabs>
          <w:tab w:leader="none" w:pos="18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“Effective Date” has the meaning set forth in Section 7(l) below.</w:t>
      </w:r>
    </w:p>
    <w:p>
      <w:pPr>
        <w:spacing w:after="0" w:line="206" w:lineRule="exact"/>
        <w:rPr>
          <w:rFonts w:ascii="Arial" w:cs="Arial" w:eastAsia="Arial" w:hAnsi="Arial"/>
          <w:sz w:val="22"/>
          <w:szCs w:val="22"/>
          <w:color w:val="auto"/>
        </w:rPr>
      </w:pPr>
    </w:p>
    <w:p>
      <w:pPr>
        <w:ind w:right="260" w:firstLine="1305"/>
        <w:spacing w:after="0"/>
        <w:tabs>
          <w:tab w:leader="none" w:pos="19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“Exchange Act” means the United States Securities Exchange Act of 1934, as amended from time to time. References to any provision of the Exchange Act shall be deemed to include successor provisions thereto and regulations thereunder.</w:t>
      </w:r>
    </w:p>
    <w:p>
      <w:pPr>
        <w:spacing w:after="0" w:line="186" w:lineRule="exact"/>
        <w:rPr>
          <w:rFonts w:ascii="Arial" w:cs="Arial" w:eastAsia="Arial" w:hAnsi="Arial"/>
          <w:sz w:val="22"/>
          <w:szCs w:val="22"/>
          <w:color w:val="auto"/>
        </w:rPr>
      </w:pPr>
    </w:p>
    <w:p>
      <w:pPr>
        <w:ind w:firstLine="1305"/>
        <w:spacing w:after="0" w:line="277" w:lineRule="auto"/>
        <w:tabs>
          <w:tab w:leader="none" w:pos="1826"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“Fair Market Value” means the market price of Shares, determined by the Committee as follows: (i) if Shares are listed on a stock exchange on the date in question, then the Fair Market Value shall be equal to the higher of Par Value and the closing price reported for such date by the applicable composite-transactions report or, if the Shares were not traded on that day, the next preceding day that the Shares were traded; and (ii) if Shares are not traded on a stock exchange on the date in question, the Fair Market Value shall be determined by the Committee in good faith on such basis as it deems appropriate. Whenever possible, the determination of Fair Market Value by the Committee shall be based on the prices reported by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U.S. Edition. Such determination shall be conclusive and binding on all persons.</w:t>
      </w:r>
    </w:p>
    <w:p>
      <w:pPr>
        <w:spacing w:after="0" w:line="152" w:lineRule="exact"/>
        <w:rPr>
          <w:rFonts w:ascii="Arial" w:cs="Arial" w:eastAsia="Arial" w:hAnsi="Arial"/>
          <w:sz w:val="19"/>
          <w:szCs w:val="19"/>
          <w:color w:val="auto"/>
        </w:rPr>
      </w:pPr>
    </w:p>
    <w:p>
      <w:pPr>
        <w:ind w:left="1840" w:hanging="535"/>
        <w:spacing w:after="0"/>
        <w:tabs>
          <w:tab w:leader="none" w:pos="18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“Group” means the Company and its Subsidiaries.</w:t>
      </w:r>
    </w:p>
    <w:p>
      <w:pPr>
        <w:spacing w:after="0" w:line="206" w:lineRule="exact"/>
        <w:rPr>
          <w:rFonts w:ascii="Arial" w:cs="Arial" w:eastAsia="Arial" w:hAnsi="Arial"/>
          <w:sz w:val="22"/>
          <w:szCs w:val="22"/>
          <w:color w:val="auto"/>
        </w:rPr>
      </w:pPr>
    </w:p>
    <w:p>
      <w:pPr>
        <w:ind w:left="1840" w:hanging="535"/>
        <w:spacing w:after="0"/>
        <w:tabs>
          <w:tab w:leader="none" w:pos="18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“Ordinary Share” means one ordinary share in the capital of the Company.</w:t>
      </w:r>
    </w:p>
    <w:p>
      <w:pPr>
        <w:spacing w:after="0" w:line="206" w:lineRule="exact"/>
        <w:rPr>
          <w:rFonts w:ascii="Arial" w:cs="Arial" w:eastAsia="Arial" w:hAnsi="Arial"/>
          <w:sz w:val="22"/>
          <w:szCs w:val="22"/>
          <w:color w:val="auto"/>
        </w:rPr>
      </w:pPr>
    </w:p>
    <w:p>
      <w:pPr>
        <w:ind w:left="1840" w:hanging="535"/>
        <w:spacing w:after="0"/>
        <w:tabs>
          <w:tab w:leader="none" w:pos="18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“Other Share-Based Award” means a right, granted under Section 5(c), that relates to or is valued by reference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Shares.</w:t>
      </w:r>
    </w:p>
    <w:p>
      <w:pPr>
        <w:spacing w:after="0" w:line="188" w:lineRule="exact"/>
        <w:rPr>
          <w:rFonts w:ascii="Arial" w:cs="Arial" w:eastAsia="Arial" w:hAnsi="Arial"/>
          <w:sz w:val="19"/>
          <w:szCs w:val="19"/>
          <w:color w:val="auto"/>
        </w:rPr>
      </w:pPr>
    </w:p>
    <w:p>
      <w:pPr>
        <w:ind w:left="1800" w:hanging="495"/>
        <w:spacing w:after="0"/>
        <w:tabs>
          <w:tab w:leader="none" w:pos="18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“Par Value” means €0.06.</w:t>
      </w:r>
    </w:p>
    <w:p>
      <w:pPr>
        <w:spacing w:after="0" w:line="206" w:lineRule="exact"/>
        <w:rPr>
          <w:rFonts w:ascii="Arial" w:cs="Arial" w:eastAsia="Arial" w:hAnsi="Arial"/>
          <w:sz w:val="22"/>
          <w:szCs w:val="22"/>
          <w:color w:val="auto"/>
        </w:rPr>
      </w:pPr>
    </w:p>
    <w:p>
      <w:pPr>
        <w:ind w:left="1800" w:hanging="495"/>
        <w:spacing w:after="0"/>
        <w:tabs>
          <w:tab w:leader="none" w:pos="18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“Participant” means a Consultant or Director who has been granted an Award under the Plan.</w:t>
      </w:r>
    </w:p>
    <w:p>
      <w:pPr>
        <w:spacing w:after="0" w:line="206" w:lineRule="exact"/>
        <w:rPr>
          <w:rFonts w:ascii="Arial" w:cs="Arial" w:eastAsia="Arial" w:hAnsi="Arial"/>
          <w:sz w:val="22"/>
          <w:szCs w:val="22"/>
          <w:color w:val="auto"/>
        </w:rPr>
      </w:pPr>
    </w:p>
    <w:p>
      <w:pPr>
        <w:ind w:left="1780" w:hanging="475"/>
        <w:spacing w:after="0"/>
        <w:tabs>
          <w:tab w:leader="none" w:pos="1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“Plan” means this ICON plc 2019 Consultants and Directors Restricted Share Unit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 w:name="page12"/>
    <w:bookmarkEnd w:id="11"/>
    <w:p>
      <w:pPr>
        <w:ind w:left="-1200" w:right="320" w:firstLine="1305"/>
        <w:spacing w:after="0" w:line="251" w:lineRule="auto"/>
        <w:tabs>
          <w:tab w:leader="none" w:pos="626"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“Restricted Share Unit” means a right, granted under Section 5(b), to receive Shares or cash at the end of a specified deferral period.</w:t>
      </w:r>
    </w:p>
    <w:p>
      <w:pPr>
        <w:spacing w:after="0" w:line="173" w:lineRule="exact"/>
        <w:rPr>
          <w:rFonts w:ascii="Arial" w:cs="Arial" w:eastAsia="Arial" w:hAnsi="Arial"/>
          <w:sz w:val="22"/>
          <w:szCs w:val="22"/>
          <w:color w:val="auto"/>
        </w:rPr>
      </w:pPr>
    </w:p>
    <w:p>
      <w:pPr>
        <w:ind w:left="640" w:hanging="535"/>
        <w:spacing w:after="0"/>
        <w:tabs>
          <w:tab w:leader="none" w:pos="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“Shares” means Ordinary Shares.</w:t>
      </w:r>
    </w:p>
    <w:p>
      <w:pPr>
        <w:spacing w:after="0" w:line="206" w:lineRule="exact"/>
        <w:rPr>
          <w:rFonts w:ascii="Arial" w:cs="Arial" w:eastAsia="Arial" w:hAnsi="Arial"/>
          <w:sz w:val="22"/>
          <w:szCs w:val="22"/>
          <w:color w:val="auto"/>
        </w:rPr>
      </w:pPr>
    </w:p>
    <w:p>
      <w:pPr>
        <w:ind w:left="-1200" w:right="100" w:firstLine="1305"/>
        <w:spacing w:after="0" w:line="238" w:lineRule="auto"/>
        <w:tabs>
          <w:tab w:leader="none" w:pos="674" w:val="left"/>
        </w:tabs>
        <w:numPr>
          <w:ilvl w:val="0"/>
          <w:numId w:val="12"/>
        </w:numPr>
        <w:rPr>
          <w:rFonts w:ascii="Arial" w:cs="Arial" w:eastAsia="Arial" w:hAnsi="Arial"/>
          <w:sz w:val="22"/>
          <w:szCs w:val="22"/>
          <w:color w:val="auto"/>
        </w:rPr>
      </w:pPr>
      <w:r>
        <w:rPr>
          <w:rFonts w:ascii="Arial" w:cs="Arial" w:eastAsia="Arial" w:hAnsi="Arial"/>
          <w:sz w:val="22"/>
          <w:szCs w:val="22"/>
          <w:color w:val="auto"/>
        </w:rPr>
        <w:t>“Subsidiary” means any company, if the Company and/or one or more other Subsidiaries own not less than 50% of the total combined voting power of all classes of outstanding stock (e.g., issued shares) of such company. A company that attains the status of a Subsidiary on a date after the adoption of the Plan shall be considered a Subsidiary commencing as of such date.</w:t>
      </w:r>
    </w:p>
    <w:p>
      <w:pPr>
        <w:spacing w:after="0" w:line="185" w:lineRule="exact"/>
        <w:rPr>
          <w:rFonts w:ascii="Arial" w:cs="Arial" w:eastAsia="Arial" w:hAnsi="Arial"/>
          <w:sz w:val="22"/>
          <w:szCs w:val="22"/>
          <w:color w:val="auto"/>
        </w:rPr>
      </w:pPr>
    </w:p>
    <w:p>
      <w:pPr>
        <w:ind w:left="-1200" w:firstLine="1305"/>
        <w:spacing w:after="0" w:line="247" w:lineRule="auto"/>
        <w:tabs>
          <w:tab w:leader="none" w:pos="626" w:val="left"/>
        </w:tabs>
        <w:numPr>
          <w:ilvl w:val="0"/>
          <w:numId w:val="12"/>
        </w:numPr>
        <w:rPr>
          <w:rFonts w:ascii="Arial" w:cs="Arial" w:eastAsia="Arial" w:hAnsi="Arial"/>
          <w:sz w:val="21"/>
          <w:szCs w:val="21"/>
          <w:color w:val="auto"/>
        </w:rPr>
      </w:pPr>
      <w:r>
        <w:rPr>
          <w:rFonts w:ascii="Arial" w:cs="Arial" w:eastAsia="Arial" w:hAnsi="Arial"/>
          <w:sz w:val="21"/>
          <w:szCs w:val="21"/>
          <w:color w:val="auto"/>
        </w:rPr>
        <w:t>“Termination of Service” means, unless otherwise defined in an applicable Award Agreement (i) in the case of a Consultant, the termination of the service agreement at any time with or without cause or notice (ii) in the case of a Director, the termination of the Participant’s directorship with the Company. A Participant shall also be deemed to incur a Termination of Service if a Subsidiary by which he is engaged as a Consultant ceases to be a Subsidiary of the Company, and the Participant does not immediately thereafter become a Consultant to the Company or another Subsidiary of the Company. Temporary absences because of illness, vacation or, in the case of Directors, leave of absence, and transfers among the Company and its Subsidiaries, shall not be considered a Termination of Service.</w:t>
      </w:r>
    </w:p>
    <w:p>
      <w:pPr>
        <w:spacing w:after="0" w:line="178" w:lineRule="exact"/>
        <w:rPr>
          <w:sz w:val="20"/>
          <w:szCs w:val="20"/>
          <w:color w:val="auto"/>
        </w:rPr>
      </w:pPr>
    </w:p>
    <w:p>
      <w:pPr>
        <w:ind w:left="760" w:hanging="655"/>
        <w:spacing w:after="0"/>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1200" w:right="20" w:firstLine="1305"/>
        <w:spacing w:after="0" w:line="277" w:lineRule="auto"/>
        <w:tabs>
          <w:tab w:leader="none" w:pos="614"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Authority of the Committee</w:t>
      </w:r>
      <w:r>
        <w:rPr>
          <w:rFonts w:ascii="Arial" w:cs="Arial" w:eastAsia="Arial" w:hAnsi="Arial"/>
          <w:sz w:val="19"/>
          <w:szCs w:val="19"/>
          <w:color w:val="auto"/>
        </w:rPr>
        <w:t>. The Plan shall be administered by the Committee, and the Committee shall have full and final authority to take the following actions, in each case subject to and consistent with the provisions of the Plan: (i) select Consultants and Directors to whom Awards may be granted; (ii) determine the type, number, vesting requirements and other conditions of such Awards; (iii) interpret the Plan; (iv) to prescribe the form of each Award Agreement, which need not be identical for each Consultant or Director; (v) to accelerate the vesting of all or any portion of any Award and (vi) make all other decisions relating to the operation of the Plan. The Committee may adopt such rules or guidelines as it deems appropriate from time to time to implement the Plan. The Committee’s determinations under the Plan shall be final and binding on all persons.</w:t>
      </w:r>
    </w:p>
    <w:p>
      <w:pPr>
        <w:spacing w:after="0" w:line="152" w:lineRule="exact"/>
        <w:rPr>
          <w:rFonts w:ascii="Arial" w:cs="Arial" w:eastAsia="Arial" w:hAnsi="Arial"/>
          <w:sz w:val="19"/>
          <w:szCs w:val="19"/>
          <w:color w:val="auto"/>
        </w:rPr>
      </w:pPr>
    </w:p>
    <w:p>
      <w:pPr>
        <w:ind w:left="-1200" w:right="40" w:firstLine="1305"/>
        <w:spacing w:after="0" w:line="248" w:lineRule="auto"/>
        <w:tabs>
          <w:tab w:leader="none" w:pos="626"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Manner of Exercise of Committee Authority</w:t>
      </w:r>
      <w:r>
        <w:rPr>
          <w:rFonts w:ascii="Arial" w:cs="Arial" w:eastAsia="Arial" w:hAnsi="Arial"/>
          <w:sz w:val="21"/>
          <w:szCs w:val="21"/>
          <w:color w:val="auto"/>
        </w:rPr>
        <w:t>. The Committee shall have sole discretion in exercising its authority under the Plan. Any action of the Committee with respect to the Plan shall be final, conclusive, and binding on all persons, including the Company, Subsidiaries, Consultants, Directors, any person claiming any rights under the Plan from or through any Consultant or Director, and shareholders. The express grant of any specific power to the Committee, and the taking of any action by the Committee, shall not be construed as limiting any power or authority of the Committee. The Committee may delegate to any of its members or to other members of the Board or officers or managers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392430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80"/>
          </w:cols>
          <w:pgMar w:left="1440" w:top="361" w:right="279" w:bottom="1440" w:gutter="0" w:footer="0" w:header="0"/>
        </w:sectPr>
      </w:pPr>
    </w:p>
    <w:bookmarkStart w:id="12" w:name="page13"/>
    <w:bookmarkEnd w:id="12"/>
    <w:p>
      <w:pPr>
        <w:ind w:right="80"/>
        <w:spacing w:after="0" w:line="328" w:lineRule="auto"/>
        <w:rPr>
          <w:sz w:val="20"/>
          <w:szCs w:val="20"/>
          <w:color w:val="auto"/>
        </w:rPr>
      </w:pPr>
      <w:r>
        <w:rPr>
          <w:rFonts w:ascii="Arial" w:cs="Arial" w:eastAsia="Arial" w:hAnsi="Arial"/>
          <w:sz w:val="19"/>
          <w:szCs w:val="19"/>
          <w:color w:val="auto"/>
        </w:rPr>
        <w:t>or any Subsidiary the authority, subject to such terms as the Committee shall determine, to perform administrative functions and to perform such other functions as the Committee may determine, to the extent permitted under applicable law.</w:t>
      </w:r>
    </w:p>
    <w:p>
      <w:pPr>
        <w:spacing w:after="0" w:line="105" w:lineRule="exact"/>
        <w:rPr>
          <w:sz w:val="20"/>
          <w:szCs w:val="20"/>
          <w:color w:val="auto"/>
        </w:rPr>
      </w:pPr>
    </w:p>
    <w:p>
      <w:pPr>
        <w:ind w:firstLine="1305"/>
        <w:spacing w:after="0" w:line="277" w:lineRule="auto"/>
        <w:tabs>
          <w:tab w:leader="none" w:pos="1814"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Each member of the Committee shall be entitled to, in good faith, rely or act upon any report or other information furnished to him or her by any officer or employee of the Company or any Subsidiary, the Company’s independent certified public accountants, or other professional retained by the Company to assist in the administration of the Plan. No member of the Committee, and no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their behalf shall, to the extent permitted by law, be fully indemnified and protected by the Company with respect to any such action, determination, or interpretation.</w:t>
      </w:r>
    </w:p>
    <w:p>
      <w:pPr>
        <w:spacing w:after="0" w:line="152" w:lineRule="exact"/>
        <w:rPr>
          <w:rFonts w:ascii="Arial" w:cs="Arial" w:eastAsia="Arial" w:hAnsi="Arial"/>
          <w:sz w:val="19"/>
          <w:szCs w:val="19"/>
          <w:color w:val="auto"/>
        </w:rPr>
      </w:pPr>
    </w:p>
    <w:p>
      <w:pPr>
        <w:ind w:right="40" w:firstLine="1305"/>
        <w:spacing w:after="0" w:line="282" w:lineRule="auto"/>
        <w:tabs>
          <w:tab w:leader="none" w:pos="182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Limitation on Committee’s Authority under 409A</w:t>
      </w:r>
      <w:r>
        <w:rPr>
          <w:rFonts w:ascii="Arial" w:cs="Arial" w:eastAsia="Arial" w:hAnsi="Arial"/>
          <w:sz w:val="19"/>
          <w:szCs w:val="19"/>
          <w:color w:val="auto"/>
        </w:rPr>
        <w:t>. Anything in this Plan to the contrary notwithstanding, the Committee’s authority to modify outstanding Awards shall be limited to the extent necessary so that the existence of such authority does not (i) cause an Award that is not otherwise deferred compensation subject to Section 409A of the Code to become deferred compensation subject to Section 409A of the Code or (ii) cause an Award that is otherwise deferred compensation subject to Section 409A of the Code to fail to meet the requirements prescribed by Section 409A of the Code.</w:t>
      </w:r>
    </w:p>
    <w:p>
      <w:pPr>
        <w:spacing w:after="0" w:line="148"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Shares Subject to the Plan</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right="40" w:firstLine="1305"/>
        <w:spacing w:after="0" w:line="277" w:lineRule="auto"/>
        <w:tabs>
          <w:tab w:leader="none" w:pos="1814" w:val="left"/>
        </w:tabs>
        <w:numPr>
          <w:ilvl w:val="0"/>
          <w:numId w:val="17"/>
        </w:numPr>
        <w:rPr>
          <w:rFonts w:ascii="Arial" w:cs="Arial" w:eastAsia="Arial" w:hAnsi="Arial"/>
          <w:sz w:val="19"/>
          <w:szCs w:val="19"/>
          <w:color w:val="auto"/>
        </w:rPr>
      </w:pPr>
      <w:r>
        <w:rPr>
          <w:rFonts w:ascii="Arial" w:cs="Arial" w:eastAsia="Arial" w:hAnsi="Arial"/>
          <w:sz w:val="19"/>
          <w:szCs w:val="19"/>
          <w:color w:val="auto"/>
        </w:rPr>
        <w:t>Subject to adjustment as provided in Section 4(b) hereof, (i) the total number of Shares reserved for issuance in connection with Awards under the Plan shall be 250,000. No Award may be granted if the number of Shares to which such Award relates, when added to the number of Shares previously issued under the Plan, exceeds the number of Shares reserved for issuance under the Plan in the preceding sentence. If any Awards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shall, to the extent of any such forfeiture, settlement, termination, cancellation, exchange or surrender, again be available for Awards under the Plan.</w:t>
      </w:r>
    </w:p>
    <w:p>
      <w:pPr>
        <w:spacing w:after="0" w:line="152" w:lineRule="exact"/>
        <w:rPr>
          <w:rFonts w:ascii="Arial" w:cs="Arial" w:eastAsia="Arial" w:hAnsi="Arial"/>
          <w:sz w:val="19"/>
          <w:szCs w:val="19"/>
          <w:color w:val="auto"/>
        </w:rPr>
      </w:pPr>
    </w:p>
    <w:p>
      <w:pPr>
        <w:ind w:right="240" w:firstLine="1305"/>
        <w:spacing w:after="0" w:line="236" w:lineRule="auto"/>
        <w:tabs>
          <w:tab w:leader="none" w:pos="1826"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 the event of a subdivision of the Shares, a declaration of a dividend payable in Shares, a declaration of a dividend payable in a form 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 w:name="page14"/>
    <w:bookmarkEnd w:id="13"/>
    <w:p>
      <w:pPr>
        <w:spacing w:after="0" w:line="273" w:lineRule="auto"/>
        <w:rPr>
          <w:sz w:val="20"/>
          <w:szCs w:val="20"/>
          <w:color w:val="auto"/>
        </w:rPr>
      </w:pPr>
      <w:r>
        <w:rPr>
          <w:rFonts w:ascii="Arial" w:cs="Arial" w:eastAsia="Arial" w:hAnsi="Arial"/>
          <w:sz w:val="19"/>
          <w:szCs w:val="19"/>
          <w:color w:val="auto"/>
        </w:rPr>
        <w:t>appropriate in order to prevent dilution or enlargement of the rights of Participants under the Plan, the Committee shall make appropriate adjustments in one or more of (a) the number and kind of Shares available for future Awards under Section 4(a); (b) the definitions of Shares and/or Ordinary Share; (c) the number and kind of Shares covered by each outstanding Award; and (d) the purchase price, if any, relating to any Award. Except as provided in this Section 4(b), a Participant shall have no rights by reason of any issue by the Company of shares of any class or securities convertible into shares of any class, any subdivision or consolidation of shares of any class, the payment of any share dividend or any other increase or decrease in the number of shares of any class. In addition, the Committee is authorized to make adjustments in the terms and conditions of and the criteria and performance objectives, if any, included in Awards in recognition of unusual or non-recurring events (including, without limitation, events described in the preceding sentence) affecting the Company or any Subsidiary or the financial statements of the Company or any Subsidiary, or in response to changes in applicable laws, regulations, or accounting principles.</w:t>
      </w:r>
    </w:p>
    <w:p>
      <w:pPr>
        <w:spacing w:after="0" w:line="162" w:lineRule="exact"/>
        <w:rPr>
          <w:sz w:val="20"/>
          <w:szCs w:val="20"/>
          <w:color w:val="auto"/>
        </w:rPr>
      </w:pPr>
    </w:p>
    <w:p>
      <w:pPr>
        <w:ind w:right="20" w:firstLine="1305"/>
        <w:spacing w:after="0" w:line="271" w:lineRule="auto"/>
        <w:tabs>
          <w:tab w:leader="none" w:pos="1814"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 the event that the Company is a party to a merger, takeover, Change in Control or other reorganization, outstanding Awards shall be subject to the agreement of merger or reorganization, the terms of the relevant scheme of arrangement or other applicable transaction agreement. Such agreement may provide, without limitation, for one or more of the following: (i) the continuation or assumption of outstanding Awards by the Company or the surviving company (the term “surviving company” for purposes of this Section 4(c) shall include reference to an acquiring company in a takeover situation) or its parent; (ii) substitution by the 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(iii) cancellation of all or any portion of the outstanding Awards (and the expiration of the balance, as appropriate) in exchange for a cash payment of the excess, if any, of the Fair Market Value at the date of cancellation of the Shares subject to such outstanding Awards or portion thereof being canceled over the aggregate purchase price, if any, with respect to such Awards or portion thereof being canceled; or (iv) the acceleration of the vesting of all or a portion of such outstanding Awards (and the expiration of the balance, as appropriate) to take effect at such time before or after completion of the merger, takeover, Change in Control or other reorganization as the Committee shall in its absolute discretion determine, all in any case without the Participant’s consent. In the event that the transaction agreement or document does not provide for any of the above, the Board has discretion to determine whether any one or more of (i) to (iv) will apply to all or any portion of such outstanding Awards.</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480" w:firstLine="1305"/>
        <w:spacing w:after="0" w:line="328" w:lineRule="auto"/>
        <w:tabs>
          <w:tab w:leader="none" w:pos="1826"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Shares distributed pursuant to an Award may consist, in whole or in part, of authorized and unissued Shares or treasury Shares including Shares acquired by purchase in the open market or in private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 w:name="page15"/>
    <w:bookmarkEnd w:id="14"/>
    <w:p>
      <w:pPr>
        <w:ind w:left="760" w:hanging="655"/>
        <w:spacing w:after="0"/>
        <w:tabs>
          <w:tab w:leader="none" w:pos="7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Specific Terms of Awards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1200" w:right="40" w:firstLine="1305"/>
        <w:spacing w:after="0" w:line="282" w:lineRule="auto"/>
        <w:tabs>
          <w:tab w:leader="none" w:pos="614"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Awards may be granted on the terms and conditions set forth in this Section 5. In addition, the Committee may impose on any Award in the Award Agreement, at the date of grant or thereafter (subject to Section 7(d)), such additional terms and conditions, not inconsistent with the provisions of the Plan, as the Committee shall determine, including terms regarding forfeiture of Awards in the event of Termination of Service by the Participant. Each Award shall be evidenced by an Award Agreement to be executed or accepted electronically by the Participant within such time as the Committee may specify.</w:t>
      </w:r>
    </w:p>
    <w:p>
      <w:pPr>
        <w:spacing w:after="0" w:line="147" w:lineRule="exact"/>
        <w:rPr>
          <w:rFonts w:ascii="Arial" w:cs="Arial" w:eastAsia="Arial" w:hAnsi="Arial"/>
          <w:sz w:val="19"/>
          <w:szCs w:val="19"/>
          <w:color w:val="auto"/>
        </w:rPr>
      </w:pPr>
    </w:p>
    <w:p>
      <w:pPr>
        <w:ind w:left="-1200" w:right="560" w:firstLine="1305"/>
        <w:spacing w:after="0" w:line="251" w:lineRule="auto"/>
        <w:tabs>
          <w:tab w:leader="none" w:pos="62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Restricted Share Units</w:t>
      </w:r>
      <w:r>
        <w:rPr>
          <w:rFonts w:ascii="Arial" w:cs="Arial" w:eastAsia="Arial" w:hAnsi="Arial"/>
          <w:sz w:val="22"/>
          <w:szCs w:val="22"/>
          <w:color w:val="auto"/>
        </w:rPr>
        <w:t>. The Committee is authorized to grant Restricted Share Units to Consultants and Directors, subject to the following terms and conditions:</w:t>
      </w:r>
    </w:p>
    <w:p>
      <w:pPr>
        <w:spacing w:after="0" w:line="173" w:lineRule="exact"/>
        <w:rPr>
          <w:rFonts w:ascii="Arial" w:cs="Arial" w:eastAsia="Arial" w:hAnsi="Arial"/>
          <w:sz w:val="22"/>
          <w:szCs w:val="22"/>
          <w:color w:val="auto"/>
        </w:rPr>
      </w:pPr>
    </w:p>
    <w:p>
      <w:pPr>
        <w:ind w:left="-540" w:firstLine="1293"/>
        <w:spacing w:after="0" w:line="275" w:lineRule="auto"/>
        <w:tabs>
          <w:tab w:leader="none" w:pos="1068"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Award and Restrictions</w:t>
      </w:r>
      <w:r>
        <w:rPr>
          <w:rFonts w:ascii="Arial" w:cs="Arial" w:eastAsia="Arial" w:hAnsi="Arial"/>
          <w:sz w:val="19"/>
          <w:szCs w:val="19"/>
          <w:color w:val="auto"/>
        </w:rPr>
        <w:t>. Delivery of Shares or cash, as the case may be, will occur upon expiration of the deferral period specified for Restricted Share Units by the Committee (or, if permitted by the Committee, as elected by the Participant). In addition, Restricted Share Units shall be subject to such restrictions as the Committee may impose, if any (including, without limitation, the achievement of performance criteria if deemed appropriate by the Committee), at the date of grant or thereafter, which restrictions may lapse at the expiration of the deferral period or at earlier or later specified times, separately or in combination, in installments or otherwise, as the Committee may determine. The Committee may determine that settlement of any Award (and distribution of Shares in connection therewith) is subject to and conditioned on payment by the Participant of any sum specified in the Award Agreement.</w:t>
      </w:r>
    </w:p>
    <w:p>
      <w:pPr>
        <w:spacing w:after="0" w:line="374" w:lineRule="exact"/>
        <w:rPr>
          <w:rFonts w:ascii="Arial" w:cs="Arial" w:eastAsia="Arial" w:hAnsi="Arial"/>
          <w:sz w:val="19"/>
          <w:szCs w:val="19"/>
          <w:color w:val="auto"/>
        </w:rPr>
      </w:pPr>
    </w:p>
    <w:p>
      <w:pPr>
        <w:ind w:left="-540" w:right="60" w:firstLine="1293"/>
        <w:spacing w:after="0" w:line="275" w:lineRule="auto"/>
        <w:tabs>
          <w:tab w:leader="none" w:pos="1129"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Forfeiture</w:t>
      </w:r>
      <w:r>
        <w:rPr>
          <w:rFonts w:ascii="Arial" w:cs="Arial" w:eastAsia="Arial" w:hAnsi="Arial"/>
          <w:sz w:val="19"/>
          <w:szCs w:val="19"/>
          <w:color w:val="auto"/>
        </w:rPr>
        <w:t xml:space="preserve">. Except as otherwise determined by the Committee at the date of grant or thereafter, upon Termination of Service during the applicable deferral period or portion thereof to which forfeiture conditions apply (as provided in the Award Agreement evidencing the Restricted Share Units), or upon failure to satisfy any other conditions precedent to the delivery of Shares or cash to which such Restricted Share Units relate, all Restricted Share Units that are at that time subject to deferral or restriction shall be forfeited;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Committee may provide, by rule or regulation or in any Award Agreement, or may determine in any individual case, that restrictions or forfeiture conditions relating to Restricted Share Units will be waived in whole or in part in the event of Termination of Service resulting from specified causes, and the Committee may in other cases waive in whole or in part the forfeiture of Restricted Share Units.</w:t>
      </w:r>
    </w:p>
    <w:p>
      <w:pPr>
        <w:spacing w:after="0" w:line="374" w:lineRule="exact"/>
        <w:rPr>
          <w:rFonts w:ascii="Arial" w:cs="Arial" w:eastAsia="Arial" w:hAnsi="Arial"/>
          <w:sz w:val="19"/>
          <w:szCs w:val="19"/>
          <w:color w:val="auto"/>
        </w:rPr>
      </w:pPr>
    </w:p>
    <w:p>
      <w:pPr>
        <w:jc w:val="both"/>
        <w:ind w:left="-540" w:right="80" w:firstLine="1293"/>
        <w:spacing w:after="0"/>
        <w:tabs>
          <w:tab w:leader="none" w:pos="1189"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i w:val="1"/>
          <w:iCs w:val="1"/>
          <w:color w:val="auto"/>
        </w:rPr>
        <w:t>.</w:t>
      </w:r>
      <w:r>
        <w:rPr>
          <w:rFonts w:ascii="Arial" w:cs="Arial" w:eastAsia="Arial" w:hAnsi="Arial"/>
          <w:sz w:val="22"/>
          <w:szCs w:val="22"/>
          <w:color w:val="auto"/>
        </w:rPr>
        <w:t xml:space="preserve"> The applicable Award Agreement may provide, as of each date on which a cash dividend is paid on Shares, that Dividend Equivalents on the specified number of Shares covered by the Award will be paid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535305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361" w:right="259" w:bottom="1440" w:gutter="0" w:footer="0" w:header="0"/>
        </w:sectPr>
      </w:pPr>
    </w:p>
    <w:bookmarkStart w:id="15" w:name="page16"/>
    <w:bookmarkEnd w:id="15"/>
    <w:p>
      <w:pPr>
        <w:ind w:left="4" w:right="40"/>
        <w:spacing w:after="0" w:line="273" w:lineRule="auto"/>
        <w:rPr>
          <w:sz w:val="20"/>
          <w:szCs w:val="20"/>
          <w:color w:val="auto"/>
        </w:rPr>
      </w:pPr>
      <w:r>
        <w:rPr>
          <w:rFonts w:ascii="Arial" w:cs="Arial" w:eastAsia="Arial" w:hAnsi="Arial"/>
          <w:sz w:val="19"/>
          <w:szCs w:val="19"/>
          <w:color w:val="auto"/>
        </w:rPr>
        <w:t>such Restricted Share Units at the dividend payment date either (A) in cash or in restricted or unrestricted Shares having a Fair Market Value equal to the amount of such dividends, or (B) by increasing the number of Restricted Share Units subject to a Restricted Share Unit Award by that number of Restricted Share Units (including fractional units) determined by</w:t>
      </w:r>
    </w:p>
    <w:p>
      <w:pPr>
        <w:spacing w:after="0" w:line="2" w:lineRule="exact"/>
        <w:rPr>
          <w:sz w:val="20"/>
          <w:szCs w:val="20"/>
          <w:color w:val="auto"/>
        </w:rPr>
      </w:pPr>
    </w:p>
    <w:p>
      <w:pPr>
        <w:ind w:left="4" w:right="180" w:hanging="4"/>
        <w:spacing w:after="0" w:line="280" w:lineRule="auto"/>
        <w:tabs>
          <w:tab w:leader="none" w:pos="262" w:val="left"/>
        </w:tabs>
        <w:numPr>
          <w:ilvl w:val="0"/>
          <w:numId w:val="21"/>
        </w:numPr>
        <w:rPr>
          <w:rFonts w:ascii="Arial" w:cs="Arial" w:eastAsia="Arial" w:hAnsi="Arial"/>
          <w:sz w:val="19"/>
          <w:szCs w:val="19"/>
          <w:color w:val="auto"/>
        </w:rPr>
      </w:pPr>
      <w:r>
        <w:rPr>
          <w:rFonts w:ascii="Arial" w:cs="Arial" w:eastAsia="Arial" w:hAnsi="Arial"/>
          <w:sz w:val="19"/>
          <w:szCs w:val="19"/>
          <w:color w:val="auto"/>
        </w:rPr>
        <w:t>multiplying the amount of such dividend (per Share) by the number of Restricted Share Units subject to the Award immediately before the payment of the dividend, and (ii) dividing the total so determined by the Fair Market Value of a Share on the date of payment of such cash dividend; and any such additional Restricted Share Units so credited shall have the same deferral and forfeiture provisions as the Restricted Share Units with respect to which they are credited.</w:t>
      </w:r>
    </w:p>
    <w:p>
      <w:pPr>
        <w:spacing w:after="0" w:line="150" w:lineRule="exact"/>
        <w:rPr>
          <w:rFonts w:ascii="Arial" w:cs="Arial" w:eastAsia="Arial" w:hAnsi="Arial"/>
          <w:sz w:val="19"/>
          <w:szCs w:val="19"/>
          <w:color w:val="auto"/>
        </w:rPr>
      </w:pPr>
    </w:p>
    <w:p>
      <w:pPr>
        <w:ind w:left="-656" w:firstLine="1305"/>
        <w:spacing w:after="0" w:line="273" w:lineRule="auto"/>
        <w:tabs>
          <w:tab w:leader="none" w:pos="1157"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Other Share-Based Awards</w:t>
      </w:r>
      <w:r>
        <w:rPr>
          <w:rFonts w:ascii="Arial" w:cs="Arial" w:eastAsia="Arial" w:hAnsi="Arial"/>
          <w:sz w:val="19"/>
          <w:szCs w:val="19"/>
          <w:color w:val="auto"/>
        </w:rPr>
        <w:t>. The Committee is authorized, subject to limitations under applicable law, to grant to Consultants and Directors such other Awards that may be denominated or payable in, valued in whole or in part by reference to, or otherwise based on, or related to, Shares, as deemed by the Committee to be consistent with the purposes of the Plan, including, without limitation, unrestricted shares awarded purely as a “bonus” and not subject to any restrictions or conditions, other rights convertible or exchangeable into Shares, purchase rights for Shares, Awards with value and payment contingent upon performance of the Company or any other factors designated by the Committee, and Awards valued by reference to the performance of specified Subsidiaries. The Committee shall determine the terms and conditions of such Awards at date of grant. Shares delivered pursuant to an Award in the nature of a purchase right granted under this Section 5(c) shall be purchased for such consideration, paid for at such times, by such methods, and in such forms, including, without limitation, cash, Shares, notes or other property, as the Committee shall determine. Cash awards, as an element of or supplement to any other Award under the Plan, shall also be authorized pursuant to this Section 5(c).</w:t>
      </w:r>
    </w:p>
    <w:p>
      <w:pPr>
        <w:spacing w:after="0" w:line="156" w:lineRule="exact"/>
        <w:rPr>
          <w:sz w:val="20"/>
          <w:szCs w:val="20"/>
          <w:color w:val="auto"/>
        </w:rPr>
      </w:pPr>
    </w:p>
    <w:p>
      <w:pPr>
        <w:ind w:left="1304" w:hanging="655"/>
        <w:spacing w:after="0"/>
        <w:tabs>
          <w:tab w:leader="none" w:pos="1304"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Certain Provisions Applicable to Awards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656" w:right="20" w:firstLine="1305"/>
        <w:spacing w:after="0" w:line="234" w:lineRule="auto"/>
        <w:tabs>
          <w:tab w:leader="none" w:pos="1157"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Stand-Alone, Additional, Tandem and Substitute Awards</w:t>
      </w:r>
      <w:r>
        <w:rPr>
          <w:rFonts w:ascii="Arial" w:cs="Arial" w:eastAsia="Arial" w:hAnsi="Arial"/>
          <w:sz w:val="22"/>
          <w:szCs w:val="22"/>
          <w:color w:val="auto"/>
        </w:rPr>
        <w:t>. Awards granted under the Plan may, in the discretion of the Committee, be granted to Consultants and Directors either alone or in addition to, in tandem with, or in exchange or substitution for, any other Award granted under the Plan or any award granted under any other plan or agreement of the Company, any Subsidiary, or any business entity to be acquired by the Company or a Subsidiary, or any other right of a Consultant or Director to receive payment from the Company or any Subsidiary. Awards may be granted in addition to or in tandem with such other Awards or awards, and may be granted either as of the same time as, or a different time from, the grant of such other Awards or awards.</w:t>
      </w:r>
    </w:p>
    <w:p>
      <w:pPr>
        <w:spacing w:after="0" w:line="191" w:lineRule="exact"/>
        <w:rPr>
          <w:rFonts w:ascii="Arial" w:cs="Arial" w:eastAsia="Arial" w:hAnsi="Arial"/>
          <w:sz w:val="22"/>
          <w:szCs w:val="22"/>
          <w:color w:val="auto"/>
        </w:rPr>
      </w:pPr>
    </w:p>
    <w:p>
      <w:pPr>
        <w:ind w:left="-656" w:right="840" w:firstLine="1305"/>
        <w:spacing w:after="0" w:line="251" w:lineRule="auto"/>
        <w:tabs>
          <w:tab w:leader="none" w:pos="117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Term of Awards</w:t>
      </w:r>
      <w:r>
        <w:rPr>
          <w:rFonts w:ascii="Arial" w:cs="Arial" w:eastAsia="Arial" w:hAnsi="Arial"/>
          <w:sz w:val="22"/>
          <w:szCs w:val="22"/>
          <w:color w:val="auto"/>
        </w:rPr>
        <w:t>. The term of each Award granted to a Participant shall be for such period as may be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389255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361" w:right="279" w:bottom="1440" w:gutter="0" w:footer="0" w:header="0"/>
        </w:sectPr>
      </w:pPr>
    </w:p>
    <w:bookmarkStart w:id="16" w:name="page17"/>
    <w:bookmarkEnd w:id="16"/>
    <w:p>
      <w:pPr>
        <w:ind w:left="-1200" w:right="140" w:firstLine="1305"/>
        <w:spacing w:after="0" w:line="248" w:lineRule="auto"/>
        <w:tabs>
          <w:tab w:leader="none" w:pos="614"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Form of Payment Under Awards</w:t>
      </w:r>
      <w:r>
        <w:rPr>
          <w:rFonts w:ascii="Arial" w:cs="Arial" w:eastAsia="Arial" w:hAnsi="Arial"/>
          <w:sz w:val="21"/>
          <w:szCs w:val="21"/>
          <w:color w:val="auto"/>
        </w:rPr>
        <w:t>. Subject to the terms of the Plan and any applicable Award Agreement, payments to be made by the Company or a Subsidiary upon the grant or vesting of an Award may be made in such forms as the Committee shall determine at the date of grant or allow (in accordance with applicable law) at the time of payment, including, without limitation, cash, Shares, notes or other property, and may be made in a single payment or transfer, in installments, or on a deferred basis. The Committee may make rules relating to installment or deferred payments with respect to Awards, including the rate of interest to be credited with respect to such payments.</w:t>
      </w:r>
    </w:p>
    <w:p>
      <w:pPr>
        <w:spacing w:after="0" w:line="177" w:lineRule="exact"/>
        <w:rPr>
          <w:rFonts w:ascii="Arial" w:cs="Arial" w:eastAsia="Arial" w:hAnsi="Arial"/>
          <w:sz w:val="21"/>
          <w:szCs w:val="21"/>
          <w:color w:val="auto"/>
        </w:rPr>
      </w:pPr>
    </w:p>
    <w:p>
      <w:pPr>
        <w:ind w:left="-1200" w:right="40" w:firstLine="1305"/>
        <w:spacing w:after="0" w:line="234" w:lineRule="auto"/>
        <w:tabs>
          <w:tab w:leader="none" w:pos="626"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Unless otherwise set forth by the Committee in an Award Agreement, Awards shall not be transferable by a Participant except by will or the laws of descent and distribution (except pursuant to a Beneficiary designation where permitted under applicable law) and shall be exercisable during the lifetime of a Participant only by such Participant or his guardian or legal representative. A Participant’s rights under the Plan may not be pledged, mortgaged, hypothecated, or otherwise encumbered, and shall not be subject to claims of the Participant’s creditors. The transferee of an Award shall be bound by the provisions of this Plan and the Award Agreement entered into by the Participant and the Company and (unless otherwise determined by the Committee in its absolute discretion) such transferee shall agree in writing on a form prescribed by the Committee to be so bound.</w:t>
      </w:r>
    </w:p>
    <w:p>
      <w:pPr>
        <w:spacing w:after="0" w:line="187" w:lineRule="exact"/>
        <w:rPr>
          <w:rFonts w:ascii="Arial" w:cs="Arial" w:eastAsia="Arial" w:hAnsi="Arial"/>
          <w:sz w:val="22"/>
          <w:szCs w:val="22"/>
          <w:color w:val="auto"/>
        </w:rPr>
      </w:pPr>
    </w:p>
    <w:p>
      <w:pPr>
        <w:ind w:left="-1200" w:right="180" w:firstLine="1305"/>
        <w:spacing w:after="0" w:line="238" w:lineRule="auto"/>
        <w:tabs>
          <w:tab w:leader="none" w:pos="61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The Committee may, by way of the Award Agreements or otherwise, establish such other terms, conditions, restrictions and/or limitations, if any, of any Award, provided they are not inconsistent with the Plan, including, without limitation, the requirement that the Participant not engage in competition with, solicit customers or employees of, or disclose or use confidential information of the Company or its Subsidiaries.</w:t>
      </w:r>
    </w:p>
    <w:p>
      <w:pPr>
        <w:spacing w:after="0" w:line="185" w:lineRule="exact"/>
        <w:rPr>
          <w:rFonts w:ascii="Arial" w:cs="Arial" w:eastAsia="Arial" w:hAnsi="Arial"/>
          <w:sz w:val="22"/>
          <w:szCs w:val="22"/>
          <w:color w:val="auto"/>
        </w:rPr>
      </w:pPr>
    </w:p>
    <w:p>
      <w:pPr>
        <w:jc w:val="both"/>
        <w:ind w:left="-1200" w:right="220" w:firstLine="1305"/>
        <w:spacing w:after="0"/>
        <w:tabs>
          <w:tab w:leader="none" w:pos="59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The Committee may determine, at the time of granting an Award or thereafter, that such Award shall become fully vested as to all or part of the Shares subject to such Award in the event that a Change in Control occurs with respect to the Company.</w:t>
      </w:r>
    </w:p>
    <w:p>
      <w:pPr>
        <w:spacing w:after="0" w:line="186" w:lineRule="exact"/>
        <w:rPr>
          <w:sz w:val="20"/>
          <w:szCs w:val="20"/>
          <w:color w:val="auto"/>
        </w:rPr>
      </w:pPr>
    </w:p>
    <w:p>
      <w:pPr>
        <w:ind w:left="760" w:hanging="655"/>
        <w:spacing w:after="0"/>
        <w:tabs>
          <w:tab w:leader="none" w:pos="7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1200" w:firstLine="1305"/>
        <w:spacing w:after="0" w:line="247" w:lineRule="auto"/>
        <w:tabs>
          <w:tab w:leader="none" w:pos="614"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Compliance with Legal and Trading Requirements</w:t>
      </w:r>
      <w:r>
        <w:rPr>
          <w:rFonts w:ascii="Arial" w:cs="Arial" w:eastAsia="Arial" w:hAnsi="Arial"/>
          <w:sz w:val="21"/>
          <w:szCs w:val="21"/>
          <w:color w:val="auto"/>
        </w:rPr>
        <w:t>. The Plan, the granting and exercising of Awards thereunder, and the other obligations of the Company under the Plan and any Award Agreement, shall be subject to all applicable federal, state and foreign laws, rules and regulations, and to such approvals by any stock exchange, regulatory or governmental agency as may be required. The Company, in its discretion, may postpone the issuance or delivery of Shares under any Award until completion of such stock exchange or market system listing or registration or qualification of such Shares or any required action under any state, federal or foreign law, rule or regulation as the Company may consider appropriate, and may require any Participant to make such representations and furnish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392430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361" w:right="259" w:bottom="1440" w:gutter="0" w:footer="0" w:header="0"/>
        </w:sectPr>
      </w:pPr>
    </w:p>
    <w:bookmarkStart w:id="17" w:name="page18"/>
    <w:bookmarkEnd w:id="17"/>
    <w:p>
      <w:pPr>
        <w:ind w:right="80"/>
        <w:spacing w:after="0" w:line="238" w:lineRule="auto"/>
        <w:rPr>
          <w:sz w:val="20"/>
          <w:szCs w:val="20"/>
          <w:color w:val="auto"/>
        </w:rPr>
      </w:pPr>
      <w:r>
        <w:rPr>
          <w:rFonts w:ascii="Arial" w:cs="Arial" w:eastAsia="Arial" w:hAnsi="Arial"/>
          <w:sz w:val="22"/>
          <w:szCs w:val="22"/>
          <w:color w:val="auto"/>
        </w:rPr>
        <w:t>information as it may consider appropriate in connection with the issuance or delivery of Shares in compliance with applicable laws, rules and regulations. No provisions of the Plan shall be interpreted or construed to obligate the Company to register any Shares under federal, state or foreign law. The Shares issued under the Plan may be subject to such other restrictions on transfer as determined by the Committee.</w:t>
      </w:r>
    </w:p>
    <w:p>
      <w:pPr>
        <w:spacing w:after="0" w:line="185" w:lineRule="exact"/>
        <w:rPr>
          <w:sz w:val="20"/>
          <w:szCs w:val="20"/>
          <w:color w:val="auto"/>
        </w:rPr>
      </w:pPr>
    </w:p>
    <w:p>
      <w:pPr>
        <w:ind w:firstLine="1305"/>
        <w:spacing w:after="0" w:line="277" w:lineRule="auto"/>
        <w:tabs>
          <w:tab w:leader="none" w:pos="1826"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 Right to Continued Service</w:t>
      </w:r>
      <w:r>
        <w:rPr>
          <w:rFonts w:ascii="Arial" w:cs="Arial" w:eastAsia="Arial" w:hAnsi="Arial"/>
          <w:sz w:val="19"/>
          <w:szCs w:val="19"/>
          <w:color w:val="auto"/>
        </w:rPr>
        <w:t>. Neither the Plan nor any action taken thereunder shall be construed as giving any Participant the right to be retained as a Consultant or Director of the Company or any of its Subsidiaries, nor shall it interfere in any way with any right of the Company or any of its Subsidiaries to terminate any Participant’s service agreement with or without notice or cause at any time in accordance with applicable law. Under no circumstances will any Participant ceasing to be a Consultant or Director be entitled to any compensation for any loss of any right or benefit or prospective right or benefit under the Plan which he might otherwise have enjoyed whether such compensation is claimed by way of damages for wrongful dismissal or other breach of contract or by way of compensation for loss of office or otherwise howsoever.</w:t>
      </w:r>
    </w:p>
    <w:p>
      <w:pPr>
        <w:spacing w:after="0" w:line="152" w:lineRule="exact"/>
        <w:rPr>
          <w:rFonts w:ascii="Arial" w:cs="Arial" w:eastAsia="Arial" w:hAnsi="Arial"/>
          <w:sz w:val="19"/>
          <w:szCs w:val="19"/>
          <w:color w:val="auto"/>
        </w:rPr>
      </w:pPr>
    </w:p>
    <w:p>
      <w:pPr>
        <w:ind w:right="20" w:firstLine="1305"/>
        <w:spacing w:after="0" w:line="273" w:lineRule="auto"/>
        <w:tabs>
          <w:tab w:leader="none" w:pos="1814"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xml:space="preserve">. If withholding obligations arise for the Company or any Subsidiary, the Company or any Subsidiary is authorized to withhold from any Award granted, any payment relating to an Award under the Plan, including from a distribution of Shares, or any payroll or other payment to a Consultant or Director, amounts of withholding social insurance, levies and other taxes due in connection with any transaction involving an Award, and to take such other action as the Committee may deem advisable to enable the Company or any Subsidiary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amount of tax withholding to be satisfied by withholding Shares shall be limited to the amount determined based on the maximum individual tax rate in the applicable jurisdiction and any amount of social insurance and/or levies, including taxes required to be withheld under applicable United States Federal, state and local law, Irish law or other foreign law.</w:t>
      </w:r>
    </w:p>
    <w:p>
      <w:pPr>
        <w:spacing w:after="0" w:line="161" w:lineRule="exact"/>
        <w:rPr>
          <w:rFonts w:ascii="Arial" w:cs="Arial" w:eastAsia="Arial" w:hAnsi="Arial"/>
          <w:sz w:val="19"/>
          <w:szCs w:val="19"/>
          <w:color w:val="auto"/>
        </w:rPr>
      </w:pPr>
    </w:p>
    <w:p>
      <w:pPr>
        <w:ind w:right="100" w:firstLine="1305"/>
        <w:spacing w:after="0" w:line="277" w:lineRule="auto"/>
        <w:tabs>
          <w:tab w:leader="none" w:pos="1826"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Changes to the Plan and Awards</w:t>
      </w:r>
      <w:r>
        <w:rPr>
          <w:rFonts w:ascii="Arial" w:cs="Arial" w:eastAsia="Arial" w:hAnsi="Arial"/>
          <w:sz w:val="19"/>
          <w:szCs w:val="19"/>
          <w:color w:val="auto"/>
        </w:rPr>
        <w:t xml:space="preserve">. The Board may amend, alter, suspend, discontinue, or terminate the Plan or the Committee’s authority to grant Awards under the Plan without the consent of shareholders of the Company or Participants, except that any such amendment or alteration shall be subject to the approval of the Company’s shareholders to the extent such shareholder approval is required under the rules of any stock exchange or automated quotation system on which the Shares may then be listed or quoted or any applicable law, regulation or rule;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without the consent of an affected Participant, no amendment, alteration, suspension, discontinuation, or termination of the Plan may materially and adversely affect the rights of such Participant under any Award theretofore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8" w:name="page19"/>
    <w:bookmarkEnd w:id="18"/>
    <w:p>
      <w:pPr>
        <w:ind w:right="340"/>
        <w:spacing w:after="0" w:line="287" w:lineRule="auto"/>
        <w:rPr>
          <w:sz w:val="20"/>
          <w:szCs w:val="20"/>
          <w:color w:val="auto"/>
        </w:rPr>
      </w:pPr>
      <w:r>
        <w:rPr>
          <w:rFonts w:ascii="Arial" w:cs="Arial" w:eastAsia="Arial" w:hAnsi="Arial"/>
          <w:sz w:val="19"/>
          <w:szCs w:val="19"/>
          <w:color w:val="auto"/>
        </w:rPr>
        <w:t xml:space="preserve">granted to him or her. The Committee may waive any conditions or rights under, amend any terms of, or amend, alter, suspend, discontinue or terminate, any Award theretofore granted, prospectively or retrospectively;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without the consent of a Participant, no amendment, alteration, suspension, discontinuation or termination of any Award may materially and adversely affect the rights of such Participant under any Award theretofore granted to him or her.</w:t>
      </w:r>
    </w:p>
    <w:p>
      <w:pPr>
        <w:spacing w:after="0" w:line="143" w:lineRule="exact"/>
        <w:rPr>
          <w:sz w:val="20"/>
          <w:szCs w:val="20"/>
          <w:color w:val="auto"/>
        </w:rPr>
      </w:pPr>
    </w:p>
    <w:p>
      <w:pPr>
        <w:ind w:right="140" w:firstLine="1305"/>
        <w:spacing w:after="0" w:line="236" w:lineRule="auto"/>
        <w:tabs>
          <w:tab w:leader="none" w:pos="1814"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No Rights to Awards; No Shareholder Rights</w:t>
      </w:r>
      <w:r>
        <w:rPr>
          <w:rFonts w:ascii="Arial" w:cs="Arial" w:eastAsia="Arial" w:hAnsi="Arial"/>
          <w:sz w:val="22"/>
          <w:szCs w:val="22"/>
          <w:color w:val="auto"/>
        </w:rPr>
        <w:t>. No Consultant or Director shall have any claim to be granted any Award under the Plan, and there is no obligation for uniformity of treatment of Consultants or Directors. No Award shall confer on any Participant any of the rights of a shareholder (including, but not limited to, shareholder voting rights or rights to dividends) of the Company unless and until Shares are duly issued or transferred to the Participant in accordance with the terms of the Award.</w:t>
      </w:r>
    </w:p>
    <w:p>
      <w:pPr>
        <w:spacing w:after="0" w:line="187" w:lineRule="exact"/>
        <w:rPr>
          <w:rFonts w:ascii="Arial" w:cs="Arial" w:eastAsia="Arial" w:hAnsi="Arial"/>
          <w:sz w:val="22"/>
          <w:szCs w:val="22"/>
          <w:color w:val="auto"/>
        </w:rPr>
      </w:pPr>
    </w:p>
    <w:p>
      <w:pPr>
        <w:ind w:right="180" w:firstLine="1305"/>
        <w:spacing w:after="0" w:line="247" w:lineRule="auto"/>
        <w:tabs>
          <w:tab w:leader="none" w:pos="1790"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Unfunded Status of Awards</w:t>
      </w:r>
      <w:r>
        <w:rPr>
          <w:rFonts w:ascii="Arial" w:cs="Arial" w:eastAsia="Arial" w:hAnsi="Arial"/>
          <w:sz w:val="21"/>
          <w:szCs w:val="21"/>
          <w:color w:val="auto"/>
        </w:rPr>
        <w:t xml:space="preserve">. The Plan is intended to constitute an “unfunded” plan for incentive compensation. With respect to any payments not yet made to a Participant pursuant to an Award, nothing contained in the Plan or any Award shall give any such Participant any rights that are greater than those of a general unsecured creditor of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Committee may authorize the creation of trusts or make other arrangements to meet the Company’s obligations under the Plan to deliver cash, Shares, other Awards, or other property pursuant to any Award, which trusts or other arrangements shall be consistent with the “unfunded” status of the Plan unless the Committee otherwise determines with the consent of each affected Participant.</w:t>
      </w:r>
    </w:p>
    <w:p>
      <w:pPr>
        <w:spacing w:after="0" w:line="178" w:lineRule="exact"/>
        <w:rPr>
          <w:rFonts w:ascii="Arial" w:cs="Arial" w:eastAsia="Arial" w:hAnsi="Arial"/>
          <w:sz w:val="21"/>
          <w:szCs w:val="21"/>
          <w:color w:val="auto"/>
        </w:rPr>
      </w:pPr>
    </w:p>
    <w:p>
      <w:pPr>
        <w:ind w:firstLine="1305"/>
        <w:spacing w:after="0" w:line="249" w:lineRule="auto"/>
        <w:tabs>
          <w:tab w:leader="none" w:pos="1826"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Provision of Financial Assistance</w:t>
      </w:r>
      <w:r>
        <w:rPr>
          <w:rFonts w:ascii="Arial" w:cs="Arial" w:eastAsia="Arial" w:hAnsi="Arial"/>
          <w:sz w:val="21"/>
          <w:szCs w:val="21"/>
          <w:color w:val="auto"/>
        </w:rPr>
        <w:t>. The Company (or any Subsidiary) may from time to time at the absolute discretion of the Board (or in the case of a Subsidiary of its board) provide monies to, make loans to, guarantee loans for, or provide any form of financial assistance permitted by applicable law to or for such one or more Participants as it deems fit in order to assist such Participant(s) to acquire Shares on foot of Awards. Any loan or guarantee shall be on such terms as to repayment, interest or otherwise as the Board (or in the case of a Subsidiary as its board) may determine.</w:t>
      </w:r>
    </w:p>
    <w:p>
      <w:pPr>
        <w:spacing w:after="0" w:line="178" w:lineRule="exact"/>
        <w:rPr>
          <w:rFonts w:ascii="Arial" w:cs="Arial" w:eastAsia="Arial" w:hAnsi="Arial"/>
          <w:sz w:val="21"/>
          <w:szCs w:val="21"/>
          <w:color w:val="auto"/>
        </w:rPr>
      </w:pPr>
    </w:p>
    <w:p>
      <w:pPr>
        <w:jc w:val="both"/>
        <w:ind w:right="80" w:firstLine="1305"/>
        <w:spacing w:after="0" w:line="238" w:lineRule="auto"/>
        <w:tabs>
          <w:tab w:leader="none" w:pos="1826"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Nonexclusivity of the Plan</w:t>
      </w:r>
      <w:r>
        <w:rPr>
          <w:rFonts w:ascii="Arial" w:cs="Arial" w:eastAsia="Arial" w:hAnsi="Arial"/>
          <w:sz w:val="22"/>
          <w:szCs w:val="22"/>
          <w:color w:val="auto"/>
        </w:rPr>
        <w:t>. The adoption of the Plan by the Board shall not be construed as creating any limitations on the power of the Board to adopt such other incentive arrangements as it may deem desirable, including, without limitation, the granting of options and other awards otherwise than under the Plan, and such arrangements may be either applicable generally or only in specific cases.</w:t>
      </w:r>
    </w:p>
    <w:p>
      <w:pPr>
        <w:spacing w:after="0" w:line="185" w:lineRule="exact"/>
        <w:rPr>
          <w:rFonts w:ascii="Arial" w:cs="Arial" w:eastAsia="Arial" w:hAnsi="Arial"/>
          <w:sz w:val="22"/>
          <w:szCs w:val="22"/>
          <w:color w:val="auto"/>
        </w:rPr>
      </w:pPr>
    </w:p>
    <w:p>
      <w:pPr>
        <w:ind w:right="80" w:firstLine="1305"/>
        <w:spacing w:after="0"/>
        <w:tabs>
          <w:tab w:leader="none" w:pos="1778"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Not Compensation for Benefit Plans</w:t>
      </w:r>
      <w:r>
        <w:rPr>
          <w:rFonts w:ascii="Arial" w:cs="Arial" w:eastAsia="Arial" w:hAnsi="Arial"/>
          <w:sz w:val="22"/>
          <w:szCs w:val="22"/>
          <w:color w:val="auto"/>
        </w:rPr>
        <w:t>. No Award payable under this Plan shall be deemed salary or compensation for the purpose of computing benefits under any benefit plan or other arrangement of the Company for the benefit of any Consultant or Director unless the Company shall determine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 w:name="page20"/>
    <w:bookmarkEnd w:id="19"/>
    <w:p>
      <w:pPr>
        <w:ind w:left="-1200" w:right="380" w:firstLine="1305"/>
        <w:spacing w:after="0" w:line="297" w:lineRule="auto"/>
        <w:tabs>
          <w:tab w:leader="none" w:pos="57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No Fractional Shares</w:t>
      </w:r>
      <w:r>
        <w:rPr>
          <w:rFonts w:ascii="Arial" w:cs="Arial" w:eastAsia="Arial" w:hAnsi="Arial"/>
          <w:sz w:val="19"/>
          <w:szCs w:val="19"/>
          <w:color w:val="auto"/>
        </w:rPr>
        <w:t>.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34" w:lineRule="exact"/>
        <w:rPr>
          <w:rFonts w:ascii="Arial" w:cs="Arial" w:eastAsia="Arial" w:hAnsi="Arial"/>
          <w:sz w:val="19"/>
          <w:szCs w:val="19"/>
          <w:color w:val="auto"/>
        </w:rPr>
      </w:pPr>
    </w:p>
    <w:p>
      <w:pPr>
        <w:ind w:left="-1200" w:right="180" w:firstLine="1305"/>
        <w:spacing w:after="0"/>
        <w:tabs>
          <w:tab w:leader="none" w:pos="626"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construction, and effect of the Plan, any rules and regulations relating to the Plan, and any Award Agreement shall be determined in accordance with the laws of Ireland, without giving effect to principles of conflict of laws thereof.</w:t>
      </w:r>
    </w:p>
    <w:p>
      <w:pPr>
        <w:spacing w:after="0" w:line="180" w:lineRule="exact"/>
        <w:rPr>
          <w:rFonts w:ascii="Arial" w:cs="Arial" w:eastAsia="Arial" w:hAnsi="Arial"/>
          <w:sz w:val="22"/>
          <w:szCs w:val="22"/>
          <w:color w:val="auto"/>
        </w:rPr>
      </w:pPr>
    </w:p>
    <w:p>
      <w:pPr>
        <w:ind w:left="-1200" w:right="120" w:firstLine="1305"/>
        <w:spacing w:after="0" w:line="200" w:lineRule="auto"/>
        <w:tabs>
          <w:tab w:leader="none" w:pos="578"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Effective Date; Plan Termination</w:t>
      </w:r>
      <w:r>
        <w:rPr>
          <w:rFonts w:ascii="Arial" w:cs="Arial" w:eastAsia="Arial" w:hAnsi="Arial"/>
          <w:sz w:val="22"/>
          <w:szCs w:val="22"/>
          <w:color w:val="auto"/>
        </w:rPr>
        <w:t>. This Plan shall become effective as of 16</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May, 2019 (the “Effective Date”), subject to approval by the Board. The Plan shall terminate as to future awards on the date which is ten (10) years after the Effective Date.</w:t>
      </w:r>
    </w:p>
    <w:p>
      <w:pPr>
        <w:spacing w:after="0" w:line="185" w:lineRule="exact"/>
        <w:rPr>
          <w:rFonts w:ascii="Arial" w:cs="Arial" w:eastAsia="Arial" w:hAnsi="Arial"/>
          <w:sz w:val="22"/>
          <w:szCs w:val="22"/>
          <w:color w:val="auto"/>
        </w:rPr>
      </w:pPr>
    </w:p>
    <w:p>
      <w:pPr>
        <w:ind w:left="-1200" w:firstLine="1305"/>
        <w:spacing w:after="0" w:line="245" w:lineRule="auto"/>
        <w:tabs>
          <w:tab w:leader="none" w:pos="686"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Awards under the Plan are intended to comply with, or be exempt from, the applicable requirements of Section 409A of the Code and shall be limited, construed and interpreted in accordance with such intent. Although the Company does not guarantee any particular tax treatment, to the extent that any Award is subject to Section 409A of the Code, it shall be paid in a manner that is intended to comply with Section 409A of the Code, including regulations and any other guidance issued by the Secretary of the Treasury and the Internal Revenue Service with respect thereto. In no event whatsoever shall the Company be liable for any additional tax, interest or penalties that may be imposed on the Participant by Section 409A of the Code or any damages for failing to comply with Section 409A of the Code. The Plan and any Award Agreements issued thereunder may be amended in any respect deemed by the Board or the Committee to be necessary in order to preserve compliance with Section 409A of the Code.</w:t>
      </w:r>
    </w:p>
    <w:p>
      <w:pPr>
        <w:spacing w:after="0" w:line="185" w:lineRule="exact"/>
        <w:rPr>
          <w:rFonts w:ascii="Arial" w:cs="Arial" w:eastAsia="Arial" w:hAnsi="Arial"/>
          <w:sz w:val="21"/>
          <w:szCs w:val="21"/>
          <w:color w:val="auto"/>
        </w:rPr>
      </w:pPr>
    </w:p>
    <w:p>
      <w:pPr>
        <w:ind w:left="-1200" w:right="60" w:firstLine="1305"/>
        <w:spacing w:after="0" w:line="251" w:lineRule="auto"/>
        <w:tabs>
          <w:tab w:leader="none" w:pos="626"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Titles and Headings</w:t>
      </w:r>
      <w:r>
        <w:rPr>
          <w:rFonts w:ascii="Arial" w:cs="Arial" w:eastAsia="Arial" w:hAnsi="Arial"/>
          <w:sz w:val="22"/>
          <w:szCs w:val="22"/>
          <w:color w:val="auto"/>
        </w:rPr>
        <w:t>. The titles and headings of the sections in the Plan are for convenience of reference only. In the event of any conflict, the text of the Plan, rather than such titles or headings, shall control.</w:t>
      </w:r>
    </w:p>
    <w:p>
      <w:pPr>
        <w:sectPr>
          <w:pgSz w:w="11900" w:h="16838" w:orient="portrait"/>
          <w:cols w:equalWidth="0" w:num="1">
            <w:col w:w="10180"/>
          </w:cols>
          <w:pgMar w:left="1440" w:top="361" w:right="279" w:bottom="1440" w:gutter="0" w:footer="0" w:header="0"/>
        </w:sectPr>
      </w:pPr>
    </w:p>
    <w:bookmarkStart w:id="20" w:name="page21"/>
    <w:bookmarkEnd w:id="20"/>
    <w:p>
      <w:pPr>
        <w:spacing w:after="0" w:line="200" w:lineRule="exact"/>
        <w:rPr>
          <w:sz w:val="20"/>
          <w:szCs w:val="20"/>
          <w:color w:val="auto"/>
        </w:rPr>
      </w:pPr>
    </w:p>
    <w:p>
      <w:pPr>
        <w:spacing w:after="0" w:line="358" w:lineRule="exact"/>
        <w:rPr>
          <w:sz w:val="20"/>
          <w:szCs w:val="20"/>
          <w:color w:val="auto"/>
        </w:rPr>
      </w:pPr>
    </w:p>
    <w:p>
      <w:pPr>
        <w:ind w:left="6580"/>
        <w:spacing w:after="0"/>
        <w:rPr>
          <w:sz w:val="20"/>
          <w:szCs w:val="20"/>
          <w:color w:val="auto"/>
        </w:rPr>
      </w:pPr>
      <w:r>
        <w:rPr>
          <w:rFonts w:ascii="Arial" w:cs="Arial" w:eastAsia="Arial" w:hAnsi="Arial"/>
          <w:sz w:val="13"/>
          <w:szCs w:val="13"/>
          <w:b w:val="1"/>
          <w:bCs w:val="1"/>
          <w:color w:val="auto"/>
        </w:rPr>
        <w:t>A&amp;L Goodbody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-88900</wp:posOffset>
            </wp:positionV>
            <wp:extent cx="17145" cy="823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82359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-88900</wp:posOffset>
            </wp:positionV>
            <wp:extent cx="162052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0520" cy="248920"/>
                    </a:xfrm>
                    <a:prstGeom prst="rect">
                      <a:avLst/>
                    </a:prstGeom>
                    <a:noFill/>
                  </pic:spPr>
                </pic:pic>
              </a:graphicData>
            </a:graphic>
          </wp:anchor>
        </w:drawing>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International Financial Services Centre</w:t>
      </w:r>
    </w:p>
    <w:p>
      <w:pPr>
        <w:spacing w:after="0" w:line="78"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25-28 North Wall Quay, Dublin 1</w:t>
      </w:r>
    </w:p>
    <w:p>
      <w:pPr>
        <w:spacing w:after="0" w:line="67"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D01 H104</w:t>
      </w:r>
    </w:p>
    <w:p>
      <w:pPr>
        <w:spacing w:after="0" w:line="67"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T: +353 1 649 2000</w:t>
      </w:r>
    </w:p>
    <w:p>
      <w:pPr>
        <w:spacing w:after="0" w:line="67"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DX: 29 Dublin | www.algoodbody.com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Exhibit 5.1</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Dublin</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Belfast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London</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New York</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San Francisco</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Palo Alto</w:t>
      </w:r>
    </w:p>
    <w:p>
      <w:pPr>
        <w:spacing w:after="0" w:line="458" w:lineRule="exact"/>
        <w:rPr>
          <w:sz w:val="20"/>
          <w:szCs w:val="20"/>
          <w:color w:val="auto"/>
        </w:rPr>
      </w:pPr>
    </w:p>
    <w:p>
      <w:pPr>
        <w:sectPr>
          <w:pgSz w:w="11900" w:h="16838" w:orient="portrait"/>
          <w:cols w:equalWidth="0" w:num="2">
            <w:col w:w="9840" w:space="720"/>
            <w:col w:w="860"/>
          </w:cols>
          <w:pgMar w:left="240" w:top="127" w:right="2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0" w:type="dxa"/>
            <w:vAlign w:val="bottom"/>
          </w:tcPr>
          <w:p>
            <w:pPr>
              <w:spacing w:after="0"/>
              <w:rPr>
                <w:sz w:val="20"/>
                <w:szCs w:val="20"/>
                <w:color w:val="auto"/>
              </w:rPr>
            </w:pPr>
            <w:r>
              <w:rPr>
                <w:rFonts w:ascii="Arial" w:cs="Arial" w:eastAsia="Arial" w:hAnsi="Arial"/>
                <w:sz w:val="14"/>
                <w:szCs w:val="14"/>
                <w:color w:val="auto"/>
              </w:rPr>
              <w:t>Date</w:t>
            </w:r>
          </w:p>
        </w:tc>
        <w:tc>
          <w:tcPr>
            <w:tcW w:w="920" w:type="dxa"/>
            <w:vAlign w:val="bottom"/>
          </w:tcPr>
          <w:p>
            <w:pPr>
              <w:jc w:val="right"/>
              <w:spacing w:after="0"/>
              <w:rPr>
                <w:sz w:val="20"/>
                <w:szCs w:val="20"/>
                <w:color w:val="auto"/>
              </w:rPr>
            </w:pPr>
            <w:r>
              <w:rPr>
                <w:rFonts w:ascii="Arial" w:cs="Arial" w:eastAsia="Arial" w:hAnsi="Arial"/>
                <w:sz w:val="14"/>
                <w:szCs w:val="14"/>
                <w:color w:val="auto"/>
              </w:rPr>
              <w:t>16 May 2019</w:t>
            </w:r>
          </w:p>
        </w:tc>
      </w:tr>
      <w:tr>
        <w:trPr>
          <w:trHeight w:val="419"/>
        </w:trPr>
        <w:tc>
          <w:tcPr>
            <w:tcW w:w="600" w:type="dxa"/>
            <w:vAlign w:val="bottom"/>
          </w:tcPr>
          <w:p>
            <w:pPr>
              <w:spacing w:after="0"/>
              <w:rPr>
                <w:sz w:val="20"/>
                <w:szCs w:val="20"/>
                <w:color w:val="auto"/>
              </w:rPr>
            </w:pPr>
            <w:r>
              <w:rPr>
                <w:rFonts w:ascii="Arial" w:cs="Arial" w:eastAsia="Arial" w:hAnsi="Arial"/>
                <w:sz w:val="14"/>
                <w:szCs w:val="14"/>
                <w:color w:val="auto"/>
              </w:rPr>
              <w:t>Our ref</w:t>
            </w:r>
          </w:p>
        </w:tc>
        <w:tc>
          <w:tcPr>
            <w:tcW w:w="920" w:type="dxa"/>
            <w:vAlign w:val="bottom"/>
          </w:tcPr>
          <w:p>
            <w:pPr>
              <w:jc w:val="right"/>
              <w:spacing w:after="0"/>
              <w:rPr>
                <w:sz w:val="20"/>
                <w:szCs w:val="20"/>
                <w:color w:val="auto"/>
              </w:rPr>
            </w:pPr>
            <w:r>
              <w:rPr>
                <w:rFonts w:ascii="Arial" w:cs="Arial" w:eastAsia="Arial" w:hAnsi="Arial"/>
                <w:sz w:val="14"/>
                <w:szCs w:val="14"/>
                <w:color w:val="auto"/>
              </w:rPr>
              <w:t>01371255</w:t>
            </w:r>
          </w:p>
        </w:tc>
      </w:tr>
      <w:tr>
        <w:trPr>
          <w:trHeight w:val="419"/>
        </w:trPr>
        <w:tc>
          <w:tcPr>
            <w:tcW w:w="600" w:type="dxa"/>
            <w:vAlign w:val="bottom"/>
          </w:tcPr>
          <w:p>
            <w:pPr>
              <w:spacing w:after="0"/>
              <w:rPr>
                <w:sz w:val="20"/>
                <w:szCs w:val="20"/>
                <w:color w:val="auto"/>
              </w:rPr>
            </w:pPr>
            <w:r>
              <w:rPr>
                <w:rFonts w:ascii="Arial" w:cs="Arial" w:eastAsia="Arial" w:hAnsi="Arial"/>
                <w:sz w:val="14"/>
                <w:szCs w:val="14"/>
                <w:color w:val="auto"/>
              </w:rPr>
              <w:t>Your ref</w:t>
            </w:r>
          </w:p>
        </w:tc>
        <w:tc>
          <w:tcPr>
            <w:tcW w:w="920" w:type="dxa"/>
            <w:vAlign w:val="bottom"/>
          </w:tcPr>
          <w:p>
            <w:pPr>
              <w:spacing w:after="0"/>
              <w:rPr>
                <w:sz w:val="24"/>
                <w:szCs w:val="24"/>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ICON plc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South County Business Park,</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Leopardstown,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Dublin 18</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Ireland</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ICON plc </w:t>
      </w:r>
      <w:r>
        <w:rPr>
          <w:rFonts w:ascii="Arial" w:cs="Arial" w:eastAsia="Arial" w:hAnsi="Arial"/>
          <w:sz w:val="17"/>
          <w:szCs w:val="17"/>
          <w:color w:val="auto"/>
        </w:rPr>
        <w:t>(the</w:t>
      </w:r>
      <w:r>
        <w:rPr>
          <w:rFonts w:ascii="Arial" w:cs="Arial" w:eastAsia="Arial" w:hAnsi="Arial"/>
          <w:sz w:val="17"/>
          <w:szCs w:val="17"/>
          <w:b w:val="1"/>
          <w:bCs w:val="1"/>
          <w:color w:val="auto"/>
        </w:rPr>
        <w:t xml:space="preserve"> Company</w:t>
      </w:r>
      <w:r>
        <w:rPr>
          <w:rFonts w:ascii="Arial" w:cs="Arial" w:eastAsia="Arial" w:hAnsi="Arial"/>
          <w:sz w:val="17"/>
          <w:szCs w:val="17"/>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00" w:lineRule="exact"/>
        <w:rPr>
          <w:sz w:val="20"/>
          <w:szCs w:val="20"/>
          <w:color w:val="auto"/>
        </w:rPr>
      </w:pPr>
    </w:p>
    <w:p>
      <w:pPr>
        <w:spacing w:after="0" w:line="280" w:lineRule="exact"/>
        <w:rPr>
          <w:sz w:val="20"/>
          <w:szCs w:val="20"/>
          <w:color w:val="auto"/>
        </w:rPr>
      </w:pPr>
    </w:p>
    <w:p>
      <w:pPr>
        <w:jc w:val="both"/>
        <w:ind w:left="560" w:hanging="552"/>
        <w:spacing w:after="0" w:line="285" w:lineRule="auto"/>
        <w:tabs>
          <w:tab w:leader="none" w:pos="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We act as Irish counsel for the Company, a public limited company incorporated under the laws of Ireland, in connection with the proposed registration by the Company of 250,000 ordinary shares of the Company, nominal value €0.06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xml:space="preserve">), pursuant to a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be filed by the Company under the U.S. Securities Act of 1933, as amended.</w:t>
      </w:r>
    </w:p>
    <w:p>
      <w:pPr>
        <w:spacing w:after="0" w:line="199" w:lineRule="exact"/>
        <w:rPr>
          <w:sz w:val="20"/>
          <w:szCs w:val="20"/>
          <w:color w:val="auto"/>
        </w:rPr>
      </w:pPr>
    </w:p>
    <w:p>
      <w:pPr>
        <w:ind w:left="560" w:hanging="552"/>
        <w:spacing w:after="0"/>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Ordinary Shares are issuable under the ICON plc 2019 Consultants and Directors Restricted Share Unit Plan (</w:t>
      </w:r>
      <w:r>
        <w:rPr>
          <w:rFonts w:ascii="Arial" w:cs="Arial" w:eastAsia="Arial" w:hAnsi="Arial"/>
          <w:sz w:val="17"/>
          <w:szCs w:val="17"/>
          <w:b w:val="1"/>
          <w:bCs w:val="1"/>
          <w:color w:val="auto"/>
        </w:rPr>
        <w:t>the Plan</w:t>
      </w:r>
      <w:r>
        <w:rPr>
          <w:rFonts w:ascii="Arial" w:cs="Arial" w:eastAsia="Arial" w:hAnsi="Arial"/>
          <w:sz w:val="17"/>
          <w:szCs w:val="17"/>
          <w:color w:val="auto"/>
        </w:rPr>
        <w:t>).</w:t>
      </w:r>
    </w:p>
    <w:p>
      <w:pPr>
        <w:spacing w:after="0" w:line="284" w:lineRule="exact"/>
        <w:rPr>
          <w:sz w:val="20"/>
          <w:szCs w:val="20"/>
          <w:color w:val="auto"/>
        </w:rPr>
      </w:pPr>
    </w:p>
    <w:p>
      <w:pPr>
        <w:jc w:val="both"/>
        <w:ind w:left="560" w:hanging="552"/>
        <w:spacing w:after="0" w:line="283" w:lineRule="auto"/>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connection with this opinion, we have reviewed copies of such corporate records of the Company as we have deemed necessary as a basis for the opinion hereinafter expressed. In rendering this opinion, we have examined, and have assumed the truth and accuracy of the contents of, such documents and certificates of officers of the Company and of public officials as to factual matters and have conducted such searches in public registries in Ireland as we have deemed necessary or appropriate for the purposes of this opinion but have made no independent investigation regarding such factual matters. In our examination we have assumed the truth and accuracy of the information contained in such documents, the authenticity of all documents submitted to us, the conformity to original documents of all documents submitted to us as certified or photostatic copies and the authenticity of the originals of such documents.</w:t>
      </w:r>
    </w:p>
    <w:p>
      <w:pPr>
        <w:spacing w:after="0" w:line="223" w:lineRule="exact"/>
        <w:rPr>
          <w:sz w:val="20"/>
          <w:szCs w:val="20"/>
          <w:color w:val="auto"/>
        </w:rPr>
      </w:pPr>
    </w:p>
    <w:p>
      <w:pPr>
        <w:jc w:val="both"/>
        <w:ind w:left="560" w:hanging="552"/>
        <w:spacing w:after="0" w:line="287" w:lineRule="auto"/>
        <w:tabs>
          <w:tab w:leader="none" w:pos="5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have further assumed that none of the resolutions and authorities of the shareholders or directors of the Company upon which we have relied have been varied, amended or revoked in any respect or have expired and that the Ordinary Shares will be issued in accordance with such resolutions and authorities and the terms of the Plan.</w:t>
      </w:r>
    </w:p>
    <w:p>
      <w:pPr>
        <w:spacing w:after="0" w:line="217" w:lineRule="exact"/>
        <w:rPr>
          <w:sz w:val="20"/>
          <w:szCs w:val="20"/>
          <w:color w:val="auto"/>
        </w:rPr>
      </w:pPr>
    </w:p>
    <w:p>
      <w:pPr>
        <w:ind w:left="560" w:hanging="552"/>
        <w:spacing w:after="0"/>
        <w:tabs>
          <w:tab w:leader="none" w:pos="5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have assumed the absence of fraud on the part of the Company and its respective officers, employees, agents and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21" w:name="page22"/>
    <w:bookmarkEnd w:id="21"/>
    <w:p>
      <w:pPr>
        <w:jc w:val="both"/>
        <w:ind w:left="560" w:hanging="552"/>
        <w:spacing w:after="0" w:line="284" w:lineRule="auto"/>
        <w:tabs>
          <w:tab w:leader="none" w:pos="5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Having made such further investigation and reviewed such other documents as we have considered requisite or desirable, subject to the foregoing and to the within qualifications and assumptions, and provided that the Registration Statement, as finally amended, has become effective, we are of the opinion that the Ordinary Shares have been duly authorised and when issued in accordance with the Registration Statement, the Plan and the options or other equity awards granted or to be granted thereunder, will be validly issued, fully paid and not subject to calls for any additional payments (“non-assessable”).</w:t>
      </w:r>
    </w:p>
    <w:p>
      <w:pPr>
        <w:spacing w:after="0" w:line="221" w:lineRule="exact"/>
        <w:rPr>
          <w:sz w:val="20"/>
          <w:szCs w:val="20"/>
          <w:color w:val="auto"/>
        </w:rPr>
      </w:pPr>
    </w:p>
    <w:p>
      <w:pPr>
        <w:ind w:left="560" w:hanging="552"/>
        <w:spacing w:after="0" w:line="293" w:lineRule="auto"/>
        <w:tabs>
          <w:tab w:leader="none" w:pos="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rendering this Opinion, we have confined ourselves to matters of Irish law. We express no opinion on any laws other than the laws of Ireland (and the interpretation thereof) in force as at the date hereof.</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filing of this opinion with the United States Securities and Exchange Commission as an exhibit to the Registration Statement.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A&amp;L Goodbody</w:t>
      </w:r>
    </w:p>
    <w:p>
      <w:pPr>
        <w:sectPr>
          <w:pgSz w:w="11900" w:h="16838" w:orient="portrait"/>
          <w:cols w:equalWidth="0" w:num="1">
            <w:col w:w="11420"/>
          </w:cols>
          <w:pgMar w:left="240" w:top="70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23.2</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19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consent to the use of our reports with respect to the consolidated financial statements and the effectiveness of internal control over financial reporting incorporated by reference herein.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May 16,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2"/>
    </w:lvl>
  </w:abstractNum>
  <w:abstractNum w:abstractNumId="7">
    <w:nsid w:val="721DA317"/>
    <w:multiLevelType w:val="hybridMultilevel"/>
    <w:lvl w:ilvl="0">
      <w:lvlJc w:val="left"/>
      <w:lvlText w:val="(%1)"/>
      <w:numFmt w:val="lowerLetter"/>
      <w:start w:val="1"/>
    </w:lvl>
    <w:lvl w:ilvl="1">
      <w:lvlJc w:val="left"/>
      <w:lvlText w:val="(%2)"/>
      <w:numFmt w:val="lowerLetter"/>
      <w:start w:val="9"/>
    </w:lvl>
  </w:abstractNum>
  <w:abstractNum w:abstractNumId="8">
    <w:nsid w:val="2443A858"/>
    <w:multiLevelType w:val="hybridMultilevel"/>
    <w:lvl w:ilvl="0">
      <w:lvlJc w:val="left"/>
      <w:lvlText w:val="(%1)"/>
      <w:numFmt w:val="lowerRoman"/>
      <w:start w:val="2"/>
    </w:lvl>
  </w:abstractNum>
  <w:abstractNum w:abstractNumId="9">
    <w:nsid w:val="2D1D5AE9"/>
    <w:multiLevelType w:val="hybridMultilevel"/>
    <w:lvl w:ilvl="0">
      <w:lvlJc w:val="left"/>
      <w:lvlText w:val="(%1)"/>
      <w:numFmt w:val="lowerLetter"/>
      <w:start w:val="6"/>
    </w:lvl>
  </w:abstractNum>
  <w:abstractNum w:abstractNumId="10">
    <w:nsid w:val="6763845E"/>
    <w:multiLevelType w:val="hybridMultilevel"/>
    <w:lvl w:ilvl="0">
      <w:lvlJc w:val="left"/>
      <w:lvlText w:val="(%1)"/>
      <w:numFmt w:val="lowerLetter"/>
      <w:start w:val="9"/>
    </w:lvl>
  </w:abstractNum>
  <w:abstractNum w:abstractNumId="11">
    <w:nsid w:val="75A2A8D4"/>
    <w:multiLevelType w:val="hybridMultilevel"/>
    <w:lvl w:ilvl="0">
      <w:lvlJc w:val="left"/>
      <w:lvlText w:val="(%1)"/>
      <w:numFmt w:val="lowerLetter"/>
      <w:start w:val="21"/>
    </w:lvl>
  </w:abstractNum>
  <w:abstractNum w:abstractNumId="12">
    <w:nsid w:val="8EDBDAB"/>
    <w:multiLevelType w:val="hybridMultilevel"/>
    <w:lvl w:ilvl="0">
      <w:lvlJc w:val="left"/>
      <w:lvlText w:val="%1."/>
      <w:numFmt w:val="decimal"/>
      <w:start w:val="3"/>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3"/>
    </w:lvl>
  </w:abstractNum>
  <w:abstractNum w:abstractNumId="15">
    <w:nsid w:val="B03E0C6"/>
    <w:multiLevelType w:val="hybridMultilevel"/>
    <w:lvl w:ilvl="0">
      <w:lvlJc w:val="left"/>
      <w:lvlText w:val="%1."/>
      <w:numFmt w:val="decimal"/>
      <w:start w:val="4"/>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3"/>
    </w:lvl>
  </w:abstractNum>
  <w:abstractNum w:abstractNumId="18">
    <w:nsid w:val="71F32454"/>
    <w:multiLevelType w:val="hybridMultilevel"/>
    <w:lvl w:ilvl="0">
      <w:lvlJc w:val="left"/>
      <w:lvlText w:val="%1."/>
      <w:numFmt w:val="decimal"/>
      <w:start w:val="5"/>
    </w:lvl>
  </w:abstractNum>
  <w:abstractNum w:abstractNumId="19">
    <w:nsid w:val="2CA88611"/>
    <w:multiLevelType w:val="hybridMultilevel"/>
    <w:lvl w:ilvl="0">
      <w:lvlJc w:val="left"/>
      <w:lvlText w:val="(%1)"/>
      <w:numFmt w:val="lowerLetter"/>
      <w:start w:val="1"/>
    </w:lvl>
    <w:lvl w:ilvl="1">
      <w:lvlJc w:val="left"/>
      <w:lvlText w:val="(%2)"/>
      <w:numFmt w:val="lowerRoman"/>
      <w:start w:val="1"/>
    </w:lvl>
  </w:abstractNum>
  <w:abstractNum w:abstractNumId="20">
    <w:nsid w:val="836C40E"/>
    <w:multiLevelType w:val="hybridMultilevel"/>
    <w:lvl w:ilvl="0">
      <w:lvlJc w:val="left"/>
      <w:lvlText w:val="(%1)"/>
      <w:numFmt w:val="lowerLetter"/>
      <w:start w:val="9"/>
    </w:lvl>
    <w:lvl w:ilvl="1">
      <w:lvlJc w:val="left"/>
      <w:lvlText w:val="(%2)"/>
      <w:numFmt w:val="lowerLetter"/>
      <w:start w:val="3"/>
    </w:lvl>
  </w:abstractNum>
  <w:abstractNum w:abstractNumId="21">
    <w:nsid w:val="2901D82"/>
    <w:multiLevelType w:val="hybridMultilevel"/>
    <w:lvl w:ilvl="0">
      <w:lvlJc w:val="left"/>
      <w:lvlText w:val="%1."/>
      <w:numFmt w:val="decimal"/>
      <w:start w:val="6"/>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3"/>
    </w:lvl>
  </w:abstractNum>
  <w:abstractNum w:abstractNumId="24">
    <w:nsid w:val="1E7FF521"/>
    <w:multiLevelType w:val="hybridMultilevel"/>
    <w:lvl w:ilvl="0">
      <w:lvlJc w:val="left"/>
      <w:lvlText w:val="%1."/>
      <w:numFmt w:val="decimal"/>
      <w:start w:val="7"/>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2"/>
    </w:lvl>
  </w:abstractNum>
  <w:abstractNum w:abstractNumId="27">
    <w:nsid w:val="6CEAF087"/>
    <w:multiLevelType w:val="hybridMultilevel"/>
    <w:lvl w:ilvl="0">
      <w:lvlJc w:val="left"/>
      <w:lvlText w:val="(%1)"/>
      <w:numFmt w:val="lowerLetter"/>
      <w:start w:val="5"/>
    </w:lvl>
  </w:abstractNum>
  <w:abstractNum w:abstractNumId="28">
    <w:nsid w:val="22221A70"/>
    <w:multiLevelType w:val="hybridMultilevel"/>
    <w:lvl w:ilvl="0">
      <w:lvlJc w:val="left"/>
      <w:lvlText w:val="(%1)"/>
      <w:numFmt w:val="lowerLetter"/>
      <w:start w:val="10"/>
    </w:lvl>
  </w:abstractNum>
  <w:abstractNum w:abstractNumId="29">
    <w:nsid w:val="4516DDE9"/>
    <w:multiLevelType w:val="hybridMultilevel"/>
    <w:lvl w:ilvl="0">
      <w:lvlJc w:val="left"/>
      <w:lvlText w:val="1"/>
      <w:numFmt w:val="bullet"/>
      <w:start w:val="1"/>
    </w:lvl>
  </w:abstractNum>
  <w:abstractNum w:abstractNumId="30">
    <w:nsid w:val="3006C83E"/>
    <w:multiLevelType w:val="hybridMultilevel"/>
    <w:lvl w:ilvl="0">
      <w:lvlJc w:val="left"/>
      <w:lvlText w:val="2"/>
      <w:numFmt w:val="bullet"/>
      <w:start w:val="1"/>
    </w:lvl>
  </w:abstractNum>
  <w:abstractNum w:abstractNumId="31">
    <w:nsid w:val="614FD4A1"/>
    <w:multiLevelType w:val="hybridMultilevel"/>
    <w:lvl w:ilvl="0">
      <w:lvlJc w:val="left"/>
      <w:lvlText w:val="3"/>
      <w:numFmt w:val="bullet"/>
      <w:start w:val="1"/>
    </w:lvl>
  </w:abstractNum>
  <w:abstractNum w:abstractNumId="32">
    <w:nsid w:val="419AC241"/>
    <w:multiLevelType w:val="hybridMultilevel"/>
    <w:lvl w:ilvl="0">
      <w:lvlJc w:val="left"/>
      <w:lvlText w:val="4"/>
      <w:numFmt w:val="bullet"/>
      <w:start w:val="1"/>
    </w:lvl>
  </w:abstractNum>
  <w:abstractNum w:abstractNumId="33">
    <w:nsid w:val="5577F8E1"/>
    <w:multiLevelType w:val="hybridMultilevel"/>
    <w:lvl w:ilvl="0">
      <w:lvlJc w:val="left"/>
      <w:lvlText w:val="5"/>
      <w:numFmt w:val="bullet"/>
      <w:start w:val="1"/>
    </w:lvl>
  </w:abstractNum>
  <w:abstractNum w:abstractNumId="34">
    <w:nsid w:val="440BADFC"/>
    <w:multiLevelType w:val="hybridMultilevel"/>
    <w:lvl w:ilvl="0">
      <w:lvlJc w:val="left"/>
      <w:lvlText w:val="6"/>
      <w:numFmt w:val="bullet"/>
      <w:start w:val="1"/>
    </w:lvl>
  </w:abstractNum>
  <w:abstractNum w:abstractNumId="35">
    <w:nsid w:val="5072367"/>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2019-12-02T18:30:57Z</dcterms:created>
  <dcterms:modified xsi:type="dcterms:W3CDTF">2019-12-02T18:30:57Z</dcterms:modified>
</cp:coreProperties>
</file>