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Arial" w:cs="Arial" w:eastAsia="Arial" w:hAnsi="Arial"/>
          <w:sz w:val="29"/>
          <w:szCs w:val="29"/>
          <w:b w:val="1"/>
          <w:bCs w:val="1"/>
          <w:color w:val="auto"/>
        </w:rPr>
        <w:t>FORM 6-K</w:t>
      </w:r>
    </w:p>
    <w:p>
      <w:pPr>
        <w:spacing w:after="0" w:line="245" w:lineRule="exact"/>
        <w:rPr>
          <w:sz w:val="24"/>
          <w:szCs w:val="24"/>
          <w:color w:val="auto"/>
        </w:rPr>
      </w:pPr>
    </w:p>
    <w:p>
      <w:pPr>
        <w:jc w:val="center"/>
        <w:ind w:right="-85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5"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Washington, D.C. 20549</w:t>
      </w:r>
    </w:p>
    <w:p>
      <w:pPr>
        <w:spacing w:after="0" w:line="225" w:lineRule="exact"/>
        <w:rPr>
          <w:sz w:val="24"/>
          <w:szCs w:val="24"/>
          <w:color w:val="auto"/>
        </w:rPr>
      </w:pPr>
    </w:p>
    <w:p>
      <w:pPr>
        <w:jc w:val="center"/>
        <w:ind w:right="-859"/>
        <w:spacing w:after="0"/>
        <w:rPr>
          <w:sz w:val="20"/>
          <w:szCs w:val="20"/>
          <w:color w:val="auto"/>
        </w:rPr>
      </w:pPr>
      <w:r>
        <w:rPr>
          <w:rFonts w:ascii="Arial" w:cs="Arial" w:eastAsia="Arial" w:hAnsi="Arial"/>
          <w:sz w:val="22"/>
          <w:szCs w:val="22"/>
          <w:b w:val="1"/>
          <w:bCs w:val="1"/>
          <w:color w:val="auto"/>
        </w:rPr>
        <w:t>Report of Foreign Private Issuer</w:t>
      </w:r>
    </w:p>
    <w:p>
      <w:pPr>
        <w:spacing w:after="0" w:line="2" w:lineRule="exact"/>
        <w:rPr>
          <w:sz w:val="24"/>
          <w:szCs w:val="24"/>
          <w:color w:val="auto"/>
        </w:rPr>
      </w:pPr>
    </w:p>
    <w:p>
      <w:pPr>
        <w:jc w:val="center"/>
        <w:ind w:right="-859"/>
        <w:spacing w:after="0"/>
        <w:rPr>
          <w:sz w:val="20"/>
          <w:szCs w:val="20"/>
          <w:color w:val="auto"/>
        </w:rPr>
      </w:pPr>
      <w:r>
        <w:rPr>
          <w:rFonts w:ascii="Arial" w:cs="Arial" w:eastAsia="Arial" w:hAnsi="Arial"/>
          <w:sz w:val="22"/>
          <w:szCs w:val="22"/>
          <w:b w:val="1"/>
          <w:bCs w:val="1"/>
          <w:color w:val="auto"/>
        </w:rPr>
        <w:t>Pursuant to Rule 13a-16 under</w:t>
      </w:r>
    </w:p>
    <w:p>
      <w:pPr>
        <w:jc w:val="center"/>
        <w:ind w:right="-859"/>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21"/>
          <w:szCs w:val="21"/>
          <w:b w:val="1"/>
          <w:bCs w:val="1"/>
          <w:color w:val="auto"/>
        </w:rPr>
        <w:t>Securities Exchange Act of 1934</w:t>
      </w:r>
    </w:p>
    <w:p>
      <w:pPr>
        <w:spacing w:after="0" w:line="200" w:lineRule="exact"/>
        <w:rPr>
          <w:sz w:val="24"/>
          <w:szCs w:val="24"/>
          <w:color w:val="auto"/>
        </w:rPr>
      </w:pPr>
    </w:p>
    <w:p>
      <w:pPr>
        <w:spacing w:after="0" w:line="266"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For the month ended May, 2012</w:t>
      </w:r>
    </w:p>
    <w:p>
      <w:pPr>
        <w:spacing w:after="0" w:line="220" w:lineRule="exact"/>
        <w:rPr>
          <w:sz w:val="24"/>
          <w:szCs w:val="24"/>
          <w:color w:val="auto"/>
        </w:rPr>
      </w:pPr>
    </w:p>
    <w:p>
      <w:pPr>
        <w:jc w:val="center"/>
        <w:ind w:right="-859"/>
        <w:spacing w:after="0"/>
        <w:rPr>
          <w:sz w:val="20"/>
          <w:szCs w:val="20"/>
          <w:color w:val="auto"/>
        </w:rPr>
      </w:pPr>
      <w:r>
        <w:rPr>
          <w:rFonts w:ascii="Arial" w:cs="Arial" w:eastAsia="Arial" w:hAnsi="Arial"/>
          <w:sz w:val="29"/>
          <w:szCs w:val="29"/>
          <w:b w:val="1"/>
          <w:bCs w:val="1"/>
          <w:color w:val="auto"/>
        </w:rPr>
        <w:t>ICON plc</w:t>
      </w:r>
    </w:p>
    <w:p>
      <w:pPr>
        <w:spacing w:after="0" w:line="31"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5"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0-29714</w:t>
      </w:r>
    </w:p>
    <w:p>
      <w:pPr>
        <w:spacing w:after="0" w:line="7"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5"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7"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5"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Brendan Brennan, CFO</w:t>
      </w:r>
    </w:p>
    <w:p>
      <w:pPr>
        <w:jc w:val="center"/>
        <w:ind w:right="-859"/>
        <w:spacing w:after="0" w:line="236"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859"/>
        <w:spacing w:after="0" w:line="229" w:lineRule="auto"/>
        <w:rPr>
          <w:sz w:val="20"/>
          <w:szCs w:val="20"/>
          <w:color w:val="auto"/>
        </w:rPr>
      </w:pPr>
      <w:r>
        <w:rPr>
          <w:rFonts w:ascii="Arial" w:cs="Arial" w:eastAsia="Arial" w:hAnsi="Arial"/>
          <w:sz w:val="22"/>
          <w:szCs w:val="22"/>
          <w:color w:val="auto"/>
        </w:rPr>
        <w:t>Brendan.Brennan@iconplc.com</w:t>
      </w:r>
    </w:p>
    <w:p>
      <w:pPr>
        <w:jc w:val="center"/>
        <w:ind w:right="-859"/>
        <w:spacing w:after="0" w:line="230" w:lineRule="auto"/>
        <w:rPr>
          <w:sz w:val="20"/>
          <w:szCs w:val="20"/>
          <w:color w:val="auto"/>
        </w:rPr>
      </w:pPr>
      <w:r>
        <w:rPr>
          <w:rFonts w:ascii="Arial" w:cs="Arial" w:eastAsia="Arial" w:hAnsi="Arial"/>
          <w:sz w:val="22"/>
          <w:szCs w:val="22"/>
          <w:color w:val="auto"/>
        </w:rPr>
        <w:t>011-353-1-291-2000</w:t>
      </w: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9"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424180</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580"/>
          </w:cols>
          <w:pgMar w:left="240" w:top="215" w:right="107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00" w:lineRule="exact"/>
        <w:rPr>
          <w:sz w:val="20"/>
          <w:szCs w:val="20"/>
          <w:color w:val="auto"/>
        </w:rPr>
      </w:pP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IFRS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421640</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50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7"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18, 2012</w:t>
      </w:r>
      <w:r>
        <w:rPr>
          <w:sz w:val="20"/>
          <w:szCs w:val="20"/>
          <w:color w:val="auto"/>
        </w:rPr>
        <w:tab/>
      </w:r>
      <w:r>
        <w:rPr>
          <w:rFonts w:ascii="Arial" w:cs="Arial" w:eastAsia="Arial" w:hAnsi="Arial"/>
          <w:sz w:val="16"/>
          <w:szCs w:val="16"/>
          <w:u w:val="single" w:color="auto"/>
          <w:color w:val="auto"/>
        </w:rPr>
        <w:t>/s/ Brendan Brennan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Brendan Brennan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0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40"/>
        <w:spacing w:after="0"/>
        <w:rPr>
          <w:sz w:val="20"/>
          <w:szCs w:val="20"/>
          <w:color w:val="auto"/>
        </w:rPr>
      </w:pPr>
      <w:r>
        <w:rPr>
          <w:rFonts w:ascii="Arial" w:cs="Arial" w:eastAsia="Arial" w:hAnsi="Arial"/>
          <w:sz w:val="29"/>
          <w:szCs w:val="29"/>
          <w:b w:val="1"/>
          <w:bCs w:val="1"/>
          <w:color w:val="auto"/>
        </w:rPr>
        <w:t>ICON p.l.c. and Subsidiaries</w:t>
      </w:r>
    </w:p>
    <w:p>
      <w:pPr>
        <w:spacing w:after="0" w:line="200" w:lineRule="exact"/>
        <w:rPr>
          <w:sz w:val="20"/>
          <w:szCs w:val="20"/>
          <w:color w:val="auto"/>
        </w:rPr>
      </w:pPr>
    </w:p>
    <w:p>
      <w:pPr>
        <w:spacing w:after="0" w:line="296" w:lineRule="exact"/>
        <w:rPr>
          <w:sz w:val="20"/>
          <w:szCs w:val="20"/>
          <w:color w:val="auto"/>
        </w:rPr>
      </w:pPr>
    </w:p>
    <w:p>
      <w:pPr>
        <w:ind w:left="740"/>
        <w:spacing w:after="0"/>
        <w:rPr>
          <w:sz w:val="20"/>
          <w:szCs w:val="20"/>
          <w:color w:val="auto"/>
        </w:rPr>
      </w:pPr>
      <w:r>
        <w:rPr>
          <w:rFonts w:ascii="Arial" w:cs="Arial" w:eastAsia="Arial" w:hAnsi="Arial"/>
          <w:sz w:val="25"/>
          <w:szCs w:val="25"/>
          <w:b w:val="1"/>
          <w:bCs w:val="1"/>
          <w:color w:val="auto"/>
        </w:rPr>
        <w:t>Annual Report</w:t>
      </w:r>
    </w:p>
    <w:p>
      <w:pPr>
        <w:spacing w:after="0" w:line="200" w:lineRule="exact"/>
        <w:rPr>
          <w:sz w:val="20"/>
          <w:szCs w:val="20"/>
          <w:color w:val="auto"/>
        </w:rPr>
      </w:pPr>
    </w:p>
    <w:p>
      <w:pPr>
        <w:spacing w:after="0" w:line="288"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Year ended 31 December 2011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40"/>
        <w:spacing w:after="0"/>
        <w:tabs>
          <w:tab w:leader="none" w:pos="2420" w:val="left"/>
        </w:tabs>
        <w:rPr>
          <w:sz w:val="20"/>
          <w:szCs w:val="20"/>
          <w:color w:val="auto"/>
        </w:rPr>
      </w:pPr>
      <w:r>
        <w:rPr>
          <w:rFonts w:ascii="Arial" w:cs="Arial" w:eastAsia="Arial" w:hAnsi="Arial"/>
          <w:sz w:val="20"/>
          <w:szCs w:val="20"/>
          <w:i w:val="1"/>
          <w:iCs w:val="1"/>
          <w:color w:val="auto"/>
        </w:rPr>
        <w:t>Registered number</w:t>
      </w:r>
      <w:r>
        <w:rPr>
          <w:sz w:val="20"/>
          <w:szCs w:val="20"/>
          <w:color w:val="auto"/>
        </w:rPr>
        <w:tab/>
      </w:r>
      <w:r>
        <w:rPr>
          <w:rFonts w:ascii="Arial" w:cs="Arial" w:eastAsia="Arial" w:hAnsi="Arial"/>
          <w:sz w:val="16"/>
          <w:szCs w:val="16"/>
          <w:i w:val="1"/>
          <w:iCs w:val="1"/>
          <w:color w:val="auto"/>
        </w:rPr>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724535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Directors’ Report and Consolidated Financial Statements</w:t>
            </w:r>
          </w:p>
        </w:tc>
        <w:tc>
          <w:tcPr>
            <w:tcW w:w="5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1"/>
        </w:trPr>
        <w:tc>
          <w:tcPr>
            <w:tcW w:w="5000" w:type="dxa"/>
            <w:vAlign w:val="bottom"/>
          </w:tcPr>
          <w:p>
            <w:pPr>
              <w:spacing w:after="0"/>
              <w:rPr>
                <w:sz w:val="20"/>
                <w:szCs w:val="20"/>
                <w:color w:val="auto"/>
              </w:rPr>
            </w:pPr>
            <w:r>
              <w:rPr>
                <w:rFonts w:ascii="Arial" w:cs="Arial" w:eastAsia="Arial" w:hAnsi="Arial"/>
                <w:sz w:val="18"/>
                <w:szCs w:val="18"/>
                <w:i w:val="1"/>
                <w:iCs w:val="1"/>
                <w:color w:val="auto"/>
              </w:rPr>
              <w:t>Contents</w:t>
            </w:r>
          </w:p>
        </w:tc>
        <w:tc>
          <w:tcPr>
            <w:tcW w:w="6420" w:type="dxa"/>
            <w:vAlign w:val="bottom"/>
            <w:gridSpan w:val="2"/>
          </w:tcPr>
          <w:p>
            <w:pPr>
              <w:ind w:left="4900"/>
              <w:spacing w:after="0"/>
              <w:rPr>
                <w:sz w:val="20"/>
                <w:szCs w:val="20"/>
                <w:color w:val="auto"/>
              </w:rPr>
            </w:pPr>
            <w:r>
              <w:rPr>
                <w:rFonts w:ascii="Arial" w:cs="Arial" w:eastAsia="Arial" w:hAnsi="Arial"/>
                <w:sz w:val="18"/>
                <w:szCs w:val="18"/>
                <w:i w:val="1"/>
                <w:iCs w:val="1"/>
                <w:color w:val="auto"/>
              </w:rPr>
              <w:t>Page</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Directors and Other Information</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Directors’ Report</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Financial Review</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and Senior Management</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Organisation Committee Report</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Report</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Statement of Directors’ Responsibilities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Statement of Accounting Policies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Income Statement</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Comprehensive Income</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Financial Position</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Changes in Equity</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Cash Flows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Company Statement of Financial Position</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Company Statement of Changes in Equity</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Company Statement of Cash Flows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Notes to Company Financial Statements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between IFRS and US Accounting Principles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Appendix A: Risk Factors</w:t>
            </w:r>
          </w:p>
        </w:tc>
        <w:tc>
          <w:tcPr>
            <w:tcW w:w="5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5"/>
        </w:trPr>
        <w:tc>
          <w:tcPr>
            <w:tcW w:w="5000" w:type="dxa"/>
            <w:vAlign w:val="bottom"/>
          </w:tcPr>
          <w:p>
            <w:pPr>
              <w:spacing w:after="0"/>
              <w:rPr>
                <w:sz w:val="24"/>
                <w:szCs w:val="24"/>
                <w:color w:val="auto"/>
              </w:rPr>
            </w:pPr>
          </w:p>
        </w:tc>
        <w:tc>
          <w:tcPr>
            <w:tcW w:w="5280" w:type="dxa"/>
            <w:vAlign w:val="bottom"/>
          </w:tcPr>
          <w:p>
            <w:pPr>
              <w:jc w:val="right"/>
              <w:ind w:right="443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0" w:type="dxa"/>
            <w:vAlign w:val="bottom"/>
            <w:tcBorders>
              <w:bottom w:val="single" w:sz="8" w:color="808080"/>
            </w:tcBorders>
          </w:tcPr>
          <w:p>
            <w:pPr>
              <w:spacing w:after="0"/>
              <w:rPr>
                <w:sz w:val="10"/>
                <w:szCs w:val="10"/>
                <w:color w:val="auto"/>
              </w:rPr>
            </w:pPr>
          </w:p>
        </w:tc>
        <w:tc>
          <w:tcPr>
            <w:tcW w:w="5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Directors’ and Other Information</w:t>
            </w:r>
          </w:p>
        </w:tc>
        <w:tc>
          <w:tcPr>
            <w:tcW w:w="8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4"/>
        </w:trPr>
        <w:tc>
          <w:tcPr>
            <w:tcW w:w="292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8500" w:type="dxa"/>
            <w:vAlign w:val="bottom"/>
          </w:tcPr>
          <w:p>
            <w:pPr>
              <w:ind w:left="520"/>
              <w:spacing w:after="0"/>
              <w:rPr>
                <w:sz w:val="20"/>
                <w:szCs w:val="20"/>
                <w:color w:val="auto"/>
              </w:rPr>
            </w:pPr>
            <w:r>
              <w:rPr>
                <w:rFonts w:ascii="Arial" w:cs="Arial" w:eastAsia="Arial" w:hAnsi="Arial"/>
                <w:sz w:val="18"/>
                <w:szCs w:val="18"/>
                <w:color w:val="auto"/>
              </w:rPr>
              <w:t>Dr. Bruce Given (American - Chairman of the Board) (2) (3) (4)</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Peter Gray (Irish – Vice Chairman of the Board)</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Ciaran Murray (Irish – Chief Executive Officer) (4)</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Dr. John Climax (Irish – Non-Executive) (5)</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Dr. Ronan Lambe (Irish – Non-Executive) (5)</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Thomas Lynch (British – Non-Executive) (1) (2) (3)</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Prof. Dermot Kelleher (Irish – Non-Executive) (1) (5)</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Declan McKeon (Irish – Non-Executive) (1) (2)</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Cathrin Petty (British – Non-Executive) (3)</w:t>
            </w:r>
          </w:p>
        </w:tc>
        <w:tc>
          <w:tcPr>
            <w:tcW w:w="0" w:type="dxa"/>
            <w:vAlign w:val="bottom"/>
          </w:tcPr>
          <w:p>
            <w:pPr>
              <w:spacing w:after="0"/>
              <w:rPr>
                <w:sz w:val="1"/>
                <w:szCs w:val="1"/>
                <w:color w:val="auto"/>
              </w:rPr>
            </w:pPr>
          </w:p>
        </w:tc>
      </w:tr>
      <w:tr>
        <w:trPr>
          <w:trHeight w:val="416"/>
        </w:trPr>
        <w:tc>
          <w:tcPr>
            <w:tcW w:w="2920" w:type="dxa"/>
            <w:vAlign w:val="bottom"/>
          </w:tcPr>
          <w:p>
            <w:pPr>
              <w:spacing w:after="0"/>
              <w:rPr>
                <w:sz w:val="24"/>
                <w:szCs w:val="24"/>
                <w:color w:val="auto"/>
              </w:rPr>
            </w:pPr>
          </w:p>
        </w:tc>
        <w:tc>
          <w:tcPr>
            <w:tcW w:w="8500" w:type="dxa"/>
            <w:vAlign w:val="bottom"/>
          </w:tcPr>
          <w:p>
            <w:pPr>
              <w:ind w:left="520"/>
              <w:spacing w:after="0"/>
              <w:rPr>
                <w:sz w:val="20"/>
                <w:szCs w:val="20"/>
                <w:color w:val="auto"/>
              </w:rPr>
            </w:pPr>
            <w:r>
              <w:rPr>
                <w:rFonts w:ascii="Arial" w:cs="Arial" w:eastAsia="Arial" w:hAnsi="Arial"/>
                <w:sz w:val="18"/>
                <w:szCs w:val="18"/>
                <w:i w:val="1"/>
                <w:iCs w:val="1"/>
                <w:color w:val="auto"/>
              </w:rPr>
              <w:t>(1)   Member of Audit Committee</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i w:val="1"/>
                <w:iCs w:val="1"/>
                <w:color w:val="auto"/>
              </w:rPr>
              <w:t>(2)   Member of Compensation and Organisation Committee</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i w:val="1"/>
                <w:iCs w:val="1"/>
                <w:color w:val="auto"/>
              </w:rPr>
              <w:t>(3)   Member of Nominating and Governance Committee</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i w:val="1"/>
                <w:iCs w:val="1"/>
                <w:color w:val="auto"/>
              </w:rPr>
              <w:t>(4)   Member of Execution Committee</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i w:val="1"/>
                <w:iCs w:val="1"/>
                <w:color w:val="auto"/>
              </w:rPr>
              <w:t>(5)   Member of Quality Committee</w:t>
            </w:r>
          </w:p>
        </w:tc>
        <w:tc>
          <w:tcPr>
            <w:tcW w:w="0" w:type="dxa"/>
            <w:vAlign w:val="bottom"/>
          </w:tcPr>
          <w:p>
            <w:pPr>
              <w:spacing w:after="0"/>
              <w:rPr>
                <w:sz w:val="1"/>
                <w:szCs w:val="1"/>
                <w:color w:val="auto"/>
              </w:rPr>
            </w:pPr>
          </w:p>
        </w:tc>
      </w:tr>
      <w:tr>
        <w:trPr>
          <w:trHeight w:val="430"/>
        </w:trPr>
        <w:tc>
          <w:tcPr>
            <w:tcW w:w="2920" w:type="dxa"/>
            <w:vAlign w:val="bottom"/>
          </w:tcPr>
          <w:p>
            <w:pPr>
              <w:spacing w:after="0"/>
              <w:rPr>
                <w:sz w:val="20"/>
                <w:szCs w:val="20"/>
                <w:color w:val="auto"/>
              </w:rPr>
            </w:pPr>
            <w:r>
              <w:rPr>
                <w:rFonts w:ascii="Arial" w:cs="Arial" w:eastAsia="Arial" w:hAnsi="Arial"/>
                <w:sz w:val="18"/>
                <w:szCs w:val="18"/>
                <w:b w:val="1"/>
                <w:bCs w:val="1"/>
                <w:color w:val="auto"/>
              </w:rPr>
              <w:t>Company secretary</w:t>
            </w:r>
          </w:p>
        </w:tc>
        <w:tc>
          <w:tcPr>
            <w:tcW w:w="8500" w:type="dxa"/>
            <w:vAlign w:val="bottom"/>
          </w:tcPr>
          <w:p>
            <w:pPr>
              <w:ind w:left="520"/>
              <w:spacing w:after="0"/>
              <w:rPr>
                <w:sz w:val="20"/>
                <w:szCs w:val="20"/>
                <w:color w:val="auto"/>
              </w:rPr>
            </w:pPr>
            <w:r>
              <w:rPr>
                <w:rFonts w:ascii="Arial" w:cs="Arial" w:eastAsia="Arial" w:hAnsi="Arial"/>
                <w:sz w:val="18"/>
                <w:szCs w:val="18"/>
                <w:color w:val="auto"/>
              </w:rPr>
              <w:t>Diarmaid Cunningham</w:t>
            </w:r>
          </w:p>
        </w:tc>
        <w:tc>
          <w:tcPr>
            <w:tcW w:w="0" w:type="dxa"/>
            <w:vAlign w:val="bottom"/>
          </w:tcPr>
          <w:p>
            <w:pPr>
              <w:spacing w:after="0"/>
              <w:rPr>
                <w:sz w:val="1"/>
                <w:szCs w:val="1"/>
                <w:color w:val="auto"/>
              </w:rPr>
            </w:pPr>
          </w:p>
        </w:tc>
      </w:tr>
      <w:tr>
        <w:trPr>
          <w:trHeight w:val="416"/>
        </w:trPr>
        <w:tc>
          <w:tcPr>
            <w:tcW w:w="292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8500" w:type="dxa"/>
            <w:vAlign w:val="bottom"/>
          </w:tcPr>
          <w:p>
            <w:pPr>
              <w:ind w:left="520"/>
              <w:spacing w:after="0"/>
              <w:rPr>
                <w:sz w:val="20"/>
                <w:szCs w:val="20"/>
                <w:color w:val="auto"/>
              </w:rPr>
            </w:pPr>
            <w:r>
              <w:rPr>
                <w:rFonts w:ascii="Arial" w:cs="Arial" w:eastAsia="Arial" w:hAnsi="Arial"/>
                <w:sz w:val="18"/>
                <w:szCs w:val="18"/>
                <w:color w:val="auto"/>
              </w:rPr>
              <w:t>South County Business Park</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Leopardstown</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Dublin 18</w:t>
            </w:r>
          </w:p>
        </w:tc>
        <w:tc>
          <w:tcPr>
            <w:tcW w:w="0" w:type="dxa"/>
            <w:vAlign w:val="bottom"/>
          </w:tcPr>
          <w:p>
            <w:pPr>
              <w:spacing w:after="0"/>
              <w:rPr>
                <w:sz w:val="1"/>
                <w:szCs w:val="1"/>
                <w:color w:val="auto"/>
              </w:rPr>
            </w:pPr>
          </w:p>
        </w:tc>
      </w:tr>
      <w:tr>
        <w:trPr>
          <w:trHeight w:val="416"/>
        </w:trPr>
        <w:tc>
          <w:tcPr>
            <w:tcW w:w="2920" w:type="dxa"/>
            <w:vAlign w:val="bottom"/>
          </w:tcPr>
          <w:p>
            <w:pPr>
              <w:spacing w:after="0"/>
              <w:rPr>
                <w:sz w:val="20"/>
                <w:szCs w:val="20"/>
                <w:color w:val="auto"/>
              </w:rPr>
            </w:pPr>
            <w:r>
              <w:rPr>
                <w:rFonts w:ascii="Arial" w:cs="Arial" w:eastAsia="Arial" w:hAnsi="Arial"/>
                <w:sz w:val="18"/>
                <w:szCs w:val="18"/>
                <w:b w:val="1"/>
                <w:bCs w:val="1"/>
                <w:color w:val="auto"/>
              </w:rPr>
              <w:t>Auditors</w:t>
            </w:r>
          </w:p>
        </w:tc>
        <w:tc>
          <w:tcPr>
            <w:tcW w:w="8500" w:type="dxa"/>
            <w:vAlign w:val="bottom"/>
          </w:tcPr>
          <w:p>
            <w:pPr>
              <w:ind w:left="520"/>
              <w:spacing w:after="0"/>
              <w:rPr>
                <w:sz w:val="20"/>
                <w:szCs w:val="20"/>
                <w:color w:val="auto"/>
              </w:rPr>
            </w:pPr>
            <w:r>
              <w:rPr>
                <w:rFonts w:ascii="Arial" w:cs="Arial" w:eastAsia="Arial" w:hAnsi="Arial"/>
                <w:sz w:val="18"/>
                <w:szCs w:val="18"/>
                <w:color w:val="auto"/>
              </w:rPr>
              <w:t>KPMG</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Chartered Accountants</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1 Stokes Place</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St. Stephens Green</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Dublin 2</w:t>
            </w:r>
          </w:p>
        </w:tc>
        <w:tc>
          <w:tcPr>
            <w:tcW w:w="0" w:type="dxa"/>
            <w:vAlign w:val="bottom"/>
          </w:tcPr>
          <w:p>
            <w:pPr>
              <w:spacing w:after="0"/>
              <w:rPr>
                <w:sz w:val="1"/>
                <w:szCs w:val="1"/>
                <w:color w:val="auto"/>
              </w:rPr>
            </w:pPr>
          </w:p>
        </w:tc>
      </w:tr>
      <w:tr>
        <w:trPr>
          <w:trHeight w:val="416"/>
        </w:trPr>
        <w:tc>
          <w:tcPr>
            <w:tcW w:w="2920" w:type="dxa"/>
            <w:vAlign w:val="bottom"/>
          </w:tcPr>
          <w:p>
            <w:pPr>
              <w:spacing w:after="0"/>
              <w:rPr>
                <w:sz w:val="20"/>
                <w:szCs w:val="20"/>
                <w:color w:val="auto"/>
              </w:rPr>
            </w:pPr>
            <w:r>
              <w:rPr>
                <w:rFonts w:ascii="Arial" w:cs="Arial" w:eastAsia="Arial" w:hAnsi="Arial"/>
                <w:sz w:val="18"/>
                <w:szCs w:val="18"/>
                <w:b w:val="1"/>
                <w:bCs w:val="1"/>
                <w:color w:val="auto"/>
              </w:rPr>
              <w:t>Solicitors</w:t>
            </w:r>
          </w:p>
        </w:tc>
        <w:tc>
          <w:tcPr>
            <w:tcW w:w="8500" w:type="dxa"/>
            <w:vAlign w:val="bottom"/>
          </w:tcPr>
          <w:p>
            <w:pPr>
              <w:ind w:left="520"/>
              <w:spacing w:after="0"/>
              <w:rPr>
                <w:sz w:val="20"/>
                <w:szCs w:val="20"/>
                <w:color w:val="auto"/>
              </w:rPr>
            </w:pPr>
            <w:r>
              <w:rPr>
                <w:rFonts w:ascii="Arial" w:cs="Arial" w:eastAsia="Arial" w:hAnsi="Arial"/>
                <w:sz w:val="18"/>
                <w:szCs w:val="18"/>
                <w:color w:val="auto"/>
              </w:rPr>
              <w:t>A &amp; L Goodbody</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25 – 28 North Wall Quay</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IFSC</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Dublin 1</w:t>
            </w:r>
          </w:p>
        </w:tc>
        <w:tc>
          <w:tcPr>
            <w:tcW w:w="0" w:type="dxa"/>
            <w:vAlign w:val="bottom"/>
          </w:tcPr>
          <w:p>
            <w:pPr>
              <w:spacing w:after="0"/>
              <w:rPr>
                <w:sz w:val="1"/>
                <w:szCs w:val="1"/>
                <w:color w:val="auto"/>
              </w:rPr>
            </w:pPr>
          </w:p>
        </w:tc>
      </w:tr>
      <w:tr>
        <w:trPr>
          <w:trHeight w:val="416"/>
        </w:trPr>
        <w:tc>
          <w:tcPr>
            <w:tcW w:w="2920" w:type="dxa"/>
            <w:vAlign w:val="bottom"/>
          </w:tcPr>
          <w:p>
            <w:pPr>
              <w:spacing w:after="0"/>
              <w:rPr>
                <w:sz w:val="24"/>
                <w:szCs w:val="24"/>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Cahill Gordon Reindel LLP</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80 Pine Street</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NY10005</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416"/>
        </w:trPr>
        <w:tc>
          <w:tcPr>
            <w:tcW w:w="2920" w:type="dxa"/>
            <w:vAlign w:val="bottom"/>
          </w:tcPr>
          <w:p>
            <w:pPr>
              <w:spacing w:after="0"/>
              <w:rPr>
                <w:sz w:val="20"/>
                <w:szCs w:val="20"/>
                <w:color w:val="auto"/>
              </w:rPr>
            </w:pPr>
            <w:r>
              <w:rPr>
                <w:rFonts w:ascii="Arial" w:cs="Arial" w:eastAsia="Arial" w:hAnsi="Arial"/>
                <w:sz w:val="18"/>
                <w:szCs w:val="18"/>
                <w:b w:val="1"/>
                <w:bCs w:val="1"/>
                <w:color w:val="auto"/>
              </w:rPr>
              <w:t>Registrars</w:t>
            </w:r>
          </w:p>
        </w:tc>
        <w:tc>
          <w:tcPr>
            <w:tcW w:w="8500" w:type="dxa"/>
            <w:vAlign w:val="bottom"/>
          </w:tcPr>
          <w:p>
            <w:pPr>
              <w:ind w:left="520"/>
              <w:spacing w:after="0"/>
              <w:rPr>
                <w:sz w:val="20"/>
                <w:szCs w:val="20"/>
                <w:color w:val="auto"/>
              </w:rPr>
            </w:pPr>
            <w:r>
              <w:rPr>
                <w:rFonts w:ascii="Arial" w:cs="Arial" w:eastAsia="Arial" w:hAnsi="Arial"/>
                <w:sz w:val="18"/>
                <w:szCs w:val="18"/>
                <w:color w:val="auto"/>
              </w:rPr>
              <w:t>Computershare Investor Services (Ireland) Limited</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Herron House</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Corrig Road</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Sandyford Industrial Estate</w:t>
            </w:r>
          </w:p>
        </w:tc>
        <w:tc>
          <w:tcPr>
            <w:tcW w:w="0" w:type="dxa"/>
            <w:vAlign w:val="bottom"/>
          </w:tcPr>
          <w:p>
            <w:pPr>
              <w:spacing w:after="0"/>
              <w:rPr>
                <w:sz w:val="1"/>
                <w:szCs w:val="1"/>
                <w:color w:val="auto"/>
              </w:rPr>
            </w:pPr>
          </w:p>
        </w:tc>
      </w:tr>
      <w:tr>
        <w:trPr>
          <w:trHeight w:val="230"/>
        </w:trPr>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rPr>
              <w:t>Bankers</w:t>
            </w:r>
          </w:p>
        </w:tc>
        <w:tc>
          <w:tcPr>
            <w:tcW w:w="8500" w:type="dxa"/>
            <w:vAlign w:val="bottom"/>
          </w:tcPr>
          <w:p>
            <w:pPr>
              <w:ind w:left="520"/>
              <w:spacing w:after="0"/>
              <w:rPr>
                <w:sz w:val="20"/>
                <w:szCs w:val="20"/>
                <w:color w:val="auto"/>
              </w:rPr>
            </w:pPr>
            <w:r>
              <w:rPr>
                <w:rFonts w:ascii="Arial" w:cs="Arial" w:eastAsia="Arial" w:hAnsi="Arial"/>
                <w:sz w:val="18"/>
                <w:szCs w:val="18"/>
                <w:color w:val="auto"/>
              </w:rPr>
              <w:t>Dublin 18</w:t>
            </w:r>
          </w:p>
        </w:tc>
        <w:tc>
          <w:tcPr>
            <w:tcW w:w="0" w:type="dxa"/>
            <w:vAlign w:val="bottom"/>
          </w:tcPr>
          <w:p>
            <w:pPr>
              <w:spacing w:after="0"/>
              <w:rPr>
                <w:sz w:val="1"/>
                <w:szCs w:val="1"/>
                <w:color w:val="auto"/>
              </w:rPr>
            </w:pPr>
          </w:p>
        </w:tc>
      </w:tr>
      <w:tr>
        <w:trPr>
          <w:trHeight w:val="215"/>
        </w:trPr>
        <w:tc>
          <w:tcPr>
            <w:tcW w:w="2920" w:type="dxa"/>
            <w:vAlign w:val="bottom"/>
            <w:vMerge w:val="continue"/>
          </w:tcPr>
          <w:p>
            <w:pPr>
              <w:spacing w:after="0"/>
              <w:rPr>
                <w:sz w:val="18"/>
                <w:szCs w:val="18"/>
                <w:color w:val="auto"/>
              </w:rPr>
            </w:pPr>
          </w:p>
        </w:tc>
        <w:tc>
          <w:tcPr>
            <w:tcW w:w="8500" w:type="dxa"/>
            <w:vAlign w:val="bottom"/>
            <w:vMerge w:val="restart"/>
          </w:tcPr>
          <w:p>
            <w:pPr>
              <w:ind w:left="520"/>
              <w:spacing w:after="0"/>
              <w:rPr>
                <w:sz w:val="20"/>
                <w:szCs w:val="20"/>
                <w:color w:val="auto"/>
              </w:rPr>
            </w:pPr>
            <w:r>
              <w:rPr>
                <w:rFonts w:ascii="Arial" w:cs="Arial" w:eastAsia="Arial" w:hAnsi="Arial"/>
                <w:sz w:val="18"/>
                <w:szCs w:val="18"/>
                <w:color w:val="auto"/>
              </w:rPr>
              <w:t>Citibank</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17"/>
                <w:szCs w:val="17"/>
                <w:color w:val="auto"/>
              </w:rPr>
            </w:pPr>
          </w:p>
        </w:tc>
        <w:tc>
          <w:tcPr>
            <w:tcW w:w="8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Canada Square Canary Warf</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London E14 5LB</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416"/>
        </w:trPr>
        <w:tc>
          <w:tcPr>
            <w:tcW w:w="2920" w:type="dxa"/>
            <w:vAlign w:val="bottom"/>
          </w:tcPr>
          <w:p>
            <w:pPr>
              <w:spacing w:after="0"/>
              <w:rPr>
                <w:sz w:val="24"/>
                <w:szCs w:val="24"/>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PNC Bank</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1035 Virginia Drive</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Fort Washington</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PA 19034</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605"/>
        </w:trPr>
        <w:tc>
          <w:tcPr>
            <w:tcW w:w="2920" w:type="dxa"/>
            <w:vAlign w:val="bottom"/>
          </w:tcPr>
          <w:p>
            <w:pPr>
              <w:spacing w:after="0"/>
              <w:rPr>
                <w:sz w:val="24"/>
                <w:szCs w:val="24"/>
                <w:color w:val="auto"/>
              </w:rPr>
            </w:pPr>
          </w:p>
        </w:tc>
        <w:tc>
          <w:tcPr>
            <w:tcW w:w="8500" w:type="dxa"/>
            <w:vAlign w:val="bottom"/>
          </w:tcPr>
          <w:p>
            <w:pPr>
              <w:ind w:left="27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7"/>
        </w:trPr>
        <w:tc>
          <w:tcPr>
            <w:tcW w:w="2920" w:type="dxa"/>
            <w:vAlign w:val="bottom"/>
            <w:tcBorders>
              <w:bottom w:val="single" w:sz="8" w:color="808080"/>
            </w:tcBorders>
          </w:tcPr>
          <w:p>
            <w:pPr>
              <w:spacing w:after="0"/>
              <w:rPr>
                <w:sz w:val="10"/>
                <w:szCs w:val="10"/>
                <w:color w:val="auto"/>
              </w:rPr>
            </w:pPr>
          </w:p>
        </w:tc>
        <w:tc>
          <w:tcPr>
            <w:tcW w:w="8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Directors’ Report</w:t>
      </w:r>
    </w:p>
    <w:p>
      <w:pPr>
        <w:spacing w:after="0" w:line="200" w:lineRule="exact"/>
        <w:rPr>
          <w:sz w:val="20"/>
          <w:szCs w:val="20"/>
          <w:color w:val="auto"/>
        </w:rPr>
      </w:pPr>
    </w:p>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2011.</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primary listing for its shares is the NASDAQ market. The Company also has a secondary listing on the Irish Stock Exchange and, accordingly,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 The Company is considered a foreign private issuer in the US, accordingly it is not subject to the same ongoing regulatory requirements as a US registered company with a primary listing on the NASDAQ market.</w:t>
      </w:r>
    </w:p>
    <w:p>
      <w:pPr>
        <w:spacing w:after="0" w:line="21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These Consolidated and Company financial statements (together “the financial statements”) for the year ended 31 December 2011 are prepared in accordance with IFRS as adopted by the EU and meet the reporting requirements pursuant to Irish Company Law and the Irish Stock Exchange Listing Rules.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Arial" w:cs="Arial" w:eastAsia="Arial" w:hAnsi="Arial"/>
          <w:sz w:val="16"/>
          <w:szCs w:val="16"/>
          <w:u w:val="single" w:color="auto"/>
          <w:color w:val="auto"/>
        </w:rPr>
        <w:t>www.iconplc.com</w:t>
      </w:r>
      <w:r>
        <w:rPr>
          <w:rFonts w:ascii="Arial" w:cs="Arial" w:eastAsia="Arial" w:hAnsi="Arial"/>
          <w:sz w:val="16"/>
          <w:szCs w:val="16"/>
          <w:color w:val="auto"/>
        </w:rPr>
        <w:t>. IFRS differs in certain respects from U.S. GAAP, details of which are set out on pages 140 to 143 of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business review and future developments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2011, the Group had approximately 8,470 employees, in 81 locations in 40 countries. During the year ended 31 December 2011, the Group derived approximately 41.7%, 46.2 % and 12.1% of its net revenue in the United States, Europe and Rest of World, respectively.</w:t>
      </w:r>
    </w:p>
    <w:p>
      <w:pPr>
        <w:spacing w:after="0" w:line="19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28 February 2012, the Group acquired PriceSpective, a global leader in value strategy consulting. Headquartered in Philadelphia (USA), and with offices in London (UK), Los Angeles (USA), San Diego (USA), Raleigh (USA) and Boston (USA), PriceSpective is a premier consultancy that has a strong reputation for excellence in strategic pricing, market access, health economic outcomes research (HEOR), due diligence support and payer engagement services. Since it’s formation in 2003, PriceSpective has developed strategies for dozens of new product launches, and hundreds of development and in-market products, in over 40 disease areas.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15 February 2012, the Group acquired BeijingWits Medical Limited, a leading Chinese CRO, with over 100 highly qualified and experienced professionals in Beijing, Shanghai, Chengdu, Guangzhou, Wuhan and Hong Kong.</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14 July 2011, the Group acquired Firecrest Clinical, a market leading provider of technology solutions that boost investigator site performance and study management. Headquartered in Limerick, Ireland, Firecrest Clinical provides a comprehensive site performance management system that is used to improve compliance consistency and execution of activities at investigative sites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14 January 2011, the Group acquired Oxford Outcomes, a leading international health outcomes consultancy, headquartered in Oxford, UK, and with offices in the USA and Canada. Oxford Outcomes provides specialist services in the areas of patient reported outcomes (PRO), health economics, epidemiology and translation and linguistic validation.</w:t>
      </w:r>
    </w:p>
    <w:p>
      <w:pPr>
        <w:spacing w:after="0" w:line="20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2012, the Group looks forward to increasing its geographic presence through the addition of new offices and expanding the scale and range of its service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and dividends</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results for the year are as shown on page 54 of these financial statements. A review of performance during 2011 is included in the Operating and Financial Review section of this annual report. The Directors do not propose the payment of a dividend for the year ended 31 December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principal risks and uncertainties facing the Group are set out in Appendix A of this annual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Group’s financial instruments comprise cash and cash equivalents, current asset investments, finance lease obligations and negotiated bank facilities. The main purpose of these financial instruments is to fund the working capital requirements of the Group, the cost of new acquisitions and continued growth. The principal financial risks facing the Group includes currency rate risk, interest rate risk, credit risk and liquidity risk, further details of which are set out in note 25 to the Consolidated financial statements and note 11 to Company financial statements. The Group may from time to time enter into derivative transactions to minimise its exposure to interest rate fluctuations and foreign currency exchange rates. The Group does not undertake any trading activity in financial instruments. The Group did not enter into any material derivative transactions during 2011 or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Details of subsequent events are set out in note 30 to the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Company’s Articles of Association</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Articles of Association may be amended by a special resolution passed by the shareholders at an annual or extraordinary general meeting of the Company. A special resolution is passed at a meeting if not less than 75% of the members who vote in person or by proxy at the meeting vote in favour of the resolution.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Secretary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On 31 December 2011, Dr Anthony Murphy resigned as Director of the Company.</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1 October 2011, Mr Ciaran Murray was appointed as a Director of the Company and on the same day he resigned as Secretary of the Company. On 1 October 2011, Mr Diarmaid Cunningham was appointed Secretary of the Company.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13 October 2010, the Board appointed Ms Cathrin Petty a Director of the Company. In accordance with the Articles of Association of the Company, Ms Petty was re-elected as a Director of the Company at the Company’s Annual General Meeting on 18 July 2011.</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Details of Directors’ interests in the Group’s shares are set out in the Report of the Compensation and Organisation Committee. Save as shown in the Compensation and Organisation Committee report, no Director had any disclosable interest in shares of the Group during the year.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remuneration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Details of Directors’ remuneration is set out in the Report of the Compensation and Organisation Committee.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power to purchase and allot company shares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Subject to the provisions of the Companies Acts 1963 to 2009 the Company may purchase any of its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27 October 2011, the Company announced its intention to commence a share repurchase programme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third share repurchase plan of up to $20 million, covering the period 22 February 2012 to 22 April 2012. On 27 April 2012 the Company entered into a fourth share repurchase plan of up to $20 million, covering the period 27 April 2012 to 18 July 2012. The Company may to enter further share repurchase plans, to effect the share repurchase programme in accordance with Rule 10b-18 and Rule 10b5-1 of the Securities Exchange Act of 1934, the authorisation granted at the Company’s annual general meeting on 18 July 2011, applicable laws and regulations and the Listing Rules of the Irish Stock Exchange. Further details of the share repurchase programme can be found in note 23 to the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Obligations attaching to the Company’s shares</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share capital of the Company is €6,000,000 divided into 100,000,000 ordinary shares of €0.06.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provisions in significant agreements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Group’s customer contracts allow the customer to terminate the contract in the event of a change in control of the Company.</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has negotiated banking facilities with a number of financial institutions, details of which are set out in note 22 to the financial statements. Certain of these facilities require repayment of the facility in the event that the Company becomes controlled by any person or persons acting in concert by whom it was not controlled at the date the facility was entered into.</w:t>
      </w:r>
    </w:p>
    <w:p>
      <w:pPr>
        <w:spacing w:after="0" w:line="20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Additionally, the Company's share option and restricted stock plans contain change in control provisions which allow potentially for the acceleration of the vesting and exercisability of outstanding options and awards of restricted stock in the event that a change in control occurs with respect to the Company. Other potential consequences for outstanding share options of a change in control following a takeover bid include the assumption of outstanding awards by the surviving company, if not ICON, or the substitution of options or restricted stock of its ordinary shares or that of its parent.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 xml:space="preserve">Directors’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Directors’ compliance with corporate governance is set out separately in the Corporate Governance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shareholdings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to the interests of Directors disclosed in the Report of the Compensation and Organisation Committee, the Company has been notified of the following shareholdings in excess of 3% of the issued share capital of the Company at 31 December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7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Number of Shares</w:t>
            </w:r>
          </w:p>
        </w:tc>
      </w:tr>
      <w:tr>
        <w:trPr>
          <w:trHeight w:val="215"/>
        </w:trPr>
        <w:tc>
          <w:tcPr>
            <w:tcW w:w="59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Artisan Partners Limited Partnership</w:t>
            </w:r>
          </w:p>
        </w:tc>
        <w:tc>
          <w:tcPr>
            <w:tcW w:w="3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11.7</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7,034,020</w:t>
            </w:r>
          </w:p>
        </w:tc>
      </w:tr>
      <w:tr>
        <w:trPr>
          <w:trHeight w:val="222"/>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Neuberger Berman LLC</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8.2</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4,924,701</w:t>
            </w:r>
          </w:p>
        </w:tc>
      </w:tr>
      <w:tr>
        <w:trPr>
          <w:trHeight w:val="222"/>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Fidelity Management &amp; Research</w:t>
            </w:r>
          </w:p>
        </w:tc>
        <w:tc>
          <w:tcPr>
            <w:tcW w:w="3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4,279,501</w:t>
            </w:r>
          </w:p>
        </w:tc>
      </w:tr>
      <w:tr>
        <w:trPr>
          <w:trHeight w:val="222"/>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Wellington Management Company LLP</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3,707,566</w:t>
            </w:r>
          </w:p>
        </w:tc>
      </w:tr>
      <w:tr>
        <w:trPr>
          <w:trHeight w:val="222"/>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Earnest Partners, LLC</w:t>
            </w:r>
          </w:p>
        </w:tc>
        <w:tc>
          <w:tcPr>
            <w:tcW w:w="3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3,539,476</w:t>
            </w:r>
          </w:p>
        </w:tc>
      </w:tr>
      <w:tr>
        <w:trPr>
          <w:trHeight w:val="222"/>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Wasatch Advisors, Inc.</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5.9</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3,531,918</w:t>
            </w:r>
          </w:p>
        </w:tc>
      </w:tr>
      <w:tr>
        <w:trPr>
          <w:trHeight w:val="222"/>
        </w:trPr>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 Directors and Officers as a group</w:t>
            </w:r>
          </w:p>
        </w:tc>
        <w:tc>
          <w:tcPr>
            <w:tcW w:w="3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2,935,852</w:t>
            </w:r>
          </w:p>
        </w:tc>
      </w:tr>
      <w:tr>
        <w:trPr>
          <w:trHeight w:val="215"/>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Kornitzer Capital Management Inc.</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2,282,925</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undertakings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the Companies Act, 1963 in relation to subsidiary undertakings is presented in note 31 to the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donations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Group made no disclosable political donations in the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account</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Directors believe that they have complied with the requirements of Section 202 of the Companies Act, 1990 with regard to books of account by employing accounting personnel with appropriate expertise and by providing adequate resources to the financial function. The books of account of the Company are maintained at the registered office.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160(2) of the Companies Act, 1963, the auditors, KPMG, Chartered Accountants, will continue in office.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ectPr>
          <w:pgSz w:w="11900" w:h="16838" w:orient="portrait"/>
          <w:cols w:equalWidth="0" w:num="1">
            <w:col w:w="11420"/>
          </w:cols>
          <w:pgMar w:left="240" w:top="515"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Dr. Bruce Given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Ciaran Murray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2840" w:space="720"/>
            <w:col w:w="7860"/>
          </w:cols>
          <w:pgMar w:left="240" w:top="515" w:right="23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Operating and Financial Review</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discussion and analysis should be read in conjunction with our consolidated financial statements set out on pages 41 to 126 of this report.</w:t>
      </w:r>
    </w:p>
    <w:p>
      <w:pPr>
        <w:spacing w:after="0" w:line="2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Clinical Development - from compound selection to Phase I-IV clinical studies.</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Group believes that it is one of a select number of CRO’s with the expertise and capability to conduct clinical trials in most major therapeutic areas on a global basis and has the operational flexibility to provide development services on a stand-alone basis or as part of an integrated “full service” solution. At 31 December 2011, the Group had approximiately 8,470 employees, in 81 locations in 40 countries. During the year ended 31 December 2011, the Group derived approximately 41.7%, 46.2 % and 12.1% of its revenue in the United States, Europe and Rest of World, respectively.</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instalments over the study or trial duration, based on the achievement of certain performance targets or "milestones". Revenue from contracts is recognised on a proportional performance method based on the relationship between time incurred and the total estimated duration of the trial or on a fee-for-service basis according to the particular circumstances of the contract. As is customary in the CRO industry, the Group contracts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the Group views net revenue as its primary measure of revenue growth.</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Direct costs consist primarily of compensation, associated fringe benefits and share based payment expense for project-related employees and other direct project driven costs. Other operating expenses consist primarily of compensation, related fringe benefits and share based payment expense for non project-related employees, recruitment expenditure, professional service costs, advertising costs and all costs related to facilities and information systems. Depreciation expense and the amortisation of intangible assets are also included within other operating expenses.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Backlog consists of potential net revenue yet to be earned from projects awarded by clients. At 31 December 2011 the Group had a backlog of approximately $2.3 billion, compared with approximately $1.9 billion at 31 December 2010. The Group believes that its backlog as of any date is not necessarily a meaningful predictor of future results, due to the potential for the cancellation or delay of projects underlying the backlog, and no assurances can be given that it will be able to realise this backlog as net revenue.</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the nature of the business involves the management of projects having a typical duration of one to four years, the commencement or completion of projects in a fiscal year can have a material impact on revenues earned with the relevant clients in such years. In addition, as the Group typically works with some, but not all, divisions of a client, fluctuations in the number and status of available projects within such divisions can also have a material impact on revenues earned from such clients from year to year.</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the Company is domiciled in Ireland, the Group reports its results in U.S. dollars. As a consequence the results of its non-U.S. based operations, when translated into U.S. dollars, could be materially affected by fluctuations in exchange rates between the U.S. dollar and the currencies of those operations. In addition to translation exposures, the Group is also subject to transaction exposures because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among other things, on which of its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Group’s results of operations. The Group regularly reviews its currency exposures and usually negotiates currency fluctuation clauses in its contracts which allow for price negotiation if changes in the relative value of those currencies exceed predetermined tolerances.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the Group conducts operations on a global basis, its effective tax rate has depended and will depend on the geographic distribution of its revenue and earnings among locations with varying tax rates. The Group’s results of operations therefore may be affected by changes in the tax rates of the various jurisdictions. In particular, as the geographic mix of the Group’s results of operations among various tax jurisdictions changes, its effective tax rate may vary significantly from period to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5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period, being the key performance indicators used by management. The trends illustrated in the following table may not be indicative of future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 ended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31 December</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2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17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5"/>
              </w:rPr>
              <w:t>Percentage change</w:t>
            </w:r>
          </w:p>
        </w:tc>
        <w:tc>
          <w:tcPr>
            <w:tcW w:w="0" w:type="dxa"/>
            <w:vAlign w:val="bottom"/>
          </w:tcPr>
          <w:p>
            <w:pPr>
              <w:spacing w:after="0"/>
              <w:rPr>
                <w:sz w:val="1"/>
                <w:szCs w:val="1"/>
                <w:color w:val="auto"/>
              </w:rPr>
            </w:pPr>
          </w:p>
        </w:tc>
      </w:tr>
      <w:tr>
        <w:trPr>
          <w:trHeight w:val="197"/>
        </w:trPr>
        <w:tc>
          <w:tcPr>
            <w:tcW w:w="5300" w:type="dxa"/>
            <w:vAlign w:val="bottom"/>
          </w:tcPr>
          <w:p>
            <w:pPr>
              <w:spacing w:after="0"/>
              <w:rPr>
                <w:sz w:val="17"/>
                <w:szCs w:val="17"/>
                <w:color w:val="auto"/>
              </w:rPr>
            </w:pPr>
          </w:p>
        </w:tc>
        <w:tc>
          <w:tcPr>
            <w:tcW w:w="4400" w:type="dxa"/>
            <w:vAlign w:val="bottom"/>
            <w:gridSpan w:val="2"/>
            <w:vMerge w:val="restart"/>
          </w:tcPr>
          <w:p>
            <w:pPr>
              <w:jc w:val="right"/>
              <w:ind w:right="670"/>
              <w:spacing w:after="0"/>
              <w:rPr>
                <w:sz w:val="20"/>
                <w:szCs w:val="20"/>
                <w:color w:val="auto"/>
              </w:rPr>
            </w:pPr>
            <w:r>
              <w:rPr>
                <w:rFonts w:ascii="Arial" w:cs="Arial" w:eastAsia="Arial" w:hAnsi="Arial"/>
                <w:sz w:val="18"/>
                <w:szCs w:val="18"/>
                <w:b w:val="1"/>
                <w:bCs w:val="1"/>
                <w:color w:val="auto"/>
              </w:rPr>
              <w:t>As a percentage of net revenue</w:t>
            </w: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300" w:type="dxa"/>
            <w:vAlign w:val="bottom"/>
          </w:tcPr>
          <w:p>
            <w:pPr>
              <w:spacing w:after="0"/>
              <w:rPr>
                <w:sz w:val="10"/>
                <w:szCs w:val="10"/>
                <w:color w:val="auto"/>
              </w:rPr>
            </w:pPr>
          </w:p>
        </w:tc>
        <w:tc>
          <w:tcPr>
            <w:tcW w:w="4400" w:type="dxa"/>
            <w:vAlign w:val="bottom"/>
            <w:gridSpan w:val="2"/>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in period</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7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 costs (excluding exceptional items)</w:t>
            </w:r>
          </w:p>
        </w:tc>
        <w:tc>
          <w:tcPr>
            <w:tcW w:w="2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64.7%</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7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13.1%</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 (excluding exceptional items)</w:t>
            </w:r>
          </w:p>
        </w:tc>
        <w:tc>
          <w:tcPr>
            <w:tcW w:w="2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31.2%</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7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10.5%</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 (excluding exceptional items)</w:t>
            </w:r>
          </w:p>
        </w:tc>
        <w:tc>
          <w:tcPr>
            <w:tcW w:w="2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4.1%</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7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(57.7%)</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Exceptional items</w:t>
            </w:r>
          </w:p>
        </w:tc>
        <w:tc>
          <w:tcPr>
            <w:tcW w:w="2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3.1%</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7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(68.4%)</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31 December 2011 compared to Year ended 31 December 2010</w:t>
      </w:r>
    </w:p>
    <w:p>
      <w:pPr>
        <w:spacing w:after="0" w:line="25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Net revenue for the year increased by $45.7 million, or 5.1%, from $900.0 million for the year ended 31 December 2010 to $945.7 million for the year ended 31 December 2011. Net revenue in the Group’s clinical research segment increased by 4.5% from $836.2 million for the year ended 31 December 2010 to $874.2 million for the year ended 31 December 2011. In the Group’s central laboratory business net revenue increased by 12.1% from $63.8 million for the year ended 31 December 2010 to $71.5 million for the year ended 31 December 2011. For the year ended 31 December 2011 approximately 41.7%, 46.2% and 12.1% of the Group’s net revenue was derived in the United States, Europe and Rest of World,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Direct costs for the year increased by $70.6 million, or 13.1%, from $541.4 million for the year ended 31 December 2010 to $612.0 million for the year ended 31 December 2011. As a percentage of net revenue, direct costs have increased from 60.1% for the year ended 31 December 2010 to 64.7% for the year ended 31 December 2011. In the Group’s clinical research segment, direct costs increased by 13.9 % or $68.7 million during the year. As a percentage of net revenue direct costs in our clinical research segment have increased from 59.1% for the year ended December 31, 2010 to 64.4% for the year ended December 31, 2011. The Group has entered a number of strategic relationships with sponsors and expanded operations in certain territories. This has necessitated significant upfront investment in personnel and related infrastructure in advance of anticipated revenue flows from the business. In the Group’s central laboratory business, direct costs increased by 4.2% or $2.0 million during the year. As a percentage of net revenue direct costs in our central laboratory business have decreased from 73.4% for the year ended 31 December 2010 to 68.2% for the year ended 31 December 2011, a result of restructuring activities undertaken in early 2011 together with ongoing cost management and improved resource utilisation.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expenses for the year increased by $28.1 million, or 10.5%, from $266.8million for the year ended 31 December 2010 to $294.9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31 December 2011. The increase in other operating expenses for the period arose primarily from an increase in facilities and related costs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$13.7 million, an increase in personnel related expenditure of $8.1 million, including increases in recruitment expenditure and travel costs associated with non-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project related employees, an increase in professional services costs of $11.1 million and an increase in depreciation and amortisation expense of $4.7 million,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arising principally as a result of the increased amortisation of acquired intangibles and our continued investment in facilities and equipment to support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Group’s growth. These increases were offset by the release of certain non-recurring tax related provisions of $6.0 million in both our clinical research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central laboratory business, arising from receipt of additional information in relation to these items, and a decrease in other general overhead costs of $2.0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 Other operating expenses for the year ended 31 December 2011 also include the release of $1.7 million in respect of certain milestones pertaining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Timaq acquisition in 2010 which were released during the year as the Group has assessed the likelihood of these milestones being achieved as remote.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Group’s clinical research segment, other operating expenses increased by $34.4 million or 14.5% during the year. This was offset by a decrease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Group’s central laboratory business, where other operating expenses decreased by $6.3 million or 21.3%. As a percentage of net revenue, other operating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from 29.6% for the year ended 31 December 2010 to 31.2% for the year ended 31 December 2011.</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months ended 31 March 2011, the Group commenced a review of its operations to improve resource utilisation within the business and better align resources to current and future growth opportunities of the business. This review resulted in the adoption of an initial restructuring plan, the closure of the Company’s facility in Edinburgh, United Kingdom and resource rationalisations in certain of the more mature markets in which it operates. A restructuring charge of $5.0 million in respect of this plan was recognised during the three months ended 31 March 2011, $1.0 million in respect of lease termination and exit costs associated with the closure of the Edinburgh facility and $4.0 million in respect of workforce reductions. $3.5 million of costs recognised under this plan related to the clinical research segment, while $1.5 million related to our central laboratory business.</w:t>
      </w:r>
    </w:p>
    <w:p>
      <w:pPr>
        <w:spacing w:after="0" w:line="20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During the three months ended 30 September 2011, the Company implemented a further restructuring plan which resulted in the relocation of the Company’s facility in Maryland, USA; and further resource rationalisations. A restructuring charge of $4.8 million was recognised during the three months ended 30 September 2011 in respect of this plan, $0.9 million in respect of lease termination and exit costs associated with the closure of the existing Maryland facility and $3.9 million in respect of workforce reductions. All costs recognised under this plan related to the clinical research segment.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 above, operating profit for the year decreased by $62.9 million, or 68.4%, from $91.9 million for the year ended 31 December 2010, to $29.0 million for the year ended 31 December 2011. As a percentage of net revenue, operating profit decreased from 10.2% of net revenues for the year ended 31 December 2010 to 3.1% of net revenues for the year ended 31 December 2011.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our clinical research segment, operating profit for the year decreased by $73.4 million, or 70.2%, from $104.7 million for the year ended 31 December 2010 to $31.2 million for the year ended 31 December 2011. As a percentage of net revenue, operating profit decreased from 12.5% of net revenues for the year ended 31 December 2010 to 3.6% of net revenues for the year ended 31 December 2011. In our central laboratory business, operating losses for the year decreased from a loss of $12.8 million for the year ended 31 December 2010 to a loss of $2.2 million for the year ended 31 December 2011. As a percentage of net revenue operating losses decreased from 20.0% for the year ended 31 December 2010 to 3.1% for the year ended 31 December 2011.</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Excluding the impact of exceptional items recognised, operating profit for the year decreased by $53.0 million or 57.7%, from $91.9 million for the year ended 31 December 2010 to $38.8 million for the year ended 31 December 2011. As a percentage of net revenue, operating profit decreased from 10.2% of net revenues for the year ended 31 December 2010 to 4.1% of net revenues for the year ended 31 December 2011. In our clinical research segment, operating profit for the year decreased by $65.2 million, or 62.3%, from $104.6 million for the year ended 31 December 2010 to $39.5 million for the year ended 31 December 2011. As a percentage of net revenue, operating profit decreased from 12.5% of net revenues for the year ended 31 December 2010 to 4.5% of net revenues for the year ended 31 December 2011. In our central laboratory business, operating losses for the year decreased by $12.1 million, from a loss of $12.8 million for the year ended 31 December 2010 to a loss of $0.7 million for the year ended 31 December 2011. As a percentage of net revenue operating losses decreased from 20.0% for the year ended 31 December 2010 to 0.9% for the year ended 31 December 2011.</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finance expense for the year ended 31 December 2011 was $0.2 million compared with net finance income of $0.9 million for the year ended 31 December 2010. Finance income for the year decreased by $0.4 million from $2.7 million for the year ended 31 December 2010 to $2.3 million for the year ended 31 December 2011. This decrease arose predominately from an decrease in cash balances during the year. Finance expense for the year increased by $0.7 million, from $1.9 million for the year ended 31 December 2010 to $2.6 million for the year ended 31 December 2011. This increase arose predominately from a non-cash finance charge recorded in the current period in respect of the Firecrest acquisition contingent consideration.</w:t>
      </w:r>
    </w:p>
    <w:p>
      <w:pPr>
        <w:spacing w:after="0" w:line="20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Provision for income taxes increased from $6.6 million for the year ended 31 December 2010 to $9.6 million for the year ended 31 December 2011. During the year ended 31 December 2011 the Company recognised $2.9 million in unrecognised tax benefits for uncertain tax positions, arising from the expiration of the relevant statute of limitations in certain jurisdictions, thereby allowing for the recognition of these benefits. During the year ended 31 December 2010 the Company recognised $9.7 million in unrecognised tax benefits for uncertain tax positions, arising from both the settlement of positions with the relevant tax authorities and the expiration of the relevant statute of limitations in certain jurisdictions, resulting in the recognition of these benefits.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Group’s effective tax rate for the year ended 31 December 2011 was 33.2% compared with 7.1% for the year ended 31 December 2010. Excluding the impact of the release of uncertain tax provisions during the year ended 31 December 2011, the Group would have had an effective tax rate of 43.3% for the year ended 31 December 2011, compared to an effective tax rate of 17.5% for the year ended 31 December 2010.</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information systems enhancements, the purchase of current asset investments and acquisitions.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Group’s clinical research and development contracts are generally fixed price with some variable components and range in duration from a few weeks to several years. Revenue from contracts is generally recognised as income on the basis of the relationship between time incurred and the total estimated contract duration or on a fee-for-service basis. The cash flow from contracts typically consists of a small down payment paid at the time the contract is entered into, with the balance paid in installments over the contract's duration, in some cases on the achievement of certain milestones. Accordingly, cash receipts do not correspond to costs incurred and revenue recognised on contracts.</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Group’s cash and current asset investment balances at 31 December 2011 amounted to $174.1 million compared with cash and current asset investment balances of $255.7 million at 31December 2010. The Group’s cash and current asset investment balances at 31 December 2011 comprised cash and cash equivalents of $119.2 million and current asset investments of $54.9 million. The Group’s cash and current asset investment balances at 31 December 2010 comprised cash and cash equivalents of $255.7 million. Working capital, comprising total current assets less total current liabilities, decreased by $70.6 million during the year from $309.7 million at 31 December 2010 to $239.1 million at 31 December 2011. This decrease arose primarily from a decrease in cash and cash equivalents as a result of the decline in profits during the period and investments made by the Group to acquire businesses and assets. Borrowings available to the Group under negotiated facilities at 31 December 2011 amounted to $150.0 million compared with $55.9 million at 31 December 2010.</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20 July 2011, the Group entered into a three year committed multi currency revolving credit facility agreement for $150 million with Citibank, JP Morgan, Ulster Bank, Deutsche Bank and Barclays Bank. Each bank, subject to the agreement, has committed $30 million to the facility and the terms and conditions attaching to the facility are the same for each institution. The facility bears interest at LIBOR plus a margin and is secured by certain composite guarantees, indemnities and pledges in favour of the banks. This facility replaced all facilities previously in place with Bank of Ireland, AIB, Citibank and JP Morgan. On 29 February 2012, $20 million was drawn down to fund working capital requirements.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operating activities amounted to $20.2 million for the year ended 31 December 2011 compared with net cash provided by operating activities of $87.4 million for the year ended 31 December 2010. The most significant influences on our operating cash flow are net income and revenue outstanding which comprises accounts receivable and unbilled revenue, less payments on account. The dollar values of these amounts and the related days revenue outstanding (i.e. revenue outstanding at the end of the period divided by the revenue for the period multiplied by the number of days in the period) can vary due to the achievement of contractual milestones, including contract signing, and the timing of cash receipts. The decrease in cash flow from operating activities during the twelve months ended 31 December 2011 arose primarily from both a decrease in net income together with an increase in the number of days revenue outstanding during the period. The number of days revenue outstanding at 31 December 2011 was 47 days compared to 37 days at 31 December 2010.</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investing activities amounted to $152.4 million for the year ended 31 December 2011 compared to net cash provided by investing activities of $14.6 million for the year ended 31 December 2010. Net cash used in/provided by investing activities comprises primarily of capital expenditure, the purchase and sale of current asset investments and cash paid for acquisitions. Capital expenditure for the year ended 31 December 2011 amounted to $35.4 million, compared to $30.9 million for the year ended 31 December, 2010 and comprised primarily of expenditure on global infrastructure and information technology systems to support the Group’s growth. During the year ended 31 December 2011 the Groups invested a net $55.6 million in current asset investments. During the year ended 31 December 2010 the Group realised a net $49.2 million from the sale of its current asset investments, which were reinvested in cash and cash equivalents.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Cash paid for acquisitions during the year ended 31 December 2011 amounted to $69.8 million compared to cash paid for acquisitions of $3.7 million during the year ended December 31, 2010. On 14 January 2011, the Group acquired approximately 80% of the common stock of Oxford Outcomes Limited, a leading international health outcomes consultancy business, headquartered in Oxford, United Kingdom for an initial cash consideration of £17.8 million ($27.6 million). Cash acquired on the acquisition of Oxford amount to £4.0 million ($6.2 million). Further consideration of up to £6.5 million ($10.1 million) may become payable during the period to 31 March 2012 if certain performance milestones are achieved. In July 2011 the Company paid £3.3 million ($5.1 million) in respect of the first element of this additional consideration. £3.2 million ($4.9 million) has been accrued at 31 December 2011 in respect of the remaining performance milestones. In addition, the acquisition agreement provided for certain working capital targets to be achieved by Oxford Outcomes Limited on completion. In May 2011 the Group paid an additional £3.3 million ($5.1 million) on completion of this review.</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put and call option was also agreed between the Group and the selling shareholders for the acquisition of the remaining ordinary share capital of Oxford Outcomes Limited for cash consideration of £3.8 million ($6.0 million). Further consideration of up to £1.5 million ($2.3 million) relating to this remaining common stock may become payable during the period to 31 March 2012 if certain performance milestones are achieved. On 20 October 2011, this option was exercised and £3.8 million ($6.0 million) was paid by the Group to the selling shareholders together with a further £0.7 million ($1.1 million) in respect of the first element of the performance milestones. The Group has accrued £0.8 million ($1.2 million) at 31 December 2011 in respect of the remaining performance milestones.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14 July 2011, the Group acquired 100% of the ordinary share capital of Firecrest Clinical Limited (“Firecrest”), a market leading provider of technology solutions that boost investigator site performance and study management, for an initial cash consideration of €17.0 million ($24.4 million). Cash acquired on the acquisition of Firecrest amounted to €1.4 million ($2.0 million). Further consideration of up to €33.0 million ($46.8 million) may become payable if certain performance milestones are achieved in the period to 30 June 2013. At 31 December 2011, the Group has accrued €31.3 million ($40.6 million) in relation to these performance milestones, €22.3 million ($28.9 million) within non-current provisions and €9.0 million ($11.7 million) within provisions. On 16 March 2012, the Group paid €3.0 million ($4.0 million) in respect of the first element of this additional consideration payable. In addition, the acquisition agreement provided for certain working capital targets to be achieved by Firecrest on completion. On 16 March 2012, the Group paid an additional €0.4 million ($0.5 million) in respect of this review.</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17 May 2010, the Group acquired Timaq Medical Imaging, a European provider of advanced imaging services to the pharmaceutical and biotechnology industry, located in Zurich, Switzerland for an initial cash consideration of CHF 1.3 million ($1.2 million). Certain performance milestones were built into the acquisition agreement requiring potential additional consideration of up to CHF 2.9 million ($2.6 million) if these milestones are achieved. The Group accrued CHF 2.9 million ($2.6 million) in relation to the additional consideration at date of acquisition. On 5 November 2010, the first element of these performance milestones was achieved requiring deferred payments of CHF 0.3 million ($0.3 million) to the selling shareholders in each of the years ended 31 December 2010, 31 December 2011 and 31 December 2012. At 31 December 2011, CHF 0.6 million ($0.6 million) has been paid by the Group and a further CHF 0.3 million ($0.3 million) has been accrued in respect of the payment due in 2012. Further consideration of up to CHF 2.0 million is payable if the remaining performance milestones are achieved during the years ended 31 December 2010 to 31 December 2012. During the year ended 31 December 2011 the Group assessed the likelihood of the remaining milestones being achieved as remote and consequently has released CHF 2.0 million ($1.7 million) previously accrued in relation to these milestones.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15 February 2012, the Group acquired 100% of the ordinary share capital of BeijingWits Medical Limited (“BeijingWits”), a leading Chinese CRO, for an initial cash consideration of $9.0 million. Further consideration of up to $7.0 million may become payable if certain performance milestones are achieved in the period to 31 December, 2013.</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On 28 February 2012 the Group acquired 100% of the ordinary share capital of PriceSpective LLC (“PriceSpective”) for an initial cash consideration of $37.1 million. Further consideration of up to $15.0 million may become payable if certain milestones are achieved prior to 31 December 2012.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Net cash used in financing activities during the year ended 31 December 2011 amounted to $3.9 million compared with net cash provided by $15.3 million for the year ended 31 December 2010. Cash provided by financing activities during both years comprised mainly of proceeds received from the exercise of share options. During the year ended 31 December 2011, the Group repaid $9.0 million in relation to its share repurchase programme </w:t>
      </w:r>
      <w:r>
        <w:rPr>
          <w:rFonts w:ascii="Arial" w:cs="Arial" w:eastAsia="Arial" w:hAnsi="Arial"/>
          <w:sz w:val="16"/>
          <w:szCs w:val="16"/>
          <w:i w:val="1"/>
          <w:iCs w:val="1"/>
          <w:color w:val="auto"/>
        </w:rPr>
        <w:t>(see below).</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a result of these cash flows, cash and cash equivalents decreased by $136.0 million for the year ended 31 December 2011 compared to an increase of $117.3 million for the year ended 31 December 2010.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27 October 2011, the Company announced its intention to commence a share repurchase programme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third share repurchase plan of up to $20 million, covering the period 22 February 2012 to 22 April 2012. . On 27 April 2012 the Company entered into a fourth share repurchase plan of up to $20 million, covering the period 27 April 2012 to 18 July 2012. The Company may enter further share repurchase plans, to effect the share repurchase programme in accordance with Rule 10b-18 and Rule 10b5-1 of the Securities Exchange Act of 1934, the authorisation granted at the Company’s annual general meeting on 18 July 2011, applicable laws and regulations and the Listing Rules of the Irish Stock Exchange.</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repurchase programme,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authorisation and applicable laws and regulations. Separately, Ordinary Shares traded on the Irish Stock Exchange may also be repurchased on behalf of the Company. The programme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programme will be made independently of and uninfluenced by the Company. The Company confirms that, on entering all three of the share repurchase plans outlined above, it had no material non-public, price-sensitive or inside information regarding the Group or the Company securities.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programme. All Ordinary Shares repurchased by the Company will be cancelled.</w:t>
      </w:r>
    </w:p>
    <w:p>
      <w:pPr>
        <w:spacing w:after="0" w:line="21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During the year ended 31 December 2011 545,597 ordinary shares were repurchased by the Company for a total consideration of $9.0 million. All ordinary shares repurchased by the Company were cancelled.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ICON Strategy</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Group’s vision is to be the global CRO partner of choice for the Biopharma industry by delivering best in class information, solutions and performance in clinical and outcomes research. The Group has achieved exceptional growth since its foundation in 1990. The impact of the International Conference on Harmonisation, the resulting globalisation of clinical research and the acceleration in the understanding of human and molecular biology which has led to many new treatment paths being explored have been key drivers of this growth.</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Despite the increase in development activity in recent years, the number of compounds reaching market has declined. This, together with health budget constraints and the current economic and financial environment are placing increased pressure on revenues and profitability of development companies. This however has been generally positive for CROs, as increased outsourcing has been adopted by these companies as they seek to create greater efficiencies in their development processes, convert previously fixed costs to variable, and accelerate time to market.</w:t>
      </w:r>
    </w:p>
    <w:p>
      <w:pPr>
        <w:spacing w:after="0" w:line="19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One consequence of the drive to accelerate time to market will be increased emphasis on early stage development, as companies seek to filter compounds earlier in the development process, thereby lowering attrition rates and development expenditure. Regulatory pressures too will increase the emphasis on late stage (post marketing) surveillance, while increasing requirements to demonstrate the economic value of new compounds, through outcomes and comparative effectiveness research, will most likely be required in order to secure reimbursement. Furthermore, we believe advances in molecular biology will drive further growth in innovation in the long term which in turn should create further growth opportunities for both development companies and their outsource providers.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the increased adoption of outsourcing will be a core strategy of clients in the near term as they respond to the increased pressures on their revenues and profitability. Larger customers in particular are seeking to form strategic partnerships with global CROs in an effort to reduce the number of outsource partners with which they engage and to reduce inefficiencies in their current drug development models. As outsourcing penetration increases, we believe clients will seek a greater level of integration of service offerings from CROs, although some will continue to purchase services on a stand-alone basis. Creating greater connectivity and “seamlessness” between our services and the sharing of “real-time” clinical and operational data with clients will therefore become increasingly important for CROs.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will seek to benefit from this increased outsourcing by clients to grow our business and generate long term value by increasing market share with our existing client base and adding new clients within the Phase I-IV outsourced development services market; the aim being to ensure we will be considered for all major Phase I–IV projects.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Group’s core strategies to achieve these objectives will be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 Scale</w:t>
      </w:r>
    </w:p>
    <w:p>
      <w:pPr>
        <w:spacing w:after="0" w:line="25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Building scale within the organisation will be central to achieving the Group’s objectives and will be achieved through developing strategic relationships with clients, growing positions in existing and selected new markets, broadening our service offerings and targeted strategic acquisitions as required.</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Strategic client relationships will manifest themselves in many different forms. Many of these relationships will require new forms of collaboration across ICON divisions and departments and will therefore require increased flexibility to offer services on both a standalone basis and as part of a fully integrated service model. To support this objective the Group is developing programs to incorporate expanded relationship management, closer data integration across our service lines and enhanced project management capabilities.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 xml:space="preserve">Operating and Financial Review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will also continue to build positions in emerging markets and has expanded its presence in regions such as Asia Pacific, in particular in China and Japan, as is evident from the recent acquisition of BeijingWits Medical Limited, a leading Chinese CRO. Additionally the Group is taking steps to address new and emerging markets.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Competitiveness</w:t>
      </w:r>
    </w:p>
    <w:p>
      <w:pPr>
        <w:spacing w:after="0" w:line="2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Group will seek to gain competitive advantage by offering core operational efficiencies to its clients. No single solution exists to drive differentiation in this area; rather the Group will continue to focus its efforts on driving better project execution; developing processes and systems which can better integrate services. The Group continually seeks to enhance its operating processes and delivery models to ensure it can offer its clients best in class study execution compared to in-house and external alternatives. One core element of this effort is the Group’s focus on reducing patient recruitment times through enhanced site and investigator selection based on key performance metrics. The Group is also working with investigator sites to optimise study conduct and enhance data quality. The recent acquisition of Firecrest Clinical, will support efforts in this area.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Leadership</w:t>
      </w:r>
    </w:p>
    <w:p>
      <w:pPr>
        <w:spacing w:after="0" w:line="25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Underpinning all the Group’s strategies are its people. The need to grow and retain talent within the organisation is fundamental in enabling the Group to be the global CRO partner of choice. The Group’s talent review and succession planning processes are core strategies in the achievement of this objective.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Informatics</w:t>
      </w:r>
    </w:p>
    <w:p>
      <w:pPr>
        <w:spacing w:after="0" w:line="2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Developing best in class information to help clients improve the costs and efficiencies associated with drug development will be another key strategy in achieving the Group’s objectives. The Group’s new proprietary ICONIK platform, a web-based information platform that enables the management, reporting, analysis and visualisation of all data relating to drug development will be a key tool in this regard, Firecrest’s comprehensive site performance management system, a web-based solution which enables accurate study information, including protocol information, training manuals and case report forms amongst others to be rolled out quickly and simultaneously to investigative sites will also be a key tool in this regard and will allow site behaviour to be tracked to ensure training is understood, procedures are being followed, timelines are met and study parameters are met.</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Enhance Expertise and Intellectual Capital</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Increased scientific knowledge and expertise will be important as clients will increasingly look to their partners for advice and guidance on how to identify promising drug candidates earlier in the development process and eliminate others. Having the right blend of scientific and commercial leadership in this area will be of key importance. The Group has made a number of strategic acquisitions in recent years to build scale and develop its scientific base in key areas. Its commitment to adding additional expertise is evident from the acquisition of Oxford Outcomes and the recent acquisition of Pricespective. The Group may make further acquisitions to accelerate growth and further increase expertise.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Board of Directors and Senior Management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Chairman</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 xml:space="preserve">Dr. Bruce Given - Chairman </w:t>
      </w:r>
      <w:r>
        <w:rPr>
          <w:rFonts w:ascii="Arial" w:cs="Arial" w:eastAsia="Arial" w:hAnsi="Arial"/>
          <w:sz w:val="17"/>
          <w:szCs w:val="17"/>
          <w:color w:val="auto"/>
        </w:rPr>
        <w:t>(aged 57) was appointed non-executive Chairman of the Board of the Company in January 2010. He has served as a non-executive Director of the Company since September 2004. In October 2011, he was appointed to the position of Chief Operating Officer of Arrowhead Research Corporation and Chief Executive Officer of Leonardo Biosystems, a private US company (related to Arrowhead). From March 2002 until June 2007 he served as President and Chief Executive Officer of Encysive Pharmaceuticals Inc. Dr. Given previously held various positions in the Johnson &amp; Johnson group companies. Dr. Given obtained his doctorate from the University of Chicago in 1980.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Directors</w:t>
      </w:r>
    </w:p>
    <w:p>
      <w:pPr>
        <w:spacing w:after="0" w:line="2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 xml:space="preserve">Peter Gray - Vice Chairman </w:t>
      </w:r>
      <w:r>
        <w:rPr>
          <w:rFonts w:ascii="Arial" w:cs="Arial" w:eastAsia="Arial" w:hAnsi="Arial"/>
          <w:sz w:val="16"/>
          <w:szCs w:val="16"/>
          <w:color w:val="auto"/>
        </w:rPr>
        <w:t>(aged 57) was appointed Vice Chairman of the Company in October 2011. He served as Chief Executive Officer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November 2002 to September 2011, Group Chief Operating Officer from June 2001 to November 2002, and was Chief Financial Officer from June 1997 to June 2001. He has been a Director of the Company since June 1997. Mr. Gray has over 20 years experience in the pharmaceutical services industry and has also worked in the engineering and food sectors. Mr. Gray received a degree in Law from Trinity College Dublin in 1977 and became a chartered accountant in 1980. Mr. Gray has served as Director of United Drug plc since September 2004 and was appointed as non-executive Chairman of the Board of United Drug in February 2012. He has also served as a non-Executive Director of Danica Life Limited since April 2008.</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Ciaran Murray - Chief Executive Officer </w:t>
      </w:r>
      <w:r>
        <w:rPr>
          <w:rFonts w:ascii="Arial" w:cs="Arial" w:eastAsia="Arial" w:hAnsi="Arial"/>
          <w:sz w:val="18"/>
          <w:szCs w:val="18"/>
          <w:color w:val="auto"/>
        </w:rPr>
        <w:t>(aged 49) was appointed Chief Executive Officer of the Company in October 2011. He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Company from October 2005 to September 2011. Mr. Murray developed his experience working in senior financial positions in Ireland, Italy and the United Kingdom, in the food sector with Kraft Foods Inc, Cantrell and Cochrane plc and Northern Foods plc, and in the technology sector with Novell Inc and Codec Systems. Mr. Murray obtained a Bachelor of Commerce degree from University College Dublin in 1982. He qualified as a Chartered Accountant with PwC and is a Fellow of the Institute of Chartered Accountants in Ireland.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2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Dr. John Climax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Non-Executive Director </w:t>
      </w:r>
      <w:r>
        <w:rPr>
          <w:rFonts w:ascii="Arial" w:cs="Arial" w:eastAsia="Arial" w:hAnsi="Arial"/>
          <w:sz w:val="17"/>
          <w:szCs w:val="17"/>
          <w:color w:val="auto"/>
        </w:rPr>
        <w:t>(aged 59), one of the Company’s co-founders, has been a Director of the Company since 1990 and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Board of the Company from November 2002 to December 2009, and Chief Executive Officer from June 1990 to October 2002. From January 2010 he has held a position as a non-executive Director of the Company. Dr. Climax has over 25 years of experience in the contract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Dr. Ronan Lambe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Non-Executive Director </w:t>
      </w:r>
      <w:r>
        <w:rPr>
          <w:rFonts w:ascii="Arial" w:cs="Arial" w:eastAsia="Arial" w:hAnsi="Arial"/>
          <w:sz w:val="17"/>
          <w:szCs w:val="17"/>
          <w:color w:val="auto"/>
        </w:rPr>
        <w:t>(aged 72), one of the Company’s co-founders, has been a Director of the Company since 1990 and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Board of the Company from June 1990 to November 2002. He is currently a non-Executive Director of the Company. Dr. Lambe has over 30 years of experience in the contract research industry. Dr. Lambe attended the National University of Ireland where he received his Bachelor of Science degree in chemistry in 1959, his masters in biochemistry in 1962 and his PhD. in pharmacology in 1976.</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Thomas Lynch – Independent Non-Executive Director </w:t>
      </w:r>
      <w:r>
        <w:rPr>
          <w:rFonts w:ascii="Arial" w:cs="Arial" w:eastAsia="Arial" w:hAnsi="Arial"/>
          <w:sz w:val="18"/>
          <w:szCs w:val="18"/>
          <w:color w:val="auto"/>
        </w:rPr>
        <w:t>(aged 55) has served as a non-executive Director of the Company since January 1996. He is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Amarin Pharma Ireland Limited, having previously served as Chairman of Amarin Corporation plc from 2000 to 2009 and its Chief Executive Officer from 2007 to 2009. Between 1993 and 2004, he held a number of senior management positions in Elan Corporation plc. Mr Lynch is an investor in, and serves on the board of, a number of pharmaceutical and biotechnology companies.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Board of Directors and Senior Management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Professor Dermot Kelleher - Independent Non-Executive Director </w:t>
      </w:r>
      <w:r>
        <w:rPr>
          <w:rFonts w:ascii="Arial" w:cs="Arial" w:eastAsia="Arial" w:hAnsi="Arial"/>
          <w:sz w:val="18"/>
          <w:szCs w:val="18"/>
          <w:color w:val="auto"/>
        </w:rPr>
        <w:t>(aged 56) has served as a non-executive Director of the Company since May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Professor Kelleher is currently Head of the School of Medicine at Trinity College, Dublin, Ireland and Director of the Institute of Molecular Medicine in Dublin. His research interests are broad ranging in the fields of Gastroenterology, Immunology and Molecular Biology and over a distinguished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Declan McKeon- Independent Non-Executive Director </w:t>
      </w:r>
      <w:r>
        <w:rPr>
          <w:rFonts w:ascii="Arial" w:cs="Arial" w:eastAsia="Arial" w:hAnsi="Arial"/>
          <w:sz w:val="18"/>
          <w:szCs w:val="18"/>
          <w:color w:val="auto"/>
        </w:rPr>
        <w:t>(aged 60) has served as a non-executive Director of the Company since April 2010. Mr. McKeon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partner in PricewaterhouseCoopers (PwC) from 1986 to 2007. His roles included leadership of the audit and business advisory team for PwC Ireland, membership on the PwC Europe audit and business advisory services executive and market sector lead for consumer and industrial products. Mr. McKeon is a non-executive Director of Ryanair plc, remains a consultant to PwC and sits on the audit committee of the Royal College of Surgeons in Ireland. Mr. McKeon holds a Bachelor of Commerce and Masters in Business Studies from University College Dublin and is a Fellow of The Institute of Chartered Accountants in Ireland.</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Cathrin Petty - Independent Non-Executive Director </w:t>
      </w:r>
      <w:r>
        <w:rPr>
          <w:rFonts w:ascii="Arial" w:cs="Arial" w:eastAsia="Arial" w:hAnsi="Arial"/>
          <w:sz w:val="17"/>
          <w:szCs w:val="17"/>
          <w:color w:val="auto"/>
        </w:rPr>
        <w:t>(aged 38) has served as a non-executive Director of the Company since October 2010. Ms. Petty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Special Partner at Vitruvian Partners LLP, a non-Executive Director for Circassia Limited, a Director on the Board of Healthcare at Home and a member of GSK's Discovery Investment Board. Ms. Petty is an advisor to the pharmaceutical industry and formerly served as a non-Executive Director for the NHS (Strategic Health Authority for Greater London). Between 2000 and 2010, Ms. Petty was a Healthcare Partner in Apax Partners LLP with responsibility for originating, executing, monitoring and exiting healthcare private equity investments. Her early career included Senior Associate and Research Analyst roles at Schroder Ventures Life Sciences and Schroders Investment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Brendan Brennan - Chief Financial Officer </w:t>
      </w:r>
      <w:r>
        <w:rPr>
          <w:rFonts w:ascii="Arial" w:cs="Arial" w:eastAsia="Arial" w:hAnsi="Arial"/>
          <w:sz w:val="18"/>
          <w:szCs w:val="18"/>
          <w:color w:val="auto"/>
        </w:rPr>
        <w:t>(aged 33) has served as Chief Financial Officer since February 2012 having previously served as acting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since October 2011. Prior to this appointment he served in a number of senior finance roles in ICON including the role of Senior Vice President of Corporate Finance. He has been a senior member of the ICON finance team since January 2006. Prior to this he developed his corporate finance experience in Cement Roadstone Holdings a major Irish building materials organisation. He qualified as a Chartered Accountant with PricewaterhouseCoopers and obtained a bachelors degree in Accounting and Finance from Dublin City University.</w:t>
      </w:r>
    </w:p>
    <w:p>
      <w:pPr>
        <w:spacing w:after="0" w:line="21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auto"/>
        </w:rPr>
        <w:t xml:space="preserve">Dr. Steven Cutler - Group President Clinical Research Services </w:t>
      </w:r>
      <w:r>
        <w:rPr>
          <w:rFonts w:ascii="Arial" w:cs="Arial" w:eastAsia="Arial" w:hAnsi="Arial"/>
          <w:sz w:val="16"/>
          <w:szCs w:val="16"/>
          <w:color w:val="auto"/>
        </w:rPr>
        <w:t>(aged 51) was appointed Group President Clinical Research Services in November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He holds a B.Sc. and a Ph.D from the University of Sydney and a Masters of Business Administration from the University of Birmingham (UK).</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Diarmaid Cunningham - General Counsel and Company Secretary </w:t>
      </w:r>
      <w:r>
        <w:rPr>
          <w:rFonts w:ascii="Arial" w:cs="Arial" w:eastAsia="Arial" w:hAnsi="Arial"/>
          <w:sz w:val="18"/>
          <w:szCs w:val="18"/>
          <w:color w:val="auto"/>
        </w:rPr>
        <w:t>(aged 37) was appointed Company Secretary in November 2011. He has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General Counsel since November 2009. Prior to joining the Company, Mr Cunningham spent 10 years with A&amp;L Goodbody, one of Ireland's premier corporate law firms. Mr. Cunningham graduated with a Bachelor of Business and Legal Studies from University College Dublin in 1997 and qualified as a Solicitor with A&amp;L Goodbody in 2001.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Compensation and Organisation Committee Report</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policy</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executive compensation programme has three elements: base salary, a bonus plan and equity incentives in the form of share related awards granted under the Company’s equity incentive plans. All elements of key executives compensation are determined by the Committee based on the achievement of the Group’s objectives.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Non-Executive Directors’ remuneration</w:t>
      </w:r>
    </w:p>
    <w:p>
      <w:pPr>
        <w:spacing w:after="0" w:line="25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Non-Executive Directors are remunerated by way of Directors’ fees and are also eligible for participation in the share option scheme. The Corporate Governance Report sets out why it is appropriate for the non-Executive Directors to participate in the share option scheme. Non-Executive Directors are not eligible for performance related bonuses and no pension contributions are made on their behalf. Non-executive Directors’ remuneration is set by the Execution committee, taking into account the recommendations of the Nominating and Governance committee.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Directors’ and Key Executive Officers’ remuneration</w:t>
      </w:r>
    </w:p>
    <w:p>
      <w:pPr>
        <w:spacing w:after="0" w:line="25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Total cash compensation is divided into a base salary portion and a bonus incentive portion. Base salary is established based on peer group analysis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ranges between 80% and 100% of base salary.</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Company’s executives are eligible to receive equity incentives, including share options and restricted share units, granted under the Company’s equity incentive plans. If executives receive equity incentive grants, they are normally approved annually at the first regularly scheduled meeting of the Committee in the fiscal year and awarded at the closing price on the second full day following the release of the Company’s prior year results.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in the form of share options, to executive officers in its fiscal years ended 31 December 2011 and 2010. Share option grants awarded to executive officers typically vest over</w:t>
      </w:r>
    </w:p>
    <w:p>
      <w:pPr>
        <w:spacing w:after="0" w:line="5" w:lineRule="exact"/>
        <w:rPr>
          <w:sz w:val="20"/>
          <w:szCs w:val="20"/>
          <w:color w:val="auto"/>
        </w:rPr>
      </w:pPr>
    </w:p>
    <w:p>
      <w:pPr>
        <w:jc w:val="both"/>
        <w:ind w:firstLine="8"/>
        <w:spacing w:after="0" w:line="272" w:lineRule="auto"/>
        <w:tabs>
          <w:tab w:leader="none" w:pos="184" w:val="left"/>
        </w:tabs>
        <w:numPr>
          <w:ilvl w:val="0"/>
          <w:numId w:val="1"/>
        </w:numPr>
        <w:rPr>
          <w:rFonts w:ascii="Arial" w:cs="Arial" w:eastAsia="Arial" w:hAnsi="Arial"/>
          <w:sz w:val="17"/>
          <w:szCs w:val="17"/>
          <w:color w:val="auto"/>
        </w:rPr>
      </w:pPr>
      <w:r>
        <w:rPr>
          <w:rFonts w:ascii="Arial" w:cs="Arial" w:eastAsia="Arial" w:hAnsi="Arial"/>
          <w:sz w:val="17"/>
          <w:szCs w:val="17"/>
          <w:color w:val="auto"/>
        </w:rPr>
        <w:t>five year period with 20% becoming exercisable on each anniversary of date of grant. Some options granted to executive officers vest evenly over a three year period with one third becoming exercisable on each anniversary of date of grant. This is considered appropriate given the Company has its primary listing on NASDAQ. A common vesting period for share options granted to executive officers of NASDAQ listed companies is three years. Accordingly, the Company does not view such share options as being “in normal circumstances” as per Schedule A of the UK Code.</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executive officers are eligible to participate in a defined contribution pension plan.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Income 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 xml:space="preserve">Compensation and Organisation Committee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Key Executive Officers service agreements and letters of engagement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Bruce Given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Dr. Bruce Given was appointed Chairman of the Board of the Company in January 2010. He has served as a non-executive Director of the Company since September 2004. The arrangements with Dr. Given provide for the payment to him of annual fees of $316,932 per annum plus reasonable expenses properly incurred in carrying out his duties for the Company. He was previously granted and held at 30 April 2012, 28,000 ordinary share options at exercise prices ranging from $8.60 to $35.33.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Peter Gray</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Mr. Peter Gray is currently Vice Chairman of the Company, a position he has held since October 2011. He has served as an Executive Director of the Company since June 1997. He previously served as Chief Executive Officer of the Company from November 2002 to September 2011 and Chief Operating Officer from June 2001 to November 2002. In September 2011 Mr. Gray retired as CEO of the Company in accordance with the terms of his service agreement which is terminable on 12 months notice by either party. Under the terms of his service agreement Mr. Gray is entitled to receive an annual salary of €535,500 ($695,000) and a bonus to be agreed by the Compensation and Organization Committee. Mr. Gray’s notice period expires on 30 September 2012 and his service agreement continues to apply during the notice period. He is also entitled to receive a pension contribution, company car and medical insurance coverage for himself and his dependants. He was previously granted and held at 30 April 2012, 288,000 ordinary share options at exercise prices ranging from $11.00 to $35.33 per share and 100,000 Restricted Share Units which were due to vest on 3 March 2014, the third anniversary of date of award and therefore are not expected to vest. His service agreement requires him to devote his full time and attention to his duties for the Company excepting certain non-executive Director positions authorised by the Board. The Board has authorised Mr. Gray to serve as Chairman ,and previously Audit Committee Chairman, of United Drug plc and as a non-executive Director of Danica Life Limited. During the year ended 31 December 2011 he was paid and retained fees of €67,000 ($93,525) by United Drug plc and €33,075 ($46,170) by Danica Life Limited. The service agreement with Mr. Gray includes certain post termination clauses including non-disclosure, non-competition and non-solicitation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Mr. Ciaran Murray is currently Chief Executive Officer of the Company, a position he has held since October 2011. He has served as an Executive Director of the Company since October 2011. He previously served as Chief Financial Officer of the Company from October 2005 until October 2011. The service agreement with Mr. Murray is terminable on 12 months notice by either party. Under the terms of this agreement Mr. Murray is entitled to receive an annual salary of €630,000 ($800,000) (reflecting a salary increase as of 1 April 2012) and a bonus to be agreed by the Compensation and Organisation Committee. He is also entitled to receive a pension contribution, a company car and medical insurance coverage for himself and his dependants. He was previously granted and held at 30 April 2012, 345,000 ordinary share options at exercise prices ranging from $10.42 to $35.33 per share. He has also been granted 200,000 Restricted Share Units, 50,000 of which vest on 27 April 2013, the first anniversary of the date of the award, 100,000 of which vest on 1 October 2014, the third anniversary of the date of the award, and 50,000 on 10 February 2016, the fifth anniversary of the date of the award. His service agreement requires him to devote his full time and attention to his duties for the Company excepting certain non-executive Director positions authorised by the Board. The service agreement with Mr. Murray includes termination and change of control provisions, certain post-termination clauses including non-disclosure, non-competition and non-solicitation provisions and provisions relating to clawback of bonus compensation and forfeiture of long term incentives in certain circumstances.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Compensation and Organisation Committee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Key Executive Officers service agreements and letters of engagement (continued)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Brendan Brennan</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Mr. Brendan Brennan is currently Chief Financial Officer of the Company, a position he has held since February 2012. He previously served in a number of senior finance roles in ICON including the role of Senior Vice President of Corporate Finance. The service agreement with Mr. Brennan is terminable on 12 month’s notice by either party. Under the terms of this agreement Mr. Brennan is entitled to receive an annual salary of €300,000 ($388,830) and a bonus to be agreed by the Compensation and Organisation Committee. He is also entitled to receive a pension contribution, a company car and medical insurance coverage for himself and his dependants. He was previously granted and held at 30 April 2012, 34,100 ordinary share options at exercise prices ranging from $20.28 to $35.33 per share and 20,000 Restricted Share Units, which vest on 21 February 2015, the third anniversary of the date of the award. His service agreement requires him to devote his full time and attention to his duties for the Company excepting certain non-executive Director positions authorised by the Board. The service agreement with Mr. Brennan includes termination and change of control provisions, certain post-termination clauses including non-disclosure, non-competition and non-solicitation provisions and provisions relating to clawback of bonus compensation and forfeiture of long term incentives in certain circumstances.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Dr. John Climax, one of the Company’s co-founders, served as Chairman of the Board of the Company from November 2002 to December 2009. He also served as Chief Executive Officer of the Company from June 1990 to October 2002 and is currently a non-executive Director since 1 January 2010. The arrangements with Dr. Climax provide for the payment to him of Director fees of $48,000 per annum plus reasonable expenses properly incurred in carrying out his duties for the Company. He was previously granted and held at 30 April 2012, 90,000 ordinary share options at exercise prices ranging from $11.00 to $35.33 per share.</w:t>
      </w:r>
    </w:p>
    <w:p>
      <w:pPr>
        <w:spacing w:after="0" w:line="220"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Following Dr Climax’s retirement as Chairman in December 2009, the Company entered a three year agreement with Rotrua Limited, a company controlled by Dr. Climax, for the provision of consultancy services at an agreed fee of €262,500 ($342,226) per annum. Pursuant to the consultancy agreement, Dr. Climax also agreed to certain restrictions that will apply to him after the termination of the consultancy agreement including non-disclosure, non-competition and non-solicitation. The consultancy agreement provides that the Company will provide, during the term of the agreement, permanent disability and life insurance cover for Dr. Climax and medical insurance cover for himself and his dependants.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Dr. Ronan Lambe, one of the Company’s co-founders, served as Chairman of the Board of the Company from June 1990 to November 2002 and is currently a non-executive Director of the Company. The arrangements with Dr. Lambe provide for the payment to him of Director fees of $53,000 per annum plus reasonable expenses properly incurred in carrying out his duties for the Company. He was previously granted and held at 30 April 2012, 20,000 ordinary share options at exercise prices ranging from $8.60 to $35.33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Thomas Lynch</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Thomas Lynch has served as a non-executive Director of the Company since January 1996. The arrangements with Mr. Lynch provide for the payment to him of Director fees of $78,000 (pre 18 July 2011: $78,000 per annum - his fees decreased in July 2011 to $63,000 as he retired as Chairman of the Audit Committee but, these increased again to $78,000 in February 2012 when he became Chairman of the Compensation and Organisation Committee) per annum plus reasonable expenses properly incurred in carrying out his duties for the Company. He was previously granted and held at 30 April 2012, 22,000 ordinary share options at exercise prices ranging from $8.60 to $35.33 per share.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 xml:space="preserve">Compensation and Organisation Committee Report </w:t>
      </w:r>
      <w:r>
        <w:rPr>
          <w:rFonts w:ascii="Arial" w:cs="Arial" w:eastAsia="Arial" w:hAnsi="Arial"/>
          <w:sz w:val="18"/>
          <w:szCs w:val="18"/>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Professor Dermot Kelleher has served as a non-executive Director of the Company since May 2008. The arrangements with Professor Kelleher provide for the payment to him of Director fees of $73,000 per annum. He was previously granted and held at 30 April 2012, 14,000 ordinary share options at an exercise prices ranging from $22.26 to $36.04.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Declan McKeon has served as a non-executive Director of the Company since April 2010. The arrangements with Mr McKeon provide for the payment to him of Directors fees of $73,000 per annum (pre 18 July 2011: $53,000 per annum - his fees increased in July 2011 as he was appointed Chairman of the Audit Committee and again in February 2012 when he became a member of the Compensation and Organisation Committee). He was previously granted and held at 30 April 2012, 7,000 ordinary share options at exercise prices ranging from $20.28 to $29.45.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Cathrin Petty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Ms. Cathrin Petty has served as a non-executive Director of the Company since October 2010. The arrangements with Ms. Petty provide for the payment to her of Directors fees of $53,000 per annum. She was previously granted and held at 30 April 2012, 7,000 ordinary share options at exercise prices ranging from $19.45 to $22.30.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Compensation and Organisation Committee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Key Executive Officers Remuneration</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8"/>
                <w:szCs w:val="18"/>
                <w:i w:val="1"/>
                <w:iCs w:val="1"/>
                <w:color w:val="auto"/>
                <w:w w:val="96"/>
              </w:rPr>
              <w:t>Year ended 31 December 2011</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64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Share-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Salary</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Bonus</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Director</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based****</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0"/>
        </w:trPr>
        <w:tc>
          <w:tcPr>
            <w:tcW w:w="164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contribution*</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Fees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8"/>
              </w:rPr>
              <w:t>compensation</w:t>
            </w:r>
          </w:p>
        </w:tc>
        <w:tc>
          <w:tcPr>
            <w:tcW w:w="0" w:type="dxa"/>
            <w:vAlign w:val="bottom"/>
          </w:tcPr>
          <w:p>
            <w:pPr>
              <w:spacing w:after="0"/>
              <w:rPr>
                <w:sz w:val="1"/>
                <w:szCs w:val="1"/>
                <w:color w:val="auto"/>
              </w:rPr>
            </w:pPr>
          </w:p>
        </w:tc>
      </w:tr>
      <w:tr>
        <w:trPr>
          <w:trHeight w:val="234"/>
        </w:trPr>
        <w:tc>
          <w:tcPr>
            <w:tcW w:w="2460" w:type="dxa"/>
            <w:vAlign w:val="bottom"/>
            <w:tcBorders>
              <w:left w:val="single" w:sz="8" w:color="auto"/>
              <w:right w:val="single" w:sz="8" w:color="auto"/>
            </w:tcBorders>
            <w:gridSpan w:val="4"/>
            <w:vMerge w:val="restart"/>
          </w:tcPr>
          <w:p>
            <w:pPr>
              <w:ind w:left="20"/>
              <w:spacing w:after="0"/>
              <w:rPr>
                <w:sz w:val="20"/>
                <w:szCs w:val="20"/>
                <w:color w:val="auto"/>
              </w:rPr>
            </w:pPr>
            <w:r>
              <w:rPr>
                <w:rFonts w:ascii="Arial" w:cs="Arial" w:eastAsia="Arial" w:hAnsi="Arial"/>
                <w:sz w:val="18"/>
                <w:szCs w:val="18"/>
                <w:b w:val="1"/>
                <w:bCs w:val="1"/>
                <w:color w:val="auto"/>
              </w:rPr>
              <w:t>Executive Director &amp;</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156"/>
        </w:trPr>
        <w:tc>
          <w:tcPr>
            <w:tcW w:w="2460" w:type="dxa"/>
            <w:vAlign w:val="bottom"/>
            <w:tcBorders>
              <w:left w:val="single" w:sz="8" w:color="auto"/>
              <w:right w:val="single" w:sz="8" w:color="auto"/>
            </w:tcBorders>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60" w:type="dxa"/>
            <w:vAlign w:val="bottom"/>
            <w:tcBorders>
              <w:left w:val="single" w:sz="8" w:color="auto"/>
              <w:right w:val="single" w:sz="8" w:color="auto"/>
            </w:tcBorders>
            <w:gridSpan w:val="4"/>
          </w:tcPr>
          <w:p>
            <w:pPr>
              <w:ind w:left="20"/>
              <w:spacing w:after="0" w:line="195" w:lineRule="exact"/>
              <w:rPr>
                <w:sz w:val="20"/>
                <w:szCs w:val="20"/>
                <w:color w:val="auto"/>
              </w:rPr>
            </w:pPr>
            <w:r>
              <w:rPr>
                <w:rFonts w:ascii="Arial" w:cs="Arial" w:eastAsia="Arial" w:hAnsi="Arial"/>
                <w:sz w:val="18"/>
                <w:szCs w:val="18"/>
                <w:b w:val="1"/>
                <w:bCs w:val="1"/>
                <w:color w:val="auto"/>
              </w:rPr>
              <w:t>Key Executive Officers</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auto"/>
              <w:left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Peter Gray</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22"/>
        </w:trPr>
        <w:tc>
          <w:tcPr>
            <w:tcW w:w="246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Ciaran Murray**</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991</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487</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1,367</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3,661</w:t>
            </w:r>
          </w:p>
        </w:tc>
        <w:tc>
          <w:tcPr>
            <w:tcW w:w="0" w:type="dxa"/>
            <w:vAlign w:val="bottom"/>
          </w:tcPr>
          <w:p>
            <w:pPr>
              <w:spacing w:after="0"/>
              <w:rPr>
                <w:sz w:val="1"/>
                <w:szCs w:val="1"/>
                <w:color w:val="auto"/>
              </w:rPr>
            </w:pPr>
          </w:p>
        </w:tc>
      </w:tr>
      <w:tr>
        <w:trPr>
          <w:trHeight w:val="175"/>
        </w:trPr>
        <w:tc>
          <w:tcPr>
            <w:tcW w:w="2460" w:type="dxa"/>
            <w:vAlign w:val="bottom"/>
            <w:tcBorders>
              <w:left w:val="single" w:sz="8" w:color="auto"/>
              <w:right w:val="single" w:sz="8" w:color="auto"/>
            </w:tcBorders>
            <w:gridSpan w:val="4"/>
          </w:tcPr>
          <w:p>
            <w:pPr>
              <w:ind w:left="20"/>
              <w:spacing w:after="0" w:line="175" w:lineRule="exact"/>
              <w:rPr>
                <w:sz w:val="20"/>
                <w:szCs w:val="20"/>
                <w:color w:val="auto"/>
              </w:rPr>
            </w:pPr>
            <w:r>
              <w:rPr>
                <w:rFonts w:ascii="Arial" w:cs="Arial" w:eastAsia="Arial" w:hAnsi="Arial"/>
                <w:sz w:val="18"/>
                <w:szCs w:val="18"/>
                <w:b w:val="1"/>
                <w:bCs w:val="1"/>
                <w:color w:val="auto"/>
              </w:rPr>
              <w:t>Non-executive Directors</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auto"/>
              <w:left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Bruce Given</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5"/>
        </w:trPr>
        <w:tc>
          <w:tcPr>
            <w:tcW w:w="24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John Climax</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Ronan Lambe</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5"/>
        </w:trPr>
        <w:tc>
          <w:tcPr>
            <w:tcW w:w="24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Thomas Lynch</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Dermot Kelleher</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5"/>
        </w:trPr>
        <w:tc>
          <w:tcPr>
            <w:tcW w:w="24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Anthony Murphy***</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Declan McKeon</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2"/>
        </w:trPr>
        <w:tc>
          <w:tcPr>
            <w:tcW w:w="246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Cathrin Petty</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760</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991</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487</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1,521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4,575</w:t>
            </w: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-2863215</wp:posOffset>
            </wp:positionV>
            <wp:extent cx="819150" cy="452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9150" cy="452120"/>
                    </a:xfrm>
                    <a:prstGeom prst="rect">
                      <a:avLst/>
                    </a:prstGeom>
                    <a:noFill/>
                  </pic:spPr>
                </pic:pic>
              </a:graphicData>
            </a:graphic>
          </wp:anchor>
        </w:drawing>
      </w:r>
    </w:p>
    <w:p>
      <w:pPr>
        <w:ind w:left="880" w:hanging="514"/>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Pension contributions above represent contributions paid by the Company to a defined contribution pension scheme.</w:t>
      </w:r>
    </w:p>
    <w:p>
      <w:pPr>
        <w:spacing w:after="0" w:line="8" w:lineRule="exact"/>
        <w:rPr>
          <w:sz w:val="20"/>
          <w:szCs w:val="20"/>
          <w:color w:val="auto"/>
        </w:rPr>
      </w:pPr>
    </w:p>
    <w:p>
      <w:pPr>
        <w:ind w:left="900" w:hanging="534"/>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Appointed Director of the Company on 1 October 2011. Prior to this he was a key executive officer in his position as chief financial officer.</w:t>
      </w:r>
    </w:p>
    <w:p>
      <w:pPr>
        <w:spacing w:after="0" w:line="19" w:lineRule="exact"/>
        <w:rPr>
          <w:rFonts w:ascii="Arial" w:cs="Arial" w:eastAsia="Arial" w:hAnsi="Arial"/>
          <w:sz w:val="17"/>
          <w:szCs w:val="17"/>
          <w:color w:val="auto"/>
        </w:rPr>
      </w:pPr>
    </w:p>
    <w:p>
      <w:pPr>
        <w:ind w:left="900" w:hanging="53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Retired on 31 December 2011</w:t>
      </w:r>
    </w:p>
    <w:p>
      <w:pPr>
        <w:spacing w:after="0" w:line="8" w:lineRule="exact"/>
        <w:rPr>
          <w:rFonts w:ascii="Arial" w:cs="Arial" w:eastAsia="Arial" w:hAnsi="Arial"/>
          <w:sz w:val="18"/>
          <w:szCs w:val="18"/>
          <w:color w:val="auto"/>
        </w:rPr>
      </w:pPr>
    </w:p>
    <w:p>
      <w:pPr>
        <w:jc w:val="both"/>
        <w:ind w:left="360" w:right="580" w:firstLine="6"/>
        <w:spacing w:after="0" w:line="254" w:lineRule="auto"/>
        <w:tabs>
          <w:tab w:leader="none" w:pos="89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current year amortisation of the grant-date fair value of share options and restricted share units. The grant date fair value is calculated using a binomial lattice model and is amortised to the Consolidated Income statement over the period of vesting of the related option or restricted share unit.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 xml:space="preserve">Compensation and Organisation Committee Report </w:t>
      </w:r>
      <w:r>
        <w:rPr>
          <w:rFonts w:ascii="Arial" w:cs="Arial" w:eastAsia="Arial" w:hAnsi="Arial"/>
          <w:sz w:val="22"/>
          <w:szCs w:val="22"/>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Key Executive Officers Remuneration</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8"/>
                <w:szCs w:val="18"/>
                <w:i w:val="1"/>
                <w:iCs w:val="1"/>
                <w:color w:val="auto"/>
                <w:w w:val="96"/>
              </w:rPr>
              <w:t>Year ended 31 December 2010</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2"/>
        </w:trPr>
        <w:tc>
          <w:tcPr>
            <w:tcW w:w="1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20" w:type="dxa"/>
            <w:vAlign w:val="bottom"/>
          </w:tcPr>
          <w:p>
            <w:pPr>
              <w:spacing w:after="0"/>
              <w:rPr>
                <w:sz w:val="21"/>
                <w:szCs w:val="21"/>
                <w:color w:val="auto"/>
              </w:rPr>
            </w:pPr>
          </w:p>
        </w:tc>
      </w:tr>
      <w:tr>
        <w:trPr>
          <w:trHeight w:val="177"/>
        </w:trPr>
        <w:tc>
          <w:tcPr>
            <w:tcW w:w="164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Share-</w:t>
            </w:r>
          </w:p>
        </w:tc>
        <w:tc>
          <w:tcPr>
            <w:tcW w:w="1220" w:type="dxa"/>
            <w:vAlign w:val="bottom"/>
          </w:tcPr>
          <w:p>
            <w:pPr>
              <w:spacing w:after="0"/>
              <w:rPr>
                <w:sz w:val="15"/>
                <w:szCs w:val="15"/>
                <w:color w:val="auto"/>
              </w:rPr>
            </w:pPr>
          </w:p>
        </w:tc>
      </w:tr>
      <w:tr>
        <w:trPr>
          <w:trHeight w:val="215"/>
        </w:trPr>
        <w:tc>
          <w:tcPr>
            <w:tcW w:w="16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Salary</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Bonus</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Director</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based***</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40"/>
        </w:trPr>
        <w:tc>
          <w:tcPr>
            <w:tcW w:w="1640" w:type="dxa"/>
            <w:vAlign w:val="bottom"/>
            <w:tcBorders>
              <w:left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contribution*</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Subtotal</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Fees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compensation</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8"/>
              </w:rPr>
              <w:t>compensation</w:t>
            </w:r>
          </w:p>
        </w:tc>
      </w:tr>
      <w:tr>
        <w:trPr>
          <w:trHeight w:val="222"/>
        </w:trPr>
        <w:tc>
          <w:tcPr>
            <w:tcW w:w="164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r>
      <w:tr>
        <w:trPr>
          <w:trHeight w:val="175"/>
        </w:trPr>
        <w:tc>
          <w:tcPr>
            <w:tcW w:w="2460" w:type="dxa"/>
            <w:vAlign w:val="bottom"/>
            <w:tcBorders>
              <w:left w:val="single" w:sz="8" w:color="auto"/>
              <w:right w:val="single" w:sz="8" w:color="auto"/>
            </w:tcBorders>
            <w:gridSpan w:val="4"/>
          </w:tcPr>
          <w:p>
            <w:pPr>
              <w:ind w:left="20"/>
              <w:spacing w:after="0" w:line="175" w:lineRule="exact"/>
              <w:rPr>
                <w:sz w:val="20"/>
                <w:szCs w:val="20"/>
                <w:color w:val="auto"/>
              </w:rPr>
            </w:pPr>
            <w:r>
              <w:rPr>
                <w:rFonts w:ascii="Arial" w:cs="Arial" w:eastAsia="Arial" w:hAnsi="Arial"/>
                <w:sz w:val="18"/>
                <w:szCs w:val="18"/>
                <w:b w:val="1"/>
                <w:bCs w:val="1"/>
                <w:color w:val="auto"/>
              </w:rPr>
              <w:t>Executive Director &amp;</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
        </w:trPr>
        <w:tc>
          <w:tcPr>
            <w:tcW w:w="16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195"/>
        </w:trPr>
        <w:tc>
          <w:tcPr>
            <w:tcW w:w="2460" w:type="dxa"/>
            <w:vAlign w:val="bottom"/>
            <w:tcBorders>
              <w:left w:val="single" w:sz="8" w:color="auto"/>
              <w:right w:val="single" w:sz="8" w:color="auto"/>
            </w:tcBorders>
            <w:gridSpan w:val="4"/>
          </w:tcPr>
          <w:p>
            <w:pPr>
              <w:ind w:left="20"/>
              <w:spacing w:after="0" w:line="195" w:lineRule="exact"/>
              <w:rPr>
                <w:sz w:val="20"/>
                <w:szCs w:val="20"/>
                <w:color w:val="auto"/>
              </w:rPr>
            </w:pPr>
            <w:r>
              <w:rPr>
                <w:rFonts w:ascii="Arial" w:cs="Arial" w:eastAsia="Arial" w:hAnsi="Arial"/>
                <w:sz w:val="18"/>
                <w:szCs w:val="18"/>
                <w:b w:val="1"/>
                <w:bCs w:val="1"/>
                <w:color w:val="auto"/>
              </w:rPr>
              <w:t>Key Executive Officers</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20"/>
        </w:trPr>
        <w:tc>
          <w:tcPr>
            <w:tcW w:w="1640" w:type="dxa"/>
            <w:vAlign w:val="bottom"/>
            <w:tcBorders>
              <w:top w:val="single" w:sz="8" w:color="auto"/>
              <w:left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Peter Gray</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r>
      <w:tr>
        <w:trPr>
          <w:trHeight w:val="222"/>
        </w:trPr>
        <w:tc>
          <w:tcPr>
            <w:tcW w:w="246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Ciaran Murray</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958</w:t>
            </w:r>
          </w:p>
        </w:tc>
      </w:tr>
      <w:tr>
        <w:trPr>
          <w:trHeight w:val="222"/>
        </w:trPr>
        <w:tc>
          <w:tcPr>
            <w:tcW w:w="1640" w:type="dxa"/>
            <w:vAlign w:val="bottom"/>
            <w:tcBorders>
              <w:left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925</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1,697</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2,677</w:t>
            </w:r>
          </w:p>
        </w:tc>
      </w:tr>
      <w:tr>
        <w:trPr>
          <w:trHeight w:val="175"/>
        </w:trPr>
        <w:tc>
          <w:tcPr>
            <w:tcW w:w="2460" w:type="dxa"/>
            <w:vAlign w:val="bottom"/>
            <w:tcBorders>
              <w:left w:val="single" w:sz="8" w:color="auto"/>
              <w:right w:val="single" w:sz="8" w:color="auto"/>
            </w:tcBorders>
            <w:gridSpan w:val="4"/>
          </w:tcPr>
          <w:p>
            <w:pPr>
              <w:ind w:left="20"/>
              <w:spacing w:after="0" w:line="175" w:lineRule="exact"/>
              <w:rPr>
                <w:sz w:val="20"/>
                <w:szCs w:val="20"/>
                <w:color w:val="auto"/>
              </w:rPr>
            </w:pPr>
            <w:r>
              <w:rPr>
                <w:rFonts w:ascii="Arial" w:cs="Arial" w:eastAsia="Arial" w:hAnsi="Arial"/>
                <w:sz w:val="18"/>
                <w:szCs w:val="18"/>
                <w:b w:val="1"/>
                <w:bCs w:val="1"/>
                <w:color w:val="auto"/>
              </w:rPr>
              <w:t>Non-executive Directors</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r>
      <w:tr>
        <w:trPr>
          <w:trHeight w:val="20"/>
        </w:trPr>
        <w:tc>
          <w:tcPr>
            <w:tcW w:w="1640" w:type="dxa"/>
            <w:vAlign w:val="bottom"/>
            <w:tcBorders>
              <w:top w:val="single" w:sz="8" w:color="auto"/>
              <w:left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Bruce Given</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15"/>
        </w:trPr>
        <w:tc>
          <w:tcPr>
            <w:tcW w:w="24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John Climax**</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Ronan Lambe</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24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Thomas Lynch</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Edward Roberts</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5"/>
        </w:trPr>
        <w:tc>
          <w:tcPr>
            <w:tcW w:w="24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Dermot Kelleher</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15"/>
        </w:trPr>
        <w:tc>
          <w:tcPr>
            <w:tcW w:w="2460" w:type="dxa"/>
            <w:vAlign w:val="bottom"/>
            <w:tcBorders>
              <w:left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Anthony Murphy</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246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Declan McKeon</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2460" w:type="dxa"/>
            <w:vAlign w:val="bottom"/>
            <w:tcBorders>
              <w:left w:val="single" w:sz="8" w:color="auto"/>
              <w:bottom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Cathrin Petty</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64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704</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956</w:t>
            </w:r>
          </w:p>
        </w:tc>
      </w:tr>
      <w:tr>
        <w:trPr>
          <w:trHeight w:val="255"/>
        </w:trPr>
        <w:tc>
          <w:tcPr>
            <w:tcW w:w="2460" w:type="dxa"/>
            <w:vAlign w:val="bottom"/>
            <w:tcBorders>
              <w:left w:val="single" w:sz="8" w:color="CCEEFF"/>
              <w:bottom w:val="single" w:sz="8" w:color="auto"/>
              <w:right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925</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704</w:t>
            </w:r>
          </w:p>
        </w:tc>
        <w:tc>
          <w:tcPr>
            <w:tcW w:w="11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w:t>
            </w:r>
          </w:p>
        </w:tc>
        <w:tc>
          <w:tcPr>
            <w:tcW w:w="1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-3016885</wp:posOffset>
            </wp:positionV>
            <wp:extent cx="819150" cy="452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9150" cy="452120"/>
                    </a:xfrm>
                    <a:prstGeom prst="rect">
                      <a:avLst/>
                    </a:prstGeom>
                    <a:noFill/>
                  </pic:spPr>
                </pic:pic>
              </a:graphicData>
            </a:graphic>
          </wp:anchor>
        </w:drawing>
      </w:r>
    </w:p>
    <w:p>
      <w:pPr>
        <w:ind w:left="920" w:hanging="56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Pension contributions above represent contributions paid by the Company to a defined contribution pension scheme.</w:t>
      </w:r>
    </w:p>
    <w:p>
      <w:pPr>
        <w:spacing w:after="0" w:line="8" w:lineRule="exact"/>
        <w:rPr>
          <w:sz w:val="20"/>
          <w:szCs w:val="20"/>
          <w:color w:val="auto"/>
        </w:rPr>
      </w:pPr>
    </w:p>
    <w:p>
      <w:pPr>
        <w:ind w:left="920" w:right="220" w:hanging="563"/>
        <w:spacing w:after="0" w:line="249"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Further information is set out in the </w:t>
      </w:r>
      <w:r>
        <w:rPr>
          <w:rFonts w:ascii="Arial" w:cs="Arial" w:eastAsia="Arial" w:hAnsi="Arial"/>
          <w:sz w:val="18"/>
          <w:szCs w:val="18"/>
          <w:i w:val="1"/>
          <w:iCs w:val="1"/>
          <w:color w:val="auto"/>
        </w:rPr>
        <w:t>Directors’ and Key Executive Officers service agreements and letters of engagement</w:t>
      </w:r>
      <w:r>
        <w:rPr>
          <w:rFonts w:ascii="Arial" w:cs="Arial" w:eastAsia="Arial" w:hAnsi="Arial"/>
          <w:sz w:val="18"/>
          <w:szCs w:val="18"/>
          <w:color w:val="auto"/>
        </w:rPr>
        <w:t xml:space="preserve"> section on pages 19 to 21 of this report.</w:t>
      </w:r>
    </w:p>
    <w:p>
      <w:pPr>
        <w:ind w:left="920" w:right="400" w:hanging="563"/>
        <w:spacing w:after="0" w:line="288"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current year amortisation of the grant-date fair value of share options. The grant date fair value is calculated using a binomial lattice model and is amortised to the Consolidate Income statement over the period of vesting of the related option.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 xml:space="preserve">Compensation and Organisation Committee Report </w:t>
      </w:r>
      <w:r>
        <w:rPr>
          <w:rFonts w:ascii="Arial" w:cs="Arial" w:eastAsia="Arial" w:hAnsi="Arial"/>
          <w:sz w:val="22"/>
          <w:szCs w:val="22"/>
          <w:i w:val="1"/>
          <w:iCs w:val="1"/>
          <w:color w:val="auto"/>
        </w:rPr>
        <w:t>(continued)</w:t>
      </w:r>
    </w:p>
    <w:p>
      <w:pPr>
        <w:spacing w:after="0" w:line="200" w:lineRule="exact"/>
        <w:rPr>
          <w:sz w:val="20"/>
          <w:szCs w:val="20"/>
          <w:color w:val="auto"/>
        </w:rPr>
      </w:pPr>
    </w:p>
    <w:p>
      <w:pPr>
        <w:spacing w:after="0" w:line="2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Directors, Company secretary and Key executive officers have the following interests, all of which are beneficial, other than as stated, in the shares and share options of the Company or other Group companies at the following dates: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rPr>
              <w:t>Interest at</w:t>
            </w:r>
          </w:p>
        </w:tc>
        <w:tc>
          <w:tcPr>
            <w:tcW w:w="700" w:type="dxa"/>
            <w:vAlign w:val="bottom"/>
          </w:tcPr>
          <w:p>
            <w:pPr>
              <w:spacing w:after="0"/>
              <w:rPr>
                <w:sz w:val="18"/>
                <w:szCs w:val="18"/>
                <w:color w:val="auto"/>
              </w:rPr>
            </w:pPr>
          </w:p>
        </w:tc>
        <w:tc>
          <w:tcPr>
            <w:tcW w:w="230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Interest at</w:t>
            </w:r>
          </w:p>
        </w:tc>
        <w:tc>
          <w:tcPr>
            <w:tcW w:w="2180" w:type="dxa"/>
            <w:vAlign w:val="bottom"/>
            <w:gridSpan w:val="2"/>
          </w:tcPr>
          <w:p>
            <w:pPr>
              <w:jc w:val="right"/>
              <w:ind w:right="690"/>
              <w:spacing w:after="0"/>
              <w:rPr>
                <w:sz w:val="20"/>
                <w:szCs w:val="20"/>
                <w:color w:val="auto"/>
              </w:rPr>
            </w:pPr>
            <w:r>
              <w:rPr>
                <w:rFonts w:ascii="Arial" w:cs="Arial" w:eastAsia="Arial" w:hAnsi="Arial"/>
                <w:sz w:val="18"/>
                <w:szCs w:val="18"/>
                <w:color w:val="auto"/>
              </w:rPr>
              <w:t>Interest at</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30 April 2012</w:t>
            </w:r>
          </w:p>
        </w:tc>
        <w:tc>
          <w:tcPr>
            <w:tcW w:w="700" w:type="dxa"/>
            <w:vAlign w:val="bottom"/>
          </w:tcPr>
          <w:p>
            <w:pPr>
              <w:spacing w:after="0"/>
              <w:rPr>
                <w:sz w:val="18"/>
                <w:szCs w:val="18"/>
                <w:color w:val="auto"/>
              </w:rPr>
            </w:pPr>
          </w:p>
        </w:tc>
        <w:tc>
          <w:tcPr>
            <w:tcW w:w="23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31 December 2011</w:t>
            </w:r>
          </w:p>
        </w:tc>
        <w:tc>
          <w:tcPr>
            <w:tcW w:w="2180" w:type="dxa"/>
            <w:vAlign w:val="bottom"/>
            <w:gridSpan w:val="2"/>
          </w:tcPr>
          <w:p>
            <w:pPr>
              <w:jc w:val="right"/>
              <w:ind w:right="370"/>
              <w:spacing w:after="0"/>
              <w:rPr>
                <w:sz w:val="20"/>
                <w:szCs w:val="20"/>
                <w:color w:val="auto"/>
              </w:rPr>
            </w:pPr>
            <w:r>
              <w:rPr>
                <w:rFonts w:ascii="Arial" w:cs="Arial" w:eastAsia="Arial" w:hAnsi="Arial"/>
                <w:sz w:val="18"/>
                <w:szCs w:val="18"/>
                <w:color w:val="auto"/>
              </w:rPr>
              <w:t>31 December 2010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Name of company and</w:t>
            </w: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Number of</w:t>
            </w:r>
          </w:p>
        </w:tc>
        <w:tc>
          <w:tcPr>
            <w:tcW w:w="70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Number of</w:t>
            </w:r>
          </w:p>
        </w:tc>
        <w:tc>
          <w:tcPr>
            <w:tcW w:w="11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Number of</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description of shares</w:t>
            </w: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Options</w:t>
            </w: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Options</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500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500</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Peter Gray</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300,080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288,000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300,080</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376,288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Ciaran Murray</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345,000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Brendan Brennan*</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34,100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1,607,568</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1,607,568</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1,607,568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400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400</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Thomas Lynch</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1,204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1,204</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Prof. Dermot Kelleher</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Declan McKeon</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Cathrin Petty</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5"/>
        </w:trPr>
        <w:tc>
          <w:tcPr>
            <w:tcW w:w="2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Diarmaid Cunningham**</w:t>
            </w: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ICON plc</w:t>
            </w:r>
          </w:p>
        </w:tc>
        <w:tc>
          <w:tcPr>
            <w:tcW w:w="176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22,000</w:t>
            </w:r>
          </w:p>
        </w:tc>
        <w:tc>
          <w:tcPr>
            <w:tcW w:w="12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7,000</w:t>
            </w:r>
          </w:p>
        </w:tc>
        <w:tc>
          <w:tcPr>
            <w:tcW w:w="1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Ordinary Shares €0.06</w:t>
            </w:r>
          </w:p>
        </w:tc>
        <w:tc>
          <w:tcPr>
            <w:tcW w:w="17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*Appointed CFO in 15 February 2012 and deemed to be a key executive officer from that date.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**Appointed Company secretary on 1 October 2011.</w:t>
      </w:r>
    </w:p>
    <w:p>
      <w:pPr>
        <w:spacing w:after="0" w:line="23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21 February 2012, Mr Brendan Brennan and Mr Diarmaid Cunningham were awarded 20,000 and 10,000 restricted stock units respectively. These awards will vest after three years from the date of grant. On 3 March 2011, Mr. Peter Gray was awarded 100,000 restricted stock units with a vesting period of three years. Due to his retirement as CEO in September 2011 they are now not expected to vest as originally anticipated. On 10 February 2011, Mr. Ciaran Murray was awarded 50,000 restricted stock units which will vest after 5 years, on 1 October 2011 he was awarded 100,000 restricted stock units which will vest after 3 years and on 27 April 2012 he was awarded 50,000 restricted stock units which will vest after 1 year.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 xml:space="preserve">Compensation and Organisation Committee Report </w:t>
      </w:r>
      <w:r>
        <w:rPr>
          <w:rFonts w:ascii="Arial" w:cs="Arial" w:eastAsia="Arial" w:hAnsi="Arial"/>
          <w:sz w:val="22"/>
          <w:szCs w:val="22"/>
          <w:i w:val="1"/>
          <w:iCs w:val="1"/>
          <w:color w:val="auto"/>
        </w:rPr>
        <w:t>(continued)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regarding the above share options at 30 April 2012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Exercise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8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w:t>
            </w: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Grant date</w:t>
            </w:r>
          </w:p>
        </w:tc>
        <w:tc>
          <w:tcPr>
            <w:tcW w:w="3060" w:type="dxa"/>
            <w:vAlign w:val="bottom"/>
            <w:gridSpan w:val="3"/>
          </w:tcPr>
          <w:p>
            <w:pPr>
              <w:ind w:left="560"/>
              <w:spacing w:after="0"/>
              <w:rPr>
                <w:sz w:val="20"/>
                <w:szCs w:val="20"/>
                <w:color w:val="auto"/>
              </w:rPr>
            </w:pPr>
            <w:r>
              <w:rPr>
                <w:rFonts w:ascii="Arial" w:cs="Arial" w:eastAsia="Arial" w:hAnsi="Arial"/>
                <w:sz w:val="18"/>
                <w:szCs w:val="18"/>
                <w:b w:val="1"/>
                <w:bCs w:val="1"/>
                <w:color w:val="auto"/>
              </w:rPr>
              <w:t>Expiry date</w:t>
            </w:r>
          </w:p>
        </w:tc>
      </w:tr>
      <w:tr>
        <w:trPr>
          <w:trHeight w:val="201"/>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Bruce Given</w:t>
            </w:r>
          </w:p>
        </w:tc>
        <w:tc>
          <w:tcPr>
            <w:tcW w:w="22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$8.60</w:t>
            </w:r>
          </w:p>
        </w:tc>
        <w:tc>
          <w:tcPr>
            <w:tcW w:w="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24</w:t>
            </w:r>
          </w:p>
        </w:tc>
        <w:tc>
          <w:tcPr>
            <w:tcW w:w="1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February 2005</w:t>
            </w:r>
          </w:p>
        </w:tc>
        <w:tc>
          <w:tcPr>
            <w:tcW w:w="7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w w:val="89"/>
              </w:rPr>
              <w:t>24</w:t>
            </w:r>
          </w:p>
        </w:tc>
        <w:tc>
          <w:tcPr>
            <w:tcW w:w="2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2013</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2006</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2014</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16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16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25</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50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215"/>
        </w:trPr>
        <w:tc>
          <w:tcPr>
            <w:tcW w:w="2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r>
      <w:tr>
        <w:trPr>
          <w:trHeight w:val="201"/>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Peter Gray</w:t>
            </w:r>
          </w:p>
        </w:tc>
        <w:tc>
          <w:tcPr>
            <w:tcW w:w="22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12,000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2006</w:t>
            </w:r>
          </w:p>
        </w:tc>
        <w:tc>
          <w:tcPr>
            <w:tcW w:w="6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2014</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16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16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$15.84</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30</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30</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2017</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$24.25</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8</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8</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36"/>
        </w:trPr>
        <w:tc>
          <w:tcPr>
            <w:tcW w:w="250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5"/>
        </w:trPr>
        <w:tc>
          <w:tcPr>
            <w:tcW w:w="2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r>
      <w:tr>
        <w:trPr>
          <w:trHeight w:val="201"/>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Ciaran Murray</w:t>
            </w:r>
          </w:p>
        </w:tc>
        <w:tc>
          <w:tcPr>
            <w:tcW w:w="22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20,000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$10.42</w:t>
            </w:r>
          </w:p>
        </w:tc>
        <w:tc>
          <w:tcPr>
            <w:tcW w:w="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17</w:t>
            </w:r>
          </w:p>
        </w:tc>
        <w:tc>
          <w:tcPr>
            <w:tcW w:w="1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January 2006</w:t>
            </w:r>
          </w:p>
        </w:tc>
        <w:tc>
          <w:tcPr>
            <w:tcW w:w="7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w w:val="89"/>
              </w:rPr>
              <w:t>17</w:t>
            </w:r>
          </w:p>
        </w:tc>
        <w:tc>
          <w:tcPr>
            <w:tcW w:w="2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January 2014</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2006</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2014</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16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16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25</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$16.80</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31</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2011</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31</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2019</w:t>
            </w:r>
          </w:p>
        </w:tc>
      </w:tr>
      <w:tr>
        <w:trPr>
          <w:trHeight w:val="236"/>
        </w:trPr>
        <w:tc>
          <w:tcPr>
            <w:tcW w:w="250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215"/>
        </w:trPr>
        <w:tc>
          <w:tcPr>
            <w:tcW w:w="2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r>
      <w:tr>
        <w:trPr>
          <w:trHeight w:val="201"/>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Brendan Brennan</w:t>
            </w:r>
          </w:p>
        </w:tc>
        <w:tc>
          <w:tcPr>
            <w:tcW w:w="22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$21.25</w:t>
            </w:r>
          </w:p>
        </w:tc>
        <w:tc>
          <w:tcPr>
            <w:tcW w:w="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16</w:t>
            </w:r>
          </w:p>
        </w:tc>
        <w:tc>
          <w:tcPr>
            <w:tcW w:w="1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February 2007</w:t>
            </w:r>
          </w:p>
        </w:tc>
        <w:tc>
          <w:tcPr>
            <w:tcW w:w="7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w w:val="89"/>
              </w:rPr>
              <w:t>16</w:t>
            </w:r>
          </w:p>
        </w:tc>
        <w:tc>
          <w:tcPr>
            <w:tcW w:w="2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2015</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25</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50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$20.59</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22</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February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22</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2020</w:t>
            </w:r>
          </w:p>
        </w:tc>
      </w:tr>
      <w:tr>
        <w:trPr>
          <w:trHeight w:val="215"/>
        </w:trPr>
        <w:tc>
          <w:tcPr>
            <w:tcW w:w="2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r>
      <w:tr>
        <w:trPr>
          <w:trHeight w:val="201"/>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John Climax</w:t>
            </w:r>
          </w:p>
        </w:tc>
        <w:tc>
          <w:tcPr>
            <w:tcW w:w="22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12,000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2006</w:t>
            </w:r>
          </w:p>
        </w:tc>
        <w:tc>
          <w:tcPr>
            <w:tcW w:w="6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2014</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16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16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$15.84</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30</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30</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2017</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5"/>
        </w:trPr>
        <w:tc>
          <w:tcPr>
            <w:tcW w:w="25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50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820"/>
        </w:trPr>
        <w:tc>
          <w:tcPr>
            <w:tcW w:w="2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7"/>
        </w:trPr>
        <w:tc>
          <w:tcPr>
            <w:tcW w:w="25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 xml:space="preserve">Compensation and Organisation Committee Report </w:t>
      </w:r>
      <w:r>
        <w:rPr>
          <w:rFonts w:ascii="Arial" w:cs="Arial" w:eastAsia="Arial" w:hAnsi="Arial"/>
          <w:sz w:val="22"/>
          <w:szCs w:val="22"/>
          <w:i w:val="1"/>
          <w:iCs w:val="1"/>
          <w:color w:val="auto"/>
        </w:rPr>
        <w:t>(continued)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Exercise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price</w:t>
            </w:r>
          </w:p>
        </w:tc>
        <w:tc>
          <w:tcPr>
            <w:tcW w:w="2180" w:type="dxa"/>
            <w:vAlign w:val="bottom"/>
            <w:gridSpan w:val="3"/>
          </w:tcPr>
          <w:p>
            <w:pPr>
              <w:ind w:left="340"/>
              <w:spacing w:after="0"/>
              <w:rPr>
                <w:sz w:val="20"/>
                <w:szCs w:val="20"/>
                <w:color w:val="auto"/>
              </w:rPr>
            </w:pPr>
            <w:r>
              <w:rPr>
                <w:rFonts w:ascii="Arial" w:cs="Arial" w:eastAsia="Arial" w:hAnsi="Arial"/>
                <w:sz w:val="18"/>
                <w:szCs w:val="18"/>
                <w:b w:val="1"/>
                <w:bCs w:val="1"/>
                <w:color w:val="auto"/>
              </w:rPr>
              <w:t>Grant date</w:t>
            </w:r>
          </w:p>
        </w:tc>
        <w:tc>
          <w:tcPr>
            <w:tcW w:w="3060" w:type="dxa"/>
            <w:vAlign w:val="bottom"/>
            <w:gridSpan w:val="3"/>
          </w:tcPr>
          <w:p>
            <w:pPr>
              <w:ind w:left="560"/>
              <w:spacing w:after="0"/>
              <w:rPr>
                <w:sz w:val="20"/>
                <w:szCs w:val="20"/>
                <w:color w:val="auto"/>
              </w:rPr>
            </w:pPr>
            <w:r>
              <w:rPr>
                <w:rFonts w:ascii="Arial" w:cs="Arial" w:eastAsia="Arial" w:hAnsi="Arial"/>
                <w:sz w:val="18"/>
                <w:szCs w:val="18"/>
                <w:b w:val="1"/>
                <w:bCs w:val="1"/>
                <w:color w:val="auto"/>
              </w:rPr>
              <w:t>Expiry date</w:t>
            </w:r>
          </w:p>
        </w:tc>
      </w:tr>
      <w:tr>
        <w:trPr>
          <w:trHeight w:val="201"/>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Ronan Lambe</w:t>
            </w:r>
          </w:p>
        </w:tc>
        <w:tc>
          <w:tcPr>
            <w:tcW w:w="20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$8.60</w:t>
            </w:r>
          </w:p>
        </w:tc>
        <w:tc>
          <w:tcPr>
            <w:tcW w:w="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24</w:t>
            </w:r>
          </w:p>
        </w:tc>
        <w:tc>
          <w:tcPr>
            <w:tcW w:w="1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February 2005</w:t>
            </w:r>
          </w:p>
        </w:tc>
        <w:tc>
          <w:tcPr>
            <w:tcW w:w="7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w w:val="89"/>
              </w:rPr>
              <w:t>24</w:t>
            </w:r>
          </w:p>
        </w:tc>
        <w:tc>
          <w:tcPr>
            <w:tcW w:w="2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2013</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2006</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2014</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16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16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25</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215"/>
        </w:trPr>
        <w:tc>
          <w:tcPr>
            <w:tcW w:w="2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r>
      <w:tr>
        <w:trPr>
          <w:trHeight w:val="201"/>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Lynch</w:t>
            </w:r>
          </w:p>
        </w:tc>
        <w:tc>
          <w:tcPr>
            <w:tcW w:w="20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2,400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$8.88</w:t>
            </w:r>
          </w:p>
        </w:tc>
        <w:tc>
          <w:tcPr>
            <w:tcW w:w="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2004</w:t>
            </w:r>
          </w:p>
        </w:tc>
        <w:tc>
          <w:tcPr>
            <w:tcW w:w="6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February 2012</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$8.60</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24</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2005</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24</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2013</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$11.00</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2006</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2014</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$21.25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16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2007</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16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2015</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$35.33</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2008</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2016</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25</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215"/>
        </w:trPr>
        <w:tc>
          <w:tcPr>
            <w:tcW w:w="2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r>
      <w:tr>
        <w:trPr>
          <w:trHeight w:val="201"/>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 Dermot Kelleher</w:t>
            </w:r>
          </w:p>
        </w:tc>
        <w:tc>
          <w:tcPr>
            <w:tcW w:w="20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6,000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$36.04</w:t>
            </w:r>
          </w:p>
        </w:tc>
        <w:tc>
          <w:tcPr>
            <w:tcW w:w="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27</w:t>
            </w:r>
          </w:p>
        </w:tc>
        <w:tc>
          <w:tcPr>
            <w:tcW w:w="1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May 2008</w:t>
            </w:r>
          </w:p>
        </w:tc>
        <w:tc>
          <w:tcPr>
            <w:tcW w:w="7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w w:val="89"/>
              </w:rPr>
              <w:t>27</w:t>
            </w:r>
          </w:p>
        </w:tc>
        <w:tc>
          <w:tcPr>
            <w:tcW w:w="2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May 2016</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$22.26</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25</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2009</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25</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2017</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2018</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215"/>
        </w:trPr>
        <w:tc>
          <w:tcPr>
            <w:tcW w:w="2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r>
      <w:tr>
        <w:trPr>
          <w:trHeight w:val="201"/>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Declan McKeon</w:t>
            </w:r>
          </w:p>
        </w:tc>
        <w:tc>
          <w:tcPr>
            <w:tcW w:w="20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$29.45</w:t>
            </w:r>
          </w:p>
        </w:tc>
        <w:tc>
          <w:tcPr>
            <w:tcW w:w="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29</w:t>
            </w:r>
          </w:p>
        </w:tc>
        <w:tc>
          <w:tcPr>
            <w:tcW w:w="1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April 2010</w:t>
            </w:r>
          </w:p>
        </w:tc>
        <w:tc>
          <w:tcPr>
            <w:tcW w:w="7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w w:val="89"/>
              </w:rPr>
              <w:t>29</w:t>
            </w:r>
          </w:p>
        </w:tc>
        <w:tc>
          <w:tcPr>
            <w:tcW w:w="2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April 2018</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215"/>
        </w:trPr>
        <w:tc>
          <w:tcPr>
            <w:tcW w:w="2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r>
      <w:tr>
        <w:trPr>
          <w:trHeight w:val="201"/>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Cathrin Petty</w:t>
            </w:r>
          </w:p>
        </w:tc>
        <w:tc>
          <w:tcPr>
            <w:tcW w:w="20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$19.45</w:t>
            </w:r>
          </w:p>
        </w:tc>
        <w:tc>
          <w:tcPr>
            <w:tcW w:w="5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26</w:t>
            </w:r>
          </w:p>
        </w:tc>
        <w:tc>
          <w:tcPr>
            <w:tcW w:w="16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October 2010</w:t>
            </w:r>
          </w:p>
        </w:tc>
        <w:tc>
          <w:tcPr>
            <w:tcW w:w="760" w:type="dxa"/>
            <w:vAlign w:val="bottom"/>
            <w:gridSpan w:val="2"/>
            <w:shd w:val="clear" w:color="auto" w:fill="CCEEFF"/>
          </w:tcPr>
          <w:p>
            <w:pPr>
              <w:ind w:left="560"/>
              <w:spacing w:after="0" w:line="201" w:lineRule="exact"/>
              <w:rPr>
                <w:sz w:val="20"/>
                <w:szCs w:val="20"/>
                <w:color w:val="auto"/>
              </w:rPr>
            </w:pPr>
            <w:r>
              <w:rPr>
                <w:rFonts w:ascii="Arial" w:cs="Arial" w:eastAsia="Arial" w:hAnsi="Arial"/>
                <w:sz w:val="18"/>
                <w:szCs w:val="18"/>
                <w:color w:val="auto"/>
                <w:w w:val="89"/>
              </w:rPr>
              <w:t>26</w:t>
            </w:r>
          </w:p>
        </w:tc>
        <w:tc>
          <w:tcPr>
            <w:tcW w:w="23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October 2018</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$22.30</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27</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27</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r>
      <w:tr>
        <w:trPr>
          <w:trHeight w:val="215"/>
        </w:trPr>
        <w:tc>
          <w:tcPr>
            <w:tcW w:w="2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r>
      <w:tr>
        <w:trPr>
          <w:trHeight w:val="201"/>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Diarmaid Cunningham</w:t>
            </w:r>
          </w:p>
        </w:tc>
        <w:tc>
          <w:tcPr>
            <w:tcW w:w="208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$24.46</w:t>
            </w:r>
          </w:p>
        </w:tc>
        <w:tc>
          <w:tcPr>
            <w:tcW w:w="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4</w:t>
            </w:r>
          </w:p>
        </w:tc>
        <w:tc>
          <w:tcPr>
            <w:tcW w:w="1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March 2010</w:t>
            </w:r>
          </w:p>
        </w:tc>
        <w:tc>
          <w:tcPr>
            <w:tcW w:w="6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9"/>
              </w:rPr>
              <w:t>4</w:t>
            </w:r>
          </w:p>
        </w:tc>
        <w:tc>
          <w:tcPr>
            <w:tcW w:w="23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March 2018</w:t>
            </w:r>
          </w:p>
        </w:tc>
      </w:tr>
      <w:tr>
        <w:trPr>
          <w:trHeight w:val="215"/>
        </w:trPr>
        <w:tc>
          <w:tcPr>
            <w:tcW w:w="27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3</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6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3</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2019</w:t>
            </w:r>
          </w:p>
        </w:tc>
      </w:tr>
      <w:tr>
        <w:trPr>
          <w:trHeight w:val="236"/>
        </w:trPr>
        <w:tc>
          <w:tcPr>
            <w:tcW w:w="27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15,000</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$20.59</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89"/>
              </w:rPr>
              <w:t>22</w:t>
            </w:r>
          </w:p>
        </w:tc>
        <w:tc>
          <w:tcPr>
            <w:tcW w:w="1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February 2012</w:t>
            </w:r>
          </w:p>
        </w:tc>
        <w:tc>
          <w:tcPr>
            <w:tcW w:w="76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9"/>
              </w:rPr>
              <w:t>22</w:t>
            </w:r>
          </w:p>
        </w:tc>
        <w:tc>
          <w:tcPr>
            <w:tcW w:w="2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2020</w:t>
            </w:r>
          </w:p>
        </w:tc>
      </w:tr>
      <w:tr>
        <w:trPr>
          <w:trHeight w:val="605"/>
        </w:trPr>
        <w:tc>
          <w:tcPr>
            <w:tcW w:w="2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7"/>
        </w:trPr>
        <w:tc>
          <w:tcPr>
            <w:tcW w:w="270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auto"/>
        </w:rPr>
        <w:t xml:space="preserve">Compensation and Organisation Committee Report </w:t>
      </w:r>
      <w:r>
        <w:rPr>
          <w:rFonts w:ascii="Arial" w:cs="Arial" w:eastAsia="Arial" w:hAnsi="Arial"/>
          <w:sz w:val="22"/>
          <w:szCs w:val="22"/>
          <w:i w:val="1"/>
          <w:iCs w:val="1"/>
          <w:color w:val="auto"/>
        </w:rPr>
        <w:t>(continued)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and Key Executive Officers share and share option transactions</w:t>
      </w:r>
    </w:p>
    <w:p>
      <w:pPr>
        <w:spacing w:after="0" w:line="25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Details of transactions entered into by Directors and Key Executive Officers in shares and shares options of the Company during the year ended 31 December 2011 were are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Share options exercised</w:t>
            </w:r>
          </w:p>
        </w:tc>
        <w:tc>
          <w:tcPr>
            <w:tcW w:w="2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Average</w:t>
            </w:r>
          </w:p>
        </w:tc>
        <w:tc>
          <w:tcPr>
            <w:tcW w:w="16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Number of</w:t>
            </w: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rPr>
              <w:t>exercise</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price on date of</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640" w:type="dxa"/>
            <w:vAlign w:val="bottom"/>
          </w:tcPr>
          <w:p>
            <w:pPr>
              <w:spacing w:after="0"/>
              <w:rPr>
                <w:sz w:val="20"/>
                <w:szCs w:val="20"/>
                <w:color w:val="auto"/>
              </w:rPr>
            </w:pP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share options</w:t>
            </w: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rPr>
              <w:t>price</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6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20,000</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$8.88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64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6,000</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$8.88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1"/>
        </w:trPr>
        <w:tc>
          <w:tcPr>
            <w:tcW w:w="3140" w:type="dxa"/>
            <w:vAlign w:val="bottom"/>
          </w:tcPr>
          <w:p>
            <w:pPr>
              <w:spacing w:after="0"/>
              <w:rPr>
                <w:sz w:val="20"/>
                <w:szCs w:val="20"/>
                <w:color w:val="auto"/>
              </w:rPr>
            </w:pPr>
            <w:r>
              <w:rPr>
                <w:rFonts w:ascii="Arial" w:cs="Arial" w:eastAsia="Arial" w:hAnsi="Arial"/>
                <w:sz w:val="18"/>
                <w:szCs w:val="18"/>
                <w:b w:val="1"/>
                <w:bCs w:val="1"/>
                <w:color w:val="auto"/>
              </w:rPr>
              <w:t>Shares purchased/(sold)</w:t>
            </w:r>
          </w:p>
        </w:tc>
        <w:tc>
          <w:tcPr>
            <w:tcW w:w="2640" w:type="dxa"/>
            <w:vAlign w:val="bottom"/>
          </w:tcPr>
          <w:p>
            <w:pPr>
              <w:spacing w:after="0"/>
              <w:rPr>
                <w:sz w:val="24"/>
                <w:szCs w:val="24"/>
                <w:color w:val="auto"/>
              </w:rPr>
            </w:pPr>
          </w:p>
        </w:tc>
        <w:tc>
          <w:tcPr>
            <w:tcW w:w="21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Average</w:t>
            </w: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w:t>
            </w:r>
          </w:p>
        </w:tc>
        <w:tc>
          <w:tcPr>
            <w:tcW w:w="18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Average market</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jc w:val="right"/>
              <w:ind w:right="430"/>
              <w:spacing w:after="0"/>
              <w:rPr>
                <w:sz w:val="20"/>
                <w:szCs w:val="20"/>
                <w:color w:val="auto"/>
              </w:rPr>
            </w:pPr>
            <w:r>
              <w:rPr>
                <w:rFonts w:ascii="Arial" w:cs="Arial" w:eastAsia="Arial" w:hAnsi="Arial"/>
                <w:sz w:val="18"/>
                <w:szCs w:val="18"/>
                <w:b w:val="1"/>
                <w:bCs w:val="1"/>
                <w:color w:val="auto"/>
              </w:rPr>
              <w:t>Number of</w:t>
            </w: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price/exercise</w:t>
            </w: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price of shares</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64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price</w:t>
            </w:r>
          </w:p>
        </w:tc>
        <w:tc>
          <w:tcPr>
            <w:tcW w:w="184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(76,208)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(20,000)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(6,000)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market price of the Company’s ordinary shares during the year ended 31 December 2011 moved in the range of $15.03 to $26.22 (year ended 31 December 2010: in the range of $18.93 to $30.31). The closing share price at 31 December 2011 was $17.11 (at 31 December 2010 $21.90).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Compensation and Organisation Committee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Mr. Tom Lynch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Organisation Committee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30 April 2012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Corporate Governance Report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statement</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primary listing for its shares is the NASDAQ market. The Company also maintains a secondary listing on the Irish Stock Exchange. The Company is currently evaluating the benefits of its secondary listing on the Irish Stock Exchange due to the Company's international operations and profile. The Company is committed to the highest standards of corporate governance and compliance consistent with best practice and during the year ended 31 December 2011 has applied, where practicable taking into account the Company’s particular circumstances, with the UK Corporate Governance Code published by the Financial Reporting Council in June 2010 (the “UK Code”) pursuant to the Company’s secondary listing on the Irish Stock Exchange which applies to the Company. The provisions of the Irish Corporate Governance Annex do not apply to the Company as the Annex is addressed only to companies with a primary listing on the Irish Stock Exchange and the Company has a secondary listing on the Irish Stock Exchange.</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Acts 1963 to 2009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Board comprises two executives and seven non-Executive Directors at the date of this report. The non-Executive Directors bring independent judgment to bear on issues of strategy, performance, resources, key appointments and standards. The Company considers that its non-Executive Directors have a range of complementary skills, experience and knowledge and that each non-Executive Director has specific skills, experience and knowledge that is valuable to the Company. Board members between them have very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There is a formal schedule of matters reserved to the Board for consideration and decision including approval of strategic plans, financial statements, acquisitions, material capital expenditures and review of the effectiveness of the Company’s system of internal controls, thereby maintaining control of the Company and its future direction. The Directors have access to the advice and services of the Company Secretary and may seek external independent professional advice where required. The Board considers its current size of nine Directors, comprising two executive Directors and seven non-executive Directors, to be currently adequate and appropriate but continues to look for suitable qualified potential candidates to join the Board as a non-executive Director. The board anticipates and is working towards appointing at least one new independent non-executive Director during 2012. The Board is seeking to appoint independent non-executive Directors who represent a mix of backgrounds and experiences that will enhance the quality of the Board’s deliberations and decisions.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detailed below, certain other matters are delegated to Board Committees and all Board Committees report to the Board. The Company maintains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Group to achieve its objectives. The Board normally meets at least four times each year. During the year ended 31 December 2011 the Board met on four occasions and also had regular board updates by telephone. All Directors allocated sufficient time to the Company during the year ended 31 December 2011 to effectively discharge their responsibilities to the Company.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Corporate Governance Report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retirement and re-election</w:t>
      </w:r>
    </w:p>
    <w:p>
      <w:pPr>
        <w:spacing w:after="0" w:line="2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Articles of Association provide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2012, it is anticipated that two Directors will retire by rotation and offer themselves for re-election. In addition, Mr Ciaran Murray, having been appointed a Director by the Company in October 2011, will also offer himself for re-election.</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has carefully considered the UK Code provision encouraging annual re-election of the entire Board for FTSE 350 companies as the Company would be regarded as a FTSE 350 Company by the Irish Corporate Governance Annex published by the Irish Stock Exchange. The Board recognises the critical importance of having an effective Board of Directors and, as set out on page 35, places the highest importance on active engagement with shareholders. However, the Company is currently intending not to apply annual re-election of the entire Board for the July 2012 annual general meeting as it is not required to do so under the NASDAQ rules (where the Company has its primary listing) and also because the Company does not believe that annual re-election of the entire Board in 2012 is in the best interest of shareholders for the following reasons:</w:t>
      </w:r>
    </w:p>
    <w:p>
      <w:pPr>
        <w:jc w:val="both"/>
        <w:ind w:left="1020" w:hanging="636"/>
        <w:spacing w:after="0" w:line="24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Directors have built up significant knowledge relating to the nature of the Group’s business, it’s long term and strategic relationships with customers and the development of the Company’s strategy against the background of significant change in the pharmaceutical and biotechnology industries, which together mean that it is important for the Company not to be exposed to losing more than one third of Directors in 2012,</w:t>
      </w:r>
    </w:p>
    <w:p>
      <w:pPr>
        <w:spacing w:after="0" w:line="1" w:lineRule="exact"/>
        <w:rPr>
          <w:rFonts w:ascii="Arial" w:cs="Arial" w:eastAsia="Arial" w:hAnsi="Arial"/>
          <w:sz w:val="18"/>
          <w:szCs w:val="18"/>
          <w:color w:val="auto"/>
        </w:rPr>
      </w:pPr>
    </w:p>
    <w:p>
      <w:pPr>
        <w:ind w:left="1020" w:hanging="636"/>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Board has already undergone significant change and refreshment in the previous two years with two Directors (Mr Anthony Murphy and Mr</w:t>
      </w:r>
    </w:p>
    <w:p>
      <w:pPr>
        <w:spacing w:after="0" w:line="31" w:lineRule="exact"/>
        <w:rPr>
          <w:sz w:val="20"/>
          <w:szCs w:val="20"/>
          <w:color w:val="auto"/>
        </w:rPr>
      </w:pPr>
    </w:p>
    <w:p>
      <w:pPr>
        <w:jc w:val="both"/>
        <w:ind w:right="1160" w:firstLine="1022"/>
        <w:spacing w:after="0" w:line="321" w:lineRule="auto"/>
        <w:rPr>
          <w:sz w:val="20"/>
          <w:szCs w:val="20"/>
          <w:color w:val="auto"/>
        </w:rPr>
      </w:pPr>
      <w:r>
        <w:rPr>
          <w:rFonts w:ascii="Arial" w:cs="Arial" w:eastAsia="Arial" w:hAnsi="Arial"/>
          <w:sz w:val="16"/>
          <w:szCs w:val="16"/>
          <w:color w:val="auto"/>
        </w:rPr>
        <w:t>Ted Roberts) retiring and the appointment of three new Directors (Mr Ciaran Murray, Ms Cathrin Petty and Mr Declan McKeon) The Board will keep annual re-election of the entire Board under careful review including monitoring the views of shareholders on the subject.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Independence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Board considers the non-Executive Directors, excluding Dr. Ronan Lambe and Dr. John Climax, to be independent. The Board therefore considers each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Cathrin Petty, Declan Mc Keon, Dermot Kelleher and Thomas Lynch to be independent. The Board consider this to be the case notwithstanding:</w:t>
      </w:r>
    </w:p>
    <w:p>
      <w:pPr>
        <w:spacing w:after="0" w:line="20" w:lineRule="exact"/>
        <w:rPr>
          <w:sz w:val="20"/>
          <w:szCs w:val="20"/>
          <w:color w:val="auto"/>
        </w:rPr>
      </w:pPr>
    </w:p>
    <w:p>
      <w:pPr>
        <w:ind w:left="980" w:hanging="65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granting of share options to them which is considered appropriate given;</w:t>
      </w:r>
    </w:p>
    <w:p>
      <w:pPr>
        <w:spacing w:after="0" w:line="8" w:lineRule="exact"/>
        <w:rPr>
          <w:rFonts w:ascii="Arial" w:cs="Arial" w:eastAsia="Arial" w:hAnsi="Arial"/>
          <w:sz w:val="18"/>
          <w:szCs w:val="18"/>
          <w:color w:val="auto"/>
        </w:rPr>
      </w:pPr>
    </w:p>
    <w:p>
      <w:pPr>
        <w:ind w:left="1320" w:hanging="345"/>
        <w:spacing w:after="0"/>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work that they undertake on behalf of the Company;</w:t>
      </w:r>
    </w:p>
    <w:p>
      <w:pPr>
        <w:spacing w:after="0" w:line="8" w:lineRule="exact"/>
        <w:rPr>
          <w:rFonts w:ascii="Arial" w:cs="Arial" w:eastAsia="Arial" w:hAnsi="Arial"/>
          <w:sz w:val="18"/>
          <w:szCs w:val="18"/>
          <w:color w:val="auto"/>
        </w:rPr>
      </w:pPr>
    </w:p>
    <w:p>
      <w:pPr>
        <w:ind w:left="1320" w:hanging="345"/>
        <w:spacing w:after="0"/>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their value to the Company;</w:t>
      </w:r>
    </w:p>
    <w:p>
      <w:pPr>
        <w:spacing w:after="0" w:line="8" w:lineRule="exact"/>
        <w:rPr>
          <w:rFonts w:ascii="Arial" w:cs="Arial" w:eastAsia="Arial" w:hAnsi="Arial"/>
          <w:sz w:val="18"/>
          <w:szCs w:val="18"/>
          <w:color w:val="auto"/>
        </w:rPr>
      </w:pPr>
    </w:p>
    <w:p>
      <w:pPr>
        <w:ind w:left="1320" w:hanging="345"/>
        <w:spacing w:after="0"/>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fact that each Director receives a relatively small number of options each year;</w:t>
      </w:r>
    </w:p>
    <w:p>
      <w:pPr>
        <w:spacing w:after="0" w:line="8" w:lineRule="exact"/>
        <w:rPr>
          <w:rFonts w:ascii="Arial" w:cs="Arial" w:eastAsia="Arial" w:hAnsi="Arial"/>
          <w:sz w:val="18"/>
          <w:szCs w:val="18"/>
          <w:color w:val="auto"/>
        </w:rPr>
      </w:pPr>
    </w:p>
    <w:p>
      <w:pPr>
        <w:ind w:left="1320" w:hanging="345"/>
        <w:spacing w:after="0"/>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fact that it is usual for a non-executive Director of a NASDAQ company to be granted options and;</w:t>
      </w:r>
    </w:p>
    <w:p>
      <w:pPr>
        <w:spacing w:after="0" w:line="8" w:lineRule="exact"/>
        <w:rPr>
          <w:rFonts w:ascii="Arial" w:cs="Arial" w:eastAsia="Arial" w:hAnsi="Arial"/>
          <w:sz w:val="18"/>
          <w:szCs w:val="18"/>
          <w:color w:val="auto"/>
        </w:rPr>
      </w:pPr>
    </w:p>
    <w:p>
      <w:pPr>
        <w:ind w:left="1320" w:hanging="345"/>
        <w:spacing w:after="0" w:line="249" w:lineRule="auto"/>
        <w:tabs>
          <w:tab w:leader="none" w:pos="1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fact that the Company’s primary listing is on the NASDAQ (as NASDAQ rules do not prevent non-Executive Directors from receiving share options).</w:t>
      </w:r>
    </w:p>
    <w:p>
      <w:pPr>
        <w:spacing w:after="0" w:line="1" w:lineRule="exact"/>
        <w:rPr>
          <w:sz w:val="20"/>
          <w:szCs w:val="20"/>
          <w:color w:val="auto"/>
        </w:rPr>
      </w:pPr>
    </w:p>
    <w:p>
      <w:pPr>
        <w:ind w:left="980"/>
        <w:spacing w:after="0" w:line="249" w:lineRule="auto"/>
        <w:rPr>
          <w:sz w:val="20"/>
          <w:szCs w:val="20"/>
          <w:color w:val="auto"/>
        </w:rPr>
      </w:pPr>
      <w:r>
        <w:rPr>
          <w:rFonts w:ascii="Arial" w:cs="Arial" w:eastAsia="Arial" w:hAnsi="Arial"/>
          <w:sz w:val="18"/>
          <w:szCs w:val="18"/>
          <w:color w:val="auto"/>
        </w:rPr>
        <w:t>The Company acknowledges that the UK Code recommends that non-Executive Directors should not receive share options but the Company feels that, based on the reasons above, it is appropriate for share options to be granted to Non-executive Directors; and</w:t>
      </w:r>
    </w:p>
    <w:p>
      <w:pPr>
        <w:spacing w:after="0" w:line="1" w:lineRule="exact"/>
        <w:rPr>
          <w:sz w:val="20"/>
          <w:szCs w:val="20"/>
          <w:color w:val="auto"/>
        </w:rPr>
      </w:pPr>
    </w:p>
    <w:p>
      <w:pPr>
        <w:ind w:left="980" w:right="20" w:hanging="650"/>
        <w:spacing w:after="0" w:line="24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Thomas Lynch, that he has served as a non-Executive Director for more than 9 years. (The reasons for this are set out in the Compliance Statement on page 35).</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non-Executive Directors bring independent judgement to bear on issues of strategy, performance, resources, key appointments and standards and the Board are satisfied that all of the independent non-Executive Directors are independent in character and judgement and there are no relationships or circumstances which are likely to affect, or could appear to affect, any independent non-executive’s judgement. The Board also considers its Chairman, Dr Bruce Given, to be independent and also to have been independent on the date he was appointed as Chairman of the Board.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 xml:space="preserve">Corporate Governance Report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1 January 2010, Dr. Bruce Given was appointed Chairman of the Board of the Company. The Chairman is responsible for the efficient and effective working of the Board. He ensures that Board agendas cover the key issues confronting the Group and that briefing papers are circulated to Board members in advance of meetings allowing them full and timely access to the information necessary to enable them to discharge their duties. The Chairman is available to shareholders who may have concerns that cannot be addressed through the Chief Executive Officer. The Chairman makes himself available to the non-Executive Directors without the executive Directors present. The Chairman evaluates and monitors the performance of the other Directors. In addition, in April 2012 the Board approved a formal Board evaluation process which will be completed by each Director prior to the July 2012 Board meeting and the results of the evaluation process will be discussed by the Board. The Board feels that this formal review of Board performance shows the Board’s commitment to good corporate governance and is sufficiently rigorous to properly evaluate Board performance. The Board is aware that the UK Code recommends for FTSE350 companies that the evaluation of the Board should be externally facilitated at least every three years but is satisfied that the new formal review of Board performance is sufficient for now and is currently a better way of evaluating performance than involving a third party to evaluate Board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Secretary</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1 October 2011, Mr Ciaran Murray resigned as Secretary of the Company and on the same day Mr Diarmaid Cunningham was appointed Secretary of the Company. The appointment and removal of the Company Secretary is a matter for the Board. All Directors have direct access to the advice and services of the Company Secretary, who is responsible to the Board for ensuring that applicable rules and regulations are complied with and that Board procedures are observed.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Independent Director</w:t>
      </w:r>
    </w:p>
    <w:p>
      <w:pPr>
        <w:spacing w:after="0" w:line="25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Mr. Thomas Lynch was appointed as Senior Independent Director in February 2010. Mr. Lynch is available to shareholders should they have any concerns where contact through the normal channels of Chairman or Chief Executive Officer has failed to resolve a matter or for which such contact is inappropriate.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 and Contribution of Directors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skills, knowledge and experience of each of the Directors is set out in the Board of Directors and Senior Management section. The Company believes their combined broad and diverse skills knowledge and experience are appropriate and adequate for the Company, however the Board continues to look for potential new Board members. The Chairman has informally evaluated the contribution of each Director to the Board during the year ended 31 December 2011 and was satisfied with each Director’s contribution and time commitment to the Board.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Induction and development</w:t>
      </w: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An induction programme is arranged for all new Directors. This covers the major trading activities of the Company, the roles and responsibilities of Directors, information on the Group’s Strategy and individual meetings with members of the Company’s senior management team. All Directors are informed of relevant corporate and compliance developments as they arise and the Directors regularly update and refresh their skills and knowledge as appropriate.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 xml:space="preserve">Corporate Governance Report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Board has delegated some of its responsibilities to Board Committees. There are five permanent Committees. These are the Audit Committee, the Compensation and Organisation Committee, the Nominating and Governance Committee, the Execution Committee and the Quality Committee. Each Committee has been charged with specific responsibilities and has written terms of reference that are reviewed periodically. Minutes of Committee meetings are circulated to all members of the Board. The Company Secretary is available to act as secretary to each of the Board Committees if required. Appropriate key executives are regularly invited to attend meetings of the Board committees. Each Committee Chairman informally evaluated the contribution of each Committee member to the Committee during the year ended 31 December 2011 and was satisfied with each Directors’ contribution.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membership of each board committee at the date of this report, together with details of date of appointment to the committee, are as follows: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 membership and dates of appointment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200"/>
              <w:spacing w:after="0" w:line="182" w:lineRule="exact"/>
              <w:rPr>
                <w:sz w:val="20"/>
                <w:szCs w:val="20"/>
                <w:color w:val="auto"/>
              </w:rPr>
            </w:pPr>
            <w:r>
              <w:rPr>
                <w:rFonts w:ascii="Arial" w:cs="Arial" w:eastAsia="Arial" w:hAnsi="Arial"/>
                <w:sz w:val="18"/>
                <w:szCs w:val="18"/>
                <w:b w:val="1"/>
                <w:bCs w:val="1"/>
                <w:color w:val="auto"/>
                <w:w w:val="91"/>
              </w:rPr>
              <w:t>Audit</w:t>
            </w:r>
          </w:p>
        </w:tc>
        <w:tc>
          <w:tcPr>
            <w:tcW w:w="2220" w:type="dxa"/>
            <w:vAlign w:val="bottom"/>
            <w:tcBorders>
              <w:top w:val="single" w:sz="8" w:color="auto"/>
            </w:tcBorders>
            <w:gridSpan w:val="4"/>
          </w:tcPr>
          <w:p>
            <w:pPr>
              <w:jc w:val="right"/>
              <w:ind w:right="600"/>
              <w:spacing w:after="0" w:line="182" w:lineRule="exact"/>
              <w:rPr>
                <w:sz w:val="20"/>
                <w:szCs w:val="20"/>
                <w:color w:val="auto"/>
              </w:rPr>
            </w:pPr>
            <w:r>
              <w:rPr>
                <w:rFonts w:ascii="Arial" w:cs="Arial" w:eastAsia="Arial" w:hAnsi="Arial"/>
                <w:sz w:val="18"/>
                <w:szCs w:val="18"/>
                <w:b w:val="1"/>
                <w:bCs w:val="1"/>
                <w:color w:val="auto"/>
                <w:w w:val="98"/>
              </w:rPr>
              <w:t>Compensation and</w:t>
            </w:r>
          </w:p>
        </w:tc>
        <w:tc>
          <w:tcPr>
            <w:tcW w:w="170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b w:val="1"/>
                <w:bCs w:val="1"/>
                <w:color w:val="auto"/>
                <w:w w:val="89"/>
              </w:rPr>
              <w:t>Nominating and</w:t>
            </w:r>
          </w:p>
        </w:tc>
        <w:tc>
          <w:tcPr>
            <w:tcW w:w="17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b w:val="1"/>
                <w:bCs w:val="1"/>
                <w:color w:val="auto"/>
              </w:rPr>
              <w:t>Execution</w:t>
            </w:r>
          </w:p>
        </w:tc>
        <w:tc>
          <w:tcPr>
            <w:tcW w:w="1420" w:type="dxa"/>
            <w:vAlign w:val="bottom"/>
            <w:tcBorders>
              <w:top w:val="single" w:sz="8" w:color="auto"/>
            </w:tcBorders>
            <w:gridSpan w:val="3"/>
          </w:tcPr>
          <w:p>
            <w:pPr>
              <w:jc w:val="right"/>
              <w:ind w:right="20"/>
              <w:spacing w:after="0" w:line="182" w:lineRule="exact"/>
              <w:rPr>
                <w:sz w:val="20"/>
                <w:szCs w:val="20"/>
                <w:color w:val="auto"/>
              </w:rPr>
            </w:pPr>
            <w:r>
              <w:rPr>
                <w:rFonts w:ascii="Arial" w:cs="Arial" w:eastAsia="Arial" w:hAnsi="Arial"/>
                <w:sz w:val="18"/>
                <w:szCs w:val="18"/>
                <w:b w:val="1"/>
                <w:bCs w:val="1"/>
                <w:color w:val="auto"/>
              </w:rPr>
              <w:t>Quality</w:t>
            </w:r>
          </w:p>
        </w:tc>
      </w:tr>
      <w:tr>
        <w:trPr>
          <w:trHeight w:val="20"/>
        </w:trPr>
        <w:tc>
          <w:tcPr>
            <w:tcW w:w="2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2"/>
          </w:tcPr>
          <w:p>
            <w:pPr>
              <w:jc w:val="right"/>
              <w:ind w:right="600"/>
              <w:spacing w:after="0" w:line="195" w:lineRule="exact"/>
              <w:rPr>
                <w:sz w:val="20"/>
                <w:szCs w:val="20"/>
                <w:color w:val="auto"/>
              </w:rPr>
            </w:pPr>
            <w:r>
              <w:rPr>
                <w:rFonts w:ascii="Arial" w:cs="Arial" w:eastAsia="Arial" w:hAnsi="Arial"/>
                <w:sz w:val="18"/>
                <w:szCs w:val="18"/>
                <w:b w:val="1"/>
                <w:bCs w:val="1"/>
                <w:color w:val="auto"/>
                <w:w w:val="88"/>
              </w:rPr>
              <w:t>Organisation</w:t>
            </w:r>
          </w:p>
        </w:tc>
        <w:tc>
          <w:tcPr>
            <w:tcW w:w="1700" w:type="dxa"/>
            <w:vAlign w:val="bottom"/>
            <w:gridSpan w:val="3"/>
          </w:tcPr>
          <w:p>
            <w:pPr>
              <w:jc w:val="right"/>
              <w:ind w:right="460"/>
              <w:spacing w:after="0" w:line="195" w:lineRule="exact"/>
              <w:rPr>
                <w:sz w:val="20"/>
                <w:szCs w:val="20"/>
                <w:color w:val="auto"/>
              </w:rPr>
            </w:pPr>
            <w:r>
              <w:rPr>
                <w:rFonts w:ascii="Arial" w:cs="Arial" w:eastAsia="Arial" w:hAnsi="Arial"/>
                <w:sz w:val="18"/>
                <w:szCs w:val="18"/>
                <w:b w:val="1"/>
                <w:bCs w:val="1"/>
                <w:color w:val="auto"/>
              </w:rPr>
              <w:t>Governance</w:t>
            </w: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23 Sept 2004</w:t>
            </w:r>
          </w:p>
        </w:tc>
        <w:tc>
          <w:tcPr>
            <w:tcW w:w="1700" w:type="dxa"/>
            <w:vAlign w:val="bottom"/>
            <w:tcBorders>
              <w:bottom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 Sept 2004</w:t>
            </w:r>
          </w:p>
        </w:tc>
        <w:tc>
          <w:tcPr>
            <w:tcW w:w="1780" w:type="dxa"/>
            <w:vAlign w:val="bottom"/>
            <w:tcBorders>
              <w:bottom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 Feb 2010</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Peter Gray</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 Feb 2010</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Brendan Brennan</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13 Feb 2012</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Feb 2010</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John Climax</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 April 2012</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Mr Thomas Lynch</w:t>
            </w:r>
          </w:p>
        </w:tc>
        <w:tc>
          <w:tcPr>
            <w:tcW w:w="19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 July 1998</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17 July 1998</w:t>
            </w:r>
          </w:p>
        </w:tc>
        <w:tc>
          <w:tcPr>
            <w:tcW w:w="1700" w:type="dxa"/>
            <w:vAlign w:val="bottom"/>
            <w:tcBorders>
              <w:bottom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 July 2004</w:t>
            </w:r>
          </w:p>
        </w:tc>
        <w:tc>
          <w:tcPr>
            <w:tcW w:w="1780" w:type="dxa"/>
            <w:vAlign w:val="bottom"/>
            <w:tcBorders>
              <w:bottom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 Dermot Kelleher</w:t>
            </w:r>
          </w:p>
        </w:tc>
        <w:tc>
          <w:tcPr>
            <w:tcW w:w="19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28 April 2008</w:t>
            </w: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 Feb 2010</w:t>
            </w:r>
          </w:p>
        </w:tc>
        <w:tc>
          <w:tcPr>
            <w:tcW w:w="20" w:type="dxa"/>
            <w:vAlign w:val="bottom"/>
          </w:tcPr>
          <w:p>
            <w:pPr>
              <w:spacing w:after="0"/>
              <w:rPr>
                <w:sz w:val="19"/>
                <w:szCs w:val="19"/>
                <w:color w:val="auto"/>
              </w:rPr>
            </w:pPr>
          </w:p>
        </w:tc>
      </w:tr>
      <w:tr>
        <w:trPr>
          <w:trHeight w:val="222"/>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Mr Declan McKeon</w:t>
            </w:r>
          </w:p>
        </w:tc>
        <w:tc>
          <w:tcPr>
            <w:tcW w:w="19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 April 2010</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6"/>
              </w:rPr>
              <w:t>13 Feb 2012</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5"/>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Ms Cathrin Petty</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8"/>
              </w:rPr>
              <w:t>13 Feb 2012</w:t>
            </w: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Audit Committee meets a minimum of four times a year. It reviews, and during 2011 it reviewed, the quarterly and annual financial statements, the effectiveness of the system of internal control (including the arrangement for group staff to raise concerns in confidence about possible financial inappropriateness) and recommends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may also approve additional services not covered by the annual pre-approval, on a case by case basis as the need for such services arises. The Audit Committee regularly reviews all services provided by the external auditors to ensure their independence and objectivity, taking into consideration relevant professional and regulatory requirements and ensuring these are not impaired by the provisions of permissible non-audit services. The Chief Executive Officer, Chief Financial Officer, the Head of Internal Audit, the Company Secretary and the external auditors normally attend all meetings of the Audit Committee and have direct access to the Committee Chairman at all times.</w:t>
      </w:r>
    </w:p>
    <w:p>
      <w:pPr>
        <w:spacing w:after="0" w:line="21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is aware of the importance of risk management and has noted the developments in relation to risk management introduced by the UK Code. Management worked in 2011 with external risk consultants to evaluate the Group’s risk strategies and policies which have been developed by the Group based on its activities and potential exposures. The results of this work was presented by management to the Audit Committee in 2011 and also reported to the Board. This work in relation to risk management is being continued by management during 2012 and will be reported to the Board in 2012. The establishment of the quality committee of the Board in February 2010 was part of the Group’s ongoing efforts to manage and monitor risk. A key objective of the quality committee is to ensure that the Group does its work and provides its services in accordance with regulatory standards and contractual obligations.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 xml:space="preserve">Corporate Governance Report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Audit Committee previously comprised Thomas Lynch (Chairman), Declan McKeon, Professor Dermot Kelleher, and Cathrin Petty. On 18 July 2011, Declan McKeon replaced Thomas Lynch as Chairman of the Audit Committee. At the Company’s Board meeting on February 13, 2012 composition of the Audit committee was amended to comprise Declan McKeon (Chairman), Thomas Lynch and Dermot Kelleher.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Organisation Committee</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and Organisation Committee is responsible for senior executive remuneration. The committee aims to ensure that remuneration packages are competitive so that individuals are appropriately rewarded relative to their responsibility, experience and value to the Group. Annual bonuses for the executive Director’s are determined by the committee based on the achievement of the Company’s objectives. The Committee also oversees succession planning for the Groups’ senior management. The Compensation and Organisation Committee currently comprises two non-executive independent Directors and the Company’s Chairman. The Company notes that the UK code recommends that for FTSE 350 Companies the Committee should comprise at least three independent non-executive Directors and may also comprise the Chairman. The Company will continue to monitor the composition of its Board committees during the year ending 31 December 2012 but feels that the current composition of the Committee is appropriate.</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2011, the Compensation and Organisation Committee comprised Dr. Anthony Murphy (Chairman), Dr. Bruce Given and Thomas Lynch. On 31 December 2011, Dr. Anthony Murphy retired as Chairman and a member of the Compensation and Organisation Committee pursuant to his retirement as a non-executive Director of the Company in December 2011. At the Company’s Board meeting on 13 February 2012 composition of the Compensaton and Organisation committee was amended to comprise Thomas Lynch (Chairman), Bruce Given and Declan McKeon. The Board feels that the Committee members wide range of industry and business experience (Further information is set out in the Board of Directors and Senior Management section of this report) means that the Committee has the appropriate knowledge, skills and experience.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Nominating and Governance committee is responsible for the ongoing review of the membership of the Board committees and also for reviewing and recommending the corporate governance principles of the Company. As part of its ongoing review of the membership of the Board and board committees it regularly evaluates the balance of skills, knowledge and experience of the Board and, based on this evaluation, identifies and, if appropriate, recommends individuals to join the Board. The Committee has since 2010, and is continuing, to use an external search consultant to assist it in identifying potential new non-Executive Directors. The external research consultant has been instructed to assist the company in achieving its objective of appointing at least one new non-executive Director during 2012.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requires and would benefit from the potential candidate’s skills, knowledge and experience and if it decides the potential candidate is suitable and would add relevant skills, knowledge and experience to the Board, the committee recommends to the Board that the potential candidate be appointed to the Board. The Board then decides whether or not to appoint the candidate. The Committee will pay appropriate regard to diversity when looking to appoint at least one new non-executive Director during 2012.</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2011, the Nomination and Governance committee comprised Dr. Anthony Murphy (Chairman), Dr. Bruce Given and Thomas Lynch. On 31 December 2011, Dr. Anthony Murphy retired as both Chairman and as a member of the Nomination and Governance committee pursuant to his retirement as a non-executive Director of the Company. At the Company’s Board meeting on 13 February 2012, composition of the Nomination and Governance committee was amended to comprise Bruce Given (Chairman), Thomas Lynch and Cathrin Petty.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auto"/>
        </w:rPr>
        <w:t xml:space="preserve">Corporate Governance Report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Execution Committee</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Execution Committee is to exercise the power and authority of the Board at intervals between meetings of the Board. All powers exercised by the Execution Committee are ratified at subsequent Board meetings. This Committee convenes as often as it determines to be necessary or appropriate. During 2011, the Execution Committee comprised Peter Gray (Chairman), Dr. Bruce Given and Ciaran Murray. At the Company’s Board meeting on 13 February 2012 composition of the Execution committee was amended to comprise Ciaran Murray (Chairman), Bruce Given and Brendan Brennan.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Committee</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23 February 2010 the Company established a Quality Committee due to the importance of operational quality to the Group’s business. The primary function of this committee is to oversee the Company’s quality strategy, commitment and performance. During 2011the committee comprised Professor Dermot Kelleher (Chairman) and Dr. Ronan Lambe. On 20 April 2012 the composition of the Quality Committee was amended to comprise Professor Dermot Kelleher (Chairman), Dr Ronan Lambe and Dr John Climax.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Board continues to closely examine how best to refresh and further develop the Board Committees.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Attendance at Board and committee meetings by the Directors who held office during 2011 are set out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Attendance Table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88"/>
              </w:rPr>
              <w:t>Board</w:t>
            </w: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380"/>
              <w:spacing w:after="0" w:line="182" w:lineRule="exact"/>
              <w:rPr>
                <w:sz w:val="20"/>
                <w:szCs w:val="20"/>
                <w:color w:val="auto"/>
              </w:rPr>
            </w:pPr>
            <w:r>
              <w:rPr>
                <w:rFonts w:ascii="Arial" w:cs="Arial" w:eastAsia="Arial" w:hAnsi="Arial"/>
                <w:sz w:val="18"/>
                <w:szCs w:val="18"/>
                <w:b w:val="1"/>
                <w:bCs w:val="1"/>
                <w:color w:val="auto"/>
                <w:w w:val="91"/>
              </w:rPr>
              <w:t>Audit</w:t>
            </w:r>
          </w:p>
        </w:tc>
        <w:tc>
          <w:tcPr>
            <w:tcW w:w="1380" w:type="dxa"/>
            <w:vAlign w:val="bottom"/>
            <w:tcBorders>
              <w:top w:val="single" w:sz="8" w:color="auto"/>
            </w:tcBorders>
            <w:gridSpan w:val="4"/>
          </w:tcPr>
          <w:p>
            <w:pPr>
              <w:jc w:val="right"/>
              <w:ind w:right="280"/>
              <w:spacing w:after="0" w:line="182" w:lineRule="exact"/>
              <w:rPr>
                <w:sz w:val="20"/>
                <w:szCs w:val="20"/>
                <w:color w:val="auto"/>
              </w:rPr>
            </w:pPr>
            <w:r>
              <w:rPr>
                <w:rFonts w:ascii="Arial" w:cs="Arial" w:eastAsia="Arial" w:hAnsi="Arial"/>
                <w:sz w:val="18"/>
                <w:szCs w:val="18"/>
                <w:b w:val="1"/>
                <w:bCs w:val="1"/>
                <w:color w:val="auto"/>
                <w:w w:val="86"/>
              </w:rPr>
              <w:t>Compensation</w:t>
            </w: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ind w:right="240"/>
              <w:spacing w:after="0" w:line="182" w:lineRule="exact"/>
              <w:rPr>
                <w:sz w:val="20"/>
                <w:szCs w:val="20"/>
                <w:color w:val="auto"/>
              </w:rPr>
            </w:pPr>
            <w:r>
              <w:rPr>
                <w:rFonts w:ascii="Arial" w:cs="Arial" w:eastAsia="Arial" w:hAnsi="Arial"/>
                <w:sz w:val="18"/>
                <w:szCs w:val="18"/>
                <w:b w:val="1"/>
                <w:bCs w:val="1"/>
                <w:color w:val="auto"/>
                <w:w w:val="88"/>
              </w:rPr>
              <w:t>Nominating</w:t>
            </w:r>
          </w:p>
        </w:tc>
        <w:tc>
          <w:tcPr>
            <w:tcW w:w="1340" w:type="dxa"/>
            <w:vAlign w:val="bottom"/>
            <w:tcBorders>
              <w:top w:val="single" w:sz="8" w:color="auto"/>
            </w:tcBorders>
            <w:gridSpan w:val="3"/>
          </w:tcPr>
          <w:p>
            <w:pPr>
              <w:ind w:left="240"/>
              <w:spacing w:after="0" w:line="182" w:lineRule="exact"/>
              <w:rPr>
                <w:sz w:val="20"/>
                <w:szCs w:val="20"/>
                <w:color w:val="auto"/>
              </w:rPr>
            </w:pPr>
            <w:r>
              <w:rPr>
                <w:rFonts w:ascii="Arial" w:cs="Arial" w:eastAsia="Arial" w:hAnsi="Arial"/>
                <w:sz w:val="18"/>
                <w:szCs w:val="18"/>
                <w:b w:val="1"/>
                <w:bCs w:val="1"/>
                <w:color w:val="auto"/>
              </w:rPr>
              <w:t>Execution</w:t>
            </w:r>
          </w:p>
        </w:tc>
        <w:tc>
          <w:tcPr>
            <w:tcW w:w="940" w:type="dxa"/>
            <w:vAlign w:val="bottom"/>
            <w:tcBorders>
              <w:top w:val="single" w:sz="8" w:color="auto"/>
            </w:tcBorders>
            <w:gridSpan w:val="3"/>
          </w:tcPr>
          <w:p>
            <w:pPr>
              <w:ind w:left="340"/>
              <w:spacing w:after="0" w:line="182" w:lineRule="exact"/>
              <w:rPr>
                <w:sz w:val="20"/>
                <w:szCs w:val="20"/>
                <w:color w:val="auto"/>
              </w:rPr>
            </w:pPr>
            <w:r>
              <w:rPr>
                <w:rFonts w:ascii="Arial" w:cs="Arial" w:eastAsia="Arial" w:hAnsi="Arial"/>
                <w:sz w:val="18"/>
                <w:szCs w:val="18"/>
                <w:b w:val="1"/>
                <w:bCs w:val="1"/>
                <w:color w:val="auto"/>
                <w:w w:val="94"/>
              </w:rPr>
              <w:t>Quality</w:t>
            </w:r>
          </w:p>
        </w:tc>
      </w:tr>
      <w:tr>
        <w:trPr>
          <w:trHeight w:val="20"/>
        </w:trPr>
        <w:tc>
          <w:tcPr>
            <w:tcW w:w="2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gridSpan w:val="2"/>
          </w:tcPr>
          <w:p>
            <w:pPr>
              <w:jc w:val="right"/>
              <w:ind w:right="280"/>
              <w:spacing w:after="0" w:line="195" w:lineRule="exact"/>
              <w:rPr>
                <w:sz w:val="20"/>
                <w:szCs w:val="20"/>
                <w:color w:val="auto"/>
              </w:rPr>
            </w:pPr>
            <w:r>
              <w:rPr>
                <w:rFonts w:ascii="Arial" w:cs="Arial" w:eastAsia="Arial" w:hAnsi="Arial"/>
                <w:sz w:val="18"/>
                <w:szCs w:val="18"/>
                <w:b w:val="1"/>
                <w:bCs w:val="1"/>
                <w:color w:val="auto"/>
                <w:w w:val="81"/>
              </w:rPr>
              <w:t>and</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right"/>
              <w:ind w:right="240"/>
              <w:spacing w:after="0" w:line="195" w:lineRule="exact"/>
              <w:rPr>
                <w:sz w:val="20"/>
                <w:szCs w:val="20"/>
                <w:color w:val="auto"/>
              </w:rPr>
            </w:pPr>
            <w:r>
              <w:rPr>
                <w:rFonts w:ascii="Arial" w:cs="Arial" w:eastAsia="Arial" w:hAnsi="Arial"/>
                <w:sz w:val="18"/>
                <w:szCs w:val="18"/>
                <w:b w:val="1"/>
                <w:bCs w:val="1"/>
                <w:color w:val="auto"/>
              </w:rPr>
              <w:t>and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280"/>
              <w:spacing w:after="0" w:line="195" w:lineRule="exact"/>
              <w:rPr>
                <w:sz w:val="20"/>
                <w:szCs w:val="20"/>
                <w:color w:val="auto"/>
              </w:rPr>
            </w:pPr>
            <w:r>
              <w:rPr>
                <w:rFonts w:ascii="Arial" w:cs="Arial" w:eastAsia="Arial" w:hAnsi="Arial"/>
                <w:sz w:val="18"/>
                <w:szCs w:val="18"/>
                <w:b w:val="1"/>
                <w:bCs w:val="1"/>
                <w:color w:val="auto"/>
                <w:w w:val="88"/>
              </w:rPr>
              <w:t>Organisation</w:t>
            </w:r>
          </w:p>
        </w:tc>
        <w:tc>
          <w:tcPr>
            <w:tcW w:w="1440" w:type="dxa"/>
            <w:vAlign w:val="bottom"/>
            <w:gridSpan w:val="5"/>
          </w:tcPr>
          <w:p>
            <w:pPr>
              <w:jc w:val="right"/>
              <w:ind w:right="240"/>
              <w:spacing w:after="0" w:line="195" w:lineRule="exact"/>
              <w:rPr>
                <w:sz w:val="20"/>
                <w:szCs w:val="20"/>
                <w:color w:val="auto"/>
              </w:rPr>
            </w:pPr>
            <w:r>
              <w:rPr>
                <w:rFonts w:ascii="Arial" w:cs="Arial" w:eastAsia="Arial" w:hAnsi="Arial"/>
                <w:sz w:val="18"/>
                <w:szCs w:val="18"/>
                <w:b w:val="1"/>
                <w:bCs w:val="1"/>
                <w:color w:val="auto"/>
              </w:rPr>
              <w:t>Governance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29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w:t>
            </w:r>
          </w:p>
        </w:tc>
        <w:tc>
          <w:tcPr>
            <w:tcW w:w="1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gridSpan w:val="15"/>
          </w:tcPr>
          <w:p>
            <w:pPr>
              <w:ind w:left="40"/>
              <w:spacing w:after="0"/>
              <w:rPr>
                <w:sz w:val="20"/>
                <w:szCs w:val="20"/>
                <w:color w:val="auto"/>
              </w:rPr>
            </w:pPr>
            <w:r>
              <w:rPr>
                <w:rFonts w:ascii="Arial" w:cs="Arial" w:eastAsia="Arial" w:hAnsi="Arial"/>
                <w:sz w:val="18"/>
                <w:szCs w:val="18"/>
                <w:b w:val="1"/>
                <w:bCs w:val="1"/>
                <w:color w:val="auto"/>
                <w:w w:val="96"/>
              </w:rPr>
              <w:t>Number of meetings attended / number of meetings eligible to attend</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1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44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3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Gray</w:t>
            </w: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Mr Ciaran Murray</w:t>
            </w:r>
          </w:p>
        </w:tc>
        <w:tc>
          <w:tcPr>
            <w:tcW w:w="1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58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Ronan Lambe</w:t>
            </w: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1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Lynch</w:t>
            </w: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4/4</w:t>
            </w:r>
          </w:p>
        </w:tc>
        <w:tc>
          <w:tcPr>
            <w:tcW w:w="13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3/4*</w:t>
            </w:r>
          </w:p>
        </w:tc>
        <w:tc>
          <w:tcPr>
            <w:tcW w:w="14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4/4</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 Dermot Kelleher</w:t>
            </w:r>
          </w:p>
        </w:tc>
        <w:tc>
          <w:tcPr>
            <w:tcW w:w="1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Anthony Murphy</w:t>
            </w: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4/4</w:t>
            </w:r>
          </w:p>
        </w:tc>
        <w:tc>
          <w:tcPr>
            <w:tcW w:w="14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4/4</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Mr Declan McKeon</w:t>
            </w:r>
          </w:p>
        </w:tc>
        <w:tc>
          <w:tcPr>
            <w:tcW w:w="18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5"/>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Ms Cathrin Petty</w:t>
            </w: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4/4</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Denotes the current committee chairman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 xml:space="preserve">Corporate Governance Report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is ultimately responsible for the Group’s system of internal control and for reviewing its effectiveness. However, such a system is designed to manage rather than eliminate the risk of failure to achieve business objectives, and can provide only reasonable and not absolute assurance against material misstatement or loss.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processes comprising the system of internal control are as follows:</w:t>
      </w:r>
    </w:p>
    <w:p>
      <w:pPr>
        <w:spacing w:after="0" w:line="250" w:lineRule="exact"/>
        <w:rPr>
          <w:sz w:val="20"/>
          <w:szCs w:val="20"/>
          <w:color w:val="auto"/>
        </w:rPr>
      </w:pPr>
    </w:p>
    <w:p>
      <w:pPr>
        <w:ind w:left="680" w:hanging="35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clear focus on business objectives is established by the Board having considered the risk profile of the Group;</w:t>
      </w:r>
    </w:p>
    <w:p>
      <w:pPr>
        <w:spacing w:after="0" w:line="22" w:lineRule="exact"/>
        <w:rPr>
          <w:rFonts w:ascii="Arial" w:cs="Arial" w:eastAsia="Arial" w:hAnsi="Arial"/>
          <w:sz w:val="18"/>
          <w:szCs w:val="18"/>
          <w:color w:val="auto"/>
        </w:rPr>
      </w:pPr>
    </w:p>
    <w:p>
      <w:pPr>
        <w:jc w:val="both"/>
        <w:ind w:left="680" w:hanging="350"/>
        <w:spacing w:after="0" w:line="249"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organisation structure of the Group under the day-to-day direction of its Chief Executive Officer is clear. Defined lines of responsibility and delegation of authority have been established within which the Group’s activities can be planned, executed, controlled and monitored in order to achieve the strategic objectives which the Board has adopted for the Group;</w:t>
      </w:r>
    </w:p>
    <w:p>
      <w:pPr>
        <w:spacing w:after="0" w:line="1" w:lineRule="exact"/>
        <w:rPr>
          <w:rFonts w:ascii="Arial" w:cs="Arial" w:eastAsia="Arial" w:hAnsi="Arial"/>
          <w:sz w:val="18"/>
          <w:szCs w:val="18"/>
          <w:color w:val="auto"/>
        </w:rPr>
      </w:pPr>
    </w:p>
    <w:p>
      <w:pPr>
        <w:jc w:val="both"/>
        <w:ind w:left="680" w:hanging="350"/>
        <w:spacing w:after="0" w:line="249"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process of hierarchical reporting has been established which provides for a documented and auditable trail of accountability. These procedures are relevant across Group operations and provide for successive assurances to be given at increasingly higher levels of management and, finally, to the Board.</w:t>
      </w:r>
    </w:p>
    <w:p>
      <w:pPr>
        <w:spacing w:after="0" w:line="1" w:lineRule="exact"/>
        <w:rPr>
          <w:rFonts w:ascii="Arial" w:cs="Arial" w:eastAsia="Arial" w:hAnsi="Arial"/>
          <w:sz w:val="18"/>
          <w:szCs w:val="18"/>
          <w:color w:val="auto"/>
        </w:rPr>
      </w:pPr>
    </w:p>
    <w:p>
      <w:pPr>
        <w:jc w:val="both"/>
        <w:ind w:left="680" w:hanging="350"/>
        <w:spacing w:after="0" w:line="249"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has reviewed the process for identifying and evaluating the significant risks affecting the business and the policies and procedures by which these risks are managed. The executive Director’s report to the Board significant changes in the business and external environment which affect the significant risks identified</w:t>
      </w:r>
    </w:p>
    <w:p>
      <w:pPr>
        <w:spacing w:after="0" w:line="1" w:lineRule="exact"/>
        <w:rPr>
          <w:rFonts w:ascii="Arial" w:cs="Arial" w:eastAsia="Arial" w:hAnsi="Arial"/>
          <w:sz w:val="18"/>
          <w:szCs w:val="18"/>
          <w:color w:val="auto"/>
        </w:rPr>
      </w:pPr>
    </w:p>
    <w:p>
      <w:pPr>
        <w:ind w:left="680" w:right="20" w:hanging="350"/>
        <w:spacing w:after="0" w:line="280"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a comprehensive process for reporting financial information to the Board including a budget process which is approved annually by the Board. The Chief Financial Officer provides the Board with quarterly financial information which includes key performance indicators.</w:t>
      </w:r>
    </w:p>
    <w:p>
      <w:pPr>
        <w:jc w:val="both"/>
        <w:ind w:left="680" w:hanging="350"/>
        <w:spacing w:after="0" w:line="25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Group has a formal system of management and financial reporting, treasury management and capital project appraisal. This reporting system includes reporting on trading activities, operational issues, financial performance, working capital, cash flow and asset management. All material commitments are subject to Board approval.</w:t>
      </w:r>
    </w:p>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To support our system of internal control the Company has a separate Internal Audit Function which reports independently to the Audit Committee of the Board. The Board reviews the effectiveness of the system of internal control and where areas for improvement in the system are identified, they will consider the recommendations made by the Audit Committee.</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Management are responsible for the identification and evaluation of significant risks applicable to their areas of business together with the design and operation of suitable internal controls. As part of this identification process, management, have identified a number of risks which could materially adversely affect the business, its financial condition or results of operations. These risks, which are set out in appendix A of this annual report, are assessed on a continual basis.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With regard to the guidance for Directors on internal control, “Internal Control: Guidance for Directors on the Combined Code (the Turnbull guidance)”, the Board confirms, as outlined above, that there is an ongoing process for identifying, evaluating and managing the significant risks faced by the Group. This has been in place for the period under review and up to the date of approval of the annual report and financial statements and is reviewed by the Board in accordance with the guidance.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Company’s Memorandum of Association sets out the objectives and powers of the Company. The Articles of Association detail the rights attaching to the Company’s ordinary shares; the method by which the Company’s shares can be purchased or re-issued; the provisions which apply to the holding of and voting at general meetings; and the rules relating to the Directors, including their appointment, retirement, re-election, duties and powers. The Company’s Articles of Association may be amended by special resolution passed by the shareholders at an annual or extraordinary general meeting of the Company. A special resolution is passed at a meeting if not less than 75% of the members who vote in person or by proxy at the meeting vote in favour of the resolution.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Memorandum and Articles of Association can be obtained from the Company’s website.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 xml:space="preserve">Corporate Governance Report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4"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 xml:space="preserve">The Board of Directors adopted the Company’s code of ethics in 2003 (the “2003 Code”), which applies to the Chief Executive Officer, the Chief Financial Officer and any persons performing similar functions, if any, for the Company. On 22 March 2011 the 2003 Code was replaced by the Group’s new code of ethics which applies to all Group employees (the “2011 Code”). There were no material modifications to, or waivers from, the provisions of the 2011 Code, which are required to be disclosed. Prior to being replaced by the 2011 Code, there were no waivers from the provisions of the 2003 Code, although minor modifications were made to it in January 2011. A copy of the 2011 Ethics Code is available on the Company’s website, </w:t>
      </w:r>
      <w:r>
        <w:rPr>
          <w:rFonts w:ascii="Arial" w:cs="Arial" w:eastAsia="Arial" w:hAnsi="Arial"/>
          <w:sz w:val="16"/>
          <w:szCs w:val="16"/>
          <w:u w:val="single" w:color="auto"/>
          <w:color w:val="auto"/>
        </w:rPr>
        <w:t>www.iconplc.com</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shareholders</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Communications with shareholders are given high priority and there is regular dialogue with individual institutional shareholders other than during closed periods, as well as general presentations at the time of the announcement of the annual and interim results. The Company’s Annual General Meeting affords individual shareholders the opportunity to question the Chairman, the Board and Board Committee Chairmen. In addition, the Company’s Chairman is available to respond throughout the year to shareholders on issues that shareholders wish to raise and he also met with shareholders and attended investor conferences during 2011. The non-Executive Directors are kept regularly informed by management of the views of the stock market analysts and major shareholders in relation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Company’s website, </w:t>
      </w:r>
      <w:r>
        <w:rPr>
          <w:rFonts w:ascii="Arial" w:cs="Arial" w:eastAsia="Arial" w:hAnsi="Arial"/>
          <w:sz w:val="18"/>
          <w:szCs w:val="18"/>
          <w:u w:val="single" w:color="auto"/>
          <w:color w:val="auto"/>
        </w:rPr>
        <w:t>www.iconplc.com</w:t>
      </w:r>
      <w:r>
        <w:rPr>
          <w:rFonts w:ascii="Arial" w:cs="Arial" w:eastAsia="Arial" w:hAnsi="Arial"/>
          <w:sz w:val="18"/>
          <w:szCs w:val="18"/>
          <w:color w:val="auto"/>
        </w:rPr>
        <w:t>, provides the full text of annual and interim reports together with all relevant press releases.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statement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Board confirms that the Company has complied with the relevant principles of the UK Code during the year ended 31 December 2011 except for:</w:t>
      </w:r>
    </w:p>
    <w:p>
      <w:pPr>
        <w:spacing w:after="0" w:line="262" w:lineRule="exact"/>
        <w:rPr>
          <w:sz w:val="20"/>
          <w:szCs w:val="20"/>
          <w:color w:val="auto"/>
        </w:rPr>
      </w:pPr>
    </w:p>
    <w:p>
      <w:pPr>
        <w:ind w:left="360" w:right="20" w:hanging="352"/>
        <w:spacing w:after="0" w:line="25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formal policy for regular evaluation of the Board Committees, individual Directors and the Chairman was not in place during 2011 but has since been put in place during 2012,</w:t>
      </w:r>
    </w:p>
    <w:p>
      <w:pPr>
        <w:spacing w:after="0" w:line="1" w:lineRule="exact"/>
        <w:rPr>
          <w:rFonts w:ascii="Arial" w:cs="Arial" w:eastAsia="Arial" w:hAnsi="Arial"/>
          <w:sz w:val="18"/>
          <w:szCs w:val="18"/>
          <w:color w:val="auto"/>
        </w:rPr>
      </w:pPr>
    </w:p>
    <w:p>
      <w:pPr>
        <w:ind w:left="360" w:hanging="352"/>
        <w:spacing w:after="0" w:line="24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 Executive Directors received share options during 2011 (without shareholder approval) which was deemed appropriate by the Board (as it is allowed by the NASDAQ listing rules where the Company has its primary listing), and</w:t>
      </w:r>
    </w:p>
    <w:p>
      <w:pPr>
        <w:ind w:left="360" w:right="300" w:hanging="352"/>
        <w:spacing w:after="0" w:line="24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did not apply annual re-election of all of the Directors or all Directors that have served on the Board for more than 9 years in 2011. In addition, the Company does not intend to apply annual re-election of all Director’s in 2012 (as outlined on page 29) and instead intends to seek the re-election of three of the Directors in accordance with the Company’s Articles of Association.</w:t>
      </w:r>
    </w:p>
    <w:p>
      <w:pPr>
        <w:spacing w:after="0" w:line="1" w:lineRule="exact"/>
        <w:rPr>
          <w:rFonts w:ascii="Arial" w:cs="Arial" w:eastAsia="Arial" w:hAnsi="Arial"/>
          <w:sz w:val="18"/>
          <w:szCs w:val="18"/>
          <w:color w:val="auto"/>
        </w:rPr>
      </w:pPr>
    </w:p>
    <w:p>
      <w:pPr>
        <w:ind w:left="360" w:right="120" w:hanging="352"/>
        <w:spacing w:after="0" w:line="249"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did not carry out an independent evaluation of the Board; however it should be noted that an independent evaluation is only required once every 3 years.</w:t>
      </w:r>
    </w:p>
    <w:p>
      <w:pPr>
        <w:ind w:left="360" w:right="120" w:hanging="352"/>
        <w:spacing w:after="0" w:line="280"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UK Code requires that the membership of the Compensation &amp; Organisation Committee of the Company (as the Company is regarded as equivalent to a FTSE 350 company) is comprised of at least three independent non-executive Directors. In addition, the Chairman of the Board may also be a member. During 2011, there were three members of the Compensation and Organisation Committee (Dr. Anthony Murphy (Chairman of the Committee and who retired from the Board in December 2011), Dr. Bruce Given (Board Chairman) and Thomas Lynch (independent non-executive Director). Accordingly, there were only two independent non-executive Directors on the Committee which did not meet the UK Code requirement of at least 3 independent non-executive Directors. However, the Board is satisfied that both the membership during 2011, and the current membership of</w:t>
      </w:r>
    </w:p>
    <w:p>
      <w:pPr>
        <w:spacing w:after="0" w:line="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the Committee, is appropriate but will continue to monitor the composition of this Committee.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 xml:space="preserve">Corporate Governance Report </w:t>
      </w:r>
      <w:r>
        <w:rPr>
          <w:rFonts w:ascii="Arial" w:cs="Arial" w:eastAsia="Arial" w:hAnsi="Arial"/>
          <w:sz w:val="17"/>
          <w:szCs w:val="17"/>
          <w:i w:val="1"/>
          <w:iCs w:val="1"/>
          <w:color w:val="auto"/>
        </w:rPr>
        <w:t>(continued)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Compliance statement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Board considers Thomas Lynch to be independent despite having served as a non Executive Director for more than 9 years. In making this decision, the Board took into account that the UK Code provides that a Director having more than 9 years service is relevant in deciding whether a Director is independent. However, despite having more than 9 years service, the Board is satisfied that Thomas Lynch is independent for the purposes of the UK Code as he is independent in character and judgement and there are no relationships or circumstances which are likely to affect, or could appear to affect, his judgement as an independent non-Executive Director and he has other significant commercial and professional commitments. In making this decision the Board took into account the Financial Reporting Council’s 2009 comments that independence is not the primary consideration when assessing the composition of the Board, and that the over-riding consideration is that the Board is fit for purpose. Mr. Lynch’s deep industry and commercial knowledge and experience are very valuable to the Board and help to ensure that the Board is fit for purpose.</w:t>
      </w:r>
    </w:p>
    <w:p>
      <w:pPr>
        <w:spacing w:after="0" w:line="20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The Company feels that all non-compliance with the UK Code is adequately explained in the Annual Report and that such non-compliance does not have a material impact on Shareholder’s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ectPr>
          <w:pgSz w:w="11900" w:h="16838" w:orient="portrait"/>
          <w:cols w:equalWidth="0" w:num="1">
            <w:col w:w="11400"/>
          </w:cols>
          <w:pgMar w:left="240" w:top="508" w:right="25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Dr. Bruce Given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Ciaran Murray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2940" w:space="720"/>
            <w:col w:w="7740"/>
          </w:cols>
          <w:pgMar w:left="240" w:top="508" w:right="25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auto"/>
        </w:rPr>
        <w:t>Statement of Director’s Responsibilities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Responsibilities Statement in respect of the Annual Report and the Financial Statements</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Directors are responsible for preparing the Annual Report and the Consolidated and Company financial statements, in accordance with applicable law and regulations.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Company law requires the Directors to prepare Group and Company financial statements for each financial year. Under that law the Directors are required to prepare the Group financial statements in accordance with International Financial Reporting Standards (“IFRS”) as adopted by the EU and have elected to prepare the Company financial statements in accordance with IFRSs as adopted by the EU and as applied in accordance with the Companies Acts 1963 to 2009.</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and Company financial statements are required by law and IFRSs as adopted by the EU to present fairly the financial position and performance of the Group and Company. The Companies Acts 1963 to 2009 provide in relation to such financial statements that references in the relevant part of that Act to financial statements giving a true and fair view are references to their achieving a fair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preparing each of the Group and Company financial statements, the Directors are required to:</w:t>
      </w:r>
    </w:p>
    <w:p>
      <w:pPr>
        <w:spacing w:after="0" w:line="2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 suitable accounting policies and then apply them consistently;</w:t>
      </w:r>
    </w:p>
    <w:p>
      <w:pPr>
        <w:spacing w:after="0" w:line="8"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judgments and estimates that are reasonable and prudent;</w:t>
      </w:r>
    </w:p>
    <w:p>
      <w:pPr>
        <w:spacing w:after="0" w:line="8" w:lineRule="exact"/>
        <w:rPr>
          <w:rFonts w:ascii="Arial" w:cs="Arial" w:eastAsia="Arial" w:hAnsi="Arial"/>
          <w:sz w:val="18"/>
          <w:szCs w:val="18"/>
          <w:color w:val="auto"/>
        </w:rPr>
      </w:pPr>
    </w:p>
    <w:p>
      <w:pPr>
        <w:ind w:left="360" w:hanging="352"/>
        <w:spacing w:after="0" w:line="249"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that the financial statements comply with the IFRSs as adopted by the EU, and in the case of the Company, as applied in accordance with the Companies Acts 1963 to 2009; and</w:t>
      </w:r>
    </w:p>
    <w:p>
      <w:pPr>
        <w:ind w:left="360" w:hanging="352"/>
        <w:spacing w:after="0"/>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prepare the financial statements on a going concern basis unless it is inappropriate to presume that the Group and Company will continue in business.</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applicable law and the requirements of the Listing Rules issued by the Irish Stock Exchange, the Directors are also responsible for preparing a Directors’ Report and reports relating to Directors’ remuneration and corporate governance that comply with the law and those Rules. In particular, in accordance with the Transparency (Directive 2004/109/EC) Regulations 2007 (the Transparency Regulations), the Directors are required to include in their report a fair review of the business and a description of the principal risks and uncertainties (outlined in Appendix A) facing the Group and the Company and a responsibility statement relating to these and other matters, included below.</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Directors are responsible for keeping proper books of account that disclose with reasonable accuracy at any time the financial position of the Company and the Group and enable them to ensure that the financial statements comply with the Companies Acts 1963 to 2009 and, as regards the Group financial statements, Article 4 of the IAS Regulation. They are also responsible for taking such steps as are reasonably open to them to safeguard the assets of the Group and Company and to prevent and detect fraud and other irregularities.</w:t>
      </w:r>
    </w:p>
    <w:p>
      <w:pPr>
        <w:spacing w:after="0" w:line="21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Under applicable law and the requirements of the Listing Rules issued by the Irish Stock Exchange regulations, the Directors are also responsible for preparing a Directors’ Report and reports relating to Directors’ remuneration and corporate governance that comply with that law and those Rules.</w:t>
      </w:r>
    </w:p>
    <w:p>
      <w:pPr>
        <w:spacing w:after="0" w:line="17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Statement of Directors’ Responsibilities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Statement, in accordance with the Transparency Regulations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Each of the Directors, whose names and functions are listed on page 2 confirm that, to the best of each person’s knowledge and belief:</w:t>
      </w:r>
    </w:p>
    <w:p>
      <w:pPr>
        <w:spacing w:after="0" w:line="250" w:lineRule="exact"/>
        <w:rPr>
          <w:sz w:val="20"/>
          <w:szCs w:val="20"/>
          <w:color w:val="auto"/>
        </w:rPr>
      </w:pPr>
    </w:p>
    <w:p>
      <w:pPr>
        <w:ind w:left="360" w:hanging="352"/>
        <w:spacing w:after="0" w:line="25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Group financial statements, prepared in accordance with IFRSs as adopted by the EU, give a true and fair view of the assets, liabilities and financial position of the Group at 31 December 2011 and its profit for the year then ended;</w:t>
      </w:r>
    </w:p>
    <w:p>
      <w:pPr>
        <w:spacing w:after="0" w:line="1" w:lineRule="exact"/>
        <w:rPr>
          <w:rFonts w:ascii="Arial" w:cs="Arial" w:eastAsia="Arial" w:hAnsi="Arial"/>
          <w:sz w:val="18"/>
          <w:szCs w:val="18"/>
          <w:color w:val="auto"/>
        </w:rPr>
      </w:pPr>
    </w:p>
    <w:p>
      <w:pPr>
        <w:ind w:left="360" w:hanging="352"/>
        <w:spacing w:after="0" w:line="264" w:lineRule="auto"/>
        <w:tabs>
          <w:tab w:leader="none" w:pos="3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financial statements, prepared in accordance with IFRSs as adopted by the EU and as applied in accordance with the Companies Acts 1963 to 2009, give a true and fair view of the assets, liabilities and financial position of the Company at 31 December 2011; and</w:t>
      </w:r>
    </w:p>
    <w:p>
      <w:pPr>
        <w:ind w:left="360" w:right="20" w:hanging="352"/>
        <w:spacing w:after="0" w:line="258"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Directors’ report contained in the Annual Report includes a fair view of the development and performance of the business and the position of the Group and Company, together with a description of the principal risks and uncertainties that they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ectPr>
          <w:pgSz w:w="11900" w:h="16838" w:orient="portrait"/>
          <w:cols w:equalWidth="0" w:num="1">
            <w:col w:w="11420"/>
          </w:cols>
          <w:pgMar w:left="240" w:top="515"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Dr. Bruce Given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Ciaran Murray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2940" w:space="720"/>
            <w:col w:w="7760"/>
          </w:cols>
          <w:pgMar w:left="240" w:top="515" w:right="23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t>Independent Auditor’s Report to the Members of ICON plc</w:t>
      </w:r>
    </w:p>
    <w:p>
      <w:pPr>
        <w:spacing w:after="0" w:line="200" w:lineRule="exact"/>
        <w:rPr>
          <w:sz w:val="20"/>
          <w:szCs w:val="20"/>
          <w:color w:val="auto"/>
        </w:rPr>
      </w:pPr>
    </w:p>
    <w:p>
      <w:pPr>
        <w:spacing w:after="0" w:line="29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have audited the Group and Company financial statements (the ‘‘financial statements’’) of ICON plc for the year ended 31 December 2011 which comprise of the Consolidated Income Statement, the Consolidated and Company Statements of Financial Position, the Consolidated and Company Statements of Cash Flow, the Consolidated Statements of Comprehensive Income, the Consolidated and Company Statements of Changes in Equity and the related notes (notes 1 to 32). These financial statements have been prepared under the accounting policies set out therein.</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report is made solely to the Company’s members, as a body, in accordance with section 193 of the Companies Act 1990.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Respective responsibilities of Directors and Auditors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Directors’ responsibilities for preparing the Annual Report and the financial statements in accordance with applicable law and International Financial Reporting Standards (IFRSs) as adopted by the EU and, in the case of the Company as applied in accordance with Company Acts 1963 to 2009, are set out in the Statement of Directors’ Responsibilities on pages 37 and 38.</w:t>
      </w:r>
    </w:p>
    <w:p>
      <w:pPr>
        <w:spacing w:after="0" w:line="20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Our responsibility is to audit the financial statements in accordance with relevant legal and regulatory requirements and International Standards on Auditing (UK and Ireland).</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report to you our opinion as to whether the financial statements give a true and fair view in accordance with IFRSs as adopted by the EU, and have been properly prepared in accordance with the Companies Acts 1963 to 2009 and, in the case of the Consolidated financial statements, Article 4 of the IAS Regulation. We also report to you our opinion as to: whether proper books of account have been kept by the Company; whether at the reporting date, there exists a financial situation requiring the convening of an extraordinary general meeting of the Company; and whether the information given in the Directors’ Report is consistent with the financial statements. In addition, we state whether we have obtained all the information and explanations necessary for the purposes of our audit, and whether the Company Statement of Financial Position is in agreement with the books of account.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report to you if, in our opinion, any information specified by law or the Listing Rules of the Irish Stock Exchange regarding Directors’ remuneration and Directors’ transactions is not disclosed and, where practicable, include such information in our report.</w:t>
      </w:r>
    </w:p>
    <w:p>
      <w:pPr>
        <w:spacing w:after="0" w:line="19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are required by law to report to you our opinion as to whether the description of the main features of the internal control and risk management systems in relation to the process for preparing the consolidated group financial statements, set out in the annual Corporate Governance Statement is consistent with the consolidated financial statements. In addition, we review whether the Corporate Governance Statement reflects the company’s compliance with the nine provisions of the UK Corporate Governance Code and we report if it does not. We are not required to consider whether the board’s statements on internal control cover all risks and controls, or form an opinion on the effectiveness of the group’s corporate governance procedures or its risk and control procedures.</w:t>
      </w:r>
    </w:p>
    <w:p>
      <w:pPr>
        <w:spacing w:after="0" w:line="18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read the other information contained in the Annual Report and consider whether it is consistent with the audited financial statements. The other information comprises only the Directors’ Report and the Report on Directors’ Remuneration. We consider the implications for our report if we become aware of any apparent misstatements or material inconsistencies with the financial statements. Our responsibilities do not extend to any other information.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Independent Auditor’s Report to the Members of ICON plc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audit opinion</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 in accordance with International Standards on Auditing (UK and Ireland) issued by the Auditing Practices Board. An audit includes examination, on a test basis, of evidence relevant to the amounts and disclosures in the financial statements. It also includes an assessment of the significant estimates and judgments made by the Directors in the preparation of the financial statements, and of whether the accounting policies are appropriate to the Group’s and Company’s circumstances, consistently applied and adequately disclosed.</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planned and performed our audit so as to obtain all the information and explanations which we considered necessary in order to provide us with sufficient evidence to give reasonable assurance that the financial statements are free from material misstatement, whether caused by fraud or other irregularity or error. In forming our opinion we also evaluated the overall adequacy of the presentation of information in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250" w:lineRule="exact"/>
        <w:rPr>
          <w:sz w:val="20"/>
          <w:szCs w:val="20"/>
          <w:color w:val="auto"/>
        </w:rPr>
      </w:pPr>
    </w:p>
    <w:p>
      <w:pPr>
        <w:ind w:left="360" w:hanging="137"/>
        <w:spacing w:after="0" w:line="275"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Consolidated financial statements give a true and fair view, in accordance with IFRSs as adopted by the EU, of the state of the Group’s affairs as at 31 December 2011and of its profit for the year then ended;</w:t>
      </w:r>
    </w:p>
    <w:p>
      <w:pPr>
        <w:spacing w:after="0" w:line="197" w:lineRule="exact"/>
        <w:rPr>
          <w:rFonts w:ascii="Arial" w:cs="Arial" w:eastAsia="Arial" w:hAnsi="Arial"/>
          <w:sz w:val="18"/>
          <w:szCs w:val="18"/>
          <w:color w:val="auto"/>
        </w:rPr>
      </w:pPr>
    </w:p>
    <w:p>
      <w:pPr>
        <w:ind w:left="360" w:hanging="137"/>
        <w:spacing w:after="0" w:line="275"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financial statements give a true and fair view, in accordance with IFRSs as adopted by the EU and as applied in accordance with the provisions of the Companies Acts 1963 to 2009, of the state of the Company’s affairs as at 31 December 2011;</w:t>
      </w:r>
    </w:p>
    <w:p>
      <w:pPr>
        <w:spacing w:after="0" w:line="197" w:lineRule="exact"/>
        <w:rPr>
          <w:rFonts w:ascii="Arial" w:cs="Arial" w:eastAsia="Arial" w:hAnsi="Arial"/>
          <w:sz w:val="18"/>
          <w:szCs w:val="18"/>
          <w:color w:val="auto"/>
        </w:rPr>
      </w:pPr>
    </w:p>
    <w:p>
      <w:pPr>
        <w:ind w:left="360" w:right="20" w:hanging="137"/>
        <w:spacing w:after="0" w:line="275"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Consolidated financial statements have been properly prepared in accordance with the Companies Acts 1963 to 2009 and Article 4 of the IAS Regulation; and</w:t>
      </w:r>
    </w:p>
    <w:p>
      <w:pPr>
        <w:spacing w:after="0" w:line="197" w:lineRule="exact"/>
        <w:rPr>
          <w:rFonts w:ascii="Arial" w:cs="Arial" w:eastAsia="Arial" w:hAnsi="Arial"/>
          <w:sz w:val="18"/>
          <w:szCs w:val="18"/>
          <w:color w:val="auto"/>
        </w:rPr>
      </w:pPr>
    </w:p>
    <w:p>
      <w:pPr>
        <w:ind w:left="360" w:hanging="137"/>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financial statements have been properly prepared in accordance with the Companies Acts 1963 to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obtained all the information and explanations which we consider necessary for the purposes of our audit. In our opinion proper books of account have been kept by the Company. The Company Statement of Financial Position is in agreement with the books of account.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our opinion the information given in the Directors’ report and the description in the annual corporate governance statement of the main features of the internal control and risk management systems in relation to the process for preparing the consolidated groups financial statements is consistent with the financial statements.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net assets of the Company, as stated in the Company Statement of Financial Position, are more than half of the amount of its called-up share capital and, in our opinion, on that basis there did not exist at 31 December 2011 a financial situation which under Section 40 (1) of the Companies (Amendment) Act, 1983 would require the convening of an extraordinary general meeting of the Company.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Sean O’Keefe (Senior Statutory Auditor)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KPMG, Statutory Auditor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Chartered Accountants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Auditor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1Stokes place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 Stephens Green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Dublin, Ireland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30 April 2012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Statement of Accounting Policies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Group financial statements have been prepared in accordance with International Financial Reporting Standards (IFRS) that are adopted by the European Union (EU) that are effective at 31 December 2011. The Directors have elected to prepare the Company financial statements in accordance with IFRS as adopted by the EU and as applied in accordance with the Companies Acts 1963 to 2009. In accordance with Companies Acts 1963 to 2009, a company that publishes its Group and Company financial statements together, can take advantage of the exemption in Section 148(8) of the Companies Act 1963 from presenting to its members a Company income statement and related notes that form part of the approved Company financial statements.</w:t>
      </w:r>
    </w:p>
    <w:p>
      <w:pPr>
        <w:spacing w:after="0" w:line="187" w:lineRule="exact"/>
        <w:rPr>
          <w:sz w:val="20"/>
          <w:szCs w:val="20"/>
          <w:color w:val="auto"/>
        </w:rPr>
      </w:pPr>
    </w:p>
    <w:p>
      <w:pPr>
        <w:jc w:val="both"/>
        <w:ind w:firstLine="90"/>
        <w:spacing w:after="0" w:line="285" w:lineRule="auto"/>
        <w:rPr>
          <w:sz w:val="20"/>
          <w:szCs w:val="20"/>
          <w:color w:val="auto"/>
        </w:rPr>
      </w:pPr>
      <w:r>
        <w:rPr>
          <w:rFonts w:ascii="Arial" w:cs="Arial" w:eastAsia="Arial" w:hAnsi="Arial"/>
          <w:sz w:val="17"/>
          <w:szCs w:val="17"/>
          <w:color w:val="auto"/>
        </w:rPr>
        <w:t xml:space="preserve">The Group financial statements have been prepared in accordance with the amendment to IAS 1 </w:t>
      </w:r>
      <w:r>
        <w:rPr>
          <w:rFonts w:ascii="Arial" w:cs="Arial" w:eastAsia="Arial" w:hAnsi="Arial"/>
          <w:sz w:val="17"/>
          <w:szCs w:val="17"/>
          <w:i w:val="1"/>
          <w:iCs w:val="1"/>
          <w:color w:val="auto"/>
        </w:rPr>
        <w:t>Presentation of Financial Statements–A Revised</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w:t>
      </w:r>
      <w:r>
        <w:rPr>
          <w:rFonts w:ascii="Arial" w:cs="Arial" w:eastAsia="Arial" w:hAnsi="Arial"/>
          <w:sz w:val="17"/>
          <w:szCs w:val="17"/>
          <w:color w:val="auto"/>
        </w:rPr>
        <w:t>. This amendment sets overall requirements for the presentation of financial statements, guidelines for their structure and minimum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their content. The revised standard aims to improve users’ ability to analyse and compare information given in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These Group and Company financial statements are presented in U.S. dollars and all values are rounded to the nearest thousand ($ ‘000), except where otherwise indicated, this being the reporting currency of the Group. They are prepared on the historical cost basis, except for the measurement at fair value on date of grant of share options and the UK defined benefit pension plan. Accounting policies are applied consistently with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accounting policies which involve significant estimates and judgments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judgments by management.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management judgments and estimates must be made and used in connection with the recognition of revenue in each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Revenues are earned by providing a number of different services to clients. These services include clinical trials management, biometric activities, consulting, imaging, contract staffing, informatics and laboratory services. Revenue for services, as rendered, are recognised only after persuasive evidence of an arrangement exists, the sales price is fixed or determinable and collectability is reasonably assured.</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Customers are invoiced upon achievement of specified contractual milestones. This mechanism, which allows the Group to receive payment from customers throughout the duration of the contract, is not reflective of revenue earned. Revenues are recognised over the period from the awarding of the customer’s contract to study completion and acceptance. This requires an estimate of the total expected revenue, time inputs, contract costs, profitability and expected duration of the clinical trial. The Group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group may routinely adjust time estimates, estimates and assumptions historically have been accurate in all material respects in the aggregate.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 xml:space="preserve">Statement of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accounting policies which involve significant estimates and judgments (continued)</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the Group does not reasonably estimate the resources required or the scope of the work to be performed, or does not manage its projects properly within the planned cost or satisfy obligations under the contracts, then future results may be significantly and negatively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is reviewed for impairment annually or more frequently if facts or circumstances warrant such a review. Goodwill is evaluated for impairment by comparing the recoverable amount of the cash-generating unit to the carrying amount of the cash-generating unit to which the goodwill relates. If the recoverable amount is less than the carrying amount an impairment is determined.</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recoverable amount of the cash-generating unit is determined using a value-in-use computation based upon discounted net present value cash flow projections for the business. The cash flow projections are for a period of five years forward together with a terminal value calculated in accordance with the Gordon’s terminal value model. Management’s estimates of future cash flows are based upon anticipated growth rates within the CRO industry, expected growth in the Group’s market share and past experience. The key assumptions applied in determining expected future cash flows include management’s estimate of future profitability, replacement capital expenditure requirements, trade working capital investment needs and tax considerations. The Group’s cash flow model is adjusted each year for actual and expected changes in performance.</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Use of different estimates or judgments, particularly with respect to expected profitability could result in a material impairment charge. The Group believes reasonable estimates and judgments have been used in assessing the recoverable amounts of its cash-generating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25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Given the global nature of the business and the multiple taxing jurisdictions in which the Group operates, the determination of the Group’s provision for income taxes requires significant judgments and estimates, the ultimate tax outcome of which may not be certain. Although estimates are believed to be reasonable, the final outcome of these matters may be different than those reflected in the historical income tax provisions and accruals. Such differences could have a material effect on the income tax provision and results in the period during which such determination is made.</w:t>
      </w:r>
    </w:p>
    <w:p>
      <w:pPr>
        <w:spacing w:after="0" w:line="19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Deferred tax assets and liabilities are determined using enacted tax rates for the effects of net operating losses and temporary differences between the book and tax bases of assets and liabilities. In assessing the realisability of deferred tax assets, management considers whether it is more likely than not that some portion or all of the deferred tax assets will not be realised. The ultimate realisation of deferred tax assets is dependent upon the generation of future taxable income during the periods in which those temporary differences become deductible. While management considers the scheduled reversal of deferred tax liabilities, and projected future taxable income in making this assessment, there can be no assurance that these deferred tax assets may be realisable.</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Group may also be subject to audits in the multiple taxing jurisdictions in which it operates. These audits can involve complex issues which may require an extended period of time for resolution. Management believe that adequate provisions for income taxes have been made in the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Statement of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accounting policies which involve significant estimates and judgments (continued)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relating to Business Combinations</w:t>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Group has concluded a number of business combinations in recent years. The fair value of a business combination is measured as the aggregate of the fair values at the date of exchange of assets given, liabilities incurred or assumed, and equity instruments issued in exchange for control. The fair value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adjustment is recognised on the acquisition date at fair value.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incomes statement or Consolidated statement of comprehensive income depending on whether the asset or liability is considered a financial instrument.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IFRS’s and International Financial Reporting Interpretations Committee (IFRIC) Interpretations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and IFRIC Interpretations adopted during the financial year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Group has adopted the following new and revised IFRS and IFRIC interpretations in respect of the 2011 financial year-end:</w:t>
      </w:r>
    </w:p>
    <w:p>
      <w:pPr>
        <w:spacing w:after="0" w:line="250" w:lineRule="exact"/>
        <w:rPr>
          <w:sz w:val="20"/>
          <w:szCs w:val="20"/>
          <w:color w:val="auto"/>
        </w:rPr>
      </w:pPr>
    </w:p>
    <w:p>
      <w:pPr>
        <w:ind w:left="660" w:hanging="34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IAS 24 Related Party Disclosures (amendment) effective 1 January 2011</w:t>
      </w:r>
    </w:p>
    <w:p>
      <w:pPr>
        <w:spacing w:after="0" w:line="250" w:lineRule="exact"/>
        <w:rPr>
          <w:rFonts w:ascii="Arial" w:cs="Arial" w:eastAsia="Arial" w:hAnsi="Arial"/>
          <w:sz w:val="18"/>
          <w:szCs w:val="18"/>
          <w:color w:val="auto"/>
        </w:rPr>
      </w:pPr>
    </w:p>
    <w:p>
      <w:pPr>
        <w:ind w:left="660" w:hanging="34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IAS 32 Financial Instruments: Presentation – Classification of Rights Issues (amendment) effective 1 February 2010</w:t>
      </w:r>
    </w:p>
    <w:p>
      <w:pPr>
        <w:spacing w:after="0" w:line="250" w:lineRule="exact"/>
        <w:rPr>
          <w:rFonts w:ascii="Arial" w:cs="Arial" w:eastAsia="Arial" w:hAnsi="Arial"/>
          <w:sz w:val="18"/>
          <w:szCs w:val="18"/>
          <w:color w:val="auto"/>
        </w:rPr>
      </w:pPr>
    </w:p>
    <w:p>
      <w:pPr>
        <w:ind w:left="660" w:hanging="34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IFRIC 14 Prepayments of a Minimum Funding Requirement (amendment) effective 1 January</w:t>
      </w:r>
    </w:p>
    <w:p>
      <w:pPr>
        <w:spacing w:after="0" w:line="250" w:lineRule="exact"/>
        <w:rPr>
          <w:rFonts w:ascii="Arial" w:cs="Arial" w:eastAsia="Arial" w:hAnsi="Arial"/>
          <w:sz w:val="18"/>
          <w:szCs w:val="18"/>
          <w:color w:val="auto"/>
        </w:rPr>
      </w:pPr>
    </w:p>
    <w:p>
      <w:pPr>
        <w:ind w:left="660" w:hanging="34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IFRIC 19 Extinguishing Financial Liabilities with Equity Instruments effective 1 July 2010</w:t>
      </w:r>
    </w:p>
    <w:p>
      <w:pPr>
        <w:spacing w:after="0" w:line="250" w:lineRule="exact"/>
        <w:rPr>
          <w:rFonts w:ascii="Arial" w:cs="Arial" w:eastAsia="Arial" w:hAnsi="Arial"/>
          <w:sz w:val="18"/>
          <w:szCs w:val="18"/>
          <w:color w:val="auto"/>
        </w:rPr>
      </w:pPr>
    </w:p>
    <w:p>
      <w:pPr>
        <w:ind w:left="660" w:hanging="34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Improvements to IFRSs (May 2010) – amendments applying in respect of the 2011 financial year-end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application of the standards and interpretations noted above did not result in material changes in the Group’s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and IFRIC Interpretations effective in respect of the 2012 and future financial year-ends.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Group has not applied the following standards and interpretations that have been issued but are not yet effective:</w:t>
      </w:r>
    </w:p>
    <w:p>
      <w:pPr>
        <w:spacing w:after="0" w:line="250" w:lineRule="exact"/>
        <w:rPr>
          <w:sz w:val="20"/>
          <w:szCs w:val="20"/>
          <w:color w:val="auto"/>
        </w:rPr>
      </w:pPr>
    </w:p>
    <w:p>
      <w:pPr>
        <w:ind w:left="600" w:hanging="350"/>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IAS 12 Income Taxes (amendment) effective 1 January 2012</w:t>
      </w:r>
    </w:p>
    <w:p>
      <w:pPr>
        <w:spacing w:after="0" w:line="250" w:lineRule="exact"/>
        <w:rPr>
          <w:rFonts w:ascii="Arial" w:cs="Arial" w:eastAsia="Arial" w:hAnsi="Arial"/>
          <w:sz w:val="18"/>
          <w:szCs w:val="18"/>
          <w:color w:val="auto"/>
        </w:rPr>
      </w:pPr>
    </w:p>
    <w:p>
      <w:pPr>
        <w:ind w:left="600" w:hanging="350"/>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IAS 19 Employee benefits (amendment) effective 1 January 2013</w:t>
      </w:r>
    </w:p>
    <w:p>
      <w:pPr>
        <w:spacing w:after="0" w:line="250" w:lineRule="exact"/>
        <w:rPr>
          <w:rFonts w:ascii="Arial" w:cs="Arial" w:eastAsia="Arial" w:hAnsi="Arial"/>
          <w:sz w:val="18"/>
          <w:szCs w:val="18"/>
          <w:color w:val="auto"/>
        </w:rPr>
      </w:pPr>
    </w:p>
    <w:p>
      <w:pPr>
        <w:ind w:left="600" w:hanging="350"/>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IFRS 10 Consolidated Financial Statements effective 1 January 2013</w:t>
      </w:r>
    </w:p>
    <w:p>
      <w:pPr>
        <w:spacing w:after="0" w:line="250" w:lineRule="exact"/>
        <w:rPr>
          <w:rFonts w:ascii="Arial" w:cs="Arial" w:eastAsia="Arial" w:hAnsi="Arial"/>
          <w:sz w:val="18"/>
          <w:szCs w:val="18"/>
          <w:color w:val="auto"/>
        </w:rPr>
      </w:pPr>
    </w:p>
    <w:p>
      <w:pPr>
        <w:ind w:left="600" w:hanging="350"/>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IFRS 11 Joint Arrangements effective 1 January 2013</w:t>
      </w:r>
    </w:p>
    <w:p>
      <w:pPr>
        <w:spacing w:after="0" w:line="250" w:lineRule="exact"/>
        <w:rPr>
          <w:rFonts w:ascii="Arial" w:cs="Arial" w:eastAsia="Arial" w:hAnsi="Arial"/>
          <w:sz w:val="18"/>
          <w:szCs w:val="18"/>
          <w:color w:val="auto"/>
        </w:rPr>
      </w:pPr>
    </w:p>
    <w:p>
      <w:pPr>
        <w:ind w:left="600" w:hanging="350"/>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IFRS 12 Disclosure of Interests in Other Entities effective 1 January 2013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 xml:space="preserve">Statement of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92" w:lineRule="exact"/>
        <w:rPr>
          <w:sz w:val="20"/>
          <w:szCs w:val="20"/>
          <w:color w:val="auto"/>
        </w:rPr>
      </w:pPr>
    </w:p>
    <w:p>
      <w:pPr>
        <w:ind w:left="600" w:hanging="350"/>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IFRS 13 Fair Value Measurement effective 1 January 2013</w:t>
      </w:r>
    </w:p>
    <w:p>
      <w:pPr>
        <w:spacing w:after="0" w:line="250" w:lineRule="exact"/>
        <w:rPr>
          <w:rFonts w:ascii="Arial" w:cs="Arial" w:eastAsia="Arial" w:hAnsi="Arial"/>
          <w:sz w:val="18"/>
          <w:szCs w:val="18"/>
          <w:color w:val="auto"/>
        </w:rPr>
      </w:pPr>
    </w:p>
    <w:p>
      <w:pPr>
        <w:ind w:left="600" w:hanging="350"/>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IFRIC Interpretation 20 Stripping Costs in the Production Phase effective 1 January 2013</w:t>
      </w:r>
    </w:p>
    <w:p>
      <w:pPr>
        <w:spacing w:after="0" w:line="250"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The application of the standards and interpretations noted above is not expected to result in material changes in the Group’s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accounting policies have been applied consistently in dealing with items which are considered material in relation to the Group’s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Control exists when the Company has the power, directly or indirectly, to govern the financial and operating policies of an entity so as to obtain economic benefits from its activities.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presentation currency of the Group and Company is US dollars ($). The functional currency of the Company is Euros. The Company financial statements have been presented in US dollars due to the Company’s international operations and profile. Results and cash flows of non-dollar denominated undertakings are translated into dollars at the actual exchange rates at the transaction dates or average exchange rates for the year where this is a reasonable approximation. 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where repayment is not forseen, are taken to the income statement. Transaction differences on long term intercompany balances where repayment is not foreseen are treated as other comprehensive income in the Statement of Comprehensive income.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Statement of Accounting Policies </w:t>
      </w:r>
      <w:r>
        <w:rPr>
          <w:rFonts w:ascii="Arial" w:cs="Arial" w:eastAsia="Arial" w:hAnsi="Arial"/>
          <w:sz w:val="18"/>
          <w:szCs w:val="18"/>
          <w:i w:val="1"/>
          <w:iCs w:val="1"/>
          <w:color w:val="auto"/>
        </w:rPr>
        <w:t>(continued)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exchange rates used for the translation of results, cash flows and Statements of financial position into US dollars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350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540" w:type="dxa"/>
            <w:vAlign w:val="bottom"/>
          </w:tcPr>
          <w:p>
            <w:pPr>
              <w:spacing w:after="0"/>
              <w:rPr>
                <w:sz w:val="18"/>
                <w:szCs w:val="18"/>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350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 to</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Year to</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3500" w:type="dxa"/>
            <w:vAlign w:val="bottom"/>
          </w:tcPr>
          <w:p>
            <w:pPr>
              <w:jc w:val="right"/>
              <w:ind w:right="430"/>
              <w:spacing w:after="0"/>
              <w:rPr>
                <w:sz w:val="20"/>
                <w:szCs w:val="20"/>
                <w:color w:val="auto"/>
              </w:rPr>
            </w:pPr>
            <w:r>
              <w:rPr>
                <w:rFonts w:ascii="Arial" w:cs="Arial" w:eastAsia="Arial" w:hAnsi="Arial"/>
                <w:sz w:val="18"/>
                <w:szCs w:val="18"/>
                <w:b w:val="1"/>
                <w:bCs w:val="1"/>
                <w:color w:val="auto"/>
              </w:rPr>
              <w:t>31 December</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31 December</w:t>
            </w: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31 December</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w w:val="88"/>
              </w:rPr>
              <w:t>31 December</w:t>
            </w: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35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2010</w:t>
            </w: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16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 1:$</w:t>
            </w:r>
          </w:p>
        </w:tc>
        <w:tc>
          <w:tcPr>
            <w:tcW w:w="35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1.3991</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1.3204</w:t>
            </w:r>
          </w:p>
        </w:tc>
        <w:tc>
          <w:tcPr>
            <w:tcW w:w="19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1.2961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Pound Sterling 1:$</w:t>
            </w:r>
          </w:p>
        </w:tc>
        <w:tc>
          <w:tcPr>
            <w:tcW w:w="35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1.6050</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1.5420</w:t>
            </w:r>
          </w:p>
        </w:tc>
        <w:tc>
          <w:tcPr>
            <w:tcW w:w="19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1.5413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disposal of a foreign operation, accumulated currency translation differences, together with any exchange differences on foreign currency borrowings that provide a hedge of the net investment are recognised in the income statement as part of the overall gain or loss on disposal; the cumulative currency translation differences arising prior to the transition date have been set to zero for the purposes of ascertaining the gain or loss on disposal of a foreign operation subsequent to 1 June 2004.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Items of property, plant and equipment are stated at cost less accumulated depreciation and any provisions for impairment losses.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233"/>
        </w:trPr>
        <w:tc>
          <w:tcPr>
            <w:tcW w:w="3060" w:type="dxa"/>
            <w:vAlign w:val="bottom"/>
          </w:tcPr>
          <w:p>
            <w:pPr>
              <w:spacing w:after="0"/>
              <w:rPr>
                <w:sz w:val="20"/>
                <w:szCs w:val="20"/>
                <w:color w:val="auto"/>
              </w:rPr>
            </w:pPr>
          </w:p>
        </w:tc>
        <w:tc>
          <w:tcPr>
            <w:tcW w:w="7200" w:type="dxa"/>
            <w:vAlign w:val="bottom"/>
          </w:tcPr>
          <w:p>
            <w:pPr>
              <w:ind w:left="1040"/>
              <w:spacing w:after="0"/>
              <w:rPr>
                <w:sz w:val="20"/>
                <w:szCs w:val="20"/>
                <w:color w:val="auto"/>
              </w:rPr>
            </w:pPr>
            <w:r>
              <w:rPr>
                <w:rFonts w:ascii="Arial" w:cs="Arial" w:eastAsia="Arial" w:hAnsi="Arial"/>
                <w:sz w:val="18"/>
                <w:szCs w:val="18"/>
                <w:b w:val="1"/>
                <w:bCs w:val="1"/>
                <w:color w:val="auto"/>
              </w:rPr>
              <w:t>Years</w:t>
            </w:r>
          </w:p>
        </w:tc>
      </w:tr>
      <w:tr>
        <w:trPr>
          <w:trHeight w:val="215"/>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2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40</w:t>
            </w: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Computer equipment</w:t>
            </w:r>
          </w:p>
        </w:tc>
        <w:tc>
          <w:tcPr>
            <w:tcW w:w="7200" w:type="dxa"/>
            <w:vAlign w:val="bottom"/>
          </w:tcPr>
          <w:p>
            <w:pPr>
              <w:ind w:left="1040"/>
              <w:spacing w:after="0"/>
              <w:rPr>
                <w:sz w:val="20"/>
                <w:szCs w:val="20"/>
                <w:color w:val="auto"/>
              </w:rPr>
            </w:pPr>
            <w:r>
              <w:rPr>
                <w:rFonts w:ascii="Arial" w:cs="Arial" w:eastAsia="Arial" w:hAnsi="Arial"/>
                <w:sz w:val="18"/>
                <w:szCs w:val="18"/>
                <w:color w:val="auto"/>
              </w:rPr>
              <w:t>4</w:t>
            </w:r>
          </w:p>
        </w:tc>
      </w:tr>
      <w:tr>
        <w:trPr>
          <w:trHeight w:val="215"/>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72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8</w:t>
            </w: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Laboratory equipment</w:t>
            </w:r>
          </w:p>
        </w:tc>
        <w:tc>
          <w:tcPr>
            <w:tcW w:w="7200" w:type="dxa"/>
            <w:vAlign w:val="bottom"/>
          </w:tcPr>
          <w:p>
            <w:pPr>
              <w:ind w:left="1040"/>
              <w:spacing w:after="0"/>
              <w:rPr>
                <w:sz w:val="20"/>
                <w:szCs w:val="20"/>
                <w:color w:val="auto"/>
              </w:rPr>
            </w:pPr>
            <w:r>
              <w:rPr>
                <w:rFonts w:ascii="Arial" w:cs="Arial" w:eastAsia="Arial" w:hAnsi="Arial"/>
                <w:sz w:val="18"/>
                <w:szCs w:val="18"/>
                <w:color w:val="auto"/>
              </w:rPr>
              <w:t>5</w:t>
            </w:r>
          </w:p>
        </w:tc>
      </w:tr>
      <w:tr>
        <w:trPr>
          <w:trHeight w:val="215"/>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72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w:t>
            </w: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income statement during the financial period in which they are incurred.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assets – as lessee</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Finance leases, which transfer to the Group substantially all the risks and benefits of ownership of the leased asset, are capitalised at the inception of the lease at the fair value of the leased asset or if lower the present value of the minimum lease payments. The corresponding liability to the lessor is included in the statement of financial position as a finance lease obligation. Lease payments are apportioned between the finance charges and reduction of the lease obligation so as to achieve a constant rate of interest on the remaining balance of the liability. Finance charges are charged to the income statement as part of finance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Capitalised leased assets are depreciated over the shorter of the estimated useful life of the asset or the lease term.</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Leases where the lessor retains substantially all the risks and benefits of ownership of the assets are classified as operating leases. Operating lease payments are recognised as an expense in the income statement on a straight line basis over the lease term. Lease incentives are recognised over the term of the lease as an integral part of the total lease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subsidiaries - company</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Investments in subsidiary undertakings are stated at cost less provision for impairment in the Company’s statement of financial position. Loans to subsidiary undertakings are initially recorded at fair value in the Company statement of financial position and subsequently at amortised cost using an effective interest rate methodology.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a business combination is measured as the aggregate of the fair values at the date of exchange of assets given, liabilities incurred or assumed and equity instruments issued in exchange for control plus the fair value of any investment previously held in the entity.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Income Statement.</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group measures goodwill at the acquisition date as the fair value of the consideration transferred plus the recognised amount of any non-controlling interests in the acquiree, plus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21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At the acquisition date, any goodwill acquired is allocated to each of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initial recognition, goodwill is measured at cost less any accumulated impairment losses. Goodwill relating to acquisitions post 1 June 2001 and the deemed cost of goodwill carried in the statement of financial position at 1 June 2001 is not amortised. Goodwill is reviewed for impairment annually or more frequently if events or changes in circumstances indicate that the carrying value may be impaired.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non financial assets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amounts of the Group’s assets, other than deferred tax assets, are reviewed at each reporting date to determine whether there is any indication of impairment. If any such indication exists, the asset’s recoverable amount is estimated. An estimate of the recoverable amount of goodwill is carried out at each reporting date.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 impairment loss is recognised in the income statement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recoverable value of assets, other than receivables carried at amortised cost and short term receivables,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212"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recoverable amount of receivables carried at amortised cost is calculated by discounting the present value of estimated future cash flows of the asset to their present value, discounted at the original effective interest rate. Receivables with a short duration of less than six months are not discounted.</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Impairment losses in respect of other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intangible assets are stated at cost less accumulated amortisation and impairment losses. Useful lives of intangibles are reviewed and adjusted if appropriate at each reporting date. Amortisation is charged to the income statement on a straight line basis over the estimated useful lives of intangible assets, currently estimated as follows:</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33"/>
        </w:trPr>
        <w:tc>
          <w:tcPr>
            <w:tcW w:w="2880" w:type="dxa"/>
            <w:vAlign w:val="bottom"/>
          </w:tcPr>
          <w:p>
            <w:pPr>
              <w:spacing w:after="0"/>
              <w:rPr>
                <w:sz w:val="20"/>
                <w:szCs w:val="20"/>
                <w:color w:val="auto"/>
              </w:rPr>
            </w:pPr>
          </w:p>
        </w:tc>
        <w:tc>
          <w:tcPr>
            <w:tcW w:w="7380" w:type="dxa"/>
            <w:vAlign w:val="bottom"/>
          </w:tcPr>
          <w:p>
            <w:pPr>
              <w:ind w:left="1220"/>
              <w:spacing w:after="0"/>
              <w:rPr>
                <w:sz w:val="20"/>
                <w:szCs w:val="20"/>
                <w:color w:val="auto"/>
              </w:rPr>
            </w:pPr>
            <w:r>
              <w:rPr>
                <w:rFonts w:ascii="Arial" w:cs="Arial" w:eastAsia="Arial" w:hAnsi="Arial"/>
                <w:sz w:val="18"/>
                <w:szCs w:val="18"/>
                <w:b w:val="1"/>
                <w:bCs w:val="1"/>
                <w:color w:val="auto"/>
              </w:rPr>
              <w:t>Years</w:t>
            </w:r>
          </w:p>
        </w:tc>
      </w:tr>
      <w:tr>
        <w:trPr>
          <w:trHeight w:val="21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73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4-8</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7380" w:type="dxa"/>
            <w:vAlign w:val="bottom"/>
          </w:tcPr>
          <w:p>
            <w:pPr>
              <w:ind w:left="1220"/>
              <w:spacing w:after="0"/>
              <w:rPr>
                <w:sz w:val="20"/>
                <w:szCs w:val="20"/>
                <w:color w:val="auto"/>
              </w:rPr>
            </w:pPr>
            <w:r>
              <w:rPr>
                <w:rFonts w:ascii="Arial" w:cs="Arial" w:eastAsia="Arial" w:hAnsi="Arial"/>
                <w:sz w:val="18"/>
                <w:szCs w:val="18"/>
                <w:color w:val="auto"/>
              </w:rPr>
              <w:t>3-11</w:t>
            </w:r>
          </w:p>
        </w:tc>
      </w:tr>
      <w:tr>
        <w:trPr>
          <w:trHeight w:val="21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Volunteer list</w:t>
            </w:r>
          </w:p>
        </w:tc>
        <w:tc>
          <w:tcPr>
            <w:tcW w:w="73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6</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Order backlog</w:t>
            </w:r>
          </w:p>
        </w:tc>
        <w:tc>
          <w:tcPr>
            <w:tcW w:w="7380" w:type="dxa"/>
            <w:vAlign w:val="bottom"/>
          </w:tcPr>
          <w:p>
            <w:pPr>
              <w:ind w:left="1220"/>
              <w:spacing w:after="0"/>
              <w:rPr>
                <w:sz w:val="20"/>
                <w:szCs w:val="20"/>
                <w:color w:val="auto"/>
              </w:rPr>
            </w:pPr>
            <w:r>
              <w:rPr>
                <w:rFonts w:ascii="Arial" w:cs="Arial" w:eastAsia="Arial" w:hAnsi="Arial"/>
                <w:sz w:val="18"/>
                <w:szCs w:val="18"/>
                <w:color w:val="auto"/>
              </w:rPr>
              <w:t>3</w:t>
            </w:r>
          </w:p>
        </w:tc>
      </w:tr>
      <w:tr>
        <w:trPr>
          <w:trHeight w:val="21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Technology Asset</w:t>
            </w:r>
          </w:p>
        </w:tc>
        <w:tc>
          <w:tcPr>
            <w:tcW w:w="73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7.5</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Tradename</w:t>
            </w:r>
          </w:p>
        </w:tc>
        <w:tc>
          <w:tcPr>
            <w:tcW w:w="7380" w:type="dxa"/>
            <w:vAlign w:val="bottom"/>
          </w:tcPr>
          <w:p>
            <w:pPr>
              <w:ind w:left="1220"/>
              <w:spacing w:after="0"/>
              <w:rPr>
                <w:sz w:val="20"/>
                <w:szCs w:val="20"/>
                <w:color w:val="auto"/>
              </w:rPr>
            </w:pPr>
            <w:r>
              <w:rPr>
                <w:rFonts w:ascii="Arial" w:cs="Arial" w:eastAsia="Arial" w:hAnsi="Arial"/>
                <w:sz w:val="18"/>
                <w:szCs w:val="18"/>
                <w:color w:val="auto"/>
              </w:rPr>
              <w:t>4.5</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other receivables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Trade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income statement within ‘other operating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 investments – available for sale</w:t>
      </w:r>
    </w:p>
    <w:p>
      <w:pPr>
        <w:spacing w:after="0" w:line="25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Financial instruments held are classified as current assets and are stated at fair value, with any resultant gain or loss recognised as other comprehensive income in the statement of comprehensive income. The fair value of financial instruments classified as available-for-sale is their market price at the reporting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payables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recognised initially at fair value and subsequently measured at amortised cost using the effective interest rate method.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Government grants received that compensate the Group for the cost of an asset are recognised in the statement of financial position initially as deferred income when there is reasonable assurance that it will be received and that the Group will comply with the conditions attaching to it. Such grants are recognised in the income statement over the useful economic life of the asset which is consistent with the depreciation policy of the relevant asset.</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Grants that compensate the Group for expenses incurred are recognised in the income statement in the same periods in which the expenditure to which they relate to is charged.</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bearing loans and borrowings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bearing borrowings are recognised initially at fair value. Subsequent to initial recognition, current and non-current interest bearing loans and borrowings are measured at amortised cost with any difference between cost and redemption value being recognised in the income statement over the period of the borrowings on an effective interest basis.</w:t>
      </w:r>
    </w:p>
    <w:p>
      <w:pPr>
        <w:spacing w:after="0" w:line="20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reporting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provision is recognised in the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provision for onerous contracts is recognised when the expected benefits to be derived by the Group from a contract are lower than the unavoidable cost of meeting its obligations under the contract.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Provisions may also include an element of contingent acquisition consideration.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Ordinary shares are classified as equity. Incremental costs directly attributable to the issue of new shares or options are shown in equity as a deduction, net of tax, from the proceeds.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Where ordinary shares are repurchased by the Company they are cancelled and the nominal value of the shares is transferred to a capital redemption reserve fund within equity.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Pension and other post-employment benefits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operates a defined benefit pension plan for certain of its United Kingdom employees through a subsidiary.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income statement as service is received from the relevant employees.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Group’s net obligation in respect of the defined benefit pension plan is calculated separately by estimating the amount of future benefit that employees have earned in return for their service in the current and prior periods; that benefit is discounted to determine its present value, and the fair value of plan assets deducted. The discount rate used is the yield at the reporting date on iboxx UK Corporate AA credit rated bonds that have maturity dates approximating to the terms of the Group’s obligations. The calculation is performed by a qualified actuary using the projected unit credit method. Returns on the scheme assets are recorded in the finance income line in the Group Income Statement while interest on the scheme liabilities are recorded in the financing expense line. When benefits of a plan are improved, the portion of the increased benefit relating to the past service by employees is recognised as an expense in the Income Statement on a straight line basis over the average period until the benefits become vested. To the extent that the benefits vest immediately, the expense is recognised immediately in the Income Statement.</w:t>
      </w:r>
    </w:p>
    <w:p>
      <w:pPr>
        <w:spacing w:after="0" w:line="203"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All actuarial gains and losses as at 1 June 2004, the date of transition to IFRSs, were recognised and adjusted against retained earnings. Actuarial gains and losses arising after this date are recognised as other comprehensive income immediately in the Statement of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Share-based payments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Share-based payments comprise options to acquire ordinary shares in the Company and restricted share units (RSU’S) in the form of ordinary share entitlements after a certain period of time. These are awarded to the Directors and other employees of the Group based on service and non-market performance conditions such as term of employment and individual performance. The fair value of options and RSU’s granted is recognised as an employee expense with a corresponding increase in equity. The fair value is measured at grant date and spread over the period during which the Directors and other employees become unconditionally entitled to the options or RSU. The fair value of options granted is measured using a binomial lattice model, taking into account the terms and conditions upon which the options were granted. The fair value of RSU’s is equal to the market price at date of grant. The total amount to be expensed is determined by reference to the fair value of the options or RSU’s granted, excluding the impact of any non-market service and performance vesting conditions (for example profitability, sales growth targets). Non-market vesting conditions are included in assumptions about the number of options or RSU’s that are expected to vest. The amount recognised as an expense is adjusted to reflect the actual number of share options or RSU’s that vest.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primarily earns revenues by providing clinical research services to its customers. Clinical research services include clinical trials management, biometric activities, consulting, imaging, contract staffing, informatics and laboratory services. Contracts range in duration from a number of months to several years. Revenue is recognised according to the type of service provided as follows:</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Biometrics revenue is recognised on a fee-for-service method on the basis of the number of units completed in a period as a percentage of the total number of contracted units. Imaging revenue is recognised on a fee-for- service basis. Consulting revenue is recognised on a fee-for-service basis as the related service is performed.Contract staffing revenue is recognised on a fee-for-service basis, over the time the related service is performed, or in the case of permanent placement, once the candidate has been placed with the client.</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Informatics revenue is recognised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Laboratory service revenue is recognised on a fee-for-service basis The Group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Contracts generally contain provisions for renegotiation in the event of changes in the scope, nature, duration, volume of services or conditions of the contract. Renegotiated amounts are recognised as revenue by revision to the total contract value arising as a result of an authorised customer change order. Provisions for losses to be incurred on contracts are recognised in full in the period in which it is determined that a loss will result from performance of the contractual arrangement.</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statement of financial position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provide that the Group is paid for all work performed to the termination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enrolment over the life of the contract. Investigator payments are made based on predetermined contractual arrangements, which may differ from the accrual of the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Direct costs consist of compensation, associated employee benefits and share-based payments for project-related employees and other direct project-related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5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Other Operating expenses consist of compensation, associated employee benefits and share-based payments for non-project-related employees and other indirect costs associated with the business. Other operating expenses also includes depreciation expense and the amortisation of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Exceptional items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credits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income statement in the same periods in which the expenditure to which they related to is charged as a deduction against the related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expense</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Financing expense comprises interest payable on borrowings calculated using the effective interest rate method, finance charges on finance leases, foreign exchange gains and losses on bank loans, interest costs on defined benefit obligations, non-cash finances charge in respect of contingent consideration and gains and losses on hedging instruments that are recognised in the income statement.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Income Statement over the term the facility is available to the Group.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income</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income is recognised in the income statement as it accrues, using the effective interest rate method and includes interest receivable on funds invested and actuarial gains on pension plan assets.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 xml:space="preserve">Statement of Accounting Policies </w:t>
      </w:r>
      <w:r>
        <w:rPr>
          <w:rFonts w:ascii="Arial" w:cs="Arial" w:eastAsia="Arial" w:hAnsi="Arial"/>
          <w:sz w:val="17"/>
          <w:szCs w:val="17"/>
          <w:i w:val="1"/>
          <w:iCs w:val="1"/>
          <w:color w:val="auto"/>
        </w:rPr>
        <w:t>(continued)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 the income statement represents the sum of income tax currently payable and deferred income tax.</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Tax currently payable is based on taxable profit for the year. Taxable profit differs from net profit as reported in the income statement because it excludes items of income or expense that are taxable or deductible in other years and further excludes items that are not taxable or deductible. The Group’s liability for income tax is calculated using rates that have been enacted or substantially enacted at the reporting date. Income tax is recognised in the income statement except to the extent that it relates to items recognised directly in equity.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jc w:val="both"/>
        <w:spacing w:after="0" w:line="258" w:lineRule="auto"/>
        <w:rPr>
          <w:sz w:val="20"/>
          <w:szCs w:val="20"/>
          <w:color w:val="auto"/>
        </w:rPr>
      </w:pPr>
      <w:r>
        <w:rPr>
          <w:rFonts w:ascii="Arial" w:cs="Arial" w:eastAsia="Arial" w:hAnsi="Arial"/>
          <w:sz w:val="18"/>
          <w:szCs w:val="18"/>
          <w:color w:val="auto"/>
        </w:rPr>
        <w:t>Deferred income tax assets and liabilities are measured at the tax rates that are expected to apply in the year when the asset is expected to be realised or the liability to be settled.</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ordinary share</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5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 An operating segment’s operating results are reviewed regularly by the CEO and CFO to make decisions about resources to be allocated to the segment and assess its performance, and for which discrete financial information is available.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results that are reported to the CEO and CFO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Consolidated Income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2960" w:type="dxa"/>
            <w:vAlign w:val="bottom"/>
          </w:tcPr>
          <w:p>
            <w:pPr>
              <w:spacing w:after="0"/>
              <w:rPr>
                <w:sz w:val="18"/>
                <w:szCs w:val="18"/>
                <w:color w:val="auto"/>
              </w:rPr>
            </w:pPr>
          </w:p>
        </w:tc>
        <w:tc>
          <w:tcPr>
            <w:tcW w:w="2000" w:type="dxa"/>
            <w:vAlign w:val="bottom"/>
          </w:tcPr>
          <w:p>
            <w:pPr>
              <w:ind w:left="1120"/>
              <w:spacing w:after="0"/>
              <w:rPr>
                <w:sz w:val="20"/>
                <w:szCs w:val="20"/>
                <w:color w:val="auto"/>
              </w:rPr>
            </w:pPr>
            <w:r>
              <w:rPr>
                <w:rFonts w:ascii="Arial" w:cs="Arial" w:eastAsia="Arial" w:hAnsi="Arial"/>
                <w:sz w:val="18"/>
                <w:szCs w:val="18"/>
                <w:b w:val="1"/>
                <w:bCs w:val="1"/>
                <w:i w:val="1"/>
                <w:iCs w:val="1"/>
                <w:color w:val="auto"/>
              </w:rPr>
              <w:t>Note</w:t>
            </w: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Excluding</w:t>
            </w:r>
          </w:p>
        </w:tc>
        <w:tc>
          <w:tcPr>
            <w:tcW w:w="158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Including</w:t>
            </w:r>
          </w:p>
        </w:tc>
        <w:tc>
          <w:tcPr>
            <w:tcW w:w="1340" w:type="dxa"/>
            <w:vAlign w:val="bottom"/>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Exceptional</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Exceptional</w:t>
            </w:r>
          </w:p>
        </w:tc>
        <w:tc>
          <w:tcPr>
            <w:tcW w:w="134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Exceptional items</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items</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items</w:t>
            </w:r>
          </w:p>
        </w:tc>
        <w:tc>
          <w:tcPr>
            <w:tcW w:w="1340" w:type="dxa"/>
            <w:vAlign w:val="bottom"/>
          </w:tcPr>
          <w:p>
            <w:pPr>
              <w:spacing w:after="0"/>
              <w:rPr>
                <w:sz w:val="20"/>
                <w:szCs w:val="20"/>
                <w:color w:val="auto"/>
              </w:rPr>
            </w:pP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revenue</w:t>
            </w: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1,296,509</w:t>
            </w:r>
          </w:p>
        </w:tc>
        <w:tc>
          <w:tcPr>
            <w:tcW w:w="15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1,296,509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1,263,147</w:t>
            </w:r>
          </w:p>
        </w:tc>
      </w:tr>
      <w:tr>
        <w:trPr>
          <w:trHeight w:val="222"/>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w:t>
            </w:r>
          </w:p>
        </w:tc>
        <w:tc>
          <w:tcPr>
            <w:tcW w:w="20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(350,780)</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(350,780)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(363,103)</w:t>
            </w:r>
          </w:p>
        </w:tc>
      </w:tr>
      <w:tr>
        <w:trPr>
          <w:trHeight w:val="215"/>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0" w:type="dxa"/>
            <w:vAlign w:val="bottom"/>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9"/>
              </w:rPr>
              <w:t>1</w:t>
            </w:r>
          </w:p>
        </w:tc>
        <w:tc>
          <w:tcPr>
            <w:tcW w:w="1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945,729</w:t>
            </w:r>
          </w:p>
        </w:tc>
        <w:tc>
          <w:tcPr>
            <w:tcW w:w="15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945,729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900,044</w:t>
            </w: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960" w:type="dxa"/>
            <w:vAlign w:val="bottom"/>
          </w:tcPr>
          <w:p>
            <w:pPr>
              <w:spacing w:after="0"/>
              <w:rPr>
                <w:sz w:val="20"/>
                <w:szCs w:val="20"/>
                <w:color w:val="auto"/>
              </w:rPr>
            </w:pPr>
            <w:r>
              <w:rPr>
                <w:rFonts w:ascii="Arial" w:cs="Arial" w:eastAsia="Arial" w:hAnsi="Arial"/>
                <w:sz w:val="18"/>
                <w:szCs w:val="18"/>
                <w:color w:val="auto"/>
              </w:rPr>
              <w:t>Direct costs</w:t>
            </w:r>
          </w:p>
        </w:tc>
        <w:tc>
          <w:tcPr>
            <w:tcW w:w="2000" w:type="dxa"/>
            <w:vAlign w:val="bottom"/>
          </w:tcPr>
          <w:p>
            <w:pPr>
              <w:jc w:val="center"/>
              <w:ind w:left="610"/>
              <w:spacing w:after="0"/>
              <w:rPr>
                <w:sz w:val="20"/>
                <w:szCs w:val="20"/>
                <w:color w:val="auto"/>
              </w:rPr>
            </w:pPr>
            <w:r>
              <w:rPr>
                <w:rFonts w:ascii="Arial" w:cs="Arial" w:eastAsia="Arial" w:hAnsi="Arial"/>
                <w:sz w:val="18"/>
                <w:szCs w:val="18"/>
                <w:i w:val="1"/>
                <w:iCs w:val="1"/>
                <w:color w:val="auto"/>
                <w:w w:val="99"/>
              </w:rPr>
              <w:t>7</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(612,038)</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(5,838)</w:t>
            </w: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rPr>
              <w:t>(617,876)</w:t>
            </w:r>
          </w:p>
        </w:tc>
        <w:tc>
          <w:tcPr>
            <w:tcW w:w="1340" w:type="dxa"/>
            <w:vAlign w:val="bottom"/>
          </w:tcPr>
          <w:p>
            <w:pPr>
              <w:jc w:val="right"/>
              <w:spacing w:after="0"/>
              <w:rPr>
                <w:sz w:val="20"/>
                <w:szCs w:val="20"/>
                <w:color w:val="auto"/>
              </w:rPr>
            </w:pPr>
            <w:r>
              <w:rPr>
                <w:rFonts w:ascii="Arial" w:cs="Arial" w:eastAsia="Arial" w:hAnsi="Arial"/>
                <w:sz w:val="18"/>
                <w:szCs w:val="18"/>
                <w:color w:val="auto"/>
              </w:rPr>
              <w:t>(541,407)</w:t>
            </w:r>
          </w:p>
        </w:tc>
      </w:tr>
      <w:tr>
        <w:trPr>
          <w:trHeight w:val="222"/>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0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9"/>
              </w:rPr>
              <w:t>7</w:t>
            </w: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(294,850)</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(3,979)</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(298,829)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(266,751)</w:t>
            </w:r>
          </w:p>
        </w:tc>
      </w:tr>
      <w:tr>
        <w:trPr>
          <w:trHeight w:val="215"/>
        </w:trPr>
        <w:tc>
          <w:tcPr>
            <w:tcW w:w="296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200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38,841</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(9,817)</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29,024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91,886</w:t>
            </w:r>
          </w:p>
        </w:tc>
      </w:tr>
      <w:tr>
        <w:trPr>
          <w:trHeight w:val="215"/>
        </w:trPr>
        <w:tc>
          <w:tcPr>
            <w:tcW w:w="2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960" w:type="dxa"/>
            <w:vAlign w:val="bottom"/>
          </w:tcPr>
          <w:p>
            <w:pPr>
              <w:spacing w:after="0"/>
              <w:rPr>
                <w:sz w:val="20"/>
                <w:szCs w:val="20"/>
                <w:color w:val="auto"/>
              </w:rPr>
            </w:pPr>
            <w:r>
              <w:rPr>
                <w:rFonts w:ascii="Arial" w:cs="Arial" w:eastAsia="Arial" w:hAnsi="Arial"/>
                <w:sz w:val="18"/>
                <w:szCs w:val="18"/>
                <w:color w:val="auto"/>
              </w:rPr>
              <w:t>Financing income</w:t>
            </w:r>
          </w:p>
        </w:tc>
        <w:tc>
          <w:tcPr>
            <w:tcW w:w="2000" w:type="dxa"/>
            <w:vAlign w:val="bottom"/>
          </w:tcPr>
          <w:p>
            <w:pPr>
              <w:jc w:val="center"/>
              <w:ind w:left="610"/>
              <w:spacing w:after="0"/>
              <w:rPr>
                <w:sz w:val="20"/>
                <w:szCs w:val="20"/>
                <w:color w:val="auto"/>
              </w:rPr>
            </w:pPr>
            <w:r>
              <w:rPr>
                <w:rFonts w:ascii="Arial" w:cs="Arial" w:eastAsia="Arial" w:hAnsi="Arial"/>
                <w:sz w:val="18"/>
                <w:szCs w:val="18"/>
                <w:i w:val="1"/>
                <w:iCs w:val="1"/>
                <w:color w:val="auto"/>
                <w:w w:val="99"/>
              </w:rPr>
              <w:t>3</w:t>
            </w: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rPr>
              <w:t>2,335</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2,335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2,741</w:t>
            </w:r>
          </w:p>
        </w:tc>
      </w:tr>
      <w:tr>
        <w:trPr>
          <w:trHeight w:val="222"/>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20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4</w:t>
            </w: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(2,573)</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(2,573)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2000" w:type="dxa"/>
            <w:vAlign w:val="bottom"/>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9"/>
              </w:rPr>
              <w:t>2</w:t>
            </w:r>
          </w:p>
        </w:tc>
        <w:tc>
          <w:tcPr>
            <w:tcW w:w="1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38,603</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(9,817)</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28,786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92,749</w:t>
            </w:r>
          </w:p>
        </w:tc>
      </w:tr>
      <w:tr>
        <w:trPr>
          <w:trHeight w:val="222"/>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20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i w:val="1"/>
                <w:iCs w:val="1"/>
                <w:color w:val="auto"/>
                <w:w w:val="87"/>
              </w:rPr>
              <w:t>5,7</w:t>
            </w: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(10,787)</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1,231</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(9,556)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215"/>
        </w:trPr>
        <w:tc>
          <w:tcPr>
            <w:tcW w:w="2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Profit for the financial year</w:t>
            </w:r>
          </w:p>
        </w:tc>
        <w:tc>
          <w:tcPr>
            <w:tcW w:w="20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27,816</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(8,586)</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19,230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86,172</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2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96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holders of the Company</w:t>
            </w:r>
          </w:p>
        </w:tc>
        <w:tc>
          <w:tcPr>
            <w:tcW w:w="20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i w:val="1"/>
                <w:iCs w:val="1"/>
                <w:color w:val="auto"/>
                <w:w w:val="89"/>
              </w:rPr>
              <w:t>24</w:t>
            </w:r>
          </w:p>
        </w:tc>
        <w:tc>
          <w:tcPr>
            <w:tcW w:w="1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27,816</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(8,586)</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19,230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86,172</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2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ordinary share</w:t>
            </w:r>
          </w:p>
        </w:tc>
        <w:tc>
          <w:tcPr>
            <w:tcW w:w="2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20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9"/>
              </w:rPr>
              <w:t>6</w:t>
            </w:r>
          </w:p>
        </w:tc>
        <w:tc>
          <w:tcPr>
            <w:tcW w:w="1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0.46</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(0.14)</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0.32</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09"/>
        </w:trPr>
        <w:tc>
          <w:tcPr>
            <w:tcW w:w="2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20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9"/>
              </w:rPr>
              <w:t>6</w:t>
            </w:r>
          </w:p>
        </w:tc>
        <w:tc>
          <w:tcPr>
            <w:tcW w:w="19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0.45</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(0.14)</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0.31</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693"/>
        </w:trPr>
        <w:tc>
          <w:tcPr>
            <w:tcW w:w="296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926"/>
        </w:trPr>
        <w:tc>
          <w:tcPr>
            <w:tcW w:w="2960" w:type="dxa"/>
            <w:vAlign w:val="bottom"/>
          </w:tcPr>
          <w:p>
            <w:pPr>
              <w:spacing w:after="0"/>
              <w:rPr>
                <w:sz w:val="20"/>
                <w:szCs w:val="20"/>
                <w:color w:val="auto"/>
              </w:rPr>
            </w:pPr>
            <w:r>
              <w:rPr>
                <w:rFonts w:ascii="Arial" w:cs="Arial" w:eastAsia="Arial" w:hAnsi="Arial"/>
                <w:sz w:val="18"/>
                <w:szCs w:val="18"/>
                <w:color w:val="auto"/>
              </w:rPr>
              <w:t>Dr. Bruce Given</w:t>
            </w:r>
          </w:p>
        </w:tc>
        <w:tc>
          <w:tcPr>
            <w:tcW w:w="2000" w:type="dxa"/>
            <w:vAlign w:val="bottom"/>
          </w:tcPr>
          <w:p>
            <w:pPr>
              <w:ind w:left="700"/>
              <w:spacing w:after="0"/>
              <w:rPr>
                <w:sz w:val="20"/>
                <w:szCs w:val="20"/>
                <w:color w:val="auto"/>
              </w:rPr>
            </w:pPr>
            <w:r>
              <w:rPr>
                <w:rFonts w:ascii="Arial" w:cs="Arial" w:eastAsia="Arial" w:hAnsi="Arial"/>
                <w:sz w:val="18"/>
                <w:szCs w:val="18"/>
                <w:color w:val="auto"/>
              </w:rPr>
              <w:t>Ciaran Murray</w:t>
            </w:r>
          </w:p>
        </w:tc>
        <w:tc>
          <w:tcPr>
            <w:tcW w:w="1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00" w:type="dxa"/>
            <w:vAlign w:val="bottom"/>
          </w:tcPr>
          <w:p>
            <w:pPr>
              <w:ind w:left="700"/>
              <w:spacing w:after="0"/>
              <w:rPr>
                <w:sz w:val="20"/>
                <w:szCs w:val="20"/>
                <w:color w:val="auto"/>
              </w:rPr>
            </w:pPr>
            <w:r>
              <w:rPr>
                <w:rFonts w:ascii="Arial" w:cs="Arial" w:eastAsia="Arial" w:hAnsi="Arial"/>
                <w:sz w:val="18"/>
                <w:szCs w:val="18"/>
                <w:i w:val="1"/>
                <w:iCs w:val="1"/>
                <w:color w:val="auto"/>
              </w:rPr>
              <w:t>Director</w:t>
            </w:r>
          </w:p>
        </w:tc>
        <w:tc>
          <w:tcPr>
            <w:tcW w:w="1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605"/>
        </w:trPr>
        <w:tc>
          <w:tcPr>
            <w:tcW w:w="2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jc w:val="right"/>
              <w:ind w:right="1010"/>
              <w:spacing w:after="0"/>
              <w:rPr>
                <w:sz w:val="20"/>
                <w:szCs w:val="20"/>
                <w:color w:val="auto"/>
              </w:rPr>
            </w:pPr>
            <w:r>
              <w:rPr>
                <w:rFonts w:ascii="Arial" w:cs="Arial" w:eastAsia="Arial" w:hAnsi="Arial"/>
                <w:sz w:val="18"/>
                <w:szCs w:val="18"/>
                <w:color w:val="auto"/>
              </w:rPr>
              <w:t>54</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7"/>
        </w:trPr>
        <w:tc>
          <w:tcPr>
            <w:tcW w:w="296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Consolidated Statement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jc w:val="right"/>
              <w:ind w:right="470"/>
              <w:spacing w:after="0"/>
              <w:rPr>
                <w:sz w:val="20"/>
                <w:szCs w:val="20"/>
                <w:color w:val="auto"/>
              </w:rPr>
            </w:pPr>
            <w:r>
              <w:rPr>
                <w:rFonts w:ascii="Arial" w:cs="Arial" w:eastAsia="Arial" w:hAnsi="Arial"/>
                <w:sz w:val="18"/>
                <w:szCs w:val="18"/>
                <w:b w:val="1"/>
                <w:bCs w:val="1"/>
                <w:i w:val="1"/>
                <w:iCs w:val="1"/>
                <w:color w:val="auto"/>
              </w:rPr>
              <w:t>Note</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3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430"/>
        </w:trPr>
        <w:tc>
          <w:tcPr>
            <w:tcW w:w="364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1540" w:type="dxa"/>
            <w:vAlign w:val="bottom"/>
            <w:shd w:val="clear" w:color="auto" w:fill="CCEEFF"/>
          </w:tcPr>
          <w:p>
            <w:pPr>
              <w:spacing w:after="0"/>
              <w:rPr>
                <w:sz w:val="18"/>
                <w:szCs w:val="18"/>
                <w:color w:val="auto"/>
              </w:rPr>
            </w:pPr>
          </w:p>
        </w:tc>
        <w:tc>
          <w:tcPr>
            <w:tcW w:w="3000" w:type="dxa"/>
            <w:vAlign w:val="bottom"/>
            <w:shd w:val="clear" w:color="auto" w:fill="CCEEFF"/>
          </w:tcPr>
          <w:p>
            <w:pPr>
              <w:jc w:val="center"/>
              <w:ind w:left="157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(11,348)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r>
      <w:tr>
        <w:trPr>
          <w:trHeight w:val="215"/>
        </w:trPr>
        <w:tc>
          <w:tcPr>
            <w:tcW w:w="5180" w:type="dxa"/>
            <w:vAlign w:val="bottom"/>
            <w:gridSpan w:val="2"/>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 on long-term intercompany funding</w:t>
            </w:r>
          </w:p>
        </w:tc>
        <w:tc>
          <w:tcPr>
            <w:tcW w:w="3000" w:type="dxa"/>
            <w:vAlign w:val="bottom"/>
            <w:shd w:val="clear" w:color="auto" w:fill="CCEEFF"/>
          </w:tcPr>
          <w:p>
            <w:pPr>
              <w:jc w:val="center"/>
              <w:ind w:left="157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(802)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Tax on currency impact on long-term funding</w:t>
            </w:r>
          </w:p>
        </w:tc>
        <w:tc>
          <w:tcPr>
            <w:tcW w:w="1540" w:type="dxa"/>
            <w:vAlign w:val="bottom"/>
            <w:shd w:val="clear" w:color="auto" w:fill="CCEEFF"/>
          </w:tcPr>
          <w:p>
            <w:pPr>
              <w:spacing w:after="0"/>
              <w:rPr>
                <w:sz w:val="18"/>
                <w:szCs w:val="18"/>
                <w:color w:val="auto"/>
              </w:rPr>
            </w:pPr>
          </w:p>
        </w:tc>
        <w:tc>
          <w:tcPr>
            <w:tcW w:w="3000" w:type="dxa"/>
            <w:vAlign w:val="bottom"/>
            <w:shd w:val="clear" w:color="auto" w:fill="CCEEFF"/>
          </w:tcPr>
          <w:p>
            <w:pPr>
              <w:jc w:val="center"/>
              <w:ind w:left="157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294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Unrealised capital loss on investments</w:t>
            </w:r>
          </w:p>
        </w:tc>
        <w:tc>
          <w:tcPr>
            <w:tcW w:w="1540" w:type="dxa"/>
            <w:vAlign w:val="bottom"/>
            <w:shd w:val="clear" w:color="auto" w:fill="CCEEFF"/>
          </w:tcPr>
          <w:p>
            <w:pPr>
              <w:spacing w:after="0"/>
              <w:rPr>
                <w:sz w:val="18"/>
                <w:szCs w:val="18"/>
                <w:color w:val="auto"/>
              </w:rPr>
            </w:pPr>
          </w:p>
        </w:tc>
        <w:tc>
          <w:tcPr>
            <w:tcW w:w="3000" w:type="dxa"/>
            <w:vAlign w:val="bottom"/>
            <w:shd w:val="clear" w:color="auto" w:fill="CCEEFF"/>
          </w:tcPr>
          <w:p>
            <w:pPr>
              <w:jc w:val="center"/>
              <w:ind w:left="157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5"/>
              </w:rPr>
              <w:t>Deferred tax movement on unexercised options</w:t>
            </w:r>
          </w:p>
        </w:tc>
        <w:tc>
          <w:tcPr>
            <w:tcW w:w="1540" w:type="dxa"/>
            <w:vAlign w:val="bottom"/>
            <w:shd w:val="clear" w:color="auto" w:fill="CCEEFF"/>
          </w:tcPr>
          <w:p>
            <w:pPr>
              <w:spacing w:after="0"/>
              <w:rPr>
                <w:sz w:val="18"/>
                <w:szCs w:val="18"/>
                <w:color w:val="auto"/>
              </w:rPr>
            </w:pPr>
          </w:p>
        </w:tc>
        <w:tc>
          <w:tcPr>
            <w:tcW w:w="3000" w:type="dxa"/>
            <w:vAlign w:val="bottom"/>
            <w:shd w:val="clear" w:color="auto" w:fill="CCEEFF"/>
          </w:tcPr>
          <w:p>
            <w:pPr>
              <w:jc w:val="center"/>
              <w:ind w:left="1570"/>
              <w:spacing w:after="0"/>
              <w:rPr>
                <w:sz w:val="20"/>
                <w:szCs w:val="20"/>
                <w:color w:val="auto"/>
              </w:rPr>
            </w:pPr>
            <w:r>
              <w:rPr>
                <w:rFonts w:ascii="Arial" w:cs="Arial" w:eastAsia="Arial" w:hAnsi="Arial"/>
                <w:sz w:val="18"/>
                <w:szCs w:val="18"/>
                <w:i w:val="1"/>
                <w:iCs w:val="1"/>
                <w:color w:val="auto"/>
                <w:w w:val="99"/>
              </w:rPr>
              <w:t>5</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Tax benefit excess on exercised options</w:t>
            </w:r>
          </w:p>
        </w:tc>
        <w:tc>
          <w:tcPr>
            <w:tcW w:w="1540" w:type="dxa"/>
            <w:vAlign w:val="bottom"/>
            <w:shd w:val="clear" w:color="auto" w:fill="CCEEFF"/>
          </w:tcPr>
          <w:p>
            <w:pPr>
              <w:spacing w:after="0"/>
              <w:rPr>
                <w:sz w:val="18"/>
                <w:szCs w:val="18"/>
                <w:color w:val="auto"/>
              </w:rPr>
            </w:pPr>
          </w:p>
        </w:tc>
        <w:tc>
          <w:tcPr>
            <w:tcW w:w="3000" w:type="dxa"/>
            <w:vAlign w:val="bottom"/>
            <w:shd w:val="clear" w:color="auto" w:fill="CCEEFF"/>
          </w:tcPr>
          <w:p>
            <w:pPr>
              <w:jc w:val="center"/>
              <w:ind w:left="157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681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r>
      <w:tr>
        <w:trPr>
          <w:trHeight w:val="215"/>
        </w:trPr>
        <w:tc>
          <w:tcPr>
            <w:tcW w:w="5180" w:type="dxa"/>
            <w:vAlign w:val="bottom"/>
            <w:gridSpan w:val="2"/>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5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Actuarial loss recognised on defined benefit pension scheme</w:t>
            </w:r>
          </w:p>
        </w:tc>
        <w:tc>
          <w:tcPr>
            <w:tcW w:w="3000" w:type="dxa"/>
            <w:vAlign w:val="bottom"/>
            <w:tcBorders>
              <w:bottom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i w:val="1"/>
                <w:iCs w:val="1"/>
                <w:color w:val="auto"/>
                <w:w w:val="99"/>
              </w:rPr>
              <w:t>9</w:t>
            </w:r>
          </w:p>
        </w:tc>
        <w:tc>
          <w:tcPr>
            <w:tcW w:w="1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(4,365)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15"/>
        </w:trPr>
        <w:tc>
          <w:tcPr>
            <w:tcW w:w="5180" w:type="dxa"/>
            <w:vAlign w:val="bottom"/>
            <w:gridSpan w:val="2"/>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recognised directly within other comprehensive income</w:t>
            </w:r>
          </w:p>
        </w:tc>
        <w:tc>
          <w:tcPr>
            <w:tcW w:w="300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(16,162)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financial year</w:t>
            </w:r>
          </w:p>
        </w:tc>
        <w:tc>
          <w:tcPr>
            <w:tcW w:w="154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19,230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86,172</w:t>
            </w:r>
          </w:p>
        </w:tc>
      </w:tr>
      <w:tr>
        <w:trPr>
          <w:trHeight w:val="215"/>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Total comprehensive income for the financial year</w:t>
            </w:r>
          </w:p>
        </w:tc>
        <w:tc>
          <w:tcPr>
            <w:tcW w:w="1540" w:type="dxa"/>
            <w:vAlign w:val="bottom"/>
            <w:tcBorders>
              <w:bottom w:val="single" w:sz="8" w:color="auto"/>
            </w:tcBorders>
            <w:shd w:val="clear" w:color="auto" w:fill="CCEEFF"/>
          </w:tcPr>
          <w:p>
            <w:pPr>
              <w:spacing w:after="0"/>
              <w:rPr>
                <w:sz w:val="22"/>
                <w:szCs w:val="22"/>
                <w:color w:val="auto"/>
              </w:rPr>
            </w:pPr>
          </w:p>
        </w:tc>
        <w:tc>
          <w:tcPr>
            <w:tcW w:w="300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3,068</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73,464</w:t>
            </w:r>
          </w:p>
        </w:tc>
      </w:tr>
      <w:tr>
        <w:trPr>
          <w:trHeight w:val="209"/>
        </w:trPr>
        <w:tc>
          <w:tcPr>
            <w:tcW w:w="3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15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holders of the Company</w:t>
            </w:r>
          </w:p>
        </w:tc>
        <w:tc>
          <w:tcPr>
            <w:tcW w:w="15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3,068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73,464</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5180" w:type="dxa"/>
            <w:vAlign w:val="bottom"/>
            <w:gridSpan w:val="2"/>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comprehensive income for the financial year</w:t>
            </w:r>
          </w:p>
        </w:tc>
        <w:tc>
          <w:tcPr>
            <w:tcW w:w="30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3,068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73,464</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93"/>
        </w:trPr>
        <w:tc>
          <w:tcPr>
            <w:tcW w:w="364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2"/>
        </w:trPr>
        <w:tc>
          <w:tcPr>
            <w:tcW w:w="3640" w:type="dxa"/>
            <w:vAlign w:val="bottom"/>
          </w:tcPr>
          <w:p>
            <w:pPr>
              <w:spacing w:after="0"/>
              <w:rPr>
                <w:sz w:val="20"/>
                <w:szCs w:val="20"/>
                <w:color w:val="auto"/>
              </w:rPr>
            </w:pPr>
            <w:r>
              <w:rPr>
                <w:rFonts w:ascii="Arial" w:cs="Arial" w:eastAsia="Arial" w:hAnsi="Arial"/>
                <w:sz w:val="18"/>
                <w:szCs w:val="18"/>
                <w:color w:val="auto"/>
              </w:rPr>
              <w:t>Dr. Bruce Given</w:t>
            </w:r>
          </w:p>
        </w:tc>
        <w:tc>
          <w:tcPr>
            <w:tcW w:w="1540" w:type="dxa"/>
            <w:vAlign w:val="bottom"/>
          </w:tcPr>
          <w:p>
            <w:pPr>
              <w:ind w:left="20"/>
              <w:spacing w:after="0"/>
              <w:rPr>
                <w:sz w:val="20"/>
                <w:szCs w:val="20"/>
                <w:color w:val="auto"/>
              </w:rPr>
            </w:pPr>
            <w:r>
              <w:rPr>
                <w:rFonts w:ascii="Arial" w:cs="Arial" w:eastAsia="Arial" w:hAnsi="Arial"/>
                <w:sz w:val="18"/>
                <w:szCs w:val="18"/>
                <w:color w:val="auto"/>
              </w:rPr>
              <w:t>Ciaran Murray</w:t>
            </w:r>
          </w:p>
        </w:tc>
        <w:tc>
          <w:tcPr>
            <w:tcW w:w="3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30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605"/>
        </w:trPr>
        <w:tc>
          <w:tcPr>
            <w:tcW w:w="3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tcPr>
          <w:p>
            <w:pPr>
              <w:jc w:val="right"/>
              <w:ind w:right="2290"/>
              <w:spacing w:after="0"/>
              <w:rPr>
                <w:sz w:val="20"/>
                <w:szCs w:val="20"/>
                <w:color w:val="auto"/>
              </w:rPr>
            </w:pPr>
            <w:r>
              <w:rPr>
                <w:rFonts w:ascii="Arial" w:cs="Arial" w:eastAsia="Arial" w:hAnsi="Arial"/>
                <w:sz w:val="18"/>
                <w:szCs w:val="18"/>
                <w:color w:val="auto"/>
              </w:rPr>
              <w:t>55</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7"/>
        </w:trPr>
        <w:tc>
          <w:tcPr>
            <w:tcW w:w="364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Consolidated Statement of Financial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440" w:type="dxa"/>
            <w:vAlign w:val="bottom"/>
          </w:tcPr>
          <w:p>
            <w:pPr>
              <w:spacing w:after="0"/>
              <w:rPr>
                <w:sz w:val="18"/>
                <w:szCs w:val="18"/>
                <w:color w:val="auto"/>
              </w:rPr>
            </w:pPr>
          </w:p>
        </w:tc>
        <w:tc>
          <w:tcPr>
            <w:tcW w:w="4740" w:type="dxa"/>
            <w:vAlign w:val="bottom"/>
          </w:tcPr>
          <w:p>
            <w:pPr>
              <w:ind w:left="3840"/>
              <w:spacing w:after="0"/>
              <w:rPr>
                <w:sz w:val="20"/>
                <w:szCs w:val="20"/>
                <w:color w:val="auto"/>
              </w:rPr>
            </w:pPr>
            <w:r>
              <w:rPr>
                <w:rFonts w:ascii="Arial" w:cs="Arial" w:eastAsia="Arial" w:hAnsi="Arial"/>
                <w:sz w:val="18"/>
                <w:szCs w:val="18"/>
                <w:b w:val="1"/>
                <w:bCs w:val="1"/>
                <w:i w:val="1"/>
                <w:iCs w:val="1"/>
                <w:color w:val="auto"/>
              </w:rPr>
              <w:t>Note</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15"/>
        </w:trPr>
        <w:tc>
          <w:tcPr>
            <w:tcW w:w="34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740" w:type="dxa"/>
            <w:vAlign w:val="bottom"/>
          </w:tcPr>
          <w:p>
            <w:pPr>
              <w:spacing w:after="0"/>
              <w:rPr>
                <w:sz w:val="18"/>
                <w:szCs w:val="18"/>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33"/>
        </w:trPr>
        <w:tc>
          <w:tcPr>
            <w:tcW w:w="34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11</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129,389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140,100</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Intangible assets – goodwill and other</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12</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334,736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228,914</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16</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10,601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10,598</w:t>
            </w: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4740" w:type="dxa"/>
            <w:vAlign w:val="bottom"/>
            <w:tcBorders>
              <w:bottom w:val="single" w:sz="8" w:color="auto"/>
            </w:tcBorders>
          </w:tcPr>
          <w:p>
            <w:pPr>
              <w:jc w:val="center"/>
              <w:ind w:left="3310"/>
              <w:spacing w:after="0"/>
              <w:rPr>
                <w:sz w:val="20"/>
                <w:szCs w:val="20"/>
                <w:color w:val="auto"/>
              </w:rPr>
            </w:pPr>
            <w:r>
              <w:rPr>
                <w:rFonts w:ascii="Arial" w:cs="Arial" w:eastAsia="Arial" w:hAnsi="Arial"/>
                <w:sz w:val="18"/>
                <w:szCs w:val="18"/>
                <w:i w:val="1"/>
                <w:iCs w:val="1"/>
                <w:color w:val="auto"/>
                <w:w w:val="99"/>
              </w:rPr>
              <w:t>5</w:t>
            </w: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4,610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7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479,336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381,474</w:t>
            </w:r>
          </w:p>
        </w:tc>
      </w:tr>
      <w:tr>
        <w:trPr>
          <w:trHeight w:val="215"/>
        </w:trPr>
        <w:tc>
          <w:tcPr>
            <w:tcW w:w="3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Inventories</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14</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2,787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3,792</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15</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201,338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164,907</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Unbilled revenue</w:t>
            </w:r>
          </w:p>
        </w:tc>
        <w:tc>
          <w:tcPr>
            <w:tcW w:w="4740" w:type="dxa"/>
            <w:vAlign w:val="bottom"/>
          </w:tcPr>
          <w:p>
            <w:pPr>
              <w:spacing w:after="0"/>
              <w:rPr>
                <w:sz w:val="18"/>
                <w:szCs w:val="18"/>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126,850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101,431</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16</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26,409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23,005</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Current taxes receivable</w:t>
            </w:r>
          </w:p>
        </w:tc>
        <w:tc>
          <w:tcPr>
            <w:tcW w:w="4740" w:type="dxa"/>
            <w:vAlign w:val="bottom"/>
          </w:tcPr>
          <w:p>
            <w:pPr>
              <w:spacing w:after="0"/>
              <w:rPr>
                <w:sz w:val="18"/>
                <w:szCs w:val="18"/>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18,455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19,446</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17</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54,940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740" w:type="dxa"/>
            <w:vAlign w:val="bottom"/>
            <w:tcBorders>
              <w:bottom w:val="single" w:sz="8" w:color="auto"/>
            </w:tcBorders>
          </w:tcPr>
          <w:p>
            <w:pPr>
              <w:jc w:val="center"/>
              <w:ind w:left="3310"/>
              <w:spacing w:after="0"/>
              <w:rPr>
                <w:sz w:val="20"/>
                <w:szCs w:val="20"/>
                <w:color w:val="auto"/>
              </w:rPr>
            </w:pPr>
            <w:r>
              <w:rPr>
                <w:rFonts w:ascii="Arial" w:cs="Arial" w:eastAsia="Arial" w:hAnsi="Arial"/>
                <w:sz w:val="18"/>
                <w:szCs w:val="18"/>
                <w:i w:val="1"/>
                <w:iCs w:val="1"/>
                <w:color w:val="auto"/>
                <w:w w:val="89"/>
              </w:rPr>
              <w:t>18</w:t>
            </w: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119,237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255,706</w:t>
            </w: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7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550,016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568,287</w:t>
            </w:r>
          </w:p>
        </w:tc>
      </w:tr>
      <w:tr>
        <w:trPr>
          <w:trHeight w:val="222"/>
        </w:trPr>
        <w:tc>
          <w:tcPr>
            <w:tcW w:w="34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55"/>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7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1,029,352</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949,761</w:t>
            </w:r>
          </w:p>
        </w:tc>
      </w:tr>
      <w:tr>
        <w:trPr>
          <w:trHeight w:val="209"/>
        </w:trPr>
        <w:tc>
          <w:tcPr>
            <w:tcW w:w="3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Share capital</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23</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5,055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5,063</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160,090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155,537</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Share based payment reserve</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39,429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31,478</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Capital redemption reserve</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Other reserves</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7,422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7,422</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(11,507)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w w:val="96"/>
              </w:rPr>
              <w:t>Current asset investment - fair value reserve</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rPr>
              <w:t>(622)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740" w:type="dxa"/>
            <w:vAlign w:val="bottom"/>
            <w:tcBorders>
              <w:bottom w:val="single" w:sz="8" w:color="auto"/>
            </w:tcBorders>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24</w:t>
            </w: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491,937</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483,896</w:t>
            </w: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Total equity attributable to equity holders</w:t>
            </w:r>
          </w:p>
        </w:tc>
        <w:tc>
          <w:tcPr>
            <w:tcW w:w="4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691,848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683,745</w:t>
            </w:r>
          </w:p>
        </w:tc>
      </w:tr>
      <w:tr>
        <w:trPr>
          <w:trHeight w:val="215"/>
        </w:trPr>
        <w:tc>
          <w:tcPr>
            <w:tcW w:w="344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19</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9,486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6,129</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Non-current provisions</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20</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11,903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liabilities</w:t>
            </w:r>
          </w:p>
        </w:tc>
        <w:tc>
          <w:tcPr>
            <w:tcW w:w="4740" w:type="dxa"/>
            <w:vAlign w:val="bottom"/>
            <w:tcBorders>
              <w:bottom w:val="single" w:sz="8" w:color="auto"/>
            </w:tcBorders>
          </w:tcPr>
          <w:p>
            <w:pPr>
              <w:jc w:val="center"/>
              <w:ind w:left="3310"/>
              <w:spacing w:after="0"/>
              <w:rPr>
                <w:sz w:val="20"/>
                <w:szCs w:val="20"/>
                <w:color w:val="auto"/>
              </w:rPr>
            </w:pPr>
            <w:r>
              <w:rPr>
                <w:rFonts w:ascii="Arial" w:cs="Arial" w:eastAsia="Arial" w:hAnsi="Arial"/>
                <w:sz w:val="18"/>
                <w:szCs w:val="18"/>
                <w:i w:val="1"/>
                <w:iCs w:val="1"/>
                <w:color w:val="auto"/>
                <w:w w:val="99"/>
              </w:rPr>
              <w:t>5</w:t>
            </w: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5,155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1,295</w:t>
            </w: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7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26,544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7,424</w:t>
            </w:r>
          </w:p>
        </w:tc>
      </w:tr>
      <w:tr>
        <w:trPr>
          <w:trHeight w:val="215"/>
        </w:trPr>
        <w:tc>
          <w:tcPr>
            <w:tcW w:w="3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Accounts payable</w:t>
            </w:r>
          </w:p>
        </w:tc>
        <w:tc>
          <w:tcPr>
            <w:tcW w:w="4740" w:type="dxa"/>
            <w:vAlign w:val="bottom"/>
          </w:tcPr>
          <w:p>
            <w:pPr>
              <w:spacing w:after="0"/>
              <w:rPr>
                <w:sz w:val="18"/>
                <w:szCs w:val="18"/>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5,340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12,314</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47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150,792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134,240</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4740" w:type="dxa"/>
            <w:vAlign w:val="bottom"/>
          </w:tcPr>
          <w:p>
            <w:pPr>
              <w:jc w:val="center"/>
              <w:ind w:left="3310"/>
              <w:spacing w:after="0"/>
              <w:rPr>
                <w:sz w:val="20"/>
                <w:szCs w:val="20"/>
                <w:color w:val="auto"/>
              </w:rPr>
            </w:pPr>
            <w:r>
              <w:rPr>
                <w:rFonts w:ascii="Arial" w:cs="Arial" w:eastAsia="Arial" w:hAnsi="Arial"/>
                <w:sz w:val="18"/>
                <w:szCs w:val="18"/>
                <w:i w:val="1"/>
                <w:iCs w:val="1"/>
                <w:color w:val="auto"/>
                <w:w w:val="89"/>
              </w:rPr>
              <w:t>19</w:t>
            </w: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rPr>
              <w:t>104,478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96,172</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4740" w:type="dxa"/>
            <w:vAlign w:val="bottom"/>
            <w:shd w:val="clear" w:color="auto" w:fill="CCEEFF"/>
          </w:tcPr>
          <w:p>
            <w:pPr>
              <w:jc w:val="center"/>
              <w:ind w:left="3310"/>
              <w:spacing w:after="0"/>
              <w:rPr>
                <w:sz w:val="20"/>
                <w:szCs w:val="20"/>
                <w:color w:val="auto"/>
              </w:rPr>
            </w:pPr>
            <w:r>
              <w:rPr>
                <w:rFonts w:ascii="Arial" w:cs="Arial" w:eastAsia="Arial" w:hAnsi="Arial"/>
                <w:sz w:val="18"/>
                <w:szCs w:val="18"/>
                <w:i w:val="1"/>
                <w:iCs w:val="1"/>
                <w:color w:val="auto"/>
                <w:w w:val="89"/>
              </w:rPr>
              <w:t>20</w:t>
            </w:r>
          </w:p>
        </w:tc>
        <w:tc>
          <w:tcPr>
            <w:tcW w:w="19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41,489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3,027</w:t>
            </w: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tax payable</w:t>
            </w:r>
          </w:p>
        </w:tc>
        <w:tc>
          <w:tcPr>
            <w:tcW w:w="4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8,861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12,839</w:t>
            </w: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7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310,960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258,592</w:t>
            </w:r>
          </w:p>
        </w:tc>
      </w:tr>
      <w:tr>
        <w:trPr>
          <w:trHeight w:val="222"/>
        </w:trPr>
        <w:tc>
          <w:tcPr>
            <w:tcW w:w="34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7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337,504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266,016</w:t>
            </w:r>
          </w:p>
        </w:tc>
      </w:tr>
      <w:tr>
        <w:trPr>
          <w:trHeight w:val="215"/>
        </w:trPr>
        <w:tc>
          <w:tcPr>
            <w:tcW w:w="3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47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1,029,352</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949,761</w:t>
            </w:r>
          </w:p>
        </w:tc>
      </w:tr>
      <w:tr>
        <w:trPr>
          <w:trHeight w:val="693"/>
        </w:trPr>
        <w:tc>
          <w:tcPr>
            <w:tcW w:w="344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4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2"/>
        </w:trPr>
        <w:tc>
          <w:tcPr>
            <w:tcW w:w="3440" w:type="dxa"/>
            <w:vAlign w:val="bottom"/>
          </w:tcPr>
          <w:p>
            <w:pPr>
              <w:spacing w:after="0"/>
              <w:rPr>
                <w:sz w:val="20"/>
                <w:szCs w:val="20"/>
                <w:color w:val="auto"/>
              </w:rPr>
            </w:pPr>
            <w:r>
              <w:rPr>
                <w:rFonts w:ascii="Arial" w:cs="Arial" w:eastAsia="Arial" w:hAnsi="Arial"/>
                <w:sz w:val="18"/>
                <w:szCs w:val="18"/>
                <w:color w:val="auto"/>
              </w:rPr>
              <w:t>Dr. Bruce Given</w:t>
            </w:r>
          </w:p>
        </w:tc>
        <w:tc>
          <w:tcPr>
            <w:tcW w:w="4740" w:type="dxa"/>
            <w:vAlign w:val="bottom"/>
          </w:tcPr>
          <w:p>
            <w:pPr>
              <w:ind w:left="220"/>
              <w:spacing w:after="0"/>
              <w:rPr>
                <w:sz w:val="20"/>
                <w:szCs w:val="20"/>
                <w:color w:val="auto"/>
              </w:rPr>
            </w:pPr>
            <w:r>
              <w:rPr>
                <w:rFonts w:ascii="Arial" w:cs="Arial" w:eastAsia="Arial" w:hAnsi="Arial"/>
                <w:sz w:val="18"/>
                <w:szCs w:val="18"/>
                <w:color w:val="auto"/>
              </w:rPr>
              <w:t>Ciaran Murray</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740" w:type="dxa"/>
            <w:vAlign w:val="bottom"/>
          </w:tcPr>
          <w:p>
            <w:pPr>
              <w:ind w:left="220"/>
              <w:spacing w:after="0"/>
              <w:rPr>
                <w:sz w:val="20"/>
                <w:szCs w:val="20"/>
                <w:color w:val="auto"/>
              </w:rPr>
            </w:pPr>
            <w:r>
              <w:rPr>
                <w:rFonts w:ascii="Arial" w:cs="Arial" w:eastAsia="Arial" w:hAnsi="Arial"/>
                <w:sz w:val="18"/>
                <w:szCs w:val="18"/>
                <w:i w:val="1"/>
                <w:iCs w:val="1"/>
                <w:color w:val="auto"/>
              </w:rPr>
              <w:t>Director</w:t>
            </w:r>
          </w:p>
        </w:tc>
        <w:tc>
          <w:tcPr>
            <w:tcW w:w="1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605"/>
        </w:trPr>
        <w:tc>
          <w:tcPr>
            <w:tcW w:w="3440" w:type="dxa"/>
            <w:vAlign w:val="bottom"/>
          </w:tcPr>
          <w:p>
            <w:pPr>
              <w:spacing w:after="0"/>
              <w:rPr>
                <w:sz w:val="24"/>
                <w:szCs w:val="24"/>
                <w:color w:val="auto"/>
              </w:rPr>
            </w:pPr>
          </w:p>
        </w:tc>
        <w:tc>
          <w:tcPr>
            <w:tcW w:w="4740" w:type="dxa"/>
            <w:vAlign w:val="bottom"/>
          </w:tcPr>
          <w:p>
            <w:pPr>
              <w:jc w:val="right"/>
              <w:ind w:right="2290"/>
              <w:spacing w:after="0"/>
              <w:rPr>
                <w:sz w:val="20"/>
                <w:szCs w:val="20"/>
                <w:color w:val="auto"/>
              </w:rPr>
            </w:pPr>
            <w:r>
              <w:rPr>
                <w:rFonts w:ascii="Arial" w:cs="Arial" w:eastAsia="Arial" w:hAnsi="Arial"/>
                <w:sz w:val="18"/>
                <w:szCs w:val="18"/>
                <w:color w:val="auto"/>
              </w:rPr>
              <w:t>56</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7"/>
        </w:trPr>
        <w:tc>
          <w:tcPr>
            <w:tcW w:w="344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Consolidated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Current</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Number</w:t>
            </w: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920" w:type="dxa"/>
            <w:vAlign w:val="bottom"/>
            <w:vMerge w:val="continue"/>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Currency</w:t>
            </w:r>
          </w:p>
        </w:tc>
        <w:tc>
          <w:tcPr>
            <w:tcW w:w="96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Asset</w:t>
            </w: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Retained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20" w:type="dxa"/>
            <w:vAlign w:val="bottom"/>
          </w:tcPr>
          <w:p>
            <w:pPr>
              <w:jc w:val="right"/>
              <w:ind w:right="128"/>
              <w:spacing w:after="0" w:line="148" w:lineRule="exact"/>
              <w:rPr>
                <w:sz w:val="20"/>
                <w:szCs w:val="20"/>
                <w:color w:val="auto"/>
              </w:rPr>
            </w:pPr>
            <w:r>
              <w:rPr>
                <w:rFonts w:ascii="Arial" w:cs="Arial" w:eastAsia="Arial" w:hAnsi="Arial"/>
                <w:sz w:val="14"/>
                <w:szCs w:val="14"/>
                <w:b w:val="1"/>
                <w:bCs w:val="1"/>
                <w:color w:val="auto"/>
              </w:rPr>
              <w:t>Based</w:t>
            </w:r>
          </w:p>
        </w:tc>
        <w:tc>
          <w:tcPr>
            <w:tcW w:w="8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6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Investment</w:t>
            </w:r>
          </w:p>
        </w:tc>
        <w:tc>
          <w:tcPr>
            <w:tcW w:w="940" w:type="dxa"/>
            <w:vAlign w:val="bottom"/>
            <w:vMerge w:val="continue"/>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0" w:type="dxa"/>
            <w:vAlign w:val="bottom"/>
          </w:tcPr>
          <w:p>
            <w:pPr>
              <w:jc w:val="right"/>
              <w:ind w:right="188"/>
              <w:spacing w:after="0" w:line="148" w:lineRule="exact"/>
              <w:rPr>
                <w:sz w:val="20"/>
                <w:szCs w:val="20"/>
                <w:color w:val="auto"/>
              </w:rPr>
            </w:pPr>
            <w:r>
              <w:rPr>
                <w:rFonts w:ascii="Arial" w:cs="Arial" w:eastAsia="Arial" w:hAnsi="Arial"/>
                <w:sz w:val="14"/>
                <w:szCs w:val="14"/>
                <w:b w:val="1"/>
                <w:bCs w:val="1"/>
                <w:color w:val="auto"/>
              </w:rPr>
              <w:t>of shares</w:t>
            </w:r>
          </w:p>
        </w:tc>
        <w:tc>
          <w:tcPr>
            <w:tcW w:w="860" w:type="dxa"/>
            <w:vAlign w:val="bottom"/>
          </w:tcPr>
          <w:p>
            <w:pPr>
              <w:jc w:val="right"/>
              <w:ind w:right="128"/>
              <w:spacing w:after="0" w:line="148" w:lineRule="exact"/>
              <w:rPr>
                <w:sz w:val="20"/>
                <w:szCs w:val="20"/>
                <w:color w:val="auto"/>
              </w:rPr>
            </w:pPr>
            <w:r>
              <w:rPr>
                <w:rFonts w:ascii="Arial" w:cs="Arial" w:eastAsia="Arial" w:hAnsi="Arial"/>
                <w:sz w:val="14"/>
                <w:szCs w:val="14"/>
                <w:b w:val="1"/>
                <w:bCs w:val="1"/>
                <w:color w:val="auto"/>
              </w:rPr>
              <w:t>Capital</w:t>
            </w:r>
          </w:p>
        </w:tc>
        <w:tc>
          <w:tcPr>
            <w:tcW w:w="88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auto"/>
              </w:rPr>
              <w:t>Premium</w:t>
            </w:r>
          </w:p>
        </w:tc>
        <w:tc>
          <w:tcPr>
            <w:tcW w:w="104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Redemption</w:t>
            </w:r>
          </w:p>
        </w:tc>
        <w:tc>
          <w:tcPr>
            <w:tcW w:w="920" w:type="dxa"/>
            <w:vAlign w:val="bottom"/>
          </w:tcPr>
          <w:p>
            <w:pPr>
              <w:jc w:val="right"/>
              <w:ind w:right="128"/>
              <w:spacing w:after="0" w:line="148" w:lineRule="exact"/>
              <w:rPr>
                <w:sz w:val="20"/>
                <w:szCs w:val="20"/>
                <w:color w:val="auto"/>
              </w:rPr>
            </w:pPr>
            <w:r>
              <w:rPr>
                <w:rFonts w:ascii="Arial" w:cs="Arial" w:eastAsia="Arial" w:hAnsi="Arial"/>
                <w:sz w:val="14"/>
                <w:szCs w:val="14"/>
                <w:b w:val="1"/>
                <w:bCs w:val="1"/>
                <w:color w:val="auto"/>
              </w:rPr>
              <w:t>Payment</w:t>
            </w:r>
          </w:p>
        </w:tc>
        <w:tc>
          <w:tcPr>
            <w:tcW w:w="84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auto"/>
              </w:rPr>
              <w:t>Reserves</w:t>
            </w:r>
          </w:p>
        </w:tc>
        <w:tc>
          <w:tcPr>
            <w:tcW w:w="860" w:type="dxa"/>
            <w:vAlign w:val="bottom"/>
          </w:tcPr>
          <w:p>
            <w:pPr>
              <w:jc w:val="right"/>
              <w:ind w:right="48"/>
              <w:spacing w:after="0" w:line="148" w:lineRule="exact"/>
              <w:rPr>
                <w:sz w:val="20"/>
                <w:szCs w:val="20"/>
                <w:color w:val="auto"/>
              </w:rPr>
            </w:pPr>
            <w:r>
              <w:rPr>
                <w:rFonts w:ascii="Arial" w:cs="Arial" w:eastAsia="Arial" w:hAnsi="Arial"/>
                <w:sz w:val="14"/>
                <w:szCs w:val="14"/>
                <w:b w:val="1"/>
                <w:bCs w:val="1"/>
                <w:color w:val="auto"/>
              </w:rPr>
              <w:t>Reserve</w:t>
            </w:r>
          </w:p>
        </w:tc>
        <w:tc>
          <w:tcPr>
            <w:tcW w:w="96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tcPr>
          <w:p>
            <w:pPr>
              <w:jc w:val="right"/>
              <w:ind w:right="168"/>
              <w:spacing w:after="0" w:line="148" w:lineRule="exact"/>
              <w:rPr>
                <w:sz w:val="20"/>
                <w:szCs w:val="20"/>
                <w:color w:val="auto"/>
              </w:rPr>
            </w:pPr>
            <w:r>
              <w:rPr>
                <w:rFonts w:ascii="Arial" w:cs="Arial" w:eastAsia="Arial" w:hAnsi="Arial"/>
                <w:sz w:val="14"/>
                <w:szCs w:val="14"/>
                <w:b w:val="1"/>
                <w:bCs w:val="1"/>
                <w:color w:val="auto"/>
              </w:rPr>
              <w:t>Earnings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$’000</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$’000</w:t>
            </w:r>
          </w:p>
        </w:tc>
        <w:tc>
          <w:tcPr>
            <w:tcW w:w="104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Reserve</w:t>
            </w:r>
          </w:p>
        </w:tc>
        <w:tc>
          <w:tcPr>
            <w:tcW w:w="920" w:type="dxa"/>
            <w:vAlign w:val="bottom"/>
          </w:tcPr>
          <w:p>
            <w:pPr>
              <w:jc w:val="right"/>
              <w:ind w:right="128"/>
              <w:spacing w:after="0" w:line="148" w:lineRule="exact"/>
              <w:rPr>
                <w:sz w:val="20"/>
                <w:szCs w:val="20"/>
                <w:color w:val="auto"/>
              </w:rPr>
            </w:pPr>
            <w:r>
              <w:rPr>
                <w:rFonts w:ascii="Arial" w:cs="Arial" w:eastAsia="Arial" w:hAnsi="Arial"/>
                <w:sz w:val="14"/>
                <w:szCs w:val="14"/>
                <w:b w:val="1"/>
                <w:bCs w:val="1"/>
                <w:color w:val="auto"/>
              </w:rPr>
              <w:t>Reserve</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$’000</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108"/>
              <w:spacing w:after="0" w:line="148" w:lineRule="exact"/>
              <w:rPr>
                <w:sz w:val="20"/>
                <w:szCs w:val="20"/>
                <w:color w:val="auto"/>
              </w:rPr>
            </w:pPr>
            <w:r>
              <w:rPr>
                <w:rFonts w:ascii="Arial" w:cs="Arial" w:eastAsia="Arial" w:hAnsi="Arial"/>
                <w:sz w:val="14"/>
                <w:szCs w:val="14"/>
                <w:b w:val="1"/>
                <w:bCs w:val="1"/>
                <w:color w:val="auto"/>
              </w:rPr>
              <w:t>Reserve</w:t>
            </w: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$’000</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177"/>
        </w:trPr>
        <w:tc>
          <w:tcPr>
            <w:tcW w:w="2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$’000</w:t>
            </w:r>
          </w:p>
        </w:tc>
        <w:tc>
          <w:tcPr>
            <w:tcW w:w="8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$’000</w:t>
            </w:r>
          </w:p>
        </w:tc>
        <w:tc>
          <w:tcPr>
            <w:tcW w:w="9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60" w:type="dxa"/>
            <w:vAlign w:val="bottom"/>
            <w:tcBorders>
              <w:bottom w:val="single" w:sz="8" w:color="auto"/>
            </w:tcBorders>
            <w:shd w:val="clear" w:color="auto" w:fill="CCEEFF"/>
          </w:tcPr>
          <w:p>
            <w:pPr>
              <w:spacing w:after="0" w:line="148" w:lineRule="exact"/>
              <w:rPr>
                <w:sz w:val="20"/>
                <w:szCs w:val="20"/>
                <w:color w:val="auto"/>
              </w:rPr>
            </w:pPr>
            <w:r>
              <w:rPr>
                <w:rFonts w:ascii="Arial" w:cs="Arial" w:eastAsia="Arial" w:hAnsi="Arial"/>
                <w:sz w:val="14"/>
                <w:szCs w:val="14"/>
                <w:color w:val="auto"/>
              </w:rPr>
              <w:t>Balance at 1 January 2011</w:t>
            </w:r>
          </w:p>
        </w:tc>
        <w:tc>
          <w:tcPr>
            <w:tcW w:w="1000" w:type="dxa"/>
            <w:vAlign w:val="bottom"/>
            <w:tcBorders>
              <w:bottom w:val="single" w:sz="8" w:color="auto"/>
            </w:tcBorders>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60,247,092</w:t>
            </w:r>
          </w:p>
        </w:tc>
        <w:tc>
          <w:tcPr>
            <w:tcW w:w="860" w:type="dxa"/>
            <w:vAlign w:val="bottom"/>
            <w:tcBorders>
              <w:bottom w:val="single" w:sz="8" w:color="auto"/>
            </w:tcBorders>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5,063</w:t>
            </w:r>
          </w:p>
        </w:tc>
        <w:tc>
          <w:tcPr>
            <w:tcW w:w="880" w:type="dxa"/>
            <w:vAlign w:val="bottom"/>
            <w:tcBorders>
              <w:bottom w:val="single" w:sz="8" w:color="auto"/>
            </w:tcBorders>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155,537</w:t>
            </w:r>
          </w:p>
        </w:tc>
        <w:tc>
          <w:tcPr>
            <w:tcW w:w="1040" w:type="dxa"/>
            <w:vAlign w:val="bottom"/>
            <w:tcBorders>
              <w:bottom w:val="single" w:sz="8" w:color="auto"/>
            </w:tcBorders>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31,478</w:t>
            </w:r>
          </w:p>
        </w:tc>
        <w:tc>
          <w:tcPr>
            <w:tcW w:w="840" w:type="dxa"/>
            <w:vAlign w:val="bottom"/>
            <w:tcBorders>
              <w:bottom w:val="single" w:sz="8" w:color="auto"/>
            </w:tcBorders>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7,422</w:t>
            </w:r>
          </w:p>
        </w:tc>
        <w:tc>
          <w:tcPr>
            <w:tcW w:w="860" w:type="dxa"/>
            <w:vAlign w:val="bottom"/>
            <w:tcBorders>
              <w:bottom w:val="single" w:sz="8" w:color="auto"/>
            </w:tcBorders>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349</w:t>
            </w:r>
          </w:p>
        </w:tc>
        <w:tc>
          <w:tcPr>
            <w:tcW w:w="960" w:type="dxa"/>
            <w:vAlign w:val="bottom"/>
            <w:tcBorders>
              <w:bottom w:val="single" w:sz="8" w:color="auto"/>
            </w:tcBorders>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68"/>
              <w:spacing w:after="0" w:line="148" w:lineRule="exact"/>
              <w:rPr>
                <w:sz w:val="20"/>
                <w:szCs w:val="20"/>
                <w:color w:val="auto"/>
              </w:rPr>
            </w:pPr>
            <w:r>
              <w:rPr>
                <w:rFonts w:ascii="Arial" w:cs="Arial" w:eastAsia="Arial" w:hAnsi="Arial"/>
                <w:sz w:val="14"/>
                <w:szCs w:val="14"/>
                <w:color w:val="auto"/>
              </w:rPr>
              <w:t>483,896</w:t>
            </w:r>
          </w:p>
        </w:tc>
        <w:tc>
          <w:tcPr>
            <w:tcW w:w="760" w:type="dxa"/>
            <w:vAlign w:val="bottom"/>
            <w:tcBorders>
              <w:bottom w:val="single" w:sz="8" w:color="auto"/>
            </w:tcBorders>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683,745</w:t>
            </w:r>
          </w:p>
        </w:tc>
        <w:tc>
          <w:tcPr>
            <w:tcW w:w="0" w:type="dxa"/>
            <w:vAlign w:val="bottom"/>
          </w:tcPr>
          <w:p>
            <w:pPr>
              <w:spacing w:after="0"/>
              <w:rPr>
                <w:sz w:val="1"/>
                <w:szCs w:val="1"/>
                <w:color w:val="auto"/>
              </w:rPr>
            </w:pPr>
          </w:p>
        </w:tc>
      </w:tr>
      <w:tr>
        <w:trPr>
          <w:trHeight w:val="125"/>
        </w:trPr>
        <w:tc>
          <w:tcPr>
            <w:tcW w:w="2360" w:type="dxa"/>
            <w:vAlign w:val="bottom"/>
          </w:tcPr>
          <w:p>
            <w:pPr>
              <w:spacing w:after="0" w:line="125" w:lineRule="exact"/>
              <w:rPr>
                <w:sz w:val="20"/>
                <w:szCs w:val="20"/>
                <w:color w:val="auto"/>
              </w:rPr>
            </w:pPr>
            <w:r>
              <w:rPr>
                <w:rFonts w:ascii="Arial" w:cs="Arial" w:eastAsia="Arial" w:hAnsi="Arial"/>
                <w:sz w:val="14"/>
                <w:szCs w:val="14"/>
                <w:b w:val="1"/>
                <w:bCs w:val="1"/>
                <w:color w:val="auto"/>
                <w:w w:val="97"/>
              </w:rPr>
              <w:t>Total comprehensive income for the</w:t>
            </w: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Profit for the year</w:t>
            </w:r>
          </w:p>
        </w:tc>
        <w:tc>
          <w:tcPr>
            <w:tcW w:w="100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line="148" w:lineRule="exact"/>
              <w:rPr>
                <w:sz w:val="20"/>
                <w:szCs w:val="20"/>
                <w:color w:val="auto"/>
              </w:rPr>
            </w:pPr>
            <w:r>
              <w:rPr>
                <w:rFonts w:ascii="Arial" w:cs="Arial" w:eastAsia="Arial" w:hAnsi="Arial"/>
                <w:sz w:val="14"/>
                <w:szCs w:val="14"/>
                <w:color w:val="auto"/>
              </w:rPr>
              <w:t>19,230</w:t>
            </w:r>
          </w:p>
        </w:tc>
        <w:tc>
          <w:tcPr>
            <w:tcW w:w="76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19,230</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Arial" w:cs="Arial" w:eastAsia="Arial" w:hAnsi="Arial"/>
                <w:sz w:val="14"/>
                <w:szCs w:val="14"/>
                <w:b w:val="1"/>
                <w:bCs w:val="1"/>
                <w:color w:val="auto"/>
              </w:rPr>
              <w:t>Other Comprehensive Income:</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Foreign currency translation</w:t>
            </w:r>
          </w:p>
        </w:tc>
        <w:tc>
          <w:tcPr>
            <w:tcW w:w="100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(11,348)</w:t>
            </w:r>
          </w:p>
        </w:tc>
        <w:tc>
          <w:tcPr>
            <w:tcW w:w="96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(11,348)</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Arial" w:cs="Arial" w:eastAsia="Arial" w:hAnsi="Arial"/>
                <w:sz w:val="14"/>
                <w:szCs w:val="14"/>
                <w:color w:val="auto"/>
                <w:w w:val="99"/>
              </w:rPr>
              <w:t>Currency impact on long-term funding</w:t>
            </w:r>
          </w:p>
        </w:tc>
        <w:tc>
          <w:tcPr>
            <w:tcW w:w="1000" w:type="dxa"/>
            <w:vAlign w:val="bottom"/>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line="148" w:lineRule="exact"/>
              <w:rPr>
                <w:sz w:val="20"/>
                <w:szCs w:val="20"/>
                <w:color w:val="auto"/>
              </w:rPr>
            </w:pPr>
            <w:r>
              <w:rPr>
                <w:rFonts w:ascii="Arial" w:cs="Arial" w:eastAsia="Arial" w:hAnsi="Arial"/>
                <w:sz w:val="14"/>
                <w:szCs w:val="14"/>
                <w:color w:val="auto"/>
              </w:rPr>
              <w:t>(802)</w:t>
            </w:r>
          </w:p>
        </w:tc>
        <w:tc>
          <w:tcPr>
            <w:tcW w:w="96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29"/>
        </w:trPr>
        <w:tc>
          <w:tcPr>
            <w:tcW w:w="23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Tax on currency impact of long term</w:t>
            </w: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funding</w:t>
            </w:r>
          </w:p>
        </w:tc>
        <w:tc>
          <w:tcPr>
            <w:tcW w:w="10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Arial" w:cs="Arial" w:eastAsia="Arial" w:hAnsi="Arial"/>
                <w:sz w:val="14"/>
                <w:szCs w:val="14"/>
                <w:color w:val="auto"/>
                <w:w w:val="98"/>
              </w:rPr>
              <w:t>Unrealised capital loss on investments</w:t>
            </w:r>
          </w:p>
        </w:tc>
        <w:tc>
          <w:tcPr>
            <w:tcW w:w="1000" w:type="dxa"/>
            <w:vAlign w:val="bottom"/>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line="148" w:lineRule="exact"/>
              <w:rPr>
                <w:sz w:val="20"/>
                <w:szCs w:val="20"/>
                <w:color w:val="auto"/>
              </w:rPr>
            </w:pPr>
            <w:r>
              <w:rPr>
                <w:rFonts w:ascii="Arial" w:cs="Arial" w:eastAsia="Arial" w:hAnsi="Arial"/>
                <w:sz w:val="14"/>
                <w:szCs w:val="14"/>
                <w:color w:val="auto"/>
              </w:rPr>
              <w:t>(622)</w:t>
            </w:r>
          </w:p>
        </w:tc>
        <w:tc>
          <w:tcPr>
            <w:tcW w:w="940" w:type="dxa"/>
            <w:vAlign w:val="bottom"/>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29"/>
        </w:trPr>
        <w:tc>
          <w:tcPr>
            <w:tcW w:w="23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Tax benefit excess on exercise of</w:t>
            </w:r>
          </w:p>
        </w:tc>
        <w:tc>
          <w:tcPr>
            <w:tcW w:w="10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10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681</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55"/>
        </w:trPr>
        <w:tc>
          <w:tcPr>
            <w:tcW w:w="23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Employee benefits</w:t>
            </w:r>
          </w:p>
        </w:tc>
        <w:tc>
          <w:tcPr>
            <w:tcW w:w="1000" w:type="dxa"/>
            <w:vAlign w:val="bottom"/>
            <w:tcBorders>
              <w:bottom w:val="single" w:sz="8" w:color="auto"/>
            </w:tcBorders>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8" w:lineRule="exact"/>
              <w:rPr>
                <w:sz w:val="20"/>
                <w:szCs w:val="20"/>
                <w:color w:val="auto"/>
              </w:rPr>
            </w:pPr>
            <w:r>
              <w:rPr>
                <w:rFonts w:ascii="Arial" w:cs="Arial" w:eastAsia="Arial" w:hAnsi="Arial"/>
                <w:sz w:val="14"/>
                <w:szCs w:val="14"/>
                <w:color w:val="auto"/>
              </w:rPr>
              <w:t>(4,365)</w:t>
            </w: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(4,365)</w:t>
            </w:r>
          </w:p>
        </w:tc>
        <w:tc>
          <w:tcPr>
            <w:tcW w:w="0" w:type="dxa"/>
            <w:vAlign w:val="bottom"/>
          </w:tcPr>
          <w:p>
            <w:pPr>
              <w:spacing w:after="0"/>
              <w:rPr>
                <w:sz w:val="1"/>
                <w:szCs w:val="1"/>
                <w:color w:val="auto"/>
              </w:rPr>
            </w:pPr>
          </w:p>
        </w:tc>
      </w:tr>
      <w:tr>
        <w:trPr>
          <w:trHeight w:val="370"/>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other comprehensive income</w:t>
            </w:r>
          </w:p>
        </w:tc>
        <w:tc>
          <w:tcPr>
            <w:tcW w:w="10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681</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(11,856)</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(622)</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(4,365)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(16,162)</w:t>
            </w:r>
          </w:p>
        </w:tc>
        <w:tc>
          <w:tcPr>
            <w:tcW w:w="0" w:type="dxa"/>
            <w:vAlign w:val="bottom"/>
          </w:tcPr>
          <w:p>
            <w:pPr>
              <w:spacing w:after="0"/>
              <w:rPr>
                <w:sz w:val="1"/>
                <w:szCs w:val="1"/>
                <w:color w:val="auto"/>
              </w:rPr>
            </w:pPr>
          </w:p>
        </w:tc>
      </w:tr>
      <w:tr>
        <w:trPr>
          <w:trHeight w:val="344"/>
        </w:trPr>
        <w:tc>
          <w:tcPr>
            <w:tcW w:w="2360" w:type="dxa"/>
            <w:vAlign w:val="bottom"/>
          </w:tcPr>
          <w:p>
            <w:pPr>
              <w:spacing w:after="0"/>
              <w:rPr>
                <w:sz w:val="20"/>
                <w:szCs w:val="20"/>
                <w:color w:val="auto"/>
              </w:rPr>
            </w:pPr>
            <w:r>
              <w:rPr>
                <w:rFonts w:ascii="Arial" w:cs="Arial" w:eastAsia="Arial" w:hAnsi="Arial"/>
                <w:sz w:val="14"/>
                <w:szCs w:val="14"/>
                <w:color w:val="auto"/>
              </w:rPr>
              <w:t>Total comprehensive income for the</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681</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(11,856)</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(622)</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14,865</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125"/>
        </w:trPr>
        <w:tc>
          <w:tcPr>
            <w:tcW w:w="236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w w:val="97"/>
              </w:rPr>
              <w:t>Transactions with owners, recorded</w:t>
            </w:r>
          </w:p>
        </w:tc>
        <w:tc>
          <w:tcPr>
            <w:tcW w:w="10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directly in equity</w:t>
            </w: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Arial" w:cs="Arial" w:eastAsia="Arial" w:hAnsi="Arial"/>
                <w:sz w:val="14"/>
                <w:szCs w:val="14"/>
                <w:color w:val="auto"/>
              </w:rPr>
              <w:t>Share-based payment</w:t>
            </w:r>
          </w:p>
        </w:tc>
        <w:tc>
          <w:tcPr>
            <w:tcW w:w="1000" w:type="dxa"/>
            <w:vAlign w:val="bottom"/>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9,564</w:t>
            </w:r>
          </w:p>
        </w:tc>
        <w:tc>
          <w:tcPr>
            <w:tcW w:w="84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line="148" w:lineRule="exact"/>
              <w:rPr>
                <w:sz w:val="20"/>
                <w:szCs w:val="20"/>
                <w:color w:val="auto"/>
              </w:rPr>
            </w:pPr>
            <w:r>
              <w:rPr>
                <w:rFonts w:ascii="Arial" w:cs="Arial" w:eastAsia="Arial" w:hAnsi="Arial"/>
                <w:sz w:val="14"/>
                <w:szCs w:val="14"/>
                <w:color w:val="auto"/>
              </w:rPr>
              <w:t>9,564</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Exercise of share options</w:t>
            </w:r>
          </w:p>
        </w:tc>
        <w:tc>
          <w:tcPr>
            <w:tcW w:w="100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430,340</w:t>
            </w:r>
          </w:p>
        </w:tc>
        <w:tc>
          <w:tcPr>
            <w:tcW w:w="86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36</w:t>
            </w:r>
          </w:p>
        </w:tc>
        <w:tc>
          <w:tcPr>
            <w:tcW w:w="88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4,629</w:t>
            </w:r>
          </w:p>
        </w:tc>
        <w:tc>
          <w:tcPr>
            <w:tcW w:w="104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4,665</w:t>
            </w:r>
          </w:p>
        </w:tc>
        <w:tc>
          <w:tcPr>
            <w:tcW w:w="0" w:type="dxa"/>
            <w:vAlign w:val="bottom"/>
          </w:tcPr>
          <w:p>
            <w:pPr>
              <w:spacing w:after="0"/>
              <w:rPr>
                <w:sz w:val="1"/>
                <w:szCs w:val="1"/>
                <w:color w:val="auto"/>
              </w:rPr>
            </w:pPr>
          </w:p>
        </w:tc>
      </w:tr>
      <w:tr>
        <w:trPr>
          <w:trHeight w:val="129"/>
        </w:trPr>
        <w:tc>
          <w:tcPr>
            <w:tcW w:w="2360" w:type="dxa"/>
            <w:vAlign w:val="bottom"/>
          </w:tcPr>
          <w:p>
            <w:pPr>
              <w:spacing w:after="0" w:line="129" w:lineRule="exact"/>
              <w:rPr>
                <w:sz w:val="20"/>
                <w:szCs w:val="20"/>
                <w:color w:val="auto"/>
              </w:rPr>
            </w:pPr>
            <w:r>
              <w:rPr>
                <w:rFonts w:ascii="Arial" w:cs="Arial" w:eastAsia="Arial" w:hAnsi="Arial"/>
                <w:sz w:val="14"/>
                <w:szCs w:val="14"/>
                <w:color w:val="auto"/>
              </w:rPr>
              <w:t>Issue of shares arising from issue of</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restricted share units</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3,768</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Share issue costs</w:t>
            </w:r>
          </w:p>
        </w:tc>
        <w:tc>
          <w:tcPr>
            <w:tcW w:w="100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(76)</w:t>
            </w:r>
          </w:p>
        </w:tc>
        <w:tc>
          <w:tcPr>
            <w:tcW w:w="104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Arial" w:cs="Arial" w:eastAsia="Arial" w:hAnsi="Arial"/>
                <w:sz w:val="14"/>
                <w:szCs w:val="14"/>
                <w:color w:val="auto"/>
              </w:rPr>
              <w:t>Repurchase of ordinary shares</w:t>
            </w:r>
          </w:p>
        </w:tc>
        <w:tc>
          <w:tcPr>
            <w:tcW w:w="1000" w:type="dxa"/>
            <w:vAlign w:val="bottom"/>
          </w:tcPr>
          <w:p>
            <w:pPr>
              <w:jc w:val="right"/>
              <w:ind w:right="148"/>
              <w:spacing w:after="0" w:line="148" w:lineRule="exact"/>
              <w:rPr>
                <w:sz w:val="20"/>
                <w:szCs w:val="20"/>
                <w:color w:val="auto"/>
              </w:rPr>
            </w:pPr>
            <w:r>
              <w:rPr>
                <w:rFonts w:ascii="Arial" w:cs="Arial" w:eastAsia="Arial" w:hAnsi="Arial"/>
                <w:sz w:val="14"/>
                <w:szCs w:val="14"/>
                <w:color w:val="auto"/>
              </w:rPr>
              <w:t>(545,597)</w:t>
            </w:r>
          </w:p>
        </w:tc>
        <w:tc>
          <w:tcPr>
            <w:tcW w:w="860" w:type="dxa"/>
            <w:vAlign w:val="bottom"/>
          </w:tcPr>
          <w:p>
            <w:pPr>
              <w:jc w:val="right"/>
              <w:ind w:right="68"/>
              <w:spacing w:after="0" w:line="148" w:lineRule="exact"/>
              <w:rPr>
                <w:sz w:val="20"/>
                <w:szCs w:val="20"/>
                <w:color w:val="auto"/>
              </w:rPr>
            </w:pPr>
            <w:r>
              <w:rPr>
                <w:rFonts w:ascii="Arial" w:cs="Arial" w:eastAsia="Arial" w:hAnsi="Arial"/>
                <w:sz w:val="14"/>
                <w:szCs w:val="14"/>
                <w:color w:val="auto"/>
              </w:rPr>
              <w:t>(44)</w:t>
            </w:r>
          </w:p>
        </w:tc>
        <w:tc>
          <w:tcPr>
            <w:tcW w:w="88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44</w:t>
            </w:r>
          </w:p>
        </w:tc>
        <w:tc>
          <w:tcPr>
            <w:tcW w:w="92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(9,005)</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(9,005)</w:t>
            </w:r>
          </w:p>
        </w:tc>
        <w:tc>
          <w:tcPr>
            <w:tcW w:w="0" w:type="dxa"/>
            <w:vAlign w:val="bottom"/>
          </w:tcPr>
          <w:p>
            <w:pPr>
              <w:spacing w:after="0"/>
              <w:rPr>
                <w:sz w:val="1"/>
                <w:szCs w:val="1"/>
                <w:color w:val="auto"/>
              </w:rPr>
            </w:pPr>
          </w:p>
        </w:tc>
      </w:tr>
      <w:tr>
        <w:trPr>
          <w:trHeight w:val="148"/>
        </w:trPr>
        <w:tc>
          <w:tcPr>
            <w:tcW w:w="23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Share repurchase costs</w:t>
            </w:r>
          </w:p>
        </w:tc>
        <w:tc>
          <w:tcPr>
            <w:tcW w:w="100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(113)</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29"/>
        </w:trPr>
        <w:tc>
          <w:tcPr>
            <w:tcW w:w="2360" w:type="dxa"/>
            <w:vAlign w:val="bottom"/>
          </w:tcPr>
          <w:p>
            <w:pPr>
              <w:spacing w:after="0" w:line="129" w:lineRule="exact"/>
              <w:rPr>
                <w:sz w:val="20"/>
                <w:szCs w:val="20"/>
                <w:color w:val="auto"/>
              </w:rPr>
            </w:pPr>
            <w:r>
              <w:rPr>
                <w:rFonts w:ascii="Arial" w:cs="Arial" w:eastAsia="Arial" w:hAnsi="Arial"/>
                <w:sz w:val="14"/>
                <w:szCs w:val="14"/>
                <w:color w:val="auto"/>
              </w:rPr>
              <w:t>Transfer of exercised and expired</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share–based awards</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(2,294)</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2,294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2360" w:type="dxa"/>
            <w:vAlign w:val="bottom"/>
            <w:shd w:val="clear" w:color="auto" w:fill="CCEEFF"/>
          </w:tcPr>
          <w:p>
            <w:pPr>
              <w:spacing w:after="0"/>
              <w:rPr>
                <w:sz w:val="20"/>
                <w:szCs w:val="20"/>
                <w:color w:val="auto"/>
              </w:rPr>
            </w:pPr>
            <w:r>
              <w:rPr>
                <w:rFonts w:ascii="Arial" w:cs="Arial" w:eastAsia="Arial" w:hAnsi="Arial"/>
                <w:sz w:val="14"/>
                <w:szCs w:val="14"/>
                <w:color w:val="auto"/>
                <w:w w:val="97"/>
              </w:rPr>
              <w:t>Total contributions by and distributions</w:t>
            </w:r>
          </w:p>
        </w:tc>
        <w:tc>
          <w:tcPr>
            <w:tcW w:w="10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 owners</w:t>
            </w:r>
          </w:p>
        </w:tc>
        <w:tc>
          <w:tcPr>
            <w:tcW w:w="10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(111,489)</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4,553</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7,270</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(6,824)</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370"/>
        </w:trPr>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transactions with owners</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(111,489)</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4,553</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7,270</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(6,824)</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403"/>
        </w:trPr>
        <w:tc>
          <w:tcPr>
            <w:tcW w:w="2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31 December 2011</w:t>
            </w:r>
          </w:p>
        </w:tc>
        <w:tc>
          <w:tcPr>
            <w:tcW w:w="100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60,135,603</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5,055</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160,090</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44</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39,429</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7,422</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(11,507)</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(622)</w:t>
            </w:r>
          </w:p>
        </w:tc>
        <w:tc>
          <w:tcPr>
            <w:tcW w:w="9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491,937</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691,848</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Consolidated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 Based</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w:t>
            </w: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1260" w:type="dxa"/>
            <w:vAlign w:val="bottom"/>
          </w:tcPr>
          <w:p>
            <w:pPr>
              <w:jc w:val="right"/>
              <w:ind w:right="268"/>
              <w:spacing w:after="0"/>
              <w:rPr>
                <w:sz w:val="20"/>
                <w:szCs w:val="20"/>
                <w:color w:val="auto"/>
              </w:rPr>
            </w:pPr>
            <w:r>
              <w:rPr>
                <w:rFonts w:ascii="Arial" w:cs="Arial" w:eastAsia="Arial" w:hAnsi="Arial"/>
                <w:sz w:val="14"/>
                <w:szCs w:val="14"/>
                <w:b w:val="1"/>
                <w:bCs w:val="1"/>
                <w:color w:val="auto"/>
              </w:rPr>
              <w:t>Payment</w:t>
            </w: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Other</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Currency</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Retained</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180" w:type="dxa"/>
            <w:vAlign w:val="bottom"/>
          </w:tcPr>
          <w:p>
            <w:pPr>
              <w:jc w:val="right"/>
              <w:ind w:right="248"/>
              <w:spacing w:after="0" w:line="148" w:lineRule="exact"/>
              <w:rPr>
                <w:sz w:val="20"/>
                <w:szCs w:val="20"/>
                <w:color w:val="auto"/>
              </w:rPr>
            </w:pPr>
            <w:r>
              <w:rPr>
                <w:rFonts w:ascii="Arial" w:cs="Arial" w:eastAsia="Arial" w:hAnsi="Arial"/>
                <w:sz w:val="14"/>
                <w:szCs w:val="14"/>
                <w:b w:val="1"/>
                <w:bCs w:val="1"/>
                <w:color w:val="auto"/>
              </w:rPr>
              <w:t>of shares</w:t>
            </w:r>
          </w:p>
        </w:tc>
        <w:tc>
          <w:tcPr>
            <w:tcW w:w="1040" w:type="dxa"/>
            <w:vAlign w:val="bottom"/>
          </w:tcPr>
          <w:p>
            <w:pPr>
              <w:jc w:val="right"/>
              <w:ind w:right="188"/>
              <w:spacing w:after="0" w:line="148" w:lineRule="exact"/>
              <w:rPr>
                <w:sz w:val="20"/>
                <w:szCs w:val="20"/>
                <w:color w:val="auto"/>
              </w:rPr>
            </w:pPr>
            <w:r>
              <w:rPr>
                <w:rFonts w:ascii="Arial" w:cs="Arial" w:eastAsia="Arial" w:hAnsi="Arial"/>
                <w:sz w:val="14"/>
                <w:szCs w:val="14"/>
                <w:b w:val="1"/>
                <w:bCs w:val="1"/>
                <w:color w:val="auto"/>
              </w:rPr>
              <w:t>Capital</w:t>
            </w:r>
          </w:p>
        </w:tc>
        <w:tc>
          <w:tcPr>
            <w:tcW w:w="1020" w:type="dxa"/>
            <w:vAlign w:val="bottom"/>
          </w:tcPr>
          <w:p>
            <w:pPr>
              <w:jc w:val="right"/>
              <w:ind w:right="128"/>
              <w:spacing w:after="0" w:line="148" w:lineRule="exact"/>
              <w:rPr>
                <w:sz w:val="20"/>
                <w:szCs w:val="20"/>
                <w:color w:val="auto"/>
              </w:rPr>
            </w:pPr>
            <w:r>
              <w:rPr>
                <w:rFonts w:ascii="Arial" w:cs="Arial" w:eastAsia="Arial" w:hAnsi="Arial"/>
                <w:sz w:val="14"/>
                <w:szCs w:val="14"/>
                <w:b w:val="1"/>
                <w:bCs w:val="1"/>
                <w:color w:val="auto"/>
              </w:rPr>
              <w:t>Premium</w:t>
            </w:r>
          </w:p>
        </w:tc>
        <w:tc>
          <w:tcPr>
            <w:tcW w:w="1260" w:type="dxa"/>
            <w:vAlign w:val="bottom"/>
          </w:tcPr>
          <w:p>
            <w:pPr>
              <w:jc w:val="right"/>
              <w:ind w:right="268"/>
              <w:spacing w:after="0" w:line="148" w:lineRule="exact"/>
              <w:rPr>
                <w:sz w:val="20"/>
                <w:szCs w:val="20"/>
                <w:color w:val="auto"/>
              </w:rPr>
            </w:pPr>
            <w:r>
              <w:rPr>
                <w:rFonts w:ascii="Arial" w:cs="Arial" w:eastAsia="Arial" w:hAnsi="Arial"/>
                <w:sz w:val="14"/>
                <w:szCs w:val="14"/>
                <w:b w:val="1"/>
                <w:bCs w:val="1"/>
                <w:color w:val="auto"/>
              </w:rPr>
              <w:t>Reserve</w:t>
            </w:r>
          </w:p>
        </w:tc>
        <w:tc>
          <w:tcPr>
            <w:tcW w:w="1060" w:type="dxa"/>
            <w:vAlign w:val="bottom"/>
          </w:tcPr>
          <w:p>
            <w:pPr>
              <w:jc w:val="right"/>
              <w:ind w:right="188"/>
              <w:spacing w:after="0" w:line="148" w:lineRule="exact"/>
              <w:rPr>
                <w:sz w:val="20"/>
                <w:szCs w:val="20"/>
                <w:color w:val="auto"/>
              </w:rPr>
            </w:pPr>
            <w:r>
              <w:rPr>
                <w:rFonts w:ascii="Arial" w:cs="Arial" w:eastAsia="Arial" w:hAnsi="Arial"/>
                <w:sz w:val="14"/>
                <w:szCs w:val="14"/>
                <w:b w:val="1"/>
                <w:bCs w:val="1"/>
                <w:color w:val="auto"/>
              </w:rPr>
              <w:t>Reserve</w:t>
            </w:r>
          </w:p>
        </w:tc>
        <w:tc>
          <w:tcPr>
            <w:tcW w:w="1180" w:type="dxa"/>
            <w:vAlign w:val="bottom"/>
          </w:tcPr>
          <w:p>
            <w:pPr>
              <w:jc w:val="right"/>
              <w:ind w:right="248"/>
              <w:spacing w:after="0" w:line="148" w:lineRule="exact"/>
              <w:rPr>
                <w:sz w:val="20"/>
                <w:szCs w:val="20"/>
                <w:color w:val="auto"/>
              </w:rPr>
            </w:pPr>
            <w:r>
              <w:rPr>
                <w:rFonts w:ascii="Arial" w:cs="Arial" w:eastAsia="Arial" w:hAnsi="Arial"/>
                <w:sz w:val="14"/>
                <w:szCs w:val="14"/>
                <w:b w:val="1"/>
                <w:bCs w:val="1"/>
                <w:color w:val="auto"/>
              </w:rPr>
              <w:t>Reserve</w:t>
            </w:r>
          </w:p>
        </w:tc>
        <w:tc>
          <w:tcPr>
            <w:tcW w:w="1160" w:type="dxa"/>
            <w:vAlign w:val="bottom"/>
          </w:tcPr>
          <w:p>
            <w:pPr>
              <w:jc w:val="right"/>
              <w:ind w:right="268"/>
              <w:spacing w:after="0" w:line="148" w:lineRule="exact"/>
              <w:rPr>
                <w:sz w:val="20"/>
                <w:szCs w:val="20"/>
                <w:color w:val="auto"/>
              </w:rPr>
            </w:pPr>
            <w:r>
              <w:rPr>
                <w:rFonts w:ascii="Arial" w:cs="Arial" w:eastAsia="Arial" w:hAnsi="Arial"/>
                <w:sz w:val="14"/>
                <w:szCs w:val="14"/>
                <w:b w:val="1"/>
                <w:bCs w:val="1"/>
                <w:color w:val="auto"/>
              </w:rPr>
              <w:t>Earnings</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$’000</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$’000</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$’000</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$’000</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$’000</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370"/>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at 1 January 2010</w:t>
            </w:r>
          </w:p>
        </w:tc>
        <w:tc>
          <w:tcPr>
            <w:tcW w:w="11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59,007,565</w:t>
            </w:r>
          </w:p>
        </w:tc>
        <w:tc>
          <w:tcPr>
            <w:tcW w:w="1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4,965</w:t>
            </w: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142,518</w:t>
            </w:r>
          </w:p>
        </w:tc>
        <w:tc>
          <w:tcPr>
            <w:tcW w:w="12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31,017</w:t>
            </w:r>
          </w:p>
        </w:tc>
        <w:tc>
          <w:tcPr>
            <w:tcW w:w="10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7,422</w:t>
            </w:r>
          </w:p>
        </w:tc>
        <w:tc>
          <w:tcPr>
            <w:tcW w:w="11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11,328</w:t>
            </w:r>
          </w:p>
        </w:tc>
        <w:tc>
          <w:tcPr>
            <w:tcW w:w="11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392,531</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589,781</w:t>
            </w:r>
          </w:p>
        </w:tc>
        <w:tc>
          <w:tcPr>
            <w:tcW w:w="0" w:type="dxa"/>
            <w:vAlign w:val="bottom"/>
          </w:tcPr>
          <w:p>
            <w:pPr>
              <w:spacing w:after="0"/>
              <w:rPr>
                <w:sz w:val="1"/>
                <w:szCs w:val="1"/>
                <w:color w:val="auto"/>
              </w:rPr>
            </w:pPr>
          </w:p>
        </w:tc>
      </w:tr>
      <w:tr>
        <w:trPr>
          <w:trHeight w:val="125"/>
        </w:trPr>
        <w:tc>
          <w:tcPr>
            <w:tcW w:w="2620" w:type="dxa"/>
            <w:vAlign w:val="bottom"/>
          </w:tcPr>
          <w:p>
            <w:pPr>
              <w:spacing w:after="0" w:line="125" w:lineRule="exact"/>
              <w:rPr>
                <w:sz w:val="20"/>
                <w:szCs w:val="20"/>
                <w:color w:val="auto"/>
              </w:rPr>
            </w:pPr>
            <w:r>
              <w:rPr>
                <w:rFonts w:ascii="Arial" w:cs="Arial" w:eastAsia="Arial" w:hAnsi="Arial"/>
                <w:sz w:val="14"/>
                <w:szCs w:val="14"/>
                <w:b w:val="1"/>
                <w:bCs w:val="1"/>
                <w:color w:val="auto"/>
              </w:rPr>
              <w:t>Total comprehensive income for the</w:t>
            </w: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Profit for the year</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86,172</w:t>
            </w:r>
          </w:p>
        </w:tc>
        <w:tc>
          <w:tcPr>
            <w:tcW w:w="90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86,172</w:t>
            </w:r>
          </w:p>
        </w:tc>
        <w:tc>
          <w:tcPr>
            <w:tcW w:w="0" w:type="dxa"/>
            <w:vAlign w:val="bottom"/>
          </w:tcPr>
          <w:p>
            <w:pPr>
              <w:spacing w:after="0"/>
              <w:rPr>
                <w:sz w:val="1"/>
                <w:szCs w:val="1"/>
                <w:color w:val="auto"/>
              </w:rPr>
            </w:pPr>
          </w:p>
        </w:tc>
      </w:tr>
      <w:tr>
        <w:trPr>
          <w:trHeight w:val="148"/>
        </w:trPr>
        <w:tc>
          <w:tcPr>
            <w:tcW w:w="2620" w:type="dxa"/>
            <w:vAlign w:val="bottom"/>
          </w:tcPr>
          <w:p>
            <w:pPr>
              <w:spacing w:after="0" w:line="148" w:lineRule="exact"/>
              <w:rPr>
                <w:sz w:val="20"/>
                <w:szCs w:val="20"/>
                <w:color w:val="auto"/>
              </w:rPr>
            </w:pPr>
            <w:r>
              <w:rPr>
                <w:rFonts w:ascii="Arial" w:cs="Arial" w:eastAsia="Arial" w:hAnsi="Arial"/>
                <w:sz w:val="14"/>
                <w:szCs w:val="14"/>
                <w:b w:val="1"/>
                <w:bCs w:val="1"/>
                <w:color w:val="auto"/>
              </w:rPr>
              <w:t>Other Comprehensive Income:</w:t>
            </w: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Foreign currency translation</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08"/>
              <w:spacing w:after="0" w:line="148" w:lineRule="exact"/>
              <w:rPr>
                <w:sz w:val="20"/>
                <w:szCs w:val="20"/>
                <w:color w:val="auto"/>
              </w:rPr>
            </w:pPr>
            <w:r>
              <w:rPr>
                <w:rFonts w:ascii="Arial" w:cs="Arial" w:eastAsia="Arial" w:hAnsi="Arial"/>
                <w:sz w:val="14"/>
                <w:szCs w:val="14"/>
                <w:color w:val="auto"/>
              </w:rPr>
              <w:t>(9,701)</w:t>
            </w:r>
          </w:p>
        </w:tc>
        <w:tc>
          <w:tcPr>
            <w:tcW w:w="11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(9,701)</w:t>
            </w:r>
          </w:p>
        </w:tc>
        <w:tc>
          <w:tcPr>
            <w:tcW w:w="0" w:type="dxa"/>
            <w:vAlign w:val="bottom"/>
          </w:tcPr>
          <w:p>
            <w:pPr>
              <w:spacing w:after="0"/>
              <w:rPr>
                <w:sz w:val="1"/>
                <w:szCs w:val="1"/>
                <w:color w:val="auto"/>
              </w:rPr>
            </w:pPr>
          </w:p>
        </w:tc>
      </w:tr>
      <w:tr>
        <w:trPr>
          <w:trHeight w:val="148"/>
        </w:trPr>
        <w:tc>
          <w:tcPr>
            <w:tcW w:w="2620" w:type="dxa"/>
            <w:vAlign w:val="bottom"/>
          </w:tcPr>
          <w:p>
            <w:pPr>
              <w:spacing w:after="0" w:line="148" w:lineRule="exact"/>
              <w:rPr>
                <w:sz w:val="20"/>
                <w:szCs w:val="20"/>
                <w:color w:val="auto"/>
              </w:rPr>
            </w:pPr>
            <w:r>
              <w:rPr>
                <w:rFonts w:ascii="Arial" w:cs="Arial" w:eastAsia="Arial" w:hAnsi="Arial"/>
                <w:sz w:val="14"/>
                <w:szCs w:val="14"/>
                <w:color w:val="auto"/>
              </w:rPr>
              <w:t>Currency impact on long-term funding</w:t>
            </w:r>
          </w:p>
        </w:tc>
        <w:tc>
          <w:tcPr>
            <w:tcW w:w="1180" w:type="dxa"/>
            <w:vAlign w:val="bottom"/>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08"/>
              <w:spacing w:after="0" w:line="148" w:lineRule="exact"/>
              <w:rPr>
                <w:sz w:val="20"/>
                <w:szCs w:val="20"/>
                <w:color w:val="auto"/>
              </w:rPr>
            </w:pPr>
            <w:r>
              <w:rPr>
                <w:rFonts w:ascii="Arial" w:cs="Arial" w:eastAsia="Arial" w:hAnsi="Arial"/>
                <w:sz w:val="14"/>
                <w:szCs w:val="14"/>
                <w:color w:val="auto"/>
              </w:rPr>
              <w:t>(1,080)</w:t>
            </w:r>
          </w:p>
        </w:tc>
        <w:tc>
          <w:tcPr>
            <w:tcW w:w="1160" w:type="dxa"/>
            <w:vAlign w:val="bottom"/>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8"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29"/>
        </w:trPr>
        <w:tc>
          <w:tcPr>
            <w:tcW w:w="26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Tax on currency impact on long term</w:t>
            </w: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funding</w:t>
            </w:r>
          </w:p>
        </w:tc>
        <w:tc>
          <w:tcPr>
            <w:tcW w:w="11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(198)</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29"/>
        </w:trPr>
        <w:tc>
          <w:tcPr>
            <w:tcW w:w="2620" w:type="dxa"/>
            <w:vAlign w:val="bottom"/>
          </w:tcPr>
          <w:p>
            <w:pPr>
              <w:spacing w:after="0" w:line="129" w:lineRule="exact"/>
              <w:rPr>
                <w:sz w:val="20"/>
                <w:szCs w:val="20"/>
                <w:color w:val="auto"/>
              </w:rPr>
            </w:pPr>
            <w:r>
              <w:rPr>
                <w:rFonts w:ascii="Arial" w:cs="Arial" w:eastAsia="Arial" w:hAnsi="Arial"/>
                <w:sz w:val="14"/>
                <w:szCs w:val="14"/>
                <w:color w:val="auto"/>
              </w:rPr>
              <w:t>Deferred tax movement on unexercised</w:t>
            </w: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options</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(2,865)</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Tax benefit excess on exercise of options</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2,345</w:t>
            </w:r>
          </w:p>
        </w:tc>
        <w:tc>
          <w:tcPr>
            <w:tcW w:w="106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Employee benefits</w:t>
            </w:r>
          </w:p>
        </w:tc>
        <w:tc>
          <w:tcPr>
            <w:tcW w:w="1180" w:type="dxa"/>
            <w:vAlign w:val="bottom"/>
            <w:tcBorders>
              <w:bottom w:val="single" w:sz="8" w:color="auto"/>
            </w:tcBorders>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28"/>
              <w:spacing w:after="0" w:line="148" w:lineRule="exact"/>
              <w:rPr>
                <w:sz w:val="20"/>
                <w:szCs w:val="20"/>
                <w:color w:val="auto"/>
              </w:rPr>
            </w:pPr>
            <w:r>
              <w:rPr>
                <w:rFonts w:ascii="Arial" w:cs="Arial" w:eastAsia="Arial" w:hAnsi="Arial"/>
                <w:sz w:val="14"/>
                <w:szCs w:val="14"/>
                <w:color w:val="auto"/>
              </w:rPr>
              <w:t>(1,209)</w:t>
            </w:r>
          </w:p>
        </w:tc>
        <w:tc>
          <w:tcPr>
            <w:tcW w:w="900" w:type="dxa"/>
            <w:vAlign w:val="bottom"/>
            <w:tcBorders>
              <w:bottom w:val="single" w:sz="8" w:color="auto"/>
            </w:tcBorders>
          </w:tcPr>
          <w:p>
            <w:pPr>
              <w:jc w:val="right"/>
              <w:ind w:right="8"/>
              <w:spacing w:after="0" w:line="148" w:lineRule="exact"/>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370"/>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other comprehensive income</w:t>
            </w:r>
          </w:p>
        </w:tc>
        <w:tc>
          <w:tcPr>
            <w:tcW w:w="11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(520)</w:t>
            </w:r>
          </w:p>
        </w:tc>
        <w:tc>
          <w:tcPr>
            <w:tcW w:w="10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(10,979)</w:t>
            </w:r>
          </w:p>
        </w:tc>
        <w:tc>
          <w:tcPr>
            <w:tcW w:w="11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(1,209)</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(12,708)</w:t>
            </w:r>
          </w:p>
        </w:tc>
        <w:tc>
          <w:tcPr>
            <w:tcW w:w="0" w:type="dxa"/>
            <w:vAlign w:val="bottom"/>
          </w:tcPr>
          <w:p>
            <w:pPr>
              <w:spacing w:after="0"/>
              <w:rPr>
                <w:sz w:val="1"/>
                <w:szCs w:val="1"/>
                <w:color w:val="auto"/>
              </w:rPr>
            </w:pPr>
          </w:p>
        </w:tc>
      </w:tr>
      <w:tr>
        <w:trPr>
          <w:trHeight w:val="370"/>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comprehensive income for the year</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(520)</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(10,979)</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84,963</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73,464</w:t>
            </w:r>
          </w:p>
        </w:tc>
        <w:tc>
          <w:tcPr>
            <w:tcW w:w="0" w:type="dxa"/>
            <w:vAlign w:val="bottom"/>
          </w:tcPr>
          <w:p>
            <w:pPr>
              <w:spacing w:after="0"/>
              <w:rPr>
                <w:sz w:val="1"/>
                <w:szCs w:val="1"/>
                <w:color w:val="auto"/>
              </w:rPr>
            </w:pPr>
          </w:p>
        </w:tc>
      </w:tr>
      <w:tr>
        <w:trPr>
          <w:trHeight w:val="125"/>
        </w:trPr>
        <w:tc>
          <w:tcPr>
            <w:tcW w:w="262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Transactions with owners, recorded</w:t>
            </w:r>
          </w:p>
        </w:tc>
        <w:tc>
          <w:tcPr>
            <w:tcW w:w="1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directly in equity</w:t>
            </w:r>
          </w:p>
        </w:tc>
        <w:tc>
          <w:tcPr>
            <w:tcW w:w="1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8" w:lineRule="exact"/>
              <w:rPr>
                <w:sz w:val="20"/>
                <w:szCs w:val="20"/>
                <w:color w:val="auto"/>
              </w:rPr>
            </w:pPr>
            <w:r>
              <w:rPr>
                <w:rFonts w:ascii="Arial" w:cs="Arial" w:eastAsia="Arial" w:hAnsi="Arial"/>
                <w:sz w:val="14"/>
                <w:szCs w:val="14"/>
                <w:color w:val="auto"/>
              </w:rPr>
              <w:t>Share-based payment</w:t>
            </w:r>
          </w:p>
        </w:tc>
        <w:tc>
          <w:tcPr>
            <w:tcW w:w="1180" w:type="dxa"/>
            <w:vAlign w:val="bottom"/>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line="148" w:lineRule="exact"/>
              <w:rPr>
                <w:sz w:val="20"/>
                <w:szCs w:val="20"/>
                <w:color w:val="auto"/>
              </w:rPr>
            </w:pPr>
            <w:r>
              <w:rPr>
                <w:rFonts w:ascii="Arial" w:cs="Arial" w:eastAsia="Arial" w:hAnsi="Arial"/>
                <w:sz w:val="14"/>
                <w:szCs w:val="14"/>
                <w:color w:val="auto"/>
              </w:rPr>
              <w:t>7,383</w:t>
            </w:r>
          </w:p>
        </w:tc>
        <w:tc>
          <w:tcPr>
            <w:tcW w:w="1060" w:type="dxa"/>
            <w:vAlign w:val="bottom"/>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line="148" w:lineRule="exact"/>
              <w:rPr>
                <w:sz w:val="20"/>
                <w:szCs w:val="20"/>
                <w:color w:val="auto"/>
              </w:rPr>
            </w:pPr>
            <w:r>
              <w:rPr>
                <w:rFonts w:ascii="Arial" w:cs="Arial" w:eastAsia="Arial" w:hAnsi="Arial"/>
                <w:sz w:val="14"/>
                <w:szCs w:val="14"/>
                <w:color w:val="auto"/>
              </w:rPr>
              <w:t>7,383</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Exercise of share options</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1,237,015</w:t>
            </w:r>
          </w:p>
        </w:tc>
        <w:tc>
          <w:tcPr>
            <w:tcW w:w="104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98</w:t>
            </w:r>
          </w:p>
        </w:tc>
        <w:tc>
          <w:tcPr>
            <w:tcW w:w="1020" w:type="dxa"/>
            <w:vAlign w:val="bottom"/>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rPr>
              <w:t>13,070</w:t>
            </w:r>
          </w:p>
        </w:tc>
        <w:tc>
          <w:tcPr>
            <w:tcW w:w="12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13,168</w:t>
            </w:r>
          </w:p>
        </w:tc>
        <w:tc>
          <w:tcPr>
            <w:tcW w:w="0" w:type="dxa"/>
            <w:vAlign w:val="bottom"/>
          </w:tcPr>
          <w:p>
            <w:pPr>
              <w:spacing w:after="0"/>
              <w:rPr>
                <w:sz w:val="1"/>
                <w:szCs w:val="1"/>
                <w:color w:val="auto"/>
              </w:rPr>
            </w:pPr>
          </w:p>
        </w:tc>
      </w:tr>
      <w:tr>
        <w:trPr>
          <w:trHeight w:val="129"/>
        </w:trPr>
        <w:tc>
          <w:tcPr>
            <w:tcW w:w="2620" w:type="dxa"/>
            <w:vAlign w:val="bottom"/>
          </w:tcPr>
          <w:p>
            <w:pPr>
              <w:spacing w:after="0" w:line="129" w:lineRule="exact"/>
              <w:rPr>
                <w:sz w:val="20"/>
                <w:szCs w:val="20"/>
                <w:color w:val="auto"/>
              </w:rPr>
            </w:pPr>
            <w:r>
              <w:rPr>
                <w:rFonts w:ascii="Arial" w:cs="Arial" w:eastAsia="Arial" w:hAnsi="Arial"/>
                <w:sz w:val="14"/>
                <w:szCs w:val="14"/>
                <w:color w:val="auto"/>
              </w:rPr>
              <w:t>Issue of shares arising from issue of</w:t>
            </w: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restricted share units</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2,512</w:t>
            </w: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Share issue costs</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rPr>
              <w:t>(51)</w:t>
            </w:r>
          </w:p>
        </w:tc>
        <w:tc>
          <w:tcPr>
            <w:tcW w:w="12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29"/>
        </w:trPr>
        <w:tc>
          <w:tcPr>
            <w:tcW w:w="2620" w:type="dxa"/>
            <w:vAlign w:val="bottom"/>
          </w:tcPr>
          <w:p>
            <w:pPr>
              <w:spacing w:after="0" w:line="129" w:lineRule="exact"/>
              <w:rPr>
                <w:sz w:val="20"/>
                <w:szCs w:val="20"/>
                <w:color w:val="auto"/>
              </w:rPr>
            </w:pPr>
            <w:r>
              <w:rPr>
                <w:rFonts w:ascii="Arial" w:cs="Arial" w:eastAsia="Arial" w:hAnsi="Arial"/>
                <w:sz w:val="14"/>
                <w:szCs w:val="14"/>
                <w:color w:val="auto"/>
              </w:rPr>
              <w:t>Transfer of exercised and expired share–</w:t>
            </w:r>
          </w:p>
        </w:tc>
        <w:tc>
          <w:tcPr>
            <w:tcW w:w="1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based awards</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(6,402)</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6,402</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6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contributions by and distributions to</w:t>
            </w: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owners</w:t>
            </w:r>
          </w:p>
        </w:tc>
        <w:tc>
          <w:tcPr>
            <w:tcW w:w="11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1,239,527</w:t>
            </w:r>
          </w:p>
        </w:tc>
        <w:tc>
          <w:tcPr>
            <w:tcW w:w="10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98</w:t>
            </w: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13,019</w:t>
            </w:r>
          </w:p>
        </w:tc>
        <w:tc>
          <w:tcPr>
            <w:tcW w:w="12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981</w:t>
            </w:r>
          </w:p>
        </w:tc>
        <w:tc>
          <w:tcPr>
            <w:tcW w:w="10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6,402</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20,500</w:t>
            </w:r>
          </w:p>
        </w:tc>
        <w:tc>
          <w:tcPr>
            <w:tcW w:w="0" w:type="dxa"/>
            <w:vAlign w:val="bottom"/>
          </w:tcPr>
          <w:p>
            <w:pPr>
              <w:spacing w:after="0"/>
              <w:rPr>
                <w:sz w:val="1"/>
                <w:szCs w:val="1"/>
                <w:color w:val="auto"/>
              </w:rPr>
            </w:pPr>
          </w:p>
        </w:tc>
      </w:tr>
      <w:tr>
        <w:trPr>
          <w:trHeight w:val="155"/>
        </w:trPr>
        <w:tc>
          <w:tcPr>
            <w:tcW w:w="26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color w:val="auto"/>
              </w:rPr>
              <w:t>Total transactions with owners</w:t>
            </w:r>
          </w:p>
        </w:tc>
        <w:tc>
          <w:tcPr>
            <w:tcW w:w="1180" w:type="dxa"/>
            <w:vAlign w:val="bottom"/>
            <w:tcBorders>
              <w:bottom w:val="single" w:sz="8" w:color="auto"/>
            </w:tcBorders>
          </w:tcPr>
          <w:p>
            <w:pPr>
              <w:jc w:val="right"/>
              <w:ind w:right="248"/>
              <w:spacing w:after="0" w:line="148" w:lineRule="exact"/>
              <w:rPr>
                <w:sz w:val="20"/>
                <w:szCs w:val="20"/>
                <w:color w:val="auto"/>
              </w:rPr>
            </w:pPr>
            <w:r>
              <w:rPr>
                <w:rFonts w:ascii="Arial" w:cs="Arial" w:eastAsia="Arial" w:hAnsi="Arial"/>
                <w:sz w:val="14"/>
                <w:szCs w:val="14"/>
                <w:color w:val="auto"/>
              </w:rPr>
              <w:t>1,239,527</w:t>
            </w:r>
          </w:p>
        </w:tc>
        <w:tc>
          <w:tcPr>
            <w:tcW w:w="1040" w:type="dxa"/>
            <w:vAlign w:val="bottom"/>
            <w:tcBorders>
              <w:bottom w:val="single" w:sz="8" w:color="auto"/>
            </w:tcBorders>
          </w:tcPr>
          <w:p>
            <w:pPr>
              <w:jc w:val="right"/>
              <w:ind w:right="188"/>
              <w:spacing w:after="0" w:line="148" w:lineRule="exact"/>
              <w:rPr>
                <w:sz w:val="20"/>
                <w:szCs w:val="20"/>
                <w:color w:val="auto"/>
              </w:rPr>
            </w:pPr>
            <w:r>
              <w:rPr>
                <w:rFonts w:ascii="Arial" w:cs="Arial" w:eastAsia="Arial" w:hAnsi="Arial"/>
                <w:sz w:val="14"/>
                <w:szCs w:val="14"/>
                <w:color w:val="auto"/>
              </w:rPr>
              <w:t>98</w:t>
            </w:r>
          </w:p>
        </w:tc>
        <w:tc>
          <w:tcPr>
            <w:tcW w:w="1020" w:type="dxa"/>
            <w:vAlign w:val="bottom"/>
            <w:tcBorders>
              <w:bottom w:val="single" w:sz="8" w:color="auto"/>
            </w:tcBorders>
          </w:tcPr>
          <w:p>
            <w:pPr>
              <w:jc w:val="right"/>
              <w:ind w:right="128"/>
              <w:spacing w:after="0" w:line="148" w:lineRule="exact"/>
              <w:rPr>
                <w:sz w:val="20"/>
                <w:szCs w:val="20"/>
                <w:color w:val="auto"/>
              </w:rPr>
            </w:pPr>
            <w:r>
              <w:rPr>
                <w:rFonts w:ascii="Arial" w:cs="Arial" w:eastAsia="Arial" w:hAnsi="Arial"/>
                <w:sz w:val="14"/>
                <w:szCs w:val="14"/>
                <w:color w:val="auto"/>
              </w:rPr>
              <w:t>13,019</w:t>
            </w:r>
          </w:p>
        </w:tc>
        <w:tc>
          <w:tcPr>
            <w:tcW w:w="1260" w:type="dxa"/>
            <w:vAlign w:val="bottom"/>
            <w:tcBorders>
              <w:bottom w:val="single" w:sz="8" w:color="auto"/>
            </w:tcBorders>
          </w:tcPr>
          <w:p>
            <w:pPr>
              <w:jc w:val="right"/>
              <w:ind w:right="268"/>
              <w:spacing w:after="0" w:line="148" w:lineRule="exact"/>
              <w:rPr>
                <w:sz w:val="20"/>
                <w:szCs w:val="20"/>
                <w:color w:val="auto"/>
              </w:rPr>
            </w:pPr>
            <w:r>
              <w:rPr>
                <w:rFonts w:ascii="Arial" w:cs="Arial" w:eastAsia="Arial" w:hAnsi="Arial"/>
                <w:sz w:val="14"/>
                <w:szCs w:val="14"/>
                <w:color w:val="auto"/>
              </w:rPr>
              <w:t>981</w:t>
            </w:r>
          </w:p>
        </w:tc>
        <w:tc>
          <w:tcPr>
            <w:tcW w:w="1060" w:type="dxa"/>
            <w:vAlign w:val="bottom"/>
            <w:tcBorders>
              <w:bottom w:val="single" w:sz="8" w:color="auto"/>
            </w:tcBorders>
          </w:tcPr>
          <w:p>
            <w:pPr>
              <w:jc w:val="right"/>
              <w:ind w:right="18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48"/>
              <w:spacing w:after="0" w:line="148"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68"/>
              <w:spacing w:after="0" w:line="148" w:lineRule="exact"/>
              <w:rPr>
                <w:sz w:val="20"/>
                <w:szCs w:val="20"/>
                <w:color w:val="auto"/>
              </w:rPr>
            </w:pPr>
            <w:r>
              <w:rPr>
                <w:rFonts w:ascii="Arial" w:cs="Arial" w:eastAsia="Arial" w:hAnsi="Arial"/>
                <w:sz w:val="14"/>
                <w:szCs w:val="14"/>
                <w:color w:val="auto"/>
              </w:rPr>
              <w:t>6,402</w:t>
            </w:r>
          </w:p>
        </w:tc>
        <w:tc>
          <w:tcPr>
            <w:tcW w:w="900" w:type="dxa"/>
            <w:vAlign w:val="bottom"/>
            <w:tcBorders>
              <w:bottom w:val="single" w:sz="8" w:color="auto"/>
            </w:tcBorders>
          </w:tcPr>
          <w:p>
            <w:pPr>
              <w:jc w:val="right"/>
              <w:ind w:right="48"/>
              <w:spacing w:after="0" w:line="148" w:lineRule="exact"/>
              <w:rPr>
                <w:sz w:val="20"/>
                <w:szCs w:val="20"/>
                <w:color w:val="auto"/>
              </w:rPr>
            </w:pPr>
            <w:r>
              <w:rPr>
                <w:rFonts w:ascii="Arial" w:cs="Arial" w:eastAsia="Arial" w:hAnsi="Arial"/>
                <w:sz w:val="14"/>
                <w:szCs w:val="14"/>
                <w:color w:val="auto"/>
              </w:rPr>
              <w:t>20,500</w:t>
            </w:r>
          </w:p>
        </w:tc>
        <w:tc>
          <w:tcPr>
            <w:tcW w:w="0" w:type="dxa"/>
            <w:vAlign w:val="bottom"/>
          </w:tcPr>
          <w:p>
            <w:pPr>
              <w:spacing w:after="0"/>
              <w:rPr>
                <w:sz w:val="1"/>
                <w:szCs w:val="1"/>
                <w:color w:val="auto"/>
              </w:rPr>
            </w:pPr>
          </w:p>
        </w:tc>
      </w:tr>
      <w:tr>
        <w:trPr>
          <w:trHeight w:val="363"/>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at 31 December 2010</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60,247,092</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5,063</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155,537</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31,478</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7,422</w:t>
            </w:r>
          </w:p>
        </w:tc>
        <w:tc>
          <w:tcPr>
            <w:tcW w:w="11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349</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483,896</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683,745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7255" cy="2647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255" cy="2647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of the reserves above are detailed in note 24</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Consolidated Statement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136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Note</w:t>
            </w: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Year ended</w:t>
            </w:r>
          </w:p>
        </w:tc>
      </w:tr>
      <w:tr>
        <w:trPr>
          <w:trHeight w:val="215"/>
        </w:trPr>
        <w:tc>
          <w:tcPr>
            <w:tcW w:w="6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 December</w:t>
            </w:r>
          </w:p>
        </w:tc>
      </w:tr>
      <w:tr>
        <w:trPr>
          <w:trHeight w:val="215"/>
        </w:trPr>
        <w:tc>
          <w:tcPr>
            <w:tcW w:w="6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2010</w:t>
            </w:r>
          </w:p>
        </w:tc>
      </w:tr>
      <w:tr>
        <w:trPr>
          <w:trHeight w:val="233"/>
        </w:trPr>
        <w:tc>
          <w:tcPr>
            <w:tcW w:w="6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$’000</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year</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19,230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86,172</w:t>
            </w:r>
          </w:p>
        </w:tc>
      </w:tr>
      <w:tr>
        <w:trPr>
          <w:trHeight w:val="215"/>
        </w:trPr>
        <w:tc>
          <w:tcPr>
            <w:tcW w:w="6820" w:type="dxa"/>
            <w:vAlign w:val="bottom"/>
          </w:tcPr>
          <w:p>
            <w:pPr>
              <w:spacing w:after="0"/>
              <w:rPr>
                <w:sz w:val="20"/>
                <w:szCs w:val="20"/>
                <w:color w:val="auto"/>
              </w:rPr>
            </w:pPr>
            <w:r>
              <w:rPr>
                <w:rFonts w:ascii="Arial" w:cs="Arial" w:eastAsia="Arial" w:hAnsi="Arial"/>
                <w:sz w:val="18"/>
                <w:szCs w:val="18"/>
                <w:b w:val="1"/>
                <w:bCs w:val="1"/>
                <w:color w:val="auto"/>
                <w:w w:val="94"/>
              </w:rPr>
              <w:t>Adjustments to reconcile net income to net cash generated from operating activities</w:t>
            </w:r>
          </w:p>
        </w:tc>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Depreciation</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89"/>
              </w:rPr>
              <w:t>11</w:t>
            </w: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23,169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25,869</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12</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15,513</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8,004</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Amortisation of grants</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(115)</w:t>
            </w:r>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10</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9,564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7,383</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Financing income</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3</w:t>
            </w: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(2,335)</w:t>
            </w:r>
          </w:p>
        </w:tc>
        <w:tc>
          <w:tcPr>
            <w:tcW w:w="138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4</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2,573</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1,878</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Defined benefit pension service costs</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9</w:t>
            </w: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212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184</w:t>
            </w:r>
          </w:p>
        </w:tc>
      </w:tr>
      <w:tr>
        <w:trPr>
          <w:trHeight w:val="222"/>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5</w:t>
            </w:r>
          </w:p>
        </w:tc>
        <w:tc>
          <w:tcPr>
            <w:tcW w:w="1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9,556</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6,577</w:t>
            </w:r>
          </w:p>
        </w:tc>
      </w:tr>
      <w:tr>
        <w:trPr>
          <w:trHeight w:val="222"/>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1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77,502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133,242</w:t>
            </w:r>
          </w:p>
        </w:tc>
      </w:tr>
      <w:tr>
        <w:trPr>
          <w:trHeight w:val="215"/>
        </w:trPr>
        <w:tc>
          <w:tcPr>
            <w:tcW w:w="6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(Increase)/decrease in accounts receivable</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(32,083)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18,267</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 in unbilled revenue</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(27,164)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Increase in other current assets</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(4,017)</w:t>
            </w: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 current assets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Decrease/(increase) in inventory</w:t>
            </w:r>
          </w:p>
        </w:tc>
        <w:tc>
          <w:tcPr>
            <w:tcW w:w="136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1,005</w:t>
            </w: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accounts payable</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(8,652)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Increase/(decrease) in payments on account</w:t>
            </w:r>
          </w:p>
        </w:tc>
        <w:tc>
          <w:tcPr>
            <w:tcW w:w="136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9,494</w:t>
            </w:r>
          </w:p>
        </w:tc>
        <w:tc>
          <w:tcPr>
            <w:tcW w:w="1380" w:type="dxa"/>
            <w:vAlign w:val="bottom"/>
          </w:tcPr>
          <w:p>
            <w:pPr>
              <w:jc w:val="right"/>
              <w:spacing w:after="0"/>
              <w:rPr>
                <w:sz w:val="20"/>
                <w:szCs w:val="20"/>
                <w:color w:val="auto"/>
              </w:rPr>
            </w:pPr>
            <w:r>
              <w:rPr>
                <w:rFonts w:ascii="Arial" w:cs="Arial" w:eastAsia="Arial" w:hAnsi="Arial"/>
                <w:sz w:val="18"/>
                <w:szCs w:val="18"/>
                <w:color w:val="auto"/>
              </w:rPr>
              <w:t>(29,191)</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accrued and other liabilities and provisions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27,379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w:t>
            </w:r>
          </w:p>
        </w:tc>
      </w:tr>
      <w:tr>
        <w:trPr>
          <w:trHeight w:val="222"/>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(Decrease)/increase in non current other liabilities and provisions</w:t>
            </w:r>
          </w:p>
        </w:tc>
        <w:tc>
          <w:tcPr>
            <w:tcW w:w="1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(613)</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999</w:t>
            </w:r>
          </w:p>
        </w:tc>
      </w:tr>
      <w:tr>
        <w:trPr>
          <w:trHeight w:val="222"/>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operations</w:t>
            </w:r>
          </w:p>
        </w:tc>
        <w:tc>
          <w:tcPr>
            <w:tcW w:w="1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42,618</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101,586</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Income taxes paid</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(22,723)</w:t>
            </w:r>
          </w:p>
        </w:tc>
        <w:tc>
          <w:tcPr>
            <w:tcW w:w="1380" w:type="dxa"/>
            <w:vAlign w:val="bottom"/>
          </w:tcPr>
          <w:p>
            <w:pPr>
              <w:jc w:val="right"/>
              <w:spacing w:after="0"/>
              <w:rPr>
                <w:sz w:val="20"/>
                <w:szCs w:val="20"/>
                <w:color w:val="auto"/>
              </w:rPr>
            </w:pPr>
            <w:r>
              <w:rPr>
                <w:rFonts w:ascii="Arial" w:cs="Arial" w:eastAsia="Arial" w:hAnsi="Arial"/>
                <w:sz w:val="18"/>
                <w:szCs w:val="18"/>
                <w:color w:val="auto"/>
              </w:rPr>
              <w:t>(14,634)</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 defined benefit pension scheme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9</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Interest received</w:t>
            </w:r>
          </w:p>
        </w:tc>
        <w:tc>
          <w:tcPr>
            <w:tcW w:w="136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958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1,602</w:t>
            </w:r>
          </w:p>
        </w:tc>
      </w:tr>
      <w:tr>
        <w:trPr>
          <w:trHeight w:val="222"/>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(388)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2"/>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1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87,428</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(14,440)</w:t>
            </w:r>
          </w:p>
        </w:tc>
        <w:tc>
          <w:tcPr>
            <w:tcW w:w="1380" w:type="dxa"/>
            <w:vAlign w:val="bottom"/>
          </w:tcPr>
          <w:p>
            <w:pPr>
              <w:jc w:val="right"/>
              <w:spacing w:after="0"/>
              <w:rPr>
                <w:sz w:val="20"/>
                <w:szCs w:val="20"/>
                <w:color w:val="auto"/>
              </w:rPr>
            </w:pPr>
            <w:r>
              <w:rPr>
                <w:rFonts w:ascii="Arial" w:cs="Arial" w:eastAsia="Arial" w:hAnsi="Arial"/>
                <w:sz w:val="18"/>
                <w:szCs w:val="18"/>
                <w:color w:val="auto"/>
              </w:rPr>
              <w:t>(18,990)</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(20,844)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Purchase of subsidiary undertakings</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(69,836)</w:t>
            </w:r>
          </w:p>
        </w:tc>
        <w:tc>
          <w:tcPr>
            <w:tcW w:w="1380" w:type="dxa"/>
            <w:vAlign w:val="bottom"/>
          </w:tcPr>
          <w:p>
            <w:pPr>
              <w:jc w:val="right"/>
              <w:spacing w:after="0"/>
              <w:rPr>
                <w:sz w:val="20"/>
                <w:szCs w:val="20"/>
                <w:color w:val="auto"/>
              </w:rPr>
            </w:pPr>
            <w:r>
              <w:rPr>
                <w:rFonts w:ascii="Arial" w:cs="Arial" w:eastAsia="Arial" w:hAnsi="Arial"/>
                <w:sz w:val="18"/>
                <w:szCs w:val="18"/>
                <w:color w:val="auto"/>
              </w:rPr>
              <w:t>(3,693)</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acquired with subsidiary undertakings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8,300</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Sale of current asset investments</w:t>
            </w:r>
          </w:p>
        </w:tc>
        <w:tc>
          <w:tcPr>
            <w:tcW w:w="136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438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79,487</w:t>
            </w:r>
          </w:p>
        </w:tc>
      </w:tr>
      <w:tr>
        <w:trPr>
          <w:trHeight w:val="222"/>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of current asset investments</w:t>
            </w:r>
          </w:p>
        </w:tc>
        <w:tc>
          <w:tcPr>
            <w:tcW w:w="1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(56,000)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(30,260)</w:t>
            </w:r>
          </w:p>
        </w:tc>
      </w:tr>
      <w:tr>
        <w:trPr>
          <w:trHeight w:val="222"/>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in)/provided by investing activities</w:t>
            </w:r>
          </w:p>
        </w:tc>
        <w:tc>
          <w:tcPr>
            <w:tcW w:w="1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(152,382)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14,582</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136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b w:val="1"/>
                <w:bCs w:val="1"/>
                <w:color w:val="auto"/>
              </w:rPr>
              <w:t>681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2,345</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4,665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13,168</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Share issuance costs</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(76)</w:t>
            </w: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(9,005)</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(113)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2"/>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1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2"/>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in)/provided by financing activities</w:t>
            </w:r>
          </w:p>
        </w:tc>
        <w:tc>
          <w:tcPr>
            <w:tcW w:w="1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(3,848)</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15,296</w:t>
            </w:r>
          </w:p>
        </w:tc>
      </w:tr>
      <w:tr>
        <w:trPr>
          <w:trHeight w:val="222"/>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(136,038)</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117,306</w:t>
            </w:r>
          </w:p>
        </w:tc>
      </w:tr>
      <w:tr>
        <w:trPr>
          <w:trHeight w:val="215"/>
        </w:trPr>
        <w:tc>
          <w:tcPr>
            <w:tcW w:w="68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36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(431)</w:t>
            </w:r>
          </w:p>
        </w:tc>
        <w:tc>
          <w:tcPr>
            <w:tcW w:w="1380" w:type="dxa"/>
            <w:vAlign w:val="bottom"/>
          </w:tcPr>
          <w:p>
            <w:pPr>
              <w:jc w:val="right"/>
              <w:spacing w:after="0"/>
              <w:rPr>
                <w:sz w:val="20"/>
                <w:szCs w:val="20"/>
                <w:color w:val="auto"/>
              </w:rPr>
            </w:pPr>
            <w:r>
              <w:rPr>
                <w:rFonts w:ascii="Arial" w:cs="Arial" w:eastAsia="Arial" w:hAnsi="Arial"/>
                <w:sz w:val="18"/>
                <w:szCs w:val="18"/>
                <w:color w:val="auto"/>
              </w:rPr>
              <w:t>(6,401)</w:t>
            </w:r>
          </w:p>
        </w:tc>
      </w:tr>
      <w:tr>
        <w:trPr>
          <w:trHeight w:val="222"/>
        </w:trPr>
        <w:tc>
          <w:tcPr>
            <w:tcW w:w="6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start of year</w:t>
            </w:r>
          </w:p>
        </w:tc>
        <w:tc>
          <w:tcPr>
            <w:tcW w:w="13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255,706</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144,801</w:t>
            </w:r>
          </w:p>
        </w:tc>
      </w:tr>
      <w:tr>
        <w:trPr>
          <w:trHeight w:val="215"/>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119,237</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255,706</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99"/>
        </w:trPr>
        <w:tc>
          <w:tcPr>
            <w:tcW w:w="6820" w:type="dxa"/>
            <w:vAlign w:val="bottom"/>
          </w:tcPr>
          <w:p>
            <w:pPr>
              <w:ind w:left="5620"/>
              <w:spacing w:after="0"/>
              <w:rPr>
                <w:sz w:val="20"/>
                <w:szCs w:val="20"/>
                <w:color w:val="auto"/>
              </w:rPr>
            </w:pPr>
            <w:r>
              <w:rPr>
                <w:rFonts w:ascii="Arial" w:cs="Arial" w:eastAsia="Arial" w:hAnsi="Arial"/>
                <w:sz w:val="18"/>
                <w:szCs w:val="18"/>
                <w:color w:val="auto"/>
              </w:rPr>
              <w:t>59</w:t>
            </w: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7"/>
        </w:trPr>
        <w:tc>
          <w:tcPr>
            <w:tcW w:w="68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Segmental information</w:t>
      </w: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Group is a contract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ability to conduct clinical trials in most major therapeutic areas on a global basis and has the operational flexibility to provide development services on a stand-alone basis or as part of an integrated “full service” solution. These services include clinical trials management, biometric activities, consulting, imaging, contract staffing, and informatics. The Group also provides laboratory services through its central laboratory business, which includes the Group’s central laboratories located in Dublin, New York, India, Singapore and China.</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Group determines and presents operating segments in accordance with IFRS8 </w:t>
      </w:r>
      <w:r>
        <w:rPr>
          <w:rFonts w:ascii="Arial" w:cs="Arial" w:eastAsia="Arial" w:hAnsi="Arial"/>
          <w:sz w:val="17"/>
          <w:szCs w:val="17"/>
          <w:i w:val="1"/>
          <w:iCs w:val="1"/>
          <w:color w:val="auto"/>
        </w:rPr>
        <w:t>Operating Segments</w:t>
      </w:r>
      <w:r>
        <w:rPr>
          <w:rFonts w:ascii="Arial" w:cs="Arial" w:eastAsia="Arial" w:hAnsi="Arial"/>
          <w:sz w:val="17"/>
          <w:szCs w:val="17"/>
          <w:color w:val="auto"/>
        </w:rPr>
        <w:t xml:space="preserve"> based on the information that internally is provided to the Chief Executive Officer (CEO) and Chief Financial Officer (CFO), who together are considered the Group’s chief operating decision makers. The Group has determined that it has two reportable segments, its Clinical research segment and Central laboratory segment. The Group’s primary listing for its shares is the NASDAQ market in the United States. Consequently, information reviewed by the chief operating decision makers and presented below is prepared in accordance with US generally accepted accounting principles (“US GAAP”). Reconciliations of the Group’s profit for the financial year and shareholders equity from US GAAP to IFRS are set out on pages 140 to 143 of this report.</w:t>
      </w:r>
    </w:p>
    <w:p>
      <w:pPr>
        <w:spacing w:after="0" w:line="20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Group’s areas of operation outside of Ireland include, the United States, the United Kingdom, France, Germany, Italy, Spain, The Netherlands, Sweden, Finland, Denmark, Belgium, Switzerland, Poland, Czech Republic, Lithuania, Latvia, Russia, Ukraine, Hungary, Israel, Romania, Canada, Mexico, Brazil, Colombia, Argentina, Chile, Peru, India, China South Korea, Japan, Thailand, Taiwan, Singapore, The Philippines, Australia, New Zealand, and South Africa.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3"/>
          </w:tcPr>
          <w:p>
            <w:pPr>
              <w:spacing w:after="0"/>
              <w:rPr>
                <w:sz w:val="20"/>
                <w:szCs w:val="20"/>
                <w:color w:val="auto"/>
              </w:rPr>
            </w:pPr>
            <w:r>
              <w:rPr>
                <w:rFonts w:ascii="Arial" w:cs="Arial" w:eastAsia="Arial" w:hAnsi="Arial"/>
                <w:sz w:val="18"/>
                <w:szCs w:val="18"/>
                <w:i w:val="1"/>
                <w:iCs w:val="1"/>
                <w:color w:val="auto"/>
              </w:rPr>
              <w:t>Business segment information</w:t>
            </w:r>
          </w:p>
        </w:tc>
        <w:tc>
          <w:tcPr>
            <w:tcW w:w="30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(US GAAP)</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rPr>
              <w:t>(US GAAP)</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(US GAAP)</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31 December</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US$’000</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rPr>
              <w:t>US$’000</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US$’000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Excluding</w:t>
            </w:r>
          </w:p>
        </w:tc>
        <w:tc>
          <w:tcPr>
            <w:tcW w:w="178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Including</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Exceptional</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w:t>
            </w:r>
          </w:p>
        </w:tc>
        <w:tc>
          <w:tcPr>
            <w:tcW w:w="3040" w:type="dxa"/>
            <w:vAlign w:val="bottom"/>
          </w:tcPr>
          <w:p>
            <w:pPr>
              <w:jc w:val="right"/>
              <w:ind w:right="70"/>
              <w:spacing w:after="0"/>
              <w:rPr>
                <w:sz w:val="20"/>
                <w:szCs w:val="20"/>
                <w:color w:val="auto"/>
              </w:rPr>
            </w:pPr>
            <w:r>
              <w:rPr>
                <w:rFonts w:ascii="Arial" w:cs="Arial" w:eastAsia="Arial" w:hAnsi="Arial"/>
                <w:sz w:val="18"/>
                <w:szCs w:val="18"/>
                <w:b w:val="1"/>
                <w:bCs w:val="1"/>
                <w:color w:val="auto"/>
              </w:rPr>
              <w:t>Exceptional items</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Exceptional items</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items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60" w:type="dxa"/>
            <w:vAlign w:val="bottom"/>
            <w:gridSpan w:val="3"/>
            <w:vMerge w:val="continue"/>
          </w:tcPr>
          <w:p>
            <w:pPr>
              <w:spacing w:after="0"/>
              <w:rPr>
                <w:sz w:val="15"/>
                <w:szCs w:val="15"/>
                <w:color w:val="auto"/>
              </w:rPr>
            </w:pPr>
          </w:p>
        </w:tc>
        <w:tc>
          <w:tcPr>
            <w:tcW w:w="3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3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71,549</w:t>
            </w:r>
          </w:p>
        </w:tc>
        <w:tc>
          <w:tcPr>
            <w:tcW w:w="17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71,549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63,813</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Clinical research</w:t>
            </w:r>
          </w:p>
        </w:tc>
        <w:tc>
          <w:tcPr>
            <w:tcW w:w="3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874,180</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874,180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836,231</w:t>
            </w:r>
          </w:p>
        </w:tc>
        <w:tc>
          <w:tcPr>
            <w:tcW w:w="0" w:type="dxa"/>
            <w:vAlign w:val="bottom"/>
          </w:tcPr>
          <w:p>
            <w:pPr>
              <w:spacing w:after="0"/>
              <w:rPr>
                <w:sz w:val="1"/>
                <w:szCs w:val="1"/>
                <w:color w:val="auto"/>
              </w:rPr>
            </w:pPr>
          </w:p>
        </w:tc>
      </w:tr>
      <w:tr>
        <w:trPr>
          <w:trHeight w:val="215"/>
        </w:trPr>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945,729</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945,729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900,044</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60" w:type="dxa"/>
            <w:vAlign w:val="bottom"/>
            <w:gridSpan w:val="3"/>
          </w:tcPr>
          <w:p>
            <w:pPr>
              <w:spacing w:after="0" w:line="175" w:lineRule="exact"/>
              <w:rPr>
                <w:sz w:val="20"/>
                <w:szCs w:val="20"/>
                <w:color w:val="auto"/>
              </w:rPr>
            </w:pPr>
            <w:r>
              <w:rPr>
                <w:rFonts w:ascii="Arial" w:cs="Arial" w:eastAsia="Arial" w:hAnsi="Arial"/>
                <w:sz w:val="18"/>
                <w:szCs w:val="18"/>
                <w:b w:val="1"/>
                <w:bCs w:val="1"/>
                <w:color w:val="auto"/>
              </w:rPr>
              <w:t>Income from Operations</w:t>
            </w:r>
          </w:p>
        </w:tc>
        <w:tc>
          <w:tcPr>
            <w:tcW w:w="30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3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(661)</w:t>
            </w: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(1,545)</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(2,206)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Clinical research</w:t>
            </w:r>
          </w:p>
        </w:tc>
        <w:tc>
          <w:tcPr>
            <w:tcW w:w="3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39,921</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(8,272)</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31,649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104,854</w:t>
            </w:r>
          </w:p>
        </w:tc>
        <w:tc>
          <w:tcPr>
            <w:tcW w:w="0" w:type="dxa"/>
            <w:vAlign w:val="bottom"/>
          </w:tcPr>
          <w:p>
            <w:pPr>
              <w:spacing w:after="0"/>
              <w:rPr>
                <w:sz w:val="1"/>
                <w:szCs w:val="1"/>
                <w:color w:val="auto"/>
              </w:rPr>
            </w:pPr>
          </w:p>
        </w:tc>
      </w:tr>
      <w:tr>
        <w:trPr>
          <w:trHeight w:val="215"/>
        </w:trPr>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39,260</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(9,817)</w:t>
            </w: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29,443</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92,095</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40" w:type="dxa"/>
            <w:vAlign w:val="bottom"/>
          </w:tcPr>
          <w:p>
            <w:pPr>
              <w:jc w:val="right"/>
              <w:ind w:right="810"/>
              <w:spacing w:after="0"/>
              <w:rPr>
                <w:sz w:val="20"/>
                <w:szCs w:val="20"/>
                <w:color w:val="auto"/>
              </w:rPr>
            </w:pPr>
            <w:r>
              <w:rPr>
                <w:rFonts w:ascii="Arial" w:cs="Arial" w:eastAsia="Arial" w:hAnsi="Arial"/>
                <w:sz w:val="18"/>
                <w:szCs w:val="18"/>
                <w:color w:val="auto"/>
              </w:rPr>
              <w:t>60</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ind w:right="8340" w:firstLine="8"/>
        <w:spacing w:after="0" w:line="596" w:lineRule="auto"/>
        <w:tabs>
          <w:tab w:leader="none" w:pos="179"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Segmental information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continued</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segment information (continued):</w:t>
      </w:r>
    </w:p>
    <w:tbl>
      <w:tblPr>
        <w:tblLayout w:type="fixed"/>
        <w:tblInd w:w="0" w:type="dxa"/>
        <w:tblCellMar>
          <w:top w:w="0" w:type="dxa"/>
          <w:left w:w="0" w:type="dxa"/>
          <w:bottom w:w="0" w:type="dxa"/>
          <w:right w:w="0" w:type="dxa"/>
        </w:tblCellMar>
      </w:tblP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(US GAAP)</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40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Depreciation and Amortisation</w:t>
            </w: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US$’000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175"/>
        </w:trPr>
        <w:tc>
          <w:tcPr>
            <w:tcW w:w="4000" w:type="dxa"/>
            <w:vAlign w:val="bottom"/>
            <w:gridSpan w:val="7"/>
            <w:vMerge w:val="continue"/>
          </w:tcPr>
          <w:p>
            <w:pPr>
              <w:spacing w:after="0"/>
              <w:rPr>
                <w:sz w:val="15"/>
                <w:szCs w:val="15"/>
                <w:color w:val="auto"/>
              </w:rPr>
            </w:pPr>
          </w:p>
        </w:tc>
        <w:tc>
          <w:tcPr>
            <w:tcW w:w="6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60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3,721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Clinical research</w:t>
            </w:r>
          </w:p>
        </w:tc>
        <w:tc>
          <w:tcPr>
            <w:tcW w:w="6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34,961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28,985</w:t>
            </w:r>
          </w:p>
        </w:tc>
        <w:tc>
          <w:tcPr>
            <w:tcW w:w="0" w:type="dxa"/>
            <w:vAlign w:val="bottom"/>
          </w:tcPr>
          <w:p>
            <w:pPr>
              <w:spacing w:after="0"/>
              <w:rPr>
                <w:sz w:val="1"/>
                <w:szCs w:val="1"/>
                <w:color w:val="auto"/>
              </w:rPr>
            </w:pPr>
          </w:p>
        </w:tc>
      </w:tr>
      <w:tr>
        <w:trPr>
          <w:trHeight w:val="215"/>
        </w:trPr>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38,682</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33,873</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0" w:type="dxa"/>
            <w:vAlign w:val="bottom"/>
            <w:gridSpan w:val="7"/>
          </w:tcPr>
          <w:p>
            <w:pPr>
              <w:spacing w:after="0" w:line="175" w:lineRule="exact"/>
              <w:rPr>
                <w:sz w:val="20"/>
                <w:szCs w:val="20"/>
                <w:color w:val="auto"/>
              </w:rPr>
            </w:pPr>
            <w:r>
              <w:rPr>
                <w:rFonts w:ascii="Arial" w:cs="Arial" w:eastAsia="Arial" w:hAnsi="Arial"/>
                <w:sz w:val="18"/>
                <w:szCs w:val="18"/>
                <w:b w:val="1"/>
                <w:bCs w:val="1"/>
                <w:color w:val="auto"/>
              </w:rPr>
              <w:t>Share based payment</w:t>
            </w:r>
          </w:p>
        </w:tc>
        <w:tc>
          <w:tcPr>
            <w:tcW w:w="6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gridSpan w:val="7"/>
          </w:tcPr>
          <w:p>
            <w:pPr>
              <w:spacing w:after="0"/>
              <w:rPr>
                <w:sz w:val="20"/>
                <w:szCs w:val="20"/>
                <w:color w:val="auto"/>
              </w:rPr>
            </w:pPr>
            <w:r>
              <w:rPr>
                <w:rFonts w:ascii="Arial" w:cs="Arial" w:eastAsia="Arial" w:hAnsi="Arial"/>
                <w:sz w:val="18"/>
                <w:szCs w:val="18"/>
                <w:color w:val="auto"/>
              </w:rPr>
              <w:t>Central laboratory</w:t>
            </w: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539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8,816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9,355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2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8"/>
                <w:szCs w:val="18"/>
                <w:b w:val="1"/>
                <w:bCs w:val="1"/>
                <w:color w:val="auto"/>
                <w:w w:val="90"/>
              </w:rPr>
              <w:t>Interest Income</w:t>
            </w:r>
          </w:p>
        </w:tc>
        <w:tc>
          <w:tcPr>
            <w:tcW w:w="2780" w:type="dxa"/>
            <w:vAlign w:val="bottom"/>
            <w:tcBorders>
              <w:bottom w:val="single" w:sz="8" w:color="CCEEFF"/>
            </w:tcBorders>
            <w:gridSpan w:val="5"/>
            <w:shd w:val="clear" w:color="auto" w:fill="CCEEFF"/>
          </w:tcPr>
          <w:p>
            <w:pPr>
              <w:spacing w:after="0"/>
              <w:rPr>
                <w:sz w:val="16"/>
                <w:szCs w:val="16"/>
                <w:color w:val="auto"/>
              </w:rPr>
            </w:pPr>
          </w:p>
        </w:tc>
        <w:tc>
          <w:tcPr>
            <w:tcW w:w="60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00" w:type="dxa"/>
            <w:vAlign w:val="bottom"/>
            <w:gridSpan w:val="7"/>
          </w:tcPr>
          <w:p>
            <w:pPr>
              <w:spacing w:after="0"/>
              <w:rPr>
                <w:sz w:val="20"/>
                <w:szCs w:val="20"/>
                <w:color w:val="auto"/>
              </w:rPr>
            </w:pPr>
            <w:r>
              <w:rPr>
                <w:rFonts w:ascii="Arial" w:cs="Arial" w:eastAsia="Arial" w:hAnsi="Arial"/>
                <w:sz w:val="18"/>
                <w:szCs w:val="18"/>
                <w:color w:val="auto"/>
              </w:rPr>
              <w:t>Central laboratory</w:t>
            </w: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1,176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1,194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0" w:type="dxa"/>
            <w:vAlign w:val="bottom"/>
            <w:gridSpan w:val="7"/>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Interest Expense</w:t>
            </w:r>
          </w:p>
        </w:tc>
        <w:tc>
          <w:tcPr>
            <w:tcW w:w="60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gridSpan w:val="7"/>
          </w:tcPr>
          <w:p>
            <w:pPr>
              <w:spacing w:after="0"/>
              <w:rPr>
                <w:sz w:val="20"/>
                <w:szCs w:val="20"/>
                <w:color w:val="auto"/>
              </w:rPr>
            </w:pPr>
            <w:r>
              <w:rPr>
                <w:rFonts w:ascii="Arial" w:cs="Arial" w:eastAsia="Arial" w:hAnsi="Arial"/>
                <w:sz w:val="18"/>
                <w:szCs w:val="18"/>
                <w:color w:val="auto"/>
              </w:rPr>
              <w:t>Central laboratory</w:t>
            </w: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22</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1,620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1,642</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gridSpan w:val="7"/>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Provision for income taxes</w:t>
            </w:r>
          </w:p>
        </w:tc>
        <w:tc>
          <w:tcPr>
            <w:tcW w:w="60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Central laboratory</w:t>
            </w:r>
          </w:p>
        </w:tc>
        <w:tc>
          <w:tcPr>
            <w:tcW w:w="1980" w:type="dxa"/>
            <w:vAlign w:val="bottom"/>
            <w:tcBorders>
              <w:top w:val="single" w:sz="8" w:color="CCEEFF"/>
            </w:tcBorders>
            <w:gridSpan w:val="2"/>
          </w:tcPr>
          <w:p>
            <w:pPr>
              <w:spacing w:after="0"/>
              <w:rPr>
                <w:sz w:val="18"/>
                <w:szCs w:val="18"/>
                <w:color w:val="auto"/>
              </w:rPr>
            </w:pPr>
          </w:p>
        </w:tc>
        <w:tc>
          <w:tcPr>
            <w:tcW w:w="60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b w:val="1"/>
                <w:bCs w:val="1"/>
                <w:color w:val="auto"/>
              </w:rPr>
              <w:t>(175)</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6,290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6,115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0" w:type="dxa"/>
            <w:vAlign w:val="bottom"/>
            <w:gridSpan w:val="7"/>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Total assets</w:t>
            </w:r>
          </w:p>
        </w:tc>
        <w:tc>
          <w:tcPr>
            <w:tcW w:w="60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0" w:type="dxa"/>
            <w:vAlign w:val="bottom"/>
            <w:gridSpan w:val="7"/>
          </w:tcPr>
          <w:p>
            <w:pPr>
              <w:spacing w:after="0"/>
              <w:rPr>
                <w:sz w:val="20"/>
                <w:szCs w:val="20"/>
                <w:color w:val="auto"/>
              </w:rPr>
            </w:pPr>
            <w:r>
              <w:rPr>
                <w:rFonts w:ascii="Arial" w:cs="Arial" w:eastAsia="Arial" w:hAnsi="Arial"/>
                <w:sz w:val="18"/>
                <w:szCs w:val="18"/>
                <w:color w:val="auto"/>
              </w:rPr>
              <w:t>Central laboratory</w:t>
            </w:r>
          </w:p>
        </w:tc>
        <w:tc>
          <w:tcPr>
            <w:tcW w:w="6080" w:type="dxa"/>
            <w:vAlign w:val="bottom"/>
          </w:tcPr>
          <w:p>
            <w:pPr>
              <w:jc w:val="right"/>
              <w:ind w:right="250"/>
              <w:spacing w:after="0"/>
              <w:rPr>
                <w:sz w:val="20"/>
                <w:szCs w:val="20"/>
                <w:color w:val="auto"/>
              </w:rPr>
            </w:pPr>
            <w:r>
              <w:rPr>
                <w:rFonts w:ascii="Arial" w:cs="Arial" w:eastAsia="Arial" w:hAnsi="Arial"/>
                <w:sz w:val="18"/>
                <w:szCs w:val="18"/>
                <w:b w:val="1"/>
                <w:bCs w:val="1"/>
                <w:color w:val="auto"/>
              </w:rPr>
              <w:t>55,184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60,004</w:t>
            </w:r>
          </w:p>
        </w:tc>
        <w:tc>
          <w:tcPr>
            <w:tcW w:w="0" w:type="dxa"/>
            <w:vAlign w:val="bottom"/>
          </w:tcPr>
          <w:p>
            <w:pPr>
              <w:spacing w:after="0"/>
              <w:rPr>
                <w:sz w:val="1"/>
                <w:szCs w:val="1"/>
                <w:color w:val="auto"/>
              </w:rPr>
            </w:pPr>
          </w:p>
        </w:tc>
      </w:tr>
      <w:tr>
        <w:trPr>
          <w:trHeight w:val="222"/>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980,283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889,534</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1,035,467</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949,538</w:t>
            </w:r>
          </w:p>
        </w:tc>
        <w:tc>
          <w:tcPr>
            <w:tcW w:w="0" w:type="dxa"/>
            <w:vAlign w:val="bottom"/>
          </w:tcPr>
          <w:p>
            <w:pPr>
              <w:spacing w:after="0"/>
              <w:rPr>
                <w:sz w:val="1"/>
                <w:szCs w:val="1"/>
                <w:color w:val="auto"/>
              </w:rPr>
            </w:pPr>
          </w:p>
        </w:tc>
      </w:tr>
      <w:tr>
        <w:trPr>
          <w:trHeight w:val="599"/>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80" w:type="dxa"/>
            <w:vAlign w:val="bottom"/>
          </w:tcPr>
          <w:p>
            <w:pPr>
              <w:jc w:val="right"/>
              <w:ind w:right="4190"/>
              <w:spacing w:after="0"/>
              <w:rPr>
                <w:sz w:val="20"/>
                <w:szCs w:val="20"/>
                <w:color w:val="auto"/>
              </w:rPr>
            </w:pPr>
            <w:r>
              <w:rPr>
                <w:rFonts w:ascii="Arial" w:cs="Arial" w:eastAsia="Arial" w:hAnsi="Arial"/>
                <w:sz w:val="18"/>
                <w:szCs w:val="18"/>
                <w:color w:val="auto"/>
              </w:rPr>
              <w:t>61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1. Segmental information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5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(US GAAP)</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42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175"/>
        </w:trPr>
        <w:tc>
          <w:tcPr>
            <w:tcW w:w="4240" w:type="dxa"/>
            <w:vAlign w:val="bottom"/>
            <w:gridSpan w:val="5"/>
            <w:vMerge w:val="continue"/>
          </w:tcPr>
          <w:p>
            <w:pPr>
              <w:spacing w:after="0"/>
              <w:rPr>
                <w:sz w:val="15"/>
                <w:szCs w:val="15"/>
                <w:color w:val="auto"/>
              </w:rPr>
            </w:pPr>
          </w:p>
        </w:tc>
        <w:tc>
          <w:tcPr>
            <w:tcW w:w="5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13,330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14,677</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Clinical research</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340,593</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264,865</w:t>
            </w:r>
          </w:p>
        </w:tc>
        <w:tc>
          <w:tcPr>
            <w:tcW w:w="0" w:type="dxa"/>
            <w:vAlign w:val="bottom"/>
          </w:tcPr>
          <w:p>
            <w:pPr>
              <w:spacing w:after="0"/>
              <w:rPr>
                <w:sz w:val="1"/>
                <w:szCs w:val="1"/>
                <w:color w:val="auto"/>
              </w:rPr>
            </w:pPr>
          </w:p>
        </w:tc>
      </w:tr>
      <w:tr>
        <w:trPr>
          <w:trHeight w:val="215"/>
        </w:trPr>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353,923</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279,539</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40" w:type="dxa"/>
            <w:vAlign w:val="bottom"/>
            <w:gridSpan w:val="5"/>
          </w:tcPr>
          <w:p>
            <w:pPr>
              <w:spacing w:after="0" w:line="175" w:lineRule="exact"/>
              <w:rPr>
                <w:sz w:val="20"/>
                <w:szCs w:val="20"/>
                <w:color w:val="auto"/>
              </w:rPr>
            </w:pPr>
            <w:r>
              <w:rPr>
                <w:rFonts w:ascii="Arial" w:cs="Arial" w:eastAsia="Arial" w:hAnsi="Arial"/>
                <w:sz w:val="18"/>
                <w:szCs w:val="18"/>
                <w:b w:val="1"/>
                <w:bCs w:val="1"/>
                <w:color w:val="auto"/>
              </w:rPr>
              <w:t>Capital expenditure</w:t>
            </w:r>
          </w:p>
        </w:tc>
        <w:tc>
          <w:tcPr>
            <w:tcW w:w="5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Central laboratory</w:t>
            </w:r>
          </w:p>
        </w:tc>
        <w:tc>
          <w:tcPr>
            <w:tcW w:w="5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1,449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Clinical research</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34,556</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27,602</w:t>
            </w:r>
          </w:p>
        </w:tc>
        <w:tc>
          <w:tcPr>
            <w:tcW w:w="0" w:type="dxa"/>
            <w:vAlign w:val="bottom"/>
          </w:tcPr>
          <w:p>
            <w:pPr>
              <w:spacing w:after="0"/>
              <w:rPr>
                <w:sz w:val="1"/>
                <w:szCs w:val="1"/>
                <w:color w:val="auto"/>
              </w:rPr>
            </w:pPr>
          </w:p>
        </w:tc>
      </w:tr>
      <w:tr>
        <w:trPr>
          <w:trHeight w:val="215"/>
        </w:trPr>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36,005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31,593</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3"/>
        </w:trPr>
        <w:tc>
          <w:tcPr>
            <w:tcW w:w="4240" w:type="dxa"/>
            <w:vAlign w:val="bottom"/>
            <w:gridSpan w:val="5"/>
          </w:tcPr>
          <w:p>
            <w:pPr>
              <w:spacing w:after="0"/>
              <w:rPr>
                <w:sz w:val="20"/>
                <w:szCs w:val="20"/>
                <w:color w:val="auto"/>
              </w:rPr>
            </w:pPr>
            <w:r>
              <w:rPr>
                <w:rFonts w:ascii="Arial" w:cs="Arial" w:eastAsia="Arial" w:hAnsi="Arial"/>
                <w:sz w:val="18"/>
                <w:szCs w:val="18"/>
                <w:i w:val="1"/>
                <w:iCs w:val="1"/>
                <w:color w:val="auto"/>
              </w:rPr>
              <w:t>Geographical segment information</w:t>
            </w:r>
          </w:p>
        </w:tc>
        <w:tc>
          <w:tcPr>
            <w:tcW w:w="5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(EU IFRS)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(EU IFRS)</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42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External revenue</w:t>
            </w: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US$’000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175"/>
        </w:trPr>
        <w:tc>
          <w:tcPr>
            <w:tcW w:w="4240" w:type="dxa"/>
            <w:vAlign w:val="bottom"/>
            <w:gridSpan w:val="5"/>
            <w:vMerge w:val="continue"/>
          </w:tcPr>
          <w:p>
            <w:pPr>
              <w:spacing w:after="0"/>
              <w:rPr>
                <w:sz w:val="15"/>
                <w:szCs w:val="15"/>
                <w:color w:val="auto"/>
              </w:rPr>
            </w:pPr>
          </w:p>
        </w:tc>
        <w:tc>
          <w:tcPr>
            <w:tcW w:w="5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Ireland</w:t>
            </w:r>
          </w:p>
        </w:tc>
        <w:tc>
          <w:tcPr>
            <w:tcW w:w="5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88,869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128,790</w:t>
            </w:r>
          </w:p>
        </w:tc>
        <w:tc>
          <w:tcPr>
            <w:tcW w:w="0" w:type="dxa"/>
            <w:vAlign w:val="bottom"/>
          </w:tcPr>
          <w:p>
            <w:pPr>
              <w:spacing w:after="0"/>
              <w:rPr>
                <w:sz w:val="1"/>
                <w:szCs w:val="1"/>
                <w:color w:val="auto"/>
              </w:rPr>
            </w:pPr>
          </w:p>
        </w:tc>
      </w:tr>
      <w:tr>
        <w:trPr>
          <w:trHeight w:val="215"/>
        </w:trPr>
        <w:tc>
          <w:tcPr>
            <w:tcW w:w="4240" w:type="dxa"/>
            <w:vAlign w:val="bottom"/>
            <w:gridSpan w:val="5"/>
          </w:tcPr>
          <w:p>
            <w:pPr>
              <w:spacing w:after="0"/>
              <w:rPr>
                <w:sz w:val="20"/>
                <w:szCs w:val="20"/>
                <w:color w:val="auto"/>
              </w:rPr>
            </w:pPr>
            <w:r>
              <w:rPr>
                <w:rFonts w:ascii="Arial" w:cs="Arial" w:eastAsia="Arial" w:hAnsi="Arial"/>
                <w:sz w:val="18"/>
                <w:szCs w:val="18"/>
                <w:color w:val="auto"/>
              </w:rPr>
              <w:t>Rest of Europe</w:t>
            </w: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348,492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292,567</w:t>
            </w:r>
          </w:p>
        </w:tc>
        <w:tc>
          <w:tcPr>
            <w:tcW w:w="0" w:type="dxa"/>
            <w:vAlign w:val="bottom"/>
          </w:tcPr>
          <w:p>
            <w:pPr>
              <w:spacing w:after="0"/>
              <w:rPr>
                <w:sz w:val="1"/>
                <w:szCs w:val="1"/>
                <w:color w:val="auto"/>
              </w:rPr>
            </w:pPr>
          </w:p>
        </w:tc>
      </w:tr>
      <w:tr>
        <w:trPr>
          <w:trHeight w:val="215"/>
        </w:trPr>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393,957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381,196</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Rest of World</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114,411</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97,491</w:t>
            </w:r>
          </w:p>
        </w:tc>
        <w:tc>
          <w:tcPr>
            <w:tcW w:w="0" w:type="dxa"/>
            <w:vAlign w:val="bottom"/>
          </w:tcPr>
          <w:p>
            <w:pPr>
              <w:spacing w:after="0"/>
              <w:rPr>
                <w:sz w:val="1"/>
                <w:szCs w:val="1"/>
                <w:color w:val="auto"/>
              </w:rPr>
            </w:pPr>
          </w:p>
        </w:tc>
      </w:tr>
      <w:tr>
        <w:trPr>
          <w:trHeight w:val="215"/>
        </w:trPr>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945,729</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900,044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40" w:type="dxa"/>
            <w:vAlign w:val="bottom"/>
            <w:gridSpan w:val="5"/>
          </w:tcPr>
          <w:p>
            <w:pPr>
              <w:spacing w:after="0" w:line="175" w:lineRule="exact"/>
              <w:rPr>
                <w:sz w:val="20"/>
                <w:szCs w:val="20"/>
                <w:color w:val="auto"/>
              </w:rPr>
            </w:pPr>
            <w:r>
              <w:rPr>
                <w:rFonts w:ascii="Arial" w:cs="Arial" w:eastAsia="Arial" w:hAnsi="Arial"/>
                <w:sz w:val="18"/>
                <w:szCs w:val="18"/>
                <w:b w:val="1"/>
                <w:bCs w:val="1"/>
                <w:color w:val="auto"/>
              </w:rPr>
              <w:t>Non-current assets</w:t>
            </w:r>
          </w:p>
        </w:tc>
        <w:tc>
          <w:tcPr>
            <w:tcW w:w="5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Ireland</w:t>
            </w:r>
          </w:p>
        </w:tc>
        <w:tc>
          <w:tcPr>
            <w:tcW w:w="5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174,443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109,919</w:t>
            </w:r>
          </w:p>
        </w:tc>
        <w:tc>
          <w:tcPr>
            <w:tcW w:w="0" w:type="dxa"/>
            <w:vAlign w:val="bottom"/>
          </w:tcPr>
          <w:p>
            <w:pPr>
              <w:spacing w:after="0"/>
              <w:rPr>
                <w:sz w:val="1"/>
                <w:szCs w:val="1"/>
                <w:color w:val="auto"/>
              </w:rPr>
            </w:pPr>
          </w:p>
        </w:tc>
      </w:tr>
      <w:tr>
        <w:trPr>
          <w:trHeight w:val="215"/>
        </w:trPr>
        <w:tc>
          <w:tcPr>
            <w:tcW w:w="4240" w:type="dxa"/>
            <w:vAlign w:val="bottom"/>
            <w:gridSpan w:val="5"/>
          </w:tcPr>
          <w:p>
            <w:pPr>
              <w:spacing w:after="0"/>
              <w:rPr>
                <w:sz w:val="20"/>
                <w:szCs w:val="20"/>
                <w:color w:val="auto"/>
              </w:rPr>
            </w:pPr>
            <w:r>
              <w:rPr>
                <w:rFonts w:ascii="Arial" w:cs="Arial" w:eastAsia="Arial" w:hAnsi="Arial"/>
                <w:sz w:val="18"/>
                <w:szCs w:val="18"/>
                <w:color w:val="auto"/>
              </w:rPr>
              <w:t>Europe</w:t>
            </w:r>
          </w:p>
        </w:tc>
        <w:tc>
          <w:tcPr>
            <w:tcW w:w="5800" w:type="dxa"/>
            <w:vAlign w:val="bottom"/>
          </w:tcPr>
          <w:p>
            <w:pPr>
              <w:jc w:val="right"/>
              <w:ind w:right="210"/>
              <w:spacing w:after="0"/>
              <w:rPr>
                <w:sz w:val="20"/>
                <w:szCs w:val="20"/>
                <w:color w:val="auto"/>
              </w:rPr>
            </w:pPr>
            <w:r>
              <w:rPr>
                <w:rFonts w:ascii="Arial" w:cs="Arial" w:eastAsia="Arial" w:hAnsi="Arial"/>
                <w:sz w:val="18"/>
                <w:szCs w:val="18"/>
                <w:b w:val="1"/>
                <w:bCs w:val="1"/>
                <w:color w:val="auto"/>
              </w:rPr>
              <w:t>130,545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91,226</w:t>
            </w:r>
          </w:p>
        </w:tc>
        <w:tc>
          <w:tcPr>
            <w:tcW w:w="0" w:type="dxa"/>
            <w:vAlign w:val="bottom"/>
          </w:tcPr>
          <w:p>
            <w:pPr>
              <w:spacing w:after="0"/>
              <w:rPr>
                <w:sz w:val="1"/>
                <w:szCs w:val="1"/>
                <w:color w:val="auto"/>
              </w:rPr>
            </w:pPr>
          </w:p>
        </w:tc>
      </w:tr>
      <w:tr>
        <w:trPr>
          <w:trHeight w:val="215"/>
        </w:trPr>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160,910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165,464</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Rest of World</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13,438</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14,865</w:t>
            </w:r>
          </w:p>
        </w:tc>
        <w:tc>
          <w:tcPr>
            <w:tcW w:w="0" w:type="dxa"/>
            <w:vAlign w:val="bottom"/>
          </w:tcPr>
          <w:p>
            <w:pPr>
              <w:spacing w:after="0"/>
              <w:rPr>
                <w:sz w:val="1"/>
                <w:szCs w:val="1"/>
                <w:color w:val="auto"/>
              </w:rPr>
            </w:pPr>
          </w:p>
        </w:tc>
      </w:tr>
      <w:tr>
        <w:trPr>
          <w:trHeight w:val="215"/>
        </w:trPr>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Total</w:t>
            </w:r>
          </w:p>
        </w:tc>
        <w:tc>
          <w:tcPr>
            <w:tcW w:w="5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479,336</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381,474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00" w:type="dxa"/>
            <w:vAlign w:val="bottom"/>
          </w:tcPr>
          <w:p>
            <w:pPr>
              <w:jc w:val="right"/>
              <w:ind w:right="4150"/>
              <w:spacing w:after="0"/>
              <w:rPr>
                <w:sz w:val="20"/>
                <w:szCs w:val="20"/>
                <w:color w:val="auto"/>
              </w:rPr>
            </w:pPr>
            <w:r>
              <w:rPr>
                <w:rFonts w:ascii="Arial" w:cs="Arial" w:eastAsia="Arial" w:hAnsi="Arial"/>
                <w:sz w:val="18"/>
                <w:szCs w:val="18"/>
                <w:color w:val="auto"/>
              </w:rPr>
              <w:t>62</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700" w:type="dxa"/>
            <w:vAlign w:val="bottom"/>
            <w:tcBorders>
              <w:bottom w:val="single" w:sz="8" w:color="808080"/>
            </w:tcBorders>
          </w:tcPr>
          <w:p>
            <w:pPr>
              <w:spacing w:after="0"/>
              <w:rPr>
                <w:sz w:val="10"/>
                <w:szCs w:val="10"/>
                <w:color w:val="auto"/>
              </w:rPr>
            </w:pPr>
          </w:p>
        </w:tc>
        <w:tc>
          <w:tcPr>
            <w:tcW w:w="58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ind w:right="8580" w:firstLine="8"/>
        <w:spacing w:after="0" w:line="532" w:lineRule="auto"/>
        <w:tabs>
          <w:tab w:leader="none" w:pos="17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Segmental information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Major customers</w:t>
      </w:r>
    </w:p>
    <w:p>
      <w:pPr>
        <w:spacing w:after="0"/>
        <w:rPr>
          <w:sz w:val="20"/>
          <w:szCs w:val="20"/>
          <w:color w:val="auto"/>
        </w:rPr>
      </w:pPr>
      <w:r>
        <w:rPr>
          <w:rFonts w:ascii="Arial" w:cs="Arial" w:eastAsia="Arial" w:hAnsi="Arial"/>
          <w:sz w:val="18"/>
          <w:szCs w:val="18"/>
          <w:color w:val="auto"/>
        </w:rPr>
        <w:t>The following table sets forth the clients which represented 10% or more of the Group's net revenue in each of the periods set out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 ended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31 December</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Client A</w:t>
            </w:r>
          </w:p>
        </w:tc>
        <w:tc>
          <w:tcPr>
            <w:tcW w:w="19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1"/>
        </w:trPr>
        <w:tc>
          <w:tcPr>
            <w:tcW w:w="2900" w:type="dxa"/>
            <w:vAlign w:val="bottom"/>
          </w:tcPr>
          <w:p>
            <w:pPr>
              <w:spacing w:after="0"/>
              <w:rPr>
                <w:sz w:val="20"/>
                <w:szCs w:val="20"/>
                <w:color w:val="auto"/>
              </w:rPr>
            </w:pPr>
            <w:r>
              <w:rPr>
                <w:rFonts w:ascii="Arial" w:cs="Arial" w:eastAsia="Arial" w:hAnsi="Arial"/>
                <w:sz w:val="18"/>
                <w:szCs w:val="18"/>
                <w:b w:val="1"/>
                <w:bCs w:val="1"/>
                <w:color w:val="auto"/>
              </w:rPr>
              <w:t>2. Profit before taxation</w:t>
            </w: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820" w:type="dxa"/>
            <w:vAlign w:val="bottom"/>
            <w:gridSpan w:val="2"/>
          </w:tcPr>
          <w:p>
            <w:pPr>
              <w:spacing w:after="0"/>
              <w:rPr>
                <w:sz w:val="20"/>
                <w:szCs w:val="20"/>
                <w:color w:val="auto"/>
              </w:rPr>
            </w:pPr>
            <w:r>
              <w:rPr>
                <w:rFonts w:ascii="Arial" w:cs="Arial" w:eastAsia="Arial" w:hAnsi="Arial"/>
                <w:sz w:val="18"/>
                <w:szCs w:val="18"/>
                <w:color w:val="auto"/>
              </w:rPr>
              <w:t>Profit before taxation is stated after charging the following:</w:t>
            </w: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900" w:type="dxa"/>
            <w:vAlign w:val="bottom"/>
          </w:tcPr>
          <w:p>
            <w:pPr>
              <w:spacing w:after="0"/>
              <w:rPr>
                <w:sz w:val="24"/>
                <w:szCs w:val="24"/>
                <w:color w:val="auto"/>
              </w:rPr>
            </w:pPr>
          </w:p>
        </w:tc>
        <w:tc>
          <w:tcPr>
            <w:tcW w:w="37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Year ended 31 December 2011</w:t>
            </w:r>
          </w:p>
        </w:tc>
        <w:tc>
          <w:tcPr>
            <w:tcW w:w="1040" w:type="dxa"/>
            <w:vAlign w:val="bottom"/>
          </w:tcPr>
          <w:p>
            <w:pPr>
              <w:spacing w:after="0"/>
              <w:rPr>
                <w:sz w:val="24"/>
                <w:szCs w:val="24"/>
                <w:color w:val="auto"/>
              </w:rPr>
            </w:pPr>
          </w:p>
        </w:tc>
        <w:tc>
          <w:tcPr>
            <w:tcW w:w="3720" w:type="dxa"/>
            <w:vAlign w:val="bottom"/>
            <w:gridSpan w:val="3"/>
          </w:tcPr>
          <w:p>
            <w:pPr>
              <w:jc w:val="right"/>
              <w:ind w:right="830"/>
              <w:spacing w:after="0"/>
              <w:rPr>
                <w:sz w:val="20"/>
                <w:szCs w:val="20"/>
                <w:color w:val="auto"/>
              </w:rPr>
            </w:pPr>
            <w:r>
              <w:rPr>
                <w:rFonts w:ascii="Arial" w:cs="Arial" w:eastAsia="Arial" w:hAnsi="Arial"/>
                <w:sz w:val="18"/>
                <w:szCs w:val="18"/>
                <w:color w:val="auto"/>
              </w:rPr>
              <w:t>Year ended 31 December 2010</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rPr>
              <w:t>Group</w:t>
            </w:r>
          </w:p>
        </w:tc>
        <w:tc>
          <w:tcPr>
            <w:tcW w:w="1840" w:type="dxa"/>
            <w:vAlign w:val="bottom"/>
          </w:tcPr>
          <w:p>
            <w:pPr>
              <w:jc w:val="right"/>
              <w:ind w:right="690"/>
              <w:spacing w:after="0"/>
              <w:rPr>
                <w:sz w:val="20"/>
                <w:szCs w:val="20"/>
                <w:color w:val="auto"/>
              </w:rPr>
            </w:pPr>
            <w:r>
              <w:rPr>
                <w:rFonts w:ascii="Arial" w:cs="Arial" w:eastAsia="Arial" w:hAnsi="Arial"/>
                <w:sz w:val="18"/>
                <w:szCs w:val="18"/>
                <w:b w:val="1"/>
                <w:bCs w:val="1"/>
                <w:color w:val="auto"/>
              </w:rPr>
              <w:t>Affiliated</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Group</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Affiliated</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rPr>
              <w:t>auditor</w:t>
            </w:r>
          </w:p>
        </w:tc>
        <w:tc>
          <w:tcPr>
            <w:tcW w:w="1840" w:type="dxa"/>
            <w:vAlign w:val="bottom"/>
          </w:tcPr>
          <w:p>
            <w:pPr>
              <w:jc w:val="right"/>
              <w:ind w:right="690"/>
              <w:spacing w:after="0"/>
              <w:rPr>
                <w:sz w:val="20"/>
                <w:szCs w:val="20"/>
                <w:color w:val="auto"/>
              </w:rPr>
            </w:pPr>
            <w:r>
              <w:rPr>
                <w:rFonts w:ascii="Arial" w:cs="Arial" w:eastAsia="Arial" w:hAnsi="Arial"/>
                <w:sz w:val="18"/>
                <w:szCs w:val="18"/>
                <w:b w:val="1"/>
                <w:bCs w:val="1"/>
                <w:color w:val="auto"/>
              </w:rPr>
              <w:t>firms</w:t>
            </w:r>
          </w:p>
        </w:tc>
        <w:tc>
          <w:tcPr>
            <w:tcW w:w="1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auditor</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firms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Auditors’ remuneration:</w:t>
            </w: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840" w:type="dxa"/>
            <w:vAlign w:val="bottom"/>
          </w:tcPr>
          <w:p>
            <w:pPr>
              <w:jc w:val="right"/>
              <w:ind w:right="690"/>
              <w:spacing w:after="0"/>
              <w:rPr>
                <w:sz w:val="20"/>
                <w:szCs w:val="20"/>
                <w:color w:val="auto"/>
              </w:rPr>
            </w:pPr>
            <w:r>
              <w:rPr>
                <w:rFonts w:ascii="Arial" w:cs="Arial" w:eastAsia="Arial" w:hAnsi="Arial"/>
                <w:sz w:val="18"/>
                <w:szCs w:val="18"/>
                <w:b w:val="1"/>
                <w:bCs w:val="1"/>
                <w:color w:val="auto"/>
              </w:rPr>
              <w:t>$’000</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Audit fees (1) (2)</w:t>
            </w:r>
          </w:p>
        </w:tc>
        <w:tc>
          <w:tcPr>
            <w:tcW w:w="1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1,113</w:t>
            </w:r>
          </w:p>
        </w:tc>
        <w:tc>
          <w:tcPr>
            <w:tcW w:w="18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385</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1,498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370</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Other assurance fees (3)</w:t>
            </w: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rPr>
              <w:t>22</w:t>
            </w:r>
          </w:p>
        </w:tc>
        <w:tc>
          <w:tcPr>
            <w:tcW w:w="1840" w:type="dxa"/>
            <w:vAlign w:val="bottom"/>
          </w:tcPr>
          <w:p>
            <w:pPr>
              <w:jc w:val="right"/>
              <w:ind w:right="690"/>
              <w:spacing w:after="0"/>
              <w:rPr>
                <w:sz w:val="20"/>
                <w:szCs w:val="20"/>
                <w:color w:val="auto"/>
              </w:rPr>
            </w:pPr>
            <w:r>
              <w:rPr>
                <w:rFonts w:ascii="Arial" w:cs="Arial" w:eastAsia="Arial" w:hAnsi="Arial"/>
                <w:sz w:val="18"/>
                <w:szCs w:val="18"/>
                <w:b w:val="1"/>
                <w:bCs w:val="1"/>
                <w:color w:val="auto"/>
              </w:rPr>
              <w:t>109</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131</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 advisory fees (4)</w:t>
            </w:r>
          </w:p>
        </w:tc>
        <w:tc>
          <w:tcPr>
            <w:tcW w:w="1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457</w:t>
            </w:r>
          </w:p>
        </w:tc>
        <w:tc>
          <w:tcPr>
            <w:tcW w:w="184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205</w:t>
            </w:r>
          </w:p>
        </w:tc>
        <w:tc>
          <w:tcPr>
            <w:tcW w:w="10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2"/>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non-audit fees (5)</w:t>
            </w:r>
          </w:p>
        </w:tc>
        <w:tc>
          <w:tcPr>
            <w:tcW w:w="1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160</w:t>
            </w:r>
          </w:p>
        </w:tc>
        <w:tc>
          <w:tcPr>
            <w:tcW w:w="18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160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5"/>
        </w:trPr>
        <w:tc>
          <w:tcPr>
            <w:tcW w:w="2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fees</w:t>
            </w:r>
          </w:p>
        </w:tc>
        <w:tc>
          <w:tcPr>
            <w:tcW w:w="1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1,752</w:t>
            </w:r>
          </w:p>
        </w:tc>
        <w:tc>
          <w:tcPr>
            <w:tcW w:w="18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699</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2,451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643</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Audit fees include annual audit fees for ICON plc and companies based in Ireland and the US.</w:t>
      </w:r>
    </w:p>
    <w:p>
      <w:pPr>
        <w:spacing w:after="0" w:line="22" w:lineRule="exact"/>
        <w:rPr>
          <w:rFonts w:ascii="Arial" w:cs="Arial" w:eastAsia="Arial" w:hAnsi="Arial"/>
          <w:sz w:val="18"/>
          <w:szCs w:val="18"/>
          <w:i w:val="1"/>
          <w:iCs w:val="1"/>
          <w:color w:val="auto"/>
        </w:rPr>
      </w:pPr>
    </w:p>
    <w:p>
      <w:pPr>
        <w:ind w:left="300" w:hanging="292"/>
        <w:spacing w:after="0"/>
        <w:tabs>
          <w:tab w:leader="none" w:pos="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Audit fees for the Company for the year is set at $30,000 (2010: $30,000)</w:t>
      </w:r>
    </w:p>
    <w:p>
      <w:pPr>
        <w:spacing w:after="0" w:line="8" w:lineRule="exact"/>
        <w:rPr>
          <w:rFonts w:ascii="Arial" w:cs="Arial" w:eastAsia="Arial" w:hAnsi="Arial"/>
          <w:sz w:val="18"/>
          <w:szCs w:val="18"/>
          <w:i w:val="1"/>
          <w:iCs w:val="1"/>
          <w:color w:val="auto"/>
        </w:rPr>
      </w:pPr>
    </w:p>
    <w:p>
      <w:pPr>
        <w:ind w:right="520" w:firstLine="8"/>
        <w:spacing w:after="0" w:line="249" w:lineRule="auto"/>
        <w:tabs>
          <w:tab w:leader="none" w:pos="298"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Other assurance fees principally consist of fees for the audit of remaining subsidiaries and fees for the audit of the financial statements of employee benefit plans.</w:t>
      </w:r>
    </w:p>
    <w:p>
      <w:pPr>
        <w:ind w:left="300" w:hanging="292"/>
        <w:spacing w:after="0"/>
        <w:tabs>
          <w:tab w:leader="none" w:pos="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Tax advisory fees are for tax compliance and tax advisory services.</w:t>
      </w:r>
    </w:p>
    <w:p>
      <w:pPr>
        <w:spacing w:after="0" w:line="8"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Other non-audit fee principally consist of fees for financial due diligence.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Directors’ emoluments</w:t>
            </w: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760" w:type="dxa"/>
            <w:vAlign w:val="bottom"/>
            <w:vMerge w:val="continue"/>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Fees</w:t>
            </w:r>
          </w:p>
        </w:tc>
        <w:tc>
          <w:tcPr>
            <w:tcW w:w="4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760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20"/>
                <w:szCs w:val="20"/>
                <w:color w:val="auto"/>
              </w:rPr>
            </w:pPr>
            <w:r>
              <w:rPr>
                <w:rFonts w:ascii="Arial" w:cs="Arial" w:eastAsia="Arial" w:hAnsi="Arial"/>
                <w:sz w:val="18"/>
                <w:szCs w:val="18"/>
                <w:color w:val="auto"/>
              </w:rPr>
              <w:t>Other emoluments and benefits in kind</w:t>
            </w: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1,357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4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based payment</w:t>
            </w:r>
          </w:p>
        </w:tc>
        <w:tc>
          <w:tcPr>
            <w:tcW w:w="4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1,219</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Directors’ emoluments</w:t>
            </w:r>
          </w:p>
        </w:tc>
        <w:tc>
          <w:tcPr>
            <w:tcW w:w="4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3,439</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i w:val="1"/>
          <w:iCs w:val="1"/>
          <w:color w:val="auto"/>
        </w:rPr>
        <w:t>For additional information regarding Directors’ shareholdings, share options and compensation, please refer to the Compensation and Organisation Committee Report and note 8 – Payroll and related benefits.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2. Profit before taxation </w:t>
            </w:r>
            <w:r>
              <w:rPr>
                <w:rFonts w:ascii="Arial" w:cs="Arial" w:eastAsia="Arial" w:hAnsi="Arial"/>
                <w:sz w:val="18"/>
                <w:szCs w:val="18"/>
                <w:b w:val="1"/>
                <w:bCs w:val="1"/>
                <w:i w:val="1"/>
                <w:iCs w:val="1"/>
                <w:color w:val="auto"/>
              </w:rPr>
              <w:t>(continued)</w:t>
            </w:r>
          </w:p>
        </w:tc>
        <w:tc>
          <w:tcPr>
            <w:tcW w:w="4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400" w:type="dxa"/>
            <w:vAlign w:val="bottom"/>
          </w:tcPr>
          <w:p>
            <w:pPr>
              <w:spacing w:after="0"/>
              <w:rPr>
                <w:sz w:val="24"/>
                <w:szCs w:val="24"/>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amortisation</w:t>
            </w: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400" w:type="dxa"/>
            <w:vAlign w:val="bottom"/>
            <w:vMerge w:val="continue"/>
          </w:tcPr>
          <w:p>
            <w:pPr>
              <w:spacing w:after="0"/>
              <w:rPr>
                <w:sz w:val="18"/>
                <w:szCs w:val="18"/>
                <w:color w:val="auto"/>
              </w:rPr>
            </w:pPr>
          </w:p>
        </w:tc>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4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23,169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25,869</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Amortisation of intangible assets</w:t>
            </w:r>
          </w:p>
        </w:tc>
        <w:tc>
          <w:tcPr>
            <w:tcW w:w="4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15,513</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depreciation and amortisation</w:t>
            </w:r>
          </w:p>
        </w:tc>
        <w:tc>
          <w:tcPr>
            <w:tcW w:w="4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38,682</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33,873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8"/>
                <w:szCs w:val="18"/>
                <w:b w:val="1"/>
                <w:bCs w:val="1"/>
                <w:color w:val="auto"/>
              </w:rPr>
              <w:t>Operating lease rentals</w:t>
            </w:r>
          </w:p>
        </w:tc>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Premises</w:t>
            </w:r>
          </w:p>
        </w:tc>
        <w:tc>
          <w:tcPr>
            <w:tcW w:w="4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41,784</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37,421</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Motor vehicles</w:t>
            </w: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8,427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4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2,028</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lease rentals</w:t>
            </w:r>
          </w:p>
        </w:tc>
        <w:tc>
          <w:tcPr>
            <w:tcW w:w="46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52,239</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46,020</w:t>
            </w:r>
          </w:p>
        </w:tc>
        <w:tc>
          <w:tcPr>
            <w:tcW w:w="0" w:type="dxa"/>
            <w:vAlign w:val="bottom"/>
          </w:tcPr>
          <w:p>
            <w:pPr>
              <w:spacing w:after="0"/>
              <w:rPr>
                <w:sz w:val="1"/>
                <w:szCs w:val="1"/>
                <w:color w:val="auto"/>
              </w:rPr>
            </w:pPr>
          </w:p>
        </w:tc>
      </w:tr>
      <w:tr>
        <w:trPr>
          <w:trHeight w:val="451"/>
        </w:trPr>
        <w:tc>
          <w:tcPr>
            <w:tcW w:w="5400" w:type="dxa"/>
            <w:vAlign w:val="bottom"/>
          </w:tcPr>
          <w:p>
            <w:pPr>
              <w:spacing w:after="0"/>
              <w:rPr>
                <w:sz w:val="20"/>
                <w:szCs w:val="20"/>
                <w:color w:val="auto"/>
              </w:rPr>
            </w:pPr>
            <w:r>
              <w:rPr>
                <w:rFonts w:ascii="Arial" w:cs="Arial" w:eastAsia="Arial" w:hAnsi="Arial"/>
                <w:sz w:val="18"/>
                <w:szCs w:val="18"/>
                <w:b w:val="1"/>
                <w:bCs w:val="1"/>
                <w:color w:val="auto"/>
              </w:rPr>
              <w:t>3. Financing income</w:t>
            </w:r>
          </w:p>
        </w:tc>
        <w:tc>
          <w:tcPr>
            <w:tcW w:w="4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400" w:type="dxa"/>
            <w:vAlign w:val="bottom"/>
          </w:tcPr>
          <w:p>
            <w:pPr>
              <w:spacing w:after="0"/>
              <w:rPr>
                <w:sz w:val="24"/>
                <w:szCs w:val="24"/>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1,194</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Defined benefit pension – expected return on plan assets</w:t>
            </w:r>
          </w:p>
        </w:tc>
        <w:tc>
          <w:tcPr>
            <w:tcW w:w="4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1,141</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2,335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5400" w:type="dxa"/>
            <w:vAlign w:val="bottom"/>
          </w:tcPr>
          <w:p>
            <w:pPr>
              <w:spacing w:after="0"/>
              <w:rPr>
                <w:sz w:val="20"/>
                <w:szCs w:val="20"/>
                <w:color w:val="auto"/>
              </w:rPr>
            </w:pPr>
            <w:r>
              <w:rPr>
                <w:rFonts w:ascii="Arial" w:cs="Arial" w:eastAsia="Arial" w:hAnsi="Arial"/>
                <w:sz w:val="18"/>
                <w:szCs w:val="18"/>
                <w:color w:val="auto"/>
                <w:w w:val="94"/>
              </w:rPr>
              <w:t>All of the above relates to items not at fair value through profit and loss.</w:t>
            </w:r>
          </w:p>
        </w:tc>
        <w:tc>
          <w:tcPr>
            <w:tcW w:w="4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400" w:type="dxa"/>
            <w:vAlign w:val="bottom"/>
          </w:tcPr>
          <w:p>
            <w:pPr>
              <w:spacing w:after="0"/>
              <w:rPr>
                <w:sz w:val="20"/>
                <w:szCs w:val="20"/>
                <w:color w:val="auto"/>
              </w:rPr>
            </w:pPr>
            <w:r>
              <w:rPr>
                <w:rFonts w:ascii="Arial" w:cs="Arial" w:eastAsia="Arial" w:hAnsi="Arial"/>
                <w:sz w:val="18"/>
                <w:szCs w:val="18"/>
                <w:b w:val="1"/>
                <w:bCs w:val="1"/>
                <w:color w:val="auto"/>
              </w:rPr>
              <w:t>4. Financing expense</w:t>
            </w:r>
          </w:p>
        </w:tc>
        <w:tc>
          <w:tcPr>
            <w:tcW w:w="4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400" w:type="dxa"/>
            <w:vAlign w:val="bottom"/>
          </w:tcPr>
          <w:p>
            <w:pPr>
              <w:spacing w:after="0"/>
              <w:rPr>
                <w:sz w:val="24"/>
                <w:szCs w:val="24"/>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on bank overdraft and credit facilities</w:t>
            </w:r>
          </w:p>
        </w:tc>
        <w:tc>
          <w:tcPr>
            <w:tcW w:w="4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877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1,107</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Finance cost on acquisition contingent consideration</w:t>
            </w:r>
          </w:p>
        </w:tc>
        <w:tc>
          <w:tcPr>
            <w:tcW w:w="4640" w:type="dxa"/>
            <w:vAlign w:val="bottom"/>
          </w:tcPr>
          <w:p>
            <w:pPr>
              <w:jc w:val="right"/>
              <w:ind w:right="210"/>
              <w:spacing w:after="0"/>
              <w:rPr>
                <w:sz w:val="20"/>
                <w:szCs w:val="20"/>
                <w:color w:val="auto"/>
              </w:rPr>
            </w:pPr>
            <w:r>
              <w:rPr>
                <w:rFonts w:ascii="Arial" w:cs="Arial" w:eastAsia="Arial" w:hAnsi="Arial"/>
                <w:sz w:val="18"/>
                <w:szCs w:val="18"/>
                <w:b w:val="1"/>
                <w:bCs w:val="1"/>
                <w:color w:val="auto"/>
              </w:rPr>
              <w:t>763</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interest</w:t>
            </w:r>
          </w:p>
        </w:tc>
        <w:tc>
          <w:tcPr>
            <w:tcW w:w="4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Defined benefit pension-interest cost</w:t>
            </w:r>
          </w:p>
        </w:tc>
        <w:tc>
          <w:tcPr>
            <w:tcW w:w="4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931</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746</w:t>
            </w: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2,573</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w w:val="95"/>
              </w:rPr>
              <w:t>All of the above relates to items not at fair value through profit and loss</w:t>
            </w:r>
          </w:p>
        </w:tc>
        <w:tc>
          <w:tcPr>
            <w:tcW w:w="4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1"/>
        </w:trPr>
        <w:tc>
          <w:tcPr>
            <w:tcW w:w="5400" w:type="dxa"/>
            <w:vAlign w:val="bottom"/>
          </w:tcPr>
          <w:p>
            <w:pPr>
              <w:spacing w:after="0"/>
              <w:rPr>
                <w:sz w:val="24"/>
                <w:szCs w:val="24"/>
                <w:color w:val="auto"/>
              </w:rPr>
            </w:pPr>
          </w:p>
        </w:tc>
        <w:tc>
          <w:tcPr>
            <w:tcW w:w="4640" w:type="dxa"/>
            <w:vAlign w:val="bottom"/>
          </w:tcPr>
          <w:p>
            <w:pPr>
              <w:jc w:val="right"/>
              <w:ind w:right="4150"/>
              <w:spacing w:after="0"/>
              <w:rPr>
                <w:sz w:val="20"/>
                <w:szCs w:val="20"/>
                <w:color w:val="auto"/>
              </w:rPr>
            </w:pPr>
            <w:r>
              <w:rPr>
                <w:rFonts w:ascii="Arial" w:cs="Arial" w:eastAsia="Arial" w:hAnsi="Arial"/>
                <w:sz w:val="18"/>
                <w:szCs w:val="18"/>
                <w:color w:val="auto"/>
              </w:rPr>
              <w:t>64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0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 expense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current and deferred tax expense for the years ended 31 December 2011 and 2010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3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33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33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Current tax expense</w:t>
            </w:r>
          </w:p>
        </w:tc>
        <w:tc>
          <w:tcPr>
            <w:tcW w:w="33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678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3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11,997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Under/(over) provided in prior years</w:t>
            </w:r>
          </w:p>
        </w:tc>
        <w:tc>
          <w:tcPr>
            <w:tcW w:w="3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239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12,236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b w:val="1"/>
                <w:bCs w:val="1"/>
                <w:color w:val="auto"/>
              </w:rPr>
              <w:t>Deferred tax charge/(credit)</w:t>
            </w: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Origination and reversal of temporary differences</w:t>
            </w:r>
          </w:p>
        </w:tc>
        <w:tc>
          <w:tcPr>
            <w:tcW w:w="33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(2,359)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(Over)/under provided in prior years</w:t>
            </w:r>
          </w:p>
        </w:tc>
        <w:tc>
          <w:tcPr>
            <w:tcW w:w="3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(321)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(2,680)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in the Consolidated income statement</w:t>
            </w:r>
          </w:p>
        </w:tc>
        <w:tc>
          <w:tcPr>
            <w:tcW w:w="3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9,556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tax recognised in equity</w:t>
            </w:r>
          </w:p>
        </w:tc>
        <w:tc>
          <w:tcPr>
            <w:tcW w:w="3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20"/>
                <w:szCs w:val="20"/>
                <w:color w:val="auto"/>
              </w:rPr>
            </w:pPr>
            <w:r>
              <w:rPr>
                <w:rFonts w:ascii="Arial" w:cs="Arial" w:eastAsia="Arial" w:hAnsi="Arial"/>
                <w:sz w:val="18"/>
                <w:szCs w:val="18"/>
                <w:color w:val="auto"/>
              </w:rPr>
              <w:t>Share based payment</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(681)</w:t>
            </w:r>
          </w:p>
        </w:tc>
        <w:tc>
          <w:tcPr>
            <w:tcW w:w="1340" w:type="dxa"/>
            <w:vAlign w:val="bottom"/>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on currency impact on long term funding</w:t>
            </w:r>
          </w:p>
        </w:tc>
        <w:tc>
          <w:tcPr>
            <w:tcW w:w="3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tax recognised in equity</w:t>
            </w:r>
          </w:p>
        </w:tc>
        <w:tc>
          <w:tcPr>
            <w:tcW w:w="3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(975)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total tax expense of $9.6 million and $6.6 million for the years ended 31 December 2011 and 31 December 2010 respectively, reflects tax at standard rates on taxable profits in the jurisdictions in which the group operates, foreign withholding tax and the availability of tax losses.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deferred tax credit of $2.7 million for the year ended 31 December 2011 and the deferred tax charge of $3.3 million for the year ended 31 December 2010, relates to deferred tax arising in respect of net operating losses and temporary differences in capital items, the timing of certain goodwill amortisation on US acquisitions and the timing of tax deductions available relating to the Group’s share option schemes. No deferred tax asset has been recognised on the defined benefit pension scheme.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expected tax expense, computed by applying the standard Irish tax rate to income before tax to the actual tax expense, is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Year ended</w:t>
            </w:r>
          </w:p>
        </w:tc>
      </w:tr>
      <w:tr>
        <w:trPr>
          <w:trHeight w:val="215"/>
        </w:trPr>
        <w:tc>
          <w:tcPr>
            <w:tcW w:w="7220" w:type="dxa"/>
            <w:vAlign w:val="bottom"/>
          </w:tcPr>
          <w:p>
            <w:pPr>
              <w:spacing w:after="0"/>
              <w:rPr>
                <w:sz w:val="18"/>
                <w:szCs w:val="18"/>
                <w:color w:val="auto"/>
              </w:rPr>
            </w:pP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31 December</w:t>
            </w:r>
          </w:p>
        </w:tc>
      </w:tr>
      <w:tr>
        <w:trPr>
          <w:trHeight w:val="215"/>
        </w:trPr>
        <w:tc>
          <w:tcPr>
            <w:tcW w:w="7220" w:type="dxa"/>
            <w:vAlign w:val="bottom"/>
          </w:tcPr>
          <w:p>
            <w:pPr>
              <w:spacing w:after="0"/>
              <w:rPr>
                <w:sz w:val="18"/>
                <w:szCs w:val="18"/>
                <w:color w:val="auto"/>
              </w:rPr>
            </w:pP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2010</w:t>
            </w:r>
          </w:p>
        </w:tc>
      </w:tr>
      <w:tr>
        <w:trPr>
          <w:trHeight w:val="234"/>
        </w:trPr>
        <w:tc>
          <w:tcPr>
            <w:tcW w:w="7220" w:type="dxa"/>
            <w:vAlign w:val="bottom"/>
          </w:tcPr>
          <w:p>
            <w:pPr>
              <w:spacing w:after="0"/>
              <w:rPr>
                <w:sz w:val="20"/>
                <w:szCs w:val="20"/>
                <w:color w:val="auto"/>
              </w:rPr>
            </w:pP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$’000</w:t>
            </w:r>
          </w:p>
        </w:tc>
      </w:tr>
      <w:tr>
        <w:trPr>
          <w:trHeight w:val="215"/>
        </w:trPr>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w:t>
            </w:r>
          </w:p>
        </w:tc>
        <w:tc>
          <w:tcPr>
            <w:tcW w:w="2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28,786</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92,749</w:t>
            </w:r>
          </w:p>
        </w:tc>
      </w:tr>
      <w:tr>
        <w:trPr>
          <w:trHeight w:val="222"/>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Irish standard tax rate</w:t>
            </w:r>
          </w:p>
        </w:tc>
        <w:tc>
          <w:tcPr>
            <w:tcW w:w="2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15"/>
        </w:trPr>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Taxes at Irish standard tax rate</w:t>
            </w:r>
          </w:p>
        </w:tc>
        <w:tc>
          <w:tcPr>
            <w:tcW w:w="28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3,598</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11,593</w:t>
            </w:r>
          </w:p>
        </w:tc>
      </w:tr>
      <w:tr>
        <w:trPr>
          <w:trHeight w:val="430"/>
        </w:trPr>
        <w:tc>
          <w:tcPr>
            <w:tcW w:w="7220" w:type="dxa"/>
            <w:vAlign w:val="bottom"/>
          </w:tcPr>
          <w:p>
            <w:pPr>
              <w:spacing w:after="0"/>
              <w:rPr>
                <w:sz w:val="20"/>
                <w:szCs w:val="20"/>
                <w:color w:val="auto"/>
              </w:rPr>
            </w:pPr>
            <w:r>
              <w:rPr>
                <w:rFonts w:ascii="Arial" w:cs="Arial" w:eastAsia="Arial" w:hAnsi="Arial"/>
                <w:sz w:val="18"/>
                <w:szCs w:val="18"/>
                <w:color w:val="auto"/>
              </w:rPr>
              <w:t>Reversal of prior year over provision in respect of</w:t>
            </w: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foreign taxes</w:t>
            </w:r>
          </w:p>
        </w:tc>
        <w:tc>
          <w:tcPr>
            <w:tcW w:w="2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15"/>
        </w:trPr>
        <w:tc>
          <w:tcPr>
            <w:tcW w:w="7220" w:type="dxa"/>
            <w:vAlign w:val="bottom"/>
          </w:tcPr>
          <w:p>
            <w:pPr>
              <w:spacing w:after="0"/>
              <w:rPr>
                <w:sz w:val="20"/>
                <w:szCs w:val="20"/>
                <w:color w:val="auto"/>
              </w:rPr>
            </w:pPr>
            <w:r>
              <w:rPr>
                <w:rFonts w:ascii="Arial" w:cs="Arial" w:eastAsia="Arial" w:hAnsi="Arial"/>
                <w:sz w:val="18"/>
                <w:szCs w:val="18"/>
                <w:color w:val="auto"/>
              </w:rPr>
              <w:t>Foreign and other income taxed at higher rates</w:t>
            </w: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11,727</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5,845</w:t>
            </w: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previously unrecognised tax benefits for uncertain tax positions</w:t>
            </w:r>
          </w:p>
        </w:tc>
        <w:tc>
          <w:tcPr>
            <w:tcW w:w="2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(2,913)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(9,689)</w:t>
            </w:r>
          </w:p>
        </w:tc>
      </w:tr>
      <w:tr>
        <w:trPr>
          <w:trHeight w:val="215"/>
        </w:trPr>
        <w:tc>
          <w:tcPr>
            <w:tcW w:w="7220" w:type="dxa"/>
            <w:vAlign w:val="bottom"/>
          </w:tcPr>
          <w:p>
            <w:pPr>
              <w:spacing w:after="0"/>
              <w:rPr>
                <w:sz w:val="20"/>
                <w:szCs w:val="20"/>
                <w:color w:val="auto"/>
              </w:rPr>
            </w:pPr>
            <w:r>
              <w:rPr>
                <w:rFonts w:ascii="Arial" w:cs="Arial" w:eastAsia="Arial" w:hAnsi="Arial"/>
                <w:sz w:val="18"/>
                <w:szCs w:val="18"/>
                <w:color w:val="auto"/>
              </w:rPr>
              <w:t>Non taxable income and non tax deductible expenses</w:t>
            </w:r>
          </w:p>
        </w:tc>
        <w:tc>
          <w:tcPr>
            <w:tcW w:w="2820" w:type="dxa"/>
            <w:vAlign w:val="bottom"/>
          </w:tcPr>
          <w:p>
            <w:pPr>
              <w:jc w:val="right"/>
              <w:ind w:right="250"/>
              <w:spacing w:after="0"/>
              <w:rPr>
                <w:sz w:val="20"/>
                <w:szCs w:val="20"/>
                <w:color w:val="auto"/>
              </w:rPr>
            </w:pPr>
            <w:r>
              <w:rPr>
                <w:rFonts w:ascii="Arial" w:cs="Arial" w:eastAsia="Arial" w:hAnsi="Arial"/>
                <w:sz w:val="18"/>
                <w:szCs w:val="18"/>
                <w:b w:val="1"/>
                <w:bCs w:val="1"/>
                <w:color w:val="auto"/>
              </w:rPr>
              <w:t>(588)</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97</w:t>
            </w: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Losses for which no benefit has been recognised</w:t>
            </w:r>
          </w:p>
        </w:tc>
        <w:tc>
          <w:tcPr>
            <w:tcW w:w="2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4,362</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822</w:t>
            </w:r>
          </w:p>
        </w:tc>
      </w:tr>
      <w:tr>
        <w:trPr>
          <w:trHeight w:val="215"/>
        </w:trPr>
        <w:tc>
          <w:tcPr>
            <w:tcW w:w="7220" w:type="dxa"/>
            <w:vAlign w:val="bottom"/>
          </w:tcPr>
          <w:p>
            <w:pPr>
              <w:spacing w:after="0"/>
              <w:rPr>
                <w:sz w:val="20"/>
                <w:szCs w:val="20"/>
                <w:color w:val="auto"/>
              </w:rPr>
            </w:pPr>
            <w:r>
              <w:rPr>
                <w:rFonts w:ascii="Arial" w:cs="Arial" w:eastAsia="Arial" w:hAnsi="Arial"/>
                <w:sz w:val="18"/>
                <w:szCs w:val="18"/>
                <w:color w:val="auto"/>
              </w:rPr>
              <w:t>Research and development tax incentives</w:t>
            </w:r>
          </w:p>
        </w:tc>
        <w:tc>
          <w:tcPr>
            <w:tcW w:w="2820" w:type="dxa"/>
            <w:vAlign w:val="bottom"/>
          </w:tcPr>
          <w:p>
            <w:pPr>
              <w:jc w:val="right"/>
              <w:ind w:right="250"/>
              <w:spacing w:after="0"/>
              <w:rPr>
                <w:sz w:val="20"/>
                <w:szCs w:val="20"/>
                <w:color w:val="auto"/>
              </w:rPr>
            </w:pPr>
            <w:r>
              <w:rPr>
                <w:rFonts w:ascii="Arial" w:cs="Arial" w:eastAsia="Arial" w:hAnsi="Arial"/>
                <w:sz w:val="18"/>
                <w:szCs w:val="18"/>
                <w:b w:val="1"/>
                <w:bCs w:val="1"/>
                <w:color w:val="auto"/>
              </w:rPr>
              <w:t>(6,341)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(1,927)</w:t>
            </w:r>
          </w:p>
        </w:tc>
      </w:tr>
      <w:tr>
        <w:trPr>
          <w:trHeight w:val="222"/>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(206)</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r>
      <w:tr>
        <w:trPr>
          <w:trHeight w:val="215"/>
        </w:trPr>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Tax expense on profit for the year</w:t>
            </w:r>
          </w:p>
        </w:tc>
        <w:tc>
          <w:tcPr>
            <w:tcW w:w="28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9,556</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6,577</w:t>
            </w:r>
          </w:p>
        </w:tc>
      </w:tr>
      <w:tr>
        <w:trPr>
          <w:trHeight w:val="599"/>
        </w:trPr>
        <w:tc>
          <w:tcPr>
            <w:tcW w:w="7220" w:type="dxa"/>
            <w:vAlign w:val="bottom"/>
          </w:tcPr>
          <w:p>
            <w:pPr>
              <w:ind w:left="5620"/>
              <w:spacing w:after="0"/>
              <w:rPr>
                <w:sz w:val="20"/>
                <w:szCs w:val="20"/>
                <w:color w:val="auto"/>
              </w:rPr>
            </w:pPr>
            <w:r>
              <w:rPr>
                <w:rFonts w:ascii="Arial" w:cs="Arial" w:eastAsia="Arial" w:hAnsi="Arial"/>
                <w:sz w:val="18"/>
                <w:szCs w:val="18"/>
                <w:color w:val="auto"/>
              </w:rPr>
              <w:t>66</w:t>
            </w: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7"/>
        </w:trPr>
        <w:tc>
          <w:tcPr>
            <w:tcW w:w="722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at 31 December 2011 and 31 December 2010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160" w:type="dxa"/>
            <w:vAlign w:val="bottom"/>
            <w:vMerge w:val="continue"/>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 carried forward</w:t>
            </w:r>
          </w:p>
        </w:tc>
        <w:tc>
          <w:tcPr>
            <w:tcW w:w="4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5,791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11,652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1,069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Deferred compensation</w:t>
            </w: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1,197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4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1,113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taxation assets</w:t>
            </w:r>
          </w:p>
        </w:tc>
        <w:tc>
          <w:tcPr>
            <w:tcW w:w="4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21,029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15,597</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offset against deferred tax liabilities</w:t>
            </w:r>
          </w:p>
        </w:tc>
        <w:tc>
          <w:tcPr>
            <w:tcW w:w="4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(16,419)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 disclosed on Statement of financial position</w:t>
            </w:r>
          </w:p>
        </w:tc>
        <w:tc>
          <w:tcPr>
            <w:tcW w:w="4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4,610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7,331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9,443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3,525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90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4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1,185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Total deferred taxation liabilities</w:t>
            </w:r>
          </w:p>
        </w:tc>
        <w:tc>
          <w:tcPr>
            <w:tcW w:w="4920" w:type="dxa"/>
            <w:vAlign w:val="bottom"/>
          </w:tcPr>
          <w:p>
            <w:pPr>
              <w:jc w:val="right"/>
              <w:ind w:right="250"/>
              <w:spacing w:after="0"/>
              <w:rPr>
                <w:sz w:val="20"/>
                <w:szCs w:val="20"/>
                <w:color w:val="auto"/>
              </w:rPr>
            </w:pPr>
            <w:r>
              <w:rPr>
                <w:rFonts w:ascii="Arial" w:cs="Arial" w:eastAsia="Arial" w:hAnsi="Arial"/>
                <w:sz w:val="18"/>
                <w:szCs w:val="18"/>
                <w:b w:val="1"/>
                <w:bCs w:val="1"/>
                <w:color w:val="auto"/>
              </w:rPr>
              <w:t>21,574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15,030</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offset against deferred tax assets</w:t>
            </w:r>
          </w:p>
        </w:tc>
        <w:tc>
          <w:tcPr>
            <w:tcW w:w="4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(16,419)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liability disclosed on Statement of financial position</w:t>
            </w:r>
          </w:p>
        </w:tc>
        <w:tc>
          <w:tcPr>
            <w:tcW w:w="4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5,155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(liability)/asset</w:t>
            </w:r>
          </w:p>
        </w:tc>
        <w:tc>
          <w:tcPr>
            <w:tcW w:w="4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(545)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599"/>
        </w:trPr>
        <w:tc>
          <w:tcPr>
            <w:tcW w:w="5160" w:type="dxa"/>
            <w:vAlign w:val="bottom"/>
          </w:tcPr>
          <w:p>
            <w:pPr>
              <w:spacing w:after="0"/>
              <w:rPr>
                <w:sz w:val="24"/>
                <w:szCs w:val="24"/>
                <w:color w:val="auto"/>
              </w:rPr>
            </w:pPr>
          </w:p>
        </w:tc>
        <w:tc>
          <w:tcPr>
            <w:tcW w:w="4920" w:type="dxa"/>
            <w:vAlign w:val="bottom"/>
          </w:tcPr>
          <w:p>
            <w:pPr>
              <w:jc w:val="right"/>
              <w:ind w:right="4190"/>
              <w:spacing w:after="0"/>
              <w:rPr>
                <w:sz w:val="20"/>
                <w:szCs w:val="20"/>
                <w:color w:val="auto"/>
              </w:rPr>
            </w:pPr>
            <w:r>
              <w:rPr>
                <w:rFonts w:ascii="Arial" w:cs="Arial" w:eastAsia="Arial" w:hAnsi="Arial"/>
                <w:sz w:val="18"/>
                <w:szCs w:val="18"/>
                <w:color w:val="auto"/>
              </w:rPr>
              <w:t>67</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60" w:type="dxa"/>
            <w:vAlign w:val="bottom"/>
            <w:tcBorders>
              <w:bottom w:val="single" w:sz="8" w:color="808080"/>
            </w:tcBorders>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2011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1 January</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Acquired</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Recognised in</w:t>
            </w: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Recognised in</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4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Income</w:t>
            </w: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Other</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Comprehensive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Income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740" w:type="dxa"/>
            <w:vAlign w:val="bottom"/>
          </w:tcPr>
          <w:p>
            <w:pPr>
              <w:jc w:val="right"/>
              <w:ind w:right="31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3,878</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439</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1,498</w:t>
            </w: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5,791</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6,588</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5,084</w:t>
            </w: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11,652</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206</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430</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1,069</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1,349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(152)</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1,197</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3,258</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(2,145)</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1,113</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91</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437"/>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assets</w:t>
            </w:r>
          </w:p>
        </w:tc>
        <w:tc>
          <w:tcPr>
            <w:tcW w:w="1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15,597</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645</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4,831</w:t>
            </w:r>
          </w:p>
        </w:tc>
        <w:tc>
          <w:tcPr>
            <w:tcW w:w="1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21,029</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taxation liabilities</w:t>
            </w: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6,478</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813</w:t>
            </w:r>
          </w:p>
        </w:tc>
        <w:tc>
          <w:tcPr>
            <w:tcW w:w="174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7,331</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 on acquisition</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7,348</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2,095</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9,443</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Accruals to cash method adjustment</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832</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353</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1,185</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4,370</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(1,051)</w:t>
            </w: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3,525</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149</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437"/>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1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15,030</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4,370</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2,151</w:t>
            </w:r>
          </w:p>
        </w:tc>
        <w:tc>
          <w:tcPr>
            <w:tcW w:w="1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21,574</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asset/(liability)</w:t>
            </w:r>
          </w:p>
        </w:tc>
        <w:tc>
          <w:tcPr>
            <w:tcW w:w="1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567</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(3,725)</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2,680</w:t>
            </w:r>
          </w:p>
        </w:tc>
        <w:tc>
          <w:tcPr>
            <w:tcW w:w="17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0" w:type="dxa"/>
            <w:vAlign w:val="bottom"/>
          </w:tcPr>
          <w:p>
            <w:pPr>
              <w:spacing w:after="0"/>
              <w:rPr>
                <w:sz w:val="1"/>
                <w:szCs w:val="1"/>
                <w:color w:val="auto"/>
              </w:rPr>
            </w:pPr>
          </w:p>
        </w:tc>
      </w:tr>
    </w:tbl>
    <w:p>
      <w:pPr>
        <w:ind w:left="5620" w:right="4300" w:hanging="5612"/>
        <w:spacing w:after="0" w:line="711" w:lineRule="auto"/>
        <w:tabs>
          <w:tab w:leader="none" w:pos="138"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These adjustments relate to foreign currency translation on the deferred tax assets and liabilities. </w:t>
      </w: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-191135</wp:posOffset>
            </wp:positionV>
            <wp:extent cx="725106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2010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Balance</w:t>
            </w:r>
          </w:p>
        </w:tc>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1 January</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Acquired</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Recognised in</w:t>
            </w: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Recognised in</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440" w:type="dxa"/>
            <w:vAlign w:val="bottom"/>
          </w:tcPr>
          <w:p>
            <w:pPr>
              <w:spacing w:after="0"/>
              <w:rPr>
                <w:sz w:val="18"/>
                <w:szCs w:val="18"/>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Income</w:t>
            </w: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Comprehensive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Income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36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2,133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1,710</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9,296</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(2,774)</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66*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947</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402</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7,073</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(950)</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(2,865)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238</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37"/>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taxation assets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20,040</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(1,679)</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(2,764)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15,597</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taxation liabilities:</w:t>
            </w:r>
          </w:p>
        </w:tc>
        <w:tc>
          <w:tcPr>
            <w:tcW w:w="1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5,873</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605</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 on acquisition</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5,492</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1,856</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Accruals to cash method adjustment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808</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1,312</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(1,089)</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750</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(601)</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437"/>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deferred taxation liabilities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13,439</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1,579</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15,030</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deferred taxation asset</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6,601</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(3,258)</w:t>
            </w:r>
          </w:p>
        </w:tc>
        <w:tc>
          <w:tcPr>
            <w:tcW w:w="1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(2,776)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*These adjustments relate to foreign currency translation on the deferred tax assets.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Unrecognised deferred tax assets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31 December 2011, non-US subsidiaries had operating loss carry-forwards for income tax purposes that may be carried forward indefinitely, available to offset against future taxable income, if any, of approximately $83.1 million (31 December 2010: $43.3 million). At 31 December 2011 non – US subsidiaries also had additional operating loss carry forwards of $5.6 million which are due to expire between 2012 and 2014.</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31 December 2011, ICON Laboratory Inc., a U.S. subsidiary, had U.S. Federal and State net operating loss carry forwards of approximately $4.9 million and $13.1 million, respectively (31 December 2010: approximately $10.2 million and $11.4 million) respectively. These net operating losses are available for offset against future taxable income and expire between 2012 and 2031. Of the $4.9 million U.S. Federal and $13.1 million State net operating losses, approximately $3.9 million and $12.1 million are currently available for offset against future U.S. Federal and State taxable income respectively. The subsidiary’s ability to use the remaining U.S. Federal and State net operating loss carry forwards of $1.0 million and $1.0 million respectively is limited to $113,000 per year due to the subsidiary experiencing a change of ownership in 2000, as defined by Section 382 of the Internal Revenue Code of 1986, as amended.</w:t>
      </w:r>
    </w:p>
    <w:p>
      <w:pPr>
        <w:spacing w:after="0" w:line="22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Certain of the deferred tax assets relating to net operating losses have not been recognised to the extent that it is considered unlikely that a benefit will be received in the future.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Income tax expense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31 December 2011, ICON Clinical Research Inc and its US subsidiaries had combined US state net operating loss carry forwards of approximately $1.2 million. These net operating loss carry forwards are available for offset against future, or in some cases prior taxable income in the relevant state and generally expire between 2020 and 2031.</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total, the Group has unrecognised deferred tax assets at 31 December 2011 of $16.5 million (31 December 2010 : $12.3 million). The Group has not recognised these deferred tax assets because it believes that it is more likely than not that the losses and other deferred tax assets will not be utilised given their history of operating losses.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Unrecognised deferred tax liabilities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31 December 2011 and 31 December 2010 respectively, there were no recognised or unrecognised deferred tax liabilities for taxes that would be payable on the unremitted earnings of certain of the Group's subsidiaries. The Group is able to control the timing of the reversal of the temporary differences of its subsidiaries and it is probable that these temporary differences will not reverse in the foreseeable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for basic and diluted net earnings per share for the year ended 31 December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31 December</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$’000</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Excluding</w:t>
            </w:r>
          </w:p>
        </w:tc>
        <w:tc>
          <w:tcPr>
            <w:tcW w:w="200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Including</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Exceptional</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Numerator computations</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Exceptional items</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auto"/>
                <w:w w:val="95"/>
              </w:rPr>
              <w:t>Exceptional items</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items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9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17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27,816</w:t>
            </w:r>
          </w:p>
        </w:tc>
        <w:tc>
          <w:tcPr>
            <w:tcW w:w="20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(8,586)</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19,230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86,172</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attributable to equity holders</w:t>
            </w: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27,816</w:t>
            </w:r>
          </w:p>
        </w:tc>
        <w:tc>
          <w:tcPr>
            <w:tcW w:w="20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(8,586)</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19,230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86,172</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 computations</w:t>
            </w:r>
          </w:p>
        </w:tc>
        <w:tc>
          <w:tcPr>
            <w:tcW w:w="17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Number of Shares</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w w:val="94"/>
              </w:rPr>
              <w:t>Weighted average number of ordinary shares outstanding – basic</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60,379,338</w:t>
            </w:r>
          </w:p>
        </w:tc>
        <w:tc>
          <w:tcPr>
            <w:tcW w:w="2000" w:type="dxa"/>
            <w:vAlign w:val="bottom"/>
          </w:tcPr>
          <w:p>
            <w:pPr>
              <w:jc w:val="right"/>
              <w:ind w:right="430"/>
              <w:spacing w:after="0"/>
              <w:rPr>
                <w:sz w:val="20"/>
                <w:szCs w:val="20"/>
                <w:color w:val="auto"/>
              </w:rPr>
            </w:pPr>
            <w:r>
              <w:rPr>
                <w:rFonts w:ascii="Arial" w:cs="Arial" w:eastAsia="Arial" w:hAnsi="Arial"/>
                <w:sz w:val="18"/>
                <w:szCs w:val="18"/>
                <w:b w:val="1"/>
                <w:bCs w:val="1"/>
                <w:color w:val="auto"/>
              </w:rPr>
              <w:t>60,379,338</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60,379,338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59,718,934</w:t>
            </w:r>
          </w:p>
        </w:tc>
        <w:tc>
          <w:tcPr>
            <w:tcW w:w="0" w:type="dxa"/>
            <w:vAlign w:val="bottom"/>
          </w:tcPr>
          <w:p>
            <w:pPr>
              <w:spacing w:after="0"/>
              <w:rPr>
                <w:sz w:val="1"/>
                <w:szCs w:val="1"/>
                <w:color w:val="auto"/>
              </w:rPr>
            </w:pPr>
          </w:p>
        </w:tc>
      </w:tr>
      <w:tr>
        <w:trPr>
          <w:trHeight w:val="222"/>
        </w:trPr>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dilutive potential ordinary shares</w:t>
            </w: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757,377</w:t>
            </w:r>
          </w:p>
        </w:tc>
        <w:tc>
          <w:tcPr>
            <w:tcW w:w="20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757,377</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757,377</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1,195,381</w:t>
            </w:r>
          </w:p>
        </w:tc>
        <w:tc>
          <w:tcPr>
            <w:tcW w:w="0" w:type="dxa"/>
            <w:vAlign w:val="bottom"/>
          </w:tcPr>
          <w:p>
            <w:pPr>
              <w:spacing w:after="0"/>
              <w:rPr>
                <w:sz w:val="1"/>
                <w:szCs w:val="1"/>
                <w:color w:val="auto"/>
              </w:rPr>
            </w:pPr>
          </w:p>
        </w:tc>
      </w:tr>
      <w:tr>
        <w:trPr>
          <w:trHeight w:val="21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Weighted average number of ordinary shares outstanding - diluted</w:t>
            </w: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61,136,715</w:t>
            </w: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61,136,715</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61,136,715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60,914,315</w:t>
            </w: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w w:val="90"/>
              </w:rPr>
              <w:t>The Company had 3,874,981 anti-dilutive shares options in issue at 31 December 2011 (31 December 2010: 2,568,216).</w:t>
            </w:r>
          </w:p>
        </w:tc>
        <w:tc>
          <w:tcPr>
            <w:tcW w:w="1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1"/>
        </w:trPr>
        <w:tc>
          <w:tcPr>
            <w:tcW w:w="4960" w:type="dxa"/>
            <w:vAlign w:val="bottom"/>
          </w:tcPr>
          <w:p>
            <w:pPr>
              <w:spacing w:after="0"/>
              <w:rPr>
                <w:sz w:val="24"/>
                <w:szCs w:val="24"/>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70</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 xml:space="preserve">6. Earnings per share </w:t>
            </w:r>
            <w:r>
              <w:rPr>
                <w:rFonts w:ascii="Arial" w:cs="Arial" w:eastAsia="Arial" w:hAnsi="Arial"/>
                <w:sz w:val="18"/>
                <w:szCs w:val="18"/>
                <w:b w:val="1"/>
                <w:bCs w:val="1"/>
                <w:i w:val="1"/>
                <w:iCs w:val="1"/>
                <w:color w:val="auto"/>
              </w:rPr>
              <w:t>(continued)</w:t>
            </w:r>
          </w:p>
        </w:tc>
        <w:tc>
          <w:tcPr>
            <w:tcW w:w="2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8"/>
        </w:trPr>
        <w:tc>
          <w:tcPr>
            <w:tcW w:w="3860" w:type="dxa"/>
            <w:vAlign w:val="bottom"/>
          </w:tcPr>
          <w:p>
            <w:pPr>
              <w:spacing w:after="0"/>
              <w:rPr>
                <w:sz w:val="24"/>
                <w:szCs w:val="24"/>
                <w:color w:val="auto"/>
              </w:rPr>
            </w:pPr>
          </w:p>
        </w:tc>
        <w:tc>
          <w:tcPr>
            <w:tcW w:w="294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3860" w:type="dxa"/>
            <w:vAlign w:val="bottom"/>
          </w:tcPr>
          <w:p>
            <w:pPr>
              <w:spacing w:after="0"/>
              <w:rPr>
                <w:sz w:val="18"/>
                <w:szCs w:val="18"/>
                <w:color w:val="auto"/>
              </w:rPr>
            </w:pPr>
          </w:p>
        </w:tc>
        <w:tc>
          <w:tcPr>
            <w:tcW w:w="2940" w:type="dxa"/>
            <w:vAlign w:val="bottom"/>
          </w:tcPr>
          <w:p>
            <w:pPr>
              <w:jc w:val="right"/>
              <w:ind w:right="170"/>
              <w:spacing w:after="0"/>
              <w:rPr>
                <w:sz w:val="20"/>
                <w:szCs w:val="20"/>
                <w:color w:val="auto"/>
              </w:rPr>
            </w:pPr>
            <w:r>
              <w:rPr>
                <w:rFonts w:ascii="Arial" w:cs="Arial" w:eastAsia="Arial" w:hAnsi="Arial"/>
                <w:sz w:val="18"/>
                <w:szCs w:val="18"/>
                <w:b w:val="1"/>
                <w:bCs w:val="1"/>
                <w:color w:val="auto"/>
              </w:rPr>
              <w:t>31 December</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860" w:type="dxa"/>
            <w:vAlign w:val="bottom"/>
          </w:tcPr>
          <w:p>
            <w:pPr>
              <w:spacing w:after="0"/>
              <w:rPr>
                <w:sz w:val="18"/>
                <w:szCs w:val="18"/>
                <w:color w:val="auto"/>
              </w:rPr>
            </w:pPr>
          </w:p>
        </w:tc>
        <w:tc>
          <w:tcPr>
            <w:tcW w:w="29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15"/>
        </w:trPr>
        <w:tc>
          <w:tcPr>
            <w:tcW w:w="3860" w:type="dxa"/>
            <w:vAlign w:val="bottom"/>
          </w:tcPr>
          <w:p>
            <w:pPr>
              <w:spacing w:after="0"/>
              <w:rPr>
                <w:sz w:val="18"/>
                <w:szCs w:val="18"/>
                <w:color w:val="auto"/>
              </w:rPr>
            </w:pPr>
          </w:p>
        </w:tc>
        <w:tc>
          <w:tcPr>
            <w:tcW w:w="2940" w:type="dxa"/>
            <w:vAlign w:val="bottom"/>
          </w:tcPr>
          <w:p>
            <w:pPr>
              <w:jc w:val="right"/>
              <w:ind w:right="170"/>
              <w:spacing w:after="0"/>
              <w:rPr>
                <w:sz w:val="20"/>
                <w:szCs w:val="20"/>
                <w:color w:val="auto"/>
              </w:rPr>
            </w:pPr>
            <w:r>
              <w:rPr>
                <w:rFonts w:ascii="Arial" w:cs="Arial" w:eastAsia="Arial" w:hAnsi="Arial"/>
                <w:sz w:val="18"/>
                <w:szCs w:val="18"/>
                <w:b w:val="1"/>
                <w:bCs w:val="1"/>
                <w:color w:val="auto"/>
              </w:rPr>
              <w:t>Excluding</w:t>
            </w:r>
          </w:p>
        </w:tc>
        <w:tc>
          <w:tcPr>
            <w:tcW w:w="168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Including</w:t>
            </w:r>
          </w:p>
        </w:tc>
        <w:tc>
          <w:tcPr>
            <w:tcW w:w="1340" w:type="dxa"/>
            <w:vAlign w:val="bottom"/>
          </w:tcPr>
          <w:p>
            <w:pPr>
              <w:spacing w:after="0"/>
              <w:rPr>
                <w:sz w:val="18"/>
                <w:szCs w:val="18"/>
                <w:color w:val="auto"/>
              </w:rPr>
            </w:pPr>
          </w:p>
        </w:tc>
      </w:tr>
      <w:tr>
        <w:trPr>
          <w:trHeight w:val="215"/>
        </w:trPr>
        <w:tc>
          <w:tcPr>
            <w:tcW w:w="3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Exceptional</w:t>
            </w:r>
          </w:p>
        </w:tc>
        <w:tc>
          <w:tcPr>
            <w:tcW w:w="1340" w:type="dxa"/>
            <w:vAlign w:val="bottom"/>
          </w:tcPr>
          <w:p>
            <w:pPr>
              <w:spacing w:after="0"/>
              <w:rPr>
                <w:sz w:val="18"/>
                <w:szCs w:val="18"/>
                <w:color w:val="auto"/>
              </w:rPr>
            </w:pPr>
          </w:p>
        </w:tc>
      </w:tr>
      <w:tr>
        <w:trPr>
          <w:trHeight w:val="215"/>
        </w:trPr>
        <w:tc>
          <w:tcPr>
            <w:tcW w:w="3860" w:type="dxa"/>
            <w:vAlign w:val="bottom"/>
          </w:tcPr>
          <w:p>
            <w:pPr>
              <w:spacing w:after="0"/>
              <w:rPr>
                <w:sz w:val="18"/>
                <w:szCs w:val="18"/>
                <w:color w:val="auto"/>
              </w:rPr>
            </w:pPr>
          </w:p>
        </w:tc>
        <w:tc>
          <w:tcPr>
            <w:tcW w:w="2940" w:type="dxa"/>
            <w:vAlign w:val="bottom"/>
          </w:tcPr>
          <w:p>
            <w:pPr>
              <w:jc w:val="right"/>
              <w:ind w:right="170"/>
              <w:spacing w:after="0"/>
              <w:rPr>
                <w:sz w:val="20"/>
                <w:szCs w:val="20"/>
                <w:color w:val="auto"/>
              </w:rPr>
            </w:pPr>
            <w:r>
              <w:rPr>
                <w:rFonts w:ascii="Arial" w:cs="Arial" w:eastAsia="Arial" w:hAnsi="Arial"/>
                <w:sz w:val="18"/>
                <w:szCs w:val="18"/>
                <w:b w:val="1"/>
                <w:bCs w:val="1"/>
                <w:color w:val="auto"/>
              </w:rPr>
              <w:t>Exceptional items</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Exceptional items</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items</w:t>
            </w:r>
          </w:p>
        </w:tc>
        <w:tc>
          <w:tcPr>
            <w:tcW w:w="134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29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3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ordinary share</w:t>
            </w:r>
          </w:p>
        </w:tc>
        <w:tc>
          <w:tcPr>
            <w:tcW w:w="2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0.46</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(0.14)</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0.32</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15"/>
        </w:trPr>
        <w:tc>
          <w:tcPr>
            <w:tcW w:w="3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earnings per ordinary share</w:t>
            </w:r>
          </w:p>
        </w:tc>
        <w:tc>
          <w:tcPr>
            <w:tcW w:w="2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0.45</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(0.14)</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0.31</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424"/>
        </w:trPr>
        <w:tc>
          <w:tcPr>
            <w:tcW w:w="3860" w:type="dxa"/>
            <w:vAlign w:val="bottom"/>
          </w:tcPr>
          <w:p>
            <w:pPr>
              <w:spacing w:after="0"/>
              <w:rPr>
                <w:sz w:val="20"/>
                <w:szCs w:val="20"/>
                <w:color w:val="auto"/>
              </w:rPr>
            </w:pPr>
            <w:r>
              <w:rPr>
                <w:rFonts w:ascii="Arial" w:cs="Arial" w:eastAsia="Arial" w:hAnsi="Arial"/>
                <w:sz w:val="18"/>
                <w:szCs w:val="18"/>
                <w:b w:val="1"/>
                <w:bCs w:val="1"/>
                <w:color w:val="auto"/>
              </w:rPr>
              <w:t>7. Exceptional items</w:t>
            </w:r>
          </w:p>
        </w:tc>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7"/>
        </w:trPr>
        <w:tc>
          <w:tcPr>
            <w:tcW w:w="6800" w:type="dxa"/>
            <w:vAlign w:val="bottom"/>
            <w:gridSpan w:val="2"/>
          </w:tcPr>
          <w:p>
            <w:pPr>
              <w:spacing w:after="0"/>
              <w:rPr>
                <w:sz w:val="20"/>
                <w:szCs w:val="20"/>
                <w:color w:val="auto"/>
              </w:rPr>
            </w:pPr>
            <w:r>
              <w:rPr>
                <w:rFonts w:ascii="Arial" w:cs="Arial" w:eastAsia="Arial" w:hAnsi="Arial"/>
                <w:sz w:val="18"/>
                <w:szCs w:val="18"/>
                <w:color w:val="auto"/>
                <w:w w:val="90"/>
              </w:rPr>
              <w:t>Exceptional items incurred during the year ended 31 December 2011 comprised the following:</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8"/>
        </w:trPr>
        <w:tc>
          <w:tcPr>
            <w:tcW w:w="3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3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3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8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2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9,817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on restructuring charge</w:t>
            </w:r>
          </w:p>
        </w:tc>
        <w:tc>
          <w:tcPr>
            <w:tcW w:w="29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5"/>
        </w:trPr>
        <w:tc>
          <w:tcPr>
            <w:tcW w:w="38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Restructuring charge net of tax</w:t>
            </w:r>
          </w:p>
        </w:tc>
        <w:tc>
          <w:tcPr>
            <w:tcW w:w="2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8,586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During the three months ended 31 March 2011 the Group commenced a review of its operations to improve resource utilisation within the business and better align resources to current and future growth opportunities of the business. This review resulted in the adoption of an initial restructuring plan, which resulted in the closure of the Group’s facility in Edinburgh, United Kingdom and resource rationalisations in certain of the more mature markets in which it operates. A restructuring charge of $5.0 million was recognised in respect of this plan during the three months ended 31 March 2011, $1.0 million in respect of lease termination and exit costs associated with the closure of the Edinburgh facility and $4.0 million in respect of workforce reductions. $3.5 million of costs recognised under this plan related to the Clinical research segment, while $1.5 million related to the Central laboratory business.</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the three months ended 30 September 2011, the Group implemented a further restructuring plan which resulted in the relocation of the Group’s facility in Maryland, USA; and further resource rationalisations. A restructuring charge of $4.8 million was recognised in respect of this plan during the three months ended 30 September 2011, $0.9 million in respect of lease termination and exit costs associated with the closure of the existing Maryland facility and $3.9 million in respect of workforce reductions. All costs recognised under this plan related to the Clinical research segment.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Exceptional items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movement in these restructuring plans recognised during the year ended 31 December 2011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340" w:type="dxa"/>
            <w:vAlign w:val="bottom"/>
          </w:tcPr>
          <w:p>
            <w:pPr>
              <w:jc w:val="right"/>
              <w:ind w:right="170"/>
              <w:spacing w:after="0"/>
              <w:rPr>
                <w:sz w:val="20"/>
                <w:szCs w:val="20"/>
                <w:color w:val="auto"/>
              </w:rPr>
            </w:pPr>
            <w:r>
              <w:rPr>
                <w:rFonts w:ascii="Arial" w:cs="Arial" w:eastAsia="Arial" w:hAnsi="Arial"/>
                <w:sz w:val="18"/>
                <w:szCs w:val="18"/>
                <w:b w:val="1"/>
                <w:bCs w:val="1"/>
                <w:color w:val="auto"/>
              </w:rPr>
              <w:t>Workforce</w:t>
            </w:r>
          </w:p>
        </w:tc>
        <w:tc>
          <w:tcPr>
            <w:tcW w:w="1920" w:type="dxa"/>
            <w:vAlign w:val="bottom"/>
          </w:tcPr>
          <w:p>
            <w:pPr>
              <w:jc w:val="right"/>
              <w:ind w:right="490"/>
              <w:spacing w:after="0"/>
              <w:rPr>
                <w:sz w:val="20"/>
                <w:szCs w:val="20"/>
                <w:color w:val="auto"/>
              </w:rPr>
            </w:pPr>
            <w:r>
              <w:rPr>
                <w:rFonts w:ascii="Arial" w:cs="Arial" w:eastAsia="Arial" w:hAnsi="Arial"/>
                <w:sz w:val="18"/>
                <w:szCs w:val="18"/>
                <w:b w:val="1"/>
                <w:bCs w:val="1"/>
                <w:color w:val="auto"/>
              </w:rPr>
              <w:t>Office</w:t>
            </w:r>
          </w:p>
        </w:tc>
        <w:tc>
          <w:tcPr>
            <w:tcW w:w="1100" w:type="dxa"/>
            <w:vAlign w:val="bottom"/>
          </w:tcPr>
          <w:p>
            <w:pPr>
              <w:spacing w:after="0"/>
              <w:rPr>
                <w:sz w:val="18"/>
                <w:szCs w:val="18"/>
                <w:color w:val="auto"/>
              </w:rPr>
            </w:pPr>
          </w:p>
        </w:tc>
      </w:tr>
      <w:tr>
        <w:trPr>
          <w:trHeight w:val="215"/>
        </w:trPr>
        <w:tc>
          <w:tcPr>
            <w:tcW w:w="5060" w:type="dxa"/>
            <w:vAlign w:val="bottom"/>
          </w:tcPr>
          <w:p>
            <w:pPr>
              <w:spacing w:after="0"/>
              <w:rPr>
                <w:sz w:val="18"/>
                <w:szCs w:val="18"/>
                <w:color w:val="auto"/>
              </w:rPr>
            </w:pPr>
          </w:p>
        </w:tc>
        <w:tc>
          <w:tcPr>
            <w:tcW w:w="3340" w:type="dxa"/>
            <w:vAlign w:val="bottom"/>
          </w:tcPr>
          <w:p>
            <w:pPr>
              <w:jc w:val="right"/>
              <w:ind w:right="170"/>
              <w:spacing w:after="0"/>
              <w:rPr>
                <w:sz w:val="20"/>
                <w:szCs w:val="20"/>
                <w:color w:val="auto"/>
              </w:rPr>
            </w:pPr>
            <w:r>
              <w:rPr>
                <w:rFonts w:ascii="Arial" w:cs="Arial" w:eastAsia="Arial" w:hAnsi="Arial"/>
                <w:sz w:val="18"/>
                <w:szCs w:val="18"/>
                <w:b w:val="1"/>
                <w:bCs w:val="1"/>
                <w:color w:val="auto"/>
              </w:rPr>
              <w:t>Reductions</w:t>
            </w:r>
          </w:p>
        </w:tc>
        <w:tc>
          <w:tcPr>
            <w:tcW w:w="1920" w:type="dxa"/>
            <w:vAlign w:val="bottom"/>
          </w:tcPr>
          <w:p>
            <w:pPr>
              <w:jc w:val="right"/>
              <w:ind w:right="490"/>
              <w:spacing w:after="0"/>
              <w:rPr>
                <w:sz w:val="20"/>
                <w:szCs w:val="20"/>
                <w:color w:val="auto"/>
              </w:rPr>
            </w:pPr>
            <w:r>
              <w:rPr>
                <w:rFonts w:ascii="Arial" w:cs="Arial" w:eastAsia="Arial" w:hAnsi="Arial"/>
                <w:sz w:val="18"/>
                <w:szCs w:val="18"/>
                <w:b w:val="1"/>
                <w:bCs w:val="1"/>
                <w:color w:val="auto"/>
              </w:rPr>
              <w:t>Consolidations</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34"/>
        </w:trPr>
        <w:tc>
          <w:tcPr>
            <w:tcW w:w="5060" w:type="dxa"/>
            <w:vAlign w:val="bottom"/>
          </w:tcPr>
          <w:p>
            <w:pPr>
              <w:spacing w:after="0"/>
              <w:rPr>
                <w:sz w:val="20"/>
                <w:szCs w:val="20"/>
                <w:color w:val="auto"/>
              </w:rPr>
            </w:pPr>
          </w:p>
        </w:tc>
        <w:tc>
          <w:tcPr>
            <w:tcW w:w="3340" w:type="dxa"/>
            <w:vAlign w:val="bottom"/>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920" w:type="dxa"/>
            <w:vAlign w:val="bottom"/>
          </w:tcPr>
          <w:p>
            <w:pPr>
              <w:jc w:val="right"/>
              <w:ind w:right="490"/>
              <w:spacing w:after="0"/>
              <w:rPr>
                <w:sz w:val="20"/>
                <w:szCs w:val="20"/>
                <w:color w:val="auto"/>
              </w:rPr>
            </w:pPr>
            <w:r>
              <w:rPr>
                <w:rFonts w:ascii="Arial" w:cs="Arial" w:eastAsia="Arial" w:hAnsi="Arial"/>
                <w:sz w:val="18"/>
                <w:szCs w:val="18"/>
                <w:b w:val="1"/>
                <w:bCs w:val="1"/>
                <w:color w:val="auto"/>
              </w:rPr>
              <w:t>$’000</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50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3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7,836</w:t>
            </w:r>
          </w:p>
        </w:tc>
        <w:tc>
          <w:tcPr>
            <w:tcW w:w="19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1,981</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9,817</w:t>
            </w: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Cash payments</w:t>
            </w:r>
          </w:p>
        </w:tc>
        <w:tc>
          <w:tcPr>
            <w:tcW w:w="3340" w:type="dxa"/>
            <w:vAlign w:val="bottom"/>
          </w:tcPr>
          <w:p>
            <w:pPr>
              <w:jc w:val="right"/>
              <w:ind w:right="110"/>
              <w:spacing w:after="0"/>
              <w:rPr>
                <w:sz w:val="20"/>
                <w:szCs w:val="20"/>
                <w:color w:val="auto"/>
              </w:rPr>
            </w:pPr>
            <w:r>
              <w:rPr>
                <w:rFonts w:ascii="Arial" w:cs="Arial" w:eastAsia="Arial" w:hAnsi="Arial"/>
                <w:sz w:val="18"/>
                <w:szCs w:val="18"/>
                <w:color w:val="auto"/>
              </w:rPr>
              <w:t>(5,438)</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(251)</w:t>
            </w:r>
          </w:p>
        </w:tc>
        <w:tc>
          <w:tcPr>
            <w:tcW w:w="1100" w:type="dxa"/>
            <w:vAlign w:val="bottom"/>
          </w:tcPr>
          <w:p>
            <w:pPr>
              <w:jc w:val="right"/>
              <w:spacing w:after="0"/>
              <w:rPr>
                <w:sz w:val="20"/>
                <w:szCs w:val="20"/>
                <w:color w:val="auto"/>
              </w:rPr>
            </w:pPr>
            <w:r>
              <w:rPr>
                <w:rFonts w:ascii="Arial" w:cs="Arial" w:eastAsia="Arial" w:hAnsi="Arial"/>
                <w:sz w:val="18"/>
                <w:szCs w:val="18"/>
                <w:color w:val="auto"/>
              </w:rPr>
              <w:t>(5,689)</w:t>
            </w: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write-off</w:t>
            </w:r>
          </w:p>
        </w:tc>
        <w:tc>
          <w:tcPr>
            <w:tcW w:w="3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(164)</w:t>
            </w: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15"/>
        </w:trPr>
        <w:tc>
          <w:tcPr>
            <w:tcW w:w="50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Closing provision</w:t>
            </w:r>
          </w:p>
        </w:tc>
        <w:tc>
          <w:tcPr>
            <w:tcW w:w="3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2,234</w:t>
            </w:r>
          </w:p>
        </w:tc>
        <w:tc>
          <w:tcPr>
            <w:tcW w:w="19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1,640</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3,874</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It is expected that cash outflows related to these restructuring plans will occur primarily within twelve months. Given the short term nature of the provision and the relatively fixed nature of the costs involved there are no material uncertainties surrounding the timing and extent of the outflow of economic benefits associated with the above provisions.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Payroll and related benefits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costs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payroll costs of employees of the Group for the year ended 31 December 2011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280" w:type="dxa"/>
            <w:vAlign w:val="bottom"/>
          </w:tcPr>
          <w:p>
            <w:pPr>
              <w:jc w:val="right"/>
              <w:ind w:right="470"/>
              <w:spacing w:after="0"/>
              <w:rPr>
                <w:sz w:val="20"/>
                <w:szCs w:val="20"/>
                <w:color w:val="auto"/>
              </w:rPr>
            </w:pPr>
            <w:r>
              <w:rPr>
                <w:rFonts w:ascii="Arial" w:cs="Arial" w:eastAsia="Arial" w:hAnsi="Arial"/>
                <w:sz w:val="18"/>
                <w:szCs w:val="18"/>
                <w:b w:val="1"/>
                <w:bCs w:val="1"/>
                <w:i w:val="1"/>
                <w:iCs w:val="1"/>
                <w:color w:val="auto"/>
              </w:rPr>
              <w:t>Note</w:t>
            </w: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5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9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549,119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494,671</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Social welfare costs</w:t>
            </w:r>
          </w:p>
        </w:tc>
        <w:tc>
          <w:tcPr>
            <w:tcW w:w="2280" w:type="dxa"/>
            <w:vAlign w:val="bottom"/>
          </w:tcPr>
          <w:p>
            <w:pPr>
              <w:spacing w:after="0"/>
              <w:rPr>
                <w:sz w:val="18"/>
                <w:szCs w:val="18"/>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79,151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63,488</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Pension costs for defined contribution pension schemes</w:t>
            </w:r>
          </w:p>
        </w:tc>
        <w:tc>
          <w:tcPr>
            <w:tcW w:w="2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23,708</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20,808</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Pension costs for defined benefit pension schemes</w:t>
            </w:r>
          </w:p>
        </w:tc>
        <w:tc>
          <w:tcPr>
            <w:tcW w:w="2280" w:type="dxa"/>
            <w:vAlign w:val="bottom"/>
          </w:tcPr>
          <w:p>
            <w:pPr>
              <w:jc w:val="right"/>
              <w:ind w:right="530"/>
              <w:spacing w:after="0"/>
              <w:rPr>
                <w:sz w:val="20"/>
                <w:szCs w:val="20"/>
                <w:color w:val="auto"/>
              </w:rPr>
            </w:pPr>
            <w:r>
              <w:rPr>
                <w:rFonts w:ascii="Arial" w:cs="Arial" w:eastAsia="Arial" w:hAnsi="Arial"/>
                <w:sz w:val="18"/>
                <w:szCs w:val="18"/>
                <w:i w:val="1"/>
                <w:iCs w:val="1"/>
                <w:color w:val="auto"/>
              </w:rPr>
              <w:t>9</w:t>
            </w: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Termination payments</w:t>
            </w:r>
          </w:p>
        </w:tc>
        <w:tc>
          <w:tcPr>
            <w:tcW w:w="2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8,722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based payment*</w:t>
            </w:r>
          </w:p>
        </w:tc>
        <w:tc>
          <w:tcPr>
            <w:tcW w:w="2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10</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9,564</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7,383</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charge to income</w:t>
            </w:r>
          </w:p>
        </w:tc>
        <w:tc>
          <w:tcPr>
            <w:tcW w:w="2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670,266</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586,300</w:t>
            </w:r>
          </w:p>
        </w:tc>
      </w:tr>
      <w:tr>
        <w:trPr>
          <w:trHeight w:val="222"/>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Actuarial losses recognised on defined benefit pension scheme</w:t>
            </w:r>
          </w:p>
        </w:tc>
        <w:tc>
          <w:tcPr>
            <w:tcW w:w="2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9</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4,365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1,209</w:t>
            </w:r>
          </w:p>
        </w:tc>
      </w:tr>
      <w:tr>
        <w:trPr>
          <w:trHeight w:val="215"/>
        </w:trPr>
        <w:tc>
          <w:tcPr>
            <w:tcW w:w="59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payroll and related benefit costs</w:t>
            </w:r>
          </w:p>
        </w:tc>
        <w:tc>
          <w:tcPr>
            <w:tcW w:w="2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674,631</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587,509</w:t>
            </w: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ind w:right="160" w:firstLine="8"/>
        <w:spacing w:after="0" w:line="259" w:lineRule="auto"/>
        <w:tabs>
          <w:tab w:leader="none" w:pos="13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IFRS 2 Share based Payments requires that the fair value of share options and restricted share units is calculated and amortised over the vesting period of the related share option or restricted share unit.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ind w:right="8220" w:firstLine="8"/>
        <w:spacing w:after="0" w:line="561" w:lineRule="auto"/>
        <w:tabs>
          <w:tab w:leader="none" w:pos="179"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Payroll and related benefits </w:t>
      </w:r>
      <w:r>
        <w:rPr>
          <w:rFonts w:ascii="Arial" w:cs="Arial" w:eastAsia="Arial" w:hAnsi="Arial"/>
          <w:sz w:val="17"/>
          <w:szCs w:val="17"/>
          <w:b w:val="1"/>
          <w:bCs w:val="1"/>
          <w:i w:val="1"/>
          <w:iCs w:val="1"/>
          <w:color w:val="auto"/>
        </w:rPr>
        <w:t>(continued</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Average employee numbers</w:t>
      </w:r>
    </w:p>
    <w:p>
      <w:pPr>
        <w:spacing w:after="0"/>
        <w:rPr>
          <w:sz w:val="20"/>
          <w:szCs w:val="20"/>
          <w:color w:val="auto"/>
        </w:rPr>
      </w:pPr>
      <w:r>
        <w:rPr>
          <w:rFonts w:ascii="Arial" w:cs="Arial" w:eastAsia="Arial" w:hAnsi="Arial"/>
          <w:sz w:val="17"/>
          <w:szCs w:val="17"/>
          <w:color w:val="auto"/>
        </w:rPr>
        <w:t>The average number of employees, including executive Directors, employed by the Group during the year ended 31 December 2011 was as follows</w:t>
      </w:r>
      <w:r>
        <w:rPr>
          <w:rFonts w:ascii="Arial" w:cs="Arial" w:eastAsia="Arial" w:hAnsi="Arial"/>
          <w:sz w:val="17"/>
          <w:szCs w:val="17"/>
          <w:b w:val="1"/>
          <w:bCs w:val="1"/>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46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5380" w:type="dxa"/>
            <w:vAlign w:val="bottom"/>
          </w:tcPr>
          <w:p>
            <w:pPr>
              <w:spacing w:after="0"/>
              <w:rPr>
                <w:sz w:val="18"/>
                <w:szCs w:val="18"/>
                <w:color w:val="auto"/>
              </w:rPr>
            </w:pPr>
          </w:p>
        </w:tc>
        <w:tc>
          <w:tcPr>
            <w:tcW w:w="466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34"/>
        </w:trPr>
        <w:tc>
          <w:tcPr>
            <w:tcW w:w="5380" w:type="dxa"/>
            <w:vAlign w:val="bottom"/>
          </w:tcPr>
          <w:p>
            <w:pPr>
              <w:spacing w:after="0"/>
              <w:rPr>
                <w:sz w:val="20"/>
                <w:szCs w:val="20"/>
                <w:color w:val="auto"/>
              </w:rPr>
            </w:pPr>
          </w:p>
        </w:tc>
        <w:tc>
          <w:tcPr>
            <w:tcW w:w="46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15"/>
        </w:trPr>
        <w:tc>
          <w:tcPr>
            <w:tcW w:w="5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46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Administration</w:t>
            </w:r>
          </w:p>
        </w:tc>
        <w:tc>
          <w:tcPr>
            <w:tcW w:w="4660" w:type="dxa"/>
            <w:vAlign w:val="bottom"/>
          </w:tcPr>
          <w:p>
            <w:pPr>
              <w:jc w:val="right"/>
              <w:ind w:right="210"/>
              <w:spacing w:after="0"/>
              <w:rPr>
                <w:sz w:val="20"/>
                <w:szCs w:val="20"/>
                <w:color w:val="auto"/>
              </w:rPr>
            </w:pPr>
            <w:r>
              <w:rPr>
                <w:rFonts w:ascii="Arial" w:cs="Arial" w:eastAsia="Arial" w:hAnsi="Arial"/>
                <w:sz w:val="18"/>
                <w:szCs w:val="18"/>
                <w:b w:val="1"/>
                <w:bCs w:val="1"/>
                <w:color w:val="auto"/>
              </w:rPr>
              <w:t>1,128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1,102</w:t>
            </w: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processing</w:t>
            </w:r>
          </w:p>
        </w:tc>
        <w:tc>
          <w:tcPr>
            <w:tcW w:w="46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6,311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5,836</w:t>
            </w:r>
          </w:p>
        </w:tc>
      </w:tr>
      <w:tr>
        <w:trPr>
          <w:trHeight w:val="222"/>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Laboratory</w:t>
            </w:r>
          </w:p>
        </w:tc>
        <w:tc>
          <w:tcPr>
            <w:tcW w:w="4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406</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r>
      <w:tr>
        <w:trPr>
          <w:trHeight w:val="215"/>
        </w:trPr>
        <w:tc>
          <w:tcPr>
            <w:tcW w:w="538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8,092</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7,580</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remuneration</w:t>
      </w:r>
    </w:p>
    <w:p>
      <w:pPr>
        <w:spacing w:after="0" w:line="25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Information in relation to Directors’ shareholdings, share options and restricted share units is included in the Compensation and Organisation Committee Report on pages 18 to 27.</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 - Year ended 31 December 2011</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620" w:type="dxa"/>
            <w:vAlign w:val="bottom"/>
            <w:tcBorders>
              <w:top w:val="single" w:sz="8" w:color="auto"/>
              <w:left w:val="single" w:sz="8" w:color="auto"/>
              <w:right w:val="single" w:sz="8" w:color="auto"/>
            </w:tcBorders>
          </w:tcPr>
          <w:p>
            <w:pPr>
              <w:spacing w:after="0"/>
              <w:rPr>
                <w:sz w:val="23"/>
                <w:szCs w:val="23"/>
                <w:color w:val="auto"/>
              </w:rPr>
            </w:pPr>
          </w:p>
        </w:tc>
        <w:tc>
          <w:tcPr>
            <w:tcW w:w="580" w:type="dxa"/>
            <w:vAlign w:val="bottom"/>
            <w:tcBorders>
              <w:top w:val="single" w:sz="8" w:color="auto"/>
              <w:right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Company</w:t>
            </w:r>
          </w:p>
        </w:tc>
        <w:tc>
          <w:tcPr>
            <w:tcW w:w="13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w w:val="91"/>
              </w:rPr>
              <w:t>Performance related</w:t>
            </w:r>
          </w:p>
        </w:tc>
        <w:tc>
          <w:tcPr>
            <w:tcW w:w="1180" w:type="dxa"/>
            <w:vAlign w:val="bottom"/>
            <w:tcBorders>
              <w:top w:val="single" w:sz="8" w:color="auto"/>
              <w:right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All other</w:t>
            </w:r>
          </w:p>
        </w:tc>
        <w:tc>
          <w:tcPr>
            <w:tcW w:w="800" w:type="dxa"/>
            <w:vAlign w:val="bottom"/>
            <w:tcBorders>
              <w:top w:val="single" w:sz="8" w:color="auto"/>
              <w:right w:val="single" w:sz="8" w:color="auto"/>
            </w:tcBorders>
          </w:tcPr>
          <w:p>
            <w:pPr>
              <w:spacing w:after="0"/>
              <w:rPr>
                <w:sz w:val="23"/>
                <w:szCs w:val="23"/>
                <w:color w:val="auto"/>
              </w:rPr>
            </w:pPr>
          </w:p>
        </w:tc>
        <w:tc>
          <w:tcPr>
            <w:tcW w:w="900" w:type="dxa"/>
            <w:vAlign w:val="bottom"/>
            <w:tcBorders>
              <w:top w:val="single" w:sz="8" w:color="auto"/>
              <w:right w:val="single" w:sz="8" w:color="auto"/>
            </w:tcBorders>
          </w:tcPr>
          <w:p>
            <w:pPr>
              <w:spacing w:after="0"/>
              <w:rPr>
                <w:sz w:val="23"/>
                <w:szCs w:val="23"/>
                <w:color w:val="auto"/>
              </w:rPr>
            </w:pPr>
          </w:p>
        </w:tc>
        <w:tc>
          <w:tcPr>
            <w:tcW w:w="11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Share-based</w:t>
            </w:r>
          </w:p>
        </w:tc>
        <w:tc>
          <w:tcPr>
            <w:tcW w:w="840" w:type="dxa"/>
            <w:vAlign w:val="bottom"/>
            <w:tcBorders>
              <w:top w:val="single" w:sz="8" w:color="auto"/>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Directors’</w:t>
            </w:r>
          </w:p>
        </w:tc>
        <w:tc>
          <w:tcPr>
            <w:tcW w:w="900" w:type="dxa"/>
            <w:vAlign w:val="bottom"/>
            <w:tcBorders>
              <w:top w:val="single" w:sz="8" w:color="auto"/>
              <w:right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116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w w:val="89"/>
              </w:rPr>
              <w:t>pension</w:t>
            </w:r>
          </w:p>
        </w:tc>
        <w:tc>
          <w:tcPr>
            <w:tcW w:w="1360" w:type="dxa"/>
            <w:vAlign w:val="bottom"/>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Subtotal</w:t>
            </w:r>
          </w:p>
        </w:tc>
        <w:tc>
          <w:tcPr>
            <w:tcW w:w="9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Subtotal</w:t>
            </w:r>
          </w:p>
        </w:tc>
        <w:tc>
          <w:tcPr>
            <w:tcW w:w="1180" w:type="dxa"/>
            <w:vAlign w:val="bottom"/>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20" w:type="dxa"/>
            <w:vAlign w:val="bottom"/>
            <w:tcBorders>
              <w:left w:val="single" w:sz="8" w:color="auto"/>
              <w:right w:val="single" w:sz="8" w:color="auto"/>
            </w:tcBorders>
            <w:vMerge w:val="continue"/>
          </w:tcPr>
          <w:p>
            <w:pPr>
              <w:spacing w:after="0"/>
              <w:rPr>
                <w:sz w:val="16"/>
                <w:szCs w:val="16"/>
                <w:color w:val="auto"/>
              </w:rPr>
            </w:pPr>
          </w:p>
        </w:tc>
        <w:tc>
          <w:tcPr>
            <w:tcW w:w="58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contribution*</w:t>
            </w: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compensation</w:t>
            </w:r>
          </w:p>
        </w:tc>
        <w:tc>
          <w:tcPr>
            <w:tcW w:w="80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payments</w:t>
            </w:r>
          </w:p>
        </w:tc>
        <w:tc>
          <w:tcPr>
            <w:tcW w:w="84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Fees</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288"/>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4"/>
                <w:szCs w:val="14"/>
                <w:b w:val="1"/>
                <w:bCs w:val="1"/>
                <w:color w:val="auto"/>
              </w:rPr>
              <w:t>€’000</w:t>
            </w:r>
          </w:p>
        </w:tc>
        <w:tc>
          <w:tcPr>
            <w:tcW w:w="11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€’000</w:t>
            </w:r>
          </w:p>
        </w:tc>
        <w:tc>
          <w:tcPr>
            <w:tcW w:w="136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4"/>
                <w:szCs w:val="14"/>
                <w:b w:val="1"/>
                <w:bCs w:val="1"/>
                <w:color w:val="auto"/>
              </w:rPr>
              <w:t>€’000</w:t>
            </w:r>
          </w:p>
        </w:tc>
        <w:tc>
          <w:tcPr>
            <w:tcW w:w="118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€’000</w:t>
            </w:r>
          </w:p>
        </w:tc>
        <w:tc>
          <w:tcPr>
            <w:tcW w:w="8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$’000</w:t>
            </w:r>
          </w:p>
        </w:tc>
        <w:tc>
          <w:tcPr>
            <w:tcW w:w="1180" w:type="dxa"/>
            <w:vAlign w:val="bottom"/>
            <w:tcBorders>
              <w:bottom w:val="single" w:sz="8" w:color="auto"/>
            </w:tcBorders>
          </w:tcPr>
          <w:p>
            <w:pPr>
              <w:jc w:val="right"/>
              <w:ind w:right="8"/>
              <w:spacing w:after="0" w:line="148" w:lineRule="exact"/>
              <w:rPr>
                <w:sz w:val="20"/>
                <w:szCs w:val="20"/>
                <w:color w:val="auto"/>
              </w:rPr>
            </w:pPr>
            <w:r>
              <w:rPr>
                <w:rFonts w:ascii="Arial" w:cs="Arial" w:eastAsia="Arial" w:hAnsi="Arial"/>
                <w:sz w:val="14"/>
                <w:szCs w:val="14"/>
                <w:b w:val="1"/>
                <w:bCs w:val="1"/>
                <w:color w:val="auto"/>
              </w:rPr>
              <w:t>$’000</w:t>
            </w:r>
          </w:p>
        </w:tc>
        <w:tc>
          <w:tcPr>
            <w:tcW w:w="84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Bruce Given</w:t>
            </w:r>
          </w:p>
        </w:tc>
        <w:tc>
          <w:tcPr>
            <w:tcW w:w="580" w:type="dxa"/>
            <w:vAlign w:val="bottom"/>
            <w:tcBorders>
              <w:right w:val="single" w:sz="8" w:color="auto"/>
            </w:tcBorders>
            <w:shd w:val="clear" w:color="auto" w:fill="CCEEFF"/>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31</w:t>
            </w:r>
          </w:p>
        </w:tc>
        <w:tc>
          <w:tcPr>
            <w:tcW w:w="8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317</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Peter Gray</w:t>
            </w:r>
          </w:p>
        </w:tc>
        <w:tc>
          <w:tcPr>
            <w:tcW w:w="580" w:type="dxa"/>
            <w:vAlign w:val="bottom"/>
            <w:tcBorders>
              <w:right w:val="single" w:sz="8" w:color="auto"/>
            </w:tcBorders>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533</w:t>
            </w:r>
          </w:p>
        </w:tc>
        <w:tc>
          <w:tcPr>
            <w:tcW w:w="1160" w:type="dxa"/>
            <w:vAlign w:val="bottom"/>
          </w:tcPr>
          <w:p>
            <w:pPr>
              <w:jc w:val="right"/>
              <w:spacing w:after="0" w:line="148" w:lineRule="exact"/>
              <w:rPr>
                <w:sz w:val="20"/>
                <w:szCs w:val="20"/>
                <w:color w:val="auto"/>
              </w:rPr>
            </w:pPr>
            <w:r>
              <w:rPr>
                <w:rFonts w:ascii="Arial" w:cs="Arial" w:eastAsia="Arial" w:hAnsi="Arial"/>
                <w:sz w:val="14"/>
                <w:szCs w:val="14"/>
                <w:color w:val="auto"/>
              </w:rPr>
              <w:t>57</w:t>
            </w:r>
          </w:p>
        </w:tc>
        <w:tc>
          <w:tcPr>
            <w:tcW w:w="1360" w:type="dxa"/>
            <w:vAlign w:val="bottom"/>
          </w:tcPr>
          <w:p>
            <w:pPr>
              <w:jc w:val="right"/>
              <w:ind w:right="28"/>
              <w:spacing w:after="0" w:line="148" w:lineRule="exact"/>
              <w:rPr>
                <w:sz w:val="20"/>
                <w:szCs w:val="20"/>
                <w:color w:val="auto"/>
              </w:rPr>
            </w:pPr>
            <w:r>
              <w:rPr>
                <w:rFonts w:ascii="Arial" w:cs="Arial" w:eastAsia="Arial" w:hAnsi="Arial"/>
                <w:sz w:val="14"/>
                <w:szCs w:val="14"/>
                <w:color w:val="auto"/>
              </w:rPr>
              <w:t>187</w:t>
            </w:r>
          </w:p>
        </w:tc>
        <w:tc>
          <w:tcPr>
            <w:tcW w:w="11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37</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814</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1,139</w:t>
            </w:r>
          </w:p>
        </w:tc>
        <w:tc>
          <w:tcPr>
            <w:tcW w:w="1180" w:type="dxa"/>
            <w:vAlign w:val="bottom"/>
          </w:tcPr>
          <w:p>
            <w:pPr>
              <w:jc w:val="right"/>
              <w:ind w:right="8"/>
              <w:spacing w:after="0" w:line="148" w:lineRule="exact"/>
              <w:rPr>
                <w:sz w:val="20"/>
                <w:szCs w:val="20"/>
                <w:color w:val="auto"/>
              </w:rPr>
            </w:pPr>
            <w:r>
              <w:rPr>
                <w:rFonts w:ascii="Arial" w:cs="Arial" w:eastAsia="Arial" w:hAnsi="Arial"/>
                <w:sz w:val="14"/>
                <w:szCs w:val="14"/>
                <w:color w:val="auto"/>
              </w:rPr>
              <w:t>741</w:t>
            </w:r>
          </w:p>
        </w:tc>
        <w:tc>
          <w:tcPr>
            <w:tcW w:w="8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Ciaran Murray**</w:t>
            </w:r>
          </w:p>
        </w:tc>
        <w:tc>
          <w:tcPr>
            <w:tcW w:w="580" w:type="dxa"/>
            <w:vAlign w:val="bottom"/>
            <w:tcBorders>
              <w:right w:val="single" w:sz="8" w:color="auto"/>
            </w:tcBorders>
            <w:shd w:val="clear" w:color="auto" w:fill="CCEEFF"/>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134</w:t>
            </w: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17</w:t>
            </w:r>
          </w:p>
        </w:tc>
        <w:tc>
          <w:tcPr>
            <w:tcW w:w="136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75</w:t>
            </w:r>
          </w:p>
        </w:tc>
        <w:tc>
          <w:tcPr>
            <w:tcW w:w="118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7</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233</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321</w:t>
            </w:r>
          </w:p>
        </w:tc>
        <w:tc>
          <w:tcPr>
            <w:tcW w:w="118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324</w:t>
            </w:r>
          </w:p>
        </w:tc>
        <w:tc>
          <w:tcPr>
            <w:tcW w:w="8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John Climax</w:t>
            </w:r>
          </w:p>
        </w:tc>
        <w:tc>
          <w:tcPr>
            <w:tcW w:w="580" w:type="dxa"/>
            <w:vAlign w:val="bottom"/>
            <w:tcBorders>
              <w:right w:val="single" w:sz="8" w:color="auto"/>
            </w:tcBorders>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line="148" w:lineRule="exact"/>
              <w:rPr>
                <w:sz w:val="20"/>
                <w:szCs w:val="20"/>
                <w:color w:val="auto"/>
              </w:rPr>
            </w:pPr>
            <w:r>
              <w:rPr>
                <w:rFonts w:ascii="Arial" w:cs="Arial" w:eastAsia="Arial" w:hAnsi="Arial"/>
                <w:sz w:val="14"/>
                <w:szCs w:val="14"/>
                <w:color w:val="auto"/>
              </w:rPr>
              <w:t>12</w:t>
            </w:r>
          </w:p>
        </w:tc>
        <w:tc>
          <w:tcPr>
            <w:tcW w:w="8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48</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Ronan Lambe</w:t>
            </w:r>
          </w:p>
        </w:tc>
        <w:tc>
          <w:tcPr>
            <w:tcW w:w="580" w:type="dxa"/>
            <w:vAlign w:val="bottom"/>
            <w:tcBorders>
              <w:right w:val="single" w:sz="8" w:color="auto"/>
            </w:tcBorders>
            <w:shd w:val="clear" w:color="auto" w:fill="CCEEFF"/>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19</w:t>
            </w:r>
          </w:p>
        </w:tc>
        <w:tc>
          <w:tcPr>
            <w:tcW w:w="8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53</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Thomas Lynch</w:t>
            </w:r>
          </w:p>
        </w:tc>
        <w:tc>
          <w:tcPr>
            <w:tcW w:w="580" w:type="dxa"/>
            <w:vAlign w:val="bottom"/>
            <w:tcBorders>
              <w:right w:val="single" w:sz="8" w:color="auto"/>
            </w:tcBorders>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line="148" w:lineRule="exact"/>
              <w:rPr>
                <w:sz w:val="20"/>
                <w:szCs w:val="20"/>
                <w:color w:val="auto"/>
              </w:rPr>
            </w:pPr>
            <w:r>
              <w:rPr>
                <w:rFonts w:ascii="Arial" w:cs="Arial" w:eastAsia="Arial" w:hAnsi="Arial"/>
                <w:sz w:val="14"/>
                <w:szCs w:val="14"/>
                <w:color w:val="auto"/>
              </w:rPr>
              <w:t>19</w:t>
            </w:r>
          </w:p>
        </w:tc>
        <w:tc>
          <w:tcPr>
            <w:tcW w:w="8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71</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Dermot Kelleher</w:t>
            </w:r>
          </w:p>
        </w:tc>
        <w:tc>
          <w:tcPr>
            <w:tcW w:w="580" w:type="dxa"/>
            <w:vAlign w:val="bottom"/>
            <w:tcBorders>
              <w:right w:val="single" w:sz="8" w:color="auto"/>
            </w:tcBorders>
            <w:shd w:val="clear" w:color="auto" w:fill="CCEEFF"/>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25</w:t>
            </w:r>
          </w:p>
        </w:tc>
        <w:tc>
          <w:tcPr>
            <w:tcW w:w="8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73</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Anthony Murphy***</w:t>
            </w:r>
          </w:p>
        </w:tc>
        <w:tc>
          <w:tcPr>
            <w:tcW w:w="580" w:type="dxa"/>
            <w:vAlign w:val="bottom"/>
            <w:tcBorders>
              <w:right w:val="single" w:sz="8" w:color="auto"/>
            </w:tcBorders>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line="148" w:lineRule="exact"/>
              <w:rPr>
                <w:sz w:val="20"/>
                <w:szCs w:val="20"/>
                <w:color w:val="auto"/>
              </w:rPr>
            </w:pPr>
            <w:r>
              <w:rPr>
                <w:rFonts w:ascii="Arial" w:cs="Arial" w:eastAsia="Arial" w:hAnsi="Arial"/>
                <w:sz w:val="14"/>
                <w:szCs w:val="14"/>
                <w:color w:val="auto"/>
              </w:rPr>
              <w:t>16</w:t>
            </w:r>
          </w:p>
        </w:tc>
        <w:tc>
          <w:tcPr>
            <w:tcW w:w="8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78</w:t>
            </w:r>
          </w:p>
        </w:tc>
        <w:tc>
          <w:tcPr>
            <w:tcW w:w="9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162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Declan McKeon</w:t>
            </w:r>
          </w:p>
        </w:tc>
        <w:tc>
          <w:tcPr>
            <w:tcW w:w="580" w:type="dxa"/>
            <w:vAlign w:val="bottom"/>
            <w:tcBorders>
              <w:right w:val="single" w:sz="8" w:color="auto"/>
            </w:tcBorders>
            <w:shd w:val="clear" w:color="auto" w:fill="CCEEFF"/>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18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color w:val="auto"/>
              </w:rPr>
              <w:t>17</w:t>
            </w:r>
          </w:p>
        </w:tc>
        <w:tc>
          <w:tcPr>
            <w:tcW w:w="8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61</w:t>
            </w:r>
          </w:p>
        </w:tc>
        <w:tc>
          <w:tcPr>
            <w:tcW w:w="9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Cathrin Petty</w:t>
            </w:r>
          </w:p>
        </w:tc>
        <w:tc>
          <w:tcPr>
            <w:tcW w:w="580" w:type="dxa"/>
            <w:vAlign w:val="bottom"/>
            <w:tcBorders>
              <w:bottom w:val="single" w:sz="8" w:color="auto"/>
              <w:right w:val="single" w:sz="8" w:color="auto"/>
            </w:tcBorders>
          </w:tcPr>
          <w:p>
            <w:pPr>
              <w:ind w:left="140"/>
              <w:spacing w:after="0" w:line="148" w:lineRule="exact"/>
              <w:rPr>
                <w:sz w:val="20"/>
                <w:szCs w:val="20"/>
                <w:color w:val="auto"/>
              </w:rPr>
            </w:pPr>
            <w:r>
              <w:rPr>
                <w:rFonts w:ascii="Arial" w:cs="Arial" w:eastAsia="Arial" w:hAnsi="Arial"/>
                <w:sz w:val="14"/>
                <w:szCs w:val="14"/>
                <w:color w:val="auto"/>
              </w:rPr>
              <w:t>2011</w:t>
            </w:r>
          </w:p>
        </w:tc>
        <w:tc>
          <w:tcPr>
            <w:tcW w:w="90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
              <w:spacing w:after="0" w:line="148" w:lineRule="exact"/>
              <w:rPr>
                <w:sz w:val="20"/>
                <w:szCs w:val="20"/>
                <w:color w:val="auto"/>
              </w:rPr>
            </w:pPr>
            <w:r>
              <w:rPr>
                <w:rFonts w:ascii="Arial" w:cs="Arial" w:eastAsia="Arial" w:hAnsi="Arial"/>
                <w:sz w:val="14"/>
                <w:szCs w:val="14"/>
                <w:color w:val="auto"/>
              </w:rPr>
              <w:t>15</w:t>
            </w:r>
          </w:p>
        </w:tc>
        <w:tc>
          <w:tcPr>
            <w:tcW w:w="84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59</w:t>
            </w:r>
          </w:p>
        </w:tc>
        <w:tc>
          <w:tcPr>
            <w:tcW w:w="9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78"/>
        </w:trPr>
        <w:tc>
          <w:tcPr>
            <w:tcW w:w="16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2011</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667</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1,047</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1,219</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w:t>
            </w:r>
          </w:p>
        </w:tc>
        <w:tc>
          <w:tcPr>
            <w:tcW w:w="9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3,439</w:t>
            </w:r>
          </w:p>
        </w:tc>
        <w:tc>
          <w:tcPr>
            <w:tcW w:w="0" w:type="dxa"/>
            <w:vAlign w:val="bottom"/>
          </w:tcPr>
          <w:p>
            <w:pPr>
              <w:spacing w:after="0"/>
              <w:rPr>
                <w:sz w:val="1"/>
                <w:szCs w:val="1"/>
                <w:color w:val="auto"/>
              </w:rPr>
            </w:pPr>
          </w:p>
        </w:tc>
      </w:tr>
      <w:tr>
        <w:trPr>
          <w:trHeight w:val="240"/>
        </w:trPr>
        <w:tc>
          <w:tcPr>
            <w:tcW w:w="16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8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100" w:right="2440" w:firstLine="87"/>
        <w:spacing w:after="0" w:line="290"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pension contributions above represent contributions paid by the Company to a defined contribution pension scheme. ** Appointed as a Director from 1 October 2011 and therefore the above remuneration has been pro rated accordingly.</w:t>
      </w:r>
    </w:p>
    <w:p>
      <w:pPr>
        <w:spacing w:after="0"/>
        <w:rPr>
          <w:sz w:val="20"/>
          <w:szCs w:val="20"/>
          <w:color w:val="auto"/>
        </w:rPr>
      </w:pPr>
      <w:r>
        <w:rPr>
          <w:rFonts w:ascii="Arial" w:cs="Arial" w:eastAsia="Arial" w:hAnsi="Arial"/>
          <w:sz w:val="18"/>
          <w:szCs w:val="18"/>
          <w:color w:val="auto"/>
        </w:rPr>
        <w:t>*** Retired 31 December 2011.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Payroll and related benefits </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 - Year ended 31 December 2010</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640" w:type="dxa"/>
            <w:vAlign w:val="bottom"/>
            <w:tcBorders>
              <w:top w:val="single" w:sz="8" w:color="auto"/>
              <w:left w:val="single" w:sz="8" w:color="auto"/>
              <w:right w:val="single" w:sz="8" w:color="auto"/>
            </w:tcBorders>
          </w:tcPr>
          <w:p>
            <w:pPr>
              <w:spacing w:after="0"/>
              <w:rPr>
                <w:sz w:val="23"/>
                <w:szCs w:val="23"/>
                <w:color w:val="auto"/>
              </w:rPr>
            </w:pPr>
          </w:p>
        </w:tc>
        <w:tc>
          <w:tcPr>
            <w:tcW w:w="440" w:type="dxa"/>
            <w:vAlign w:val="bottom"/>
            <w:tcBorders>
              <w:top w:val="single" w:sz="8" w:color="auto"/>
              <w:right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Company</w:t>
            </w:r>
          </w:p>
        </w:tc>
        <w:tc>
          <w:tcPr>
            <w:tcW w:w="118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Performance</w:t>
            </w:r>
          </w:p>
        </w:tc>
        <w:tc>
          <w:tcPr>
            <w:tcW w:w="1200" w:type="dxa"/>
            <w:vAlign w:val="bottom"/>
            <w:tcBorders>
              <w:top w:val="single" w:sz="8" w:color="auto"/>
              <w:right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All other</w:t>
            </w:r>
          </w:p>
        </w:tc>
        <w:tc>
          <w:tcPr>
            <w:tcW w:w="800" w:type="dxa"/>
            <w:vAlign w:val="bottom"/>
            <w:tcBorders>
              <w:top w:val="single" w:sz="8" w:color="auto"/>
              <w:right w:val="single" w:sz="8" w:color="auto"/>
            </w:tcBorders>
          </w:tcPr>
          <w:p>
            <w:pPr>
              <w:spacing w:after="0"/>
              <w:rPr>
                <w:sz w:val="23"/>
                <w:szCs w:val="23"/>
                <w:color w:val="auto"/>
              </w:rPr>
            </w:pPr>
          </w:p>
        </w:tc>
        <w:tc>
          <w:tcPr>
            <w:tcW w:w="920" w:type="dxa"/>
            <w:vAlign w:val="bottom"/>
            <w:tcBorders>
              <w:top w:val="single" w:sz="8" w:color="auto"/>
              <w:right w:val="single" w:sz="8" w:color="auto"/>
            </w:tcBorders>
          </w:tcPr>
          <w:p>
            <w:pPr>
              <w:spacing w:after="0"/>
              <w:rPr>
                <w:sz w:val="23"/>
                <w:szCs w:val="23"/>
                <w:color w:val="auto"/>
              </w:rPr>
            </w:pPr>
          </w:p>
        </w:tc>
        <w:tc>
          <w:tcPr>
            <w:tcW w:w="114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Share-based</w:t>
            </w:r>
          </w:p>
        </w:tc>
        <w:tc>
          <w:tcPr>
            <w:tcW w:w="940" w:type="dxa"/>
            <w:vAlign w:val="bottom"/>
            <w:tcBorders>
              <w:top w:val="single" w:sz="8" w:color="auto"/>
              <w:right w:val="single" w:sz="8" w:color="auto"/>
            </w:tcBorders>
          </w:tcPr>
          <w:p>
            <w:pPr>
              <w:spacing w:after="0"/>
              <w:rPr>
                <w:sz w:val="23"/>
                <w:szCs w:val="23"/>
                <w:color w:val="auto"/>
              </w:rPr>
            </w:pPr>
          </w:p>
        </w:tc>
        <w:tc>
          <w:tcPr>
            <w:tcW w:w="1040" w:type="dxa"/>
            <w:vAlign w:val="bottom"/>
            <w:tcBorders>
              <w:top w:val="single" w:sz="8" w:color="auto"/>
              <w:right w:val="single" w:sz="8" w:color="auto"/>
            </w:tcBorders>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122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w w:val="89"/>
              </w:rPr>
              <w:t>pension</w:t>
            </w:r>
          </w:p>
        </w:tc>
        <w:tc>
          <w:tcPr>
            <w:tcW w:w="1180" w:type="dxa"/>
            <w:vAlign w:val="bottom"/>
          </w:tcPr>
          <w:p>
            <w:pPr>
              <w:jc w:val="center"/>
              <w:ind w:right="88"/>
              <w:spacing w:after="0" w:line="148" w:lineRule="exact"/>
              <w:rPr>
                <w:sz w:val="20"/>
                <w:szCs w:val="20"/>
                <w:color w:val="auto"/>
              </w:rPr>
            </w:pPr>
            <w:r>
              <w:rPr>
                <w:rFonts w:ascii="Arial" w:cs="Arial" w:eastAsia="Arial" w:hAnsi="Arial"/>
                <w:sz w:val="14"/>
                <w:szCs w:val="14"/>
                <w:b w:val="1"/>
                <w:bCs w:val="1"/>
                <w:color w:val="auto"/>
                <w:w w:val="91"/>
              </w:rPr>
              <w:t>related</w:t>
            </w:r>
          </w:p>
        </w:tc>
        <w:tc>
          <w:tcPr>
            <w:tcW w:w="12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Subtotal</w:t>
            </w:r>
          </w:p>
        </w:tc>
        <w:tc>
          <w:tcPr>
            <w:tcW w:w="92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Subtotal</w:t>
            </w:r>
          </w:p>
        </w:tc>
        <w:tc>
          <w:tcPr>
            <w:tcW w:w="1140" w:type="dxa"/>
            <w:vAlign w:val="bottom"/>
            <w:vMerge w:val="continue"/>
          </w:tcPr>
          <w:p>
            <w:pPr>
              <w:spacing w:after="0"/>
              <w:rPr>
                <w:sz w:val="12"/>
                <w:szCs w:val="12"/>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0"/>
              </w:rPr>
              <w:t>Directors Fees</w:t>
            </w:r>
          </w:p>
        </w:tc>
        <w:tc>
          <w:tcPr>
            <w:tcW w:w="1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40" w:type="dxa"/>
            <w:vAlign w:val="bottom"/>
            <w:tcBorders>
              <w:left w:val="single" w:sz="8" w:color="auto"/>
              <w:right w:val="single" w:sz="8" w:color="auto"/>
            </w:tcBorders>
            <w:vMerge w:val="continue"/>
          </w:tcPr>
          <w:p>
            <w:pPr>
              <w:spacing w:after="0"/>
              <w:rPr>
                <w:sz w:val="16"/>
                <w:szCs w:val="16"/>
                <w:color w:val="auto"/>
              </w:rPr>
            </w:pPr>
          </w:p>
        </w:tc>
        <w:tc>
          <w:tcPr>
            <w:tcW w:w="440" w:type="dxa"/>
            <w:vAlign w:val="bottom"/>
            <w:tcBorders>
              <w:right w:val="single" w:sz="8" w:color="auto"/>
            </w:tcBorders>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2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contribution*</w:t>
            </w: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88"/>
              </w:rPr>
              <w:t>compensation</w:t>
            </w:r>
          </w:p>
        </w:tc>
        <w:tc>
          <w:tcPr>
            <w:tcW w:w="12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8"/>
              </w:rPr>
              <w:t>compensation</w:t>
            </w:r>
          </w:p>
        </w:tc>
        <w:tc>
          <w:tcPr>
            <w:tcW w:w="800" w:type="dxa"/>
            <w:vAlign w:val="bottom"/>
            <w:tcBorders>
              <w:right w:val="single" w:sz="8" w:color="auto"/>
            </w:tcBorders>
            <w:vMerge w:val="continue"/>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payments</w:t>
            </w:r>
          </w:p>
        </w:tc>
        <w:tc>
          <w:tcPr>
            <w:tcW w:w="940" w:type="dxa"/>
            <w:vAlign w:val="bottom"/>
            <w:tcBorders>
              <w:right w:val="single" w:sz="8" w:color="auto"/>
            </w:tcBorders>
            <w:vMerge w:val="continue"/>
          </w:tcPr>
          <w:p>
            <w:pPr>
              <w:spacing w:after="0"/>
              <w:rPr>
                <w:sz w:val="16"/>
                <w:szCs w:val="16"/>
                <w:color w:val="auto"/>
              </w:rPr>
            </w:pPr>
          </w:p>
        </w:tc>
        <w:tc>
          <w:tcPr>
            <w:tcW w:w="10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0"/>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Borders>
              <w:left w:val="single" w:sz="8" w:color="auto"/>
              <w:bottom w:val="single" w:sz="8" w:color="auto"/>
              <w:right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€’000</w:t>
            </w:r>
          </w:p>
        </w:tc>
        <w:tc>
          <w:tcPr>
            <w:tcW w:w="118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4"/>
                <w:szCs w:val="14"/>
                <w:color w:val="auto"/>
              </w:rPr>
              <w:t>€’000</w:t>
            </w:r>
          </w:p>
        </w:tc>
        <w:tc>
          <w:tcPr>
            <w:tcW w:w="12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€’000</w:t>
            </w:r>
          </w:p>
        </w:tc>
        <w:tc>
          <w:tcPr>
            <w:tcW w:w="8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€’000</w:t>
            </w:r>
          </w:p>
        </w:tc>
        <w:tc>
          <w:tcPr>
            <w:tcW w:w="92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$’000</w:t>
            </w:r>
          </w:p>
        </w:tc>
        <w:tc>
          <w:tcPr>
            <w:tcW w:w="11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$’000</w:t>
            </w:r>
          </w:p>
        </w:tc>
        <w:tc>
          <w:tcPr>
            <w:tcW w:w="94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$’000</w:t>
            </w:r>
          </w:p>
        </w:tc>
        <w:tc>
          <w:tcPr>
            <w:tcW w:w="104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Bruce Given</w:t>
            </w:r>
          </w:p>
        </w:tc>
        <w:tc>
          <w:tcPr>
            <w:tcW w:w="440" w:type="dxa"/>
            <w:vAlign w:val="bottom"/>
            <w:tcBorders>
              <w:right w:val="single" w:sz="8" w:color="auto"/>
            </w:tcBorders>
            <w:shd w:val="clear" w:color="auto" w:fill="CCEEFF"/>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31</w:t>
            </w:r>
          </w:p>
        </w:tc>
        <w:tc>
          <w:tcPr>
            <w:tcW w:w="9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317</w:t>
            </w:r>
          </w:p>
        </w:tc>
        <w:tc>
          <w:tcPr>
            <w:tcW w:w="10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Peter Gray</w:t>
            </w:r>
          </w:p>
        </w:tc>
        <w:tc>
          <w:tcPr>
            <w:tcW w:w="440" w:type="dxa"/>
            <w:vAlign w:val="bottom"/>
            <w:tcBorders>
              <w:right w:val="single" w:sz="8" w:color="auto"/>
            </w:tcBorders>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525</w:t>
            </w:r>
          </w:p>
        </w:tc>
        <w:tc>
          <w:tcPr>
            <w:tcW w:w="1220" w:type="dxa"/>
            <w:vAlign w:val="bottom"/>
          </w:tcPr>
          <w:p>
            <w:pPr>
              <w:jc w:val="right"/>
              <w:spacing w:after="0" w:line="148" w:lineRule="exact"/>
              <w:rPr>
                <w:sz w:val="20"/>
                <w:szCs w:val="20"/>
                <w:color w:val="auto"/>
              </w:rPr>
            </w:pPr>
            <w:r>
              <w:rPr>
                <w:rFonts w:ascii="Arial" w:cs="Arial" w:eastAsia="Arial" w:hAnsi="Arial"/>
                <w:sz w:val="14"/>
                <w:szCs w:val="14"/>
                <w:color w:val="auto"/>
              </w:rPr>
              <w:t>53</w:t>
            </w:r>
          </w:p>
        </w:tc>
        <w:tc>
          <w:tcPr>
            <w:tcW w:w="1180" w:type="dxa"/>
            <w:vAlign w:val="bottom"/>
          </w:tcPr>
          <w:p>
            <w:pPr>
              <w:jc w:val="right"/>
              <w:ind w:right="28"/>
              <w:spacing w:after="0" w:line="148" w:lineRule="exact"/>
              <w:rPr>
                <w:sz w:val="20"/>
                <w:szCs w:val="20"/>
                <w:color w:val="auto"/>
              </w:rPr>
            </w:pPr>
            <w:r>
              <w:rPr>
                <w:rFonts w:ascii="Arial" w:cs="Arial" w:eastAsia="Arial" w:hAnsi="Arial"/>
                <w:sz w:val="14"/>
                <w:szCs w:val="14"/>
                <w:color w:val="auto"/>
              </w:rPr>
              <w:t>105</w:t>
            </w:r>
          </w:p>
        </w:tc>
        <w:tc>
          <w:tcPr>
            <w:tcW w:w="12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37</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720</w:t>
            </w:r>
          </w:p>
        </w:tc>
        <w:tc>
          <w:tcPr>
            <w:tcW w:w="9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958</w:t>
            </w:r>
          </w:p>
        </w:tc>
        <w:tc>
          <w:tcPr>
            <w:tcW w:w="1140" w:type="dxa"/>
            <w:vAlign w:val="bottom"/>
          </w:tcPr>
          <w:p>
            <w:pPr>
              <w:jc w:val="right"/>
              <w:spacing w:after="0" w:line="148" w:lineRule="exact"/>
              <w:rPr>
                <w:sz w:val="20"/>
                <w:szCs w:val="20"/>
                <w:color w:val="auto"/>
              </w:rPr>
            </w:pPr>
            <w:r>
              <w:rPr>
                <w:rFonts w:ascii="Arial" w:cs="Arial" w:eastAsia="Arial" w:hAnsi="Arial"/>
                <w:sz w:val="14"/>
                <w:szCs w:val="14"/>
                <w:color w:val="auto"/>
              </w:rPr>
              <w:t>761</w:t>
            </w:r>
          </w:p>
        </w:tc>
        <w:tc>
          <w:tcPr>
            <w:tcW w:w="9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John Climax**</w:t>
            </w:r>
          </w:p>
        </w:tc>
        <w:tc>
          <w:tcPr>
            <w:tcW w:w="440" w:type="dxa"/>
            <w:vAlign w:val="bottom"/>
            <w:tcBorders>
              <w:right w:val="single" w:sz="8" w:color="auto"/>
            </w:tcBorders>
            <w:shd w:val="clear" w:color="auto" w:fill="CCEEFF"/>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53</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53</w:t>
            </w:r>
          </w:p>
        </w:tc>
        <w:tc>
          <w:tcPr>
            <w:tcW w:w="9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68</w:t>
            </w: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w:t>
            </w:r>
          </w:p>
        </w:tc>
        <w:tc>
          <w:tcPr>
            <w:tcW w:w="9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48</w:t>
            </w:r>
          </w:p>
        </w:tc>
        <w:tc>
          <w:tcPr>
            <w:tcW w:w="10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Ronan Lambe</w:t>
            </w:r>
          </w:p>
        </w:tc>
        <w:tc>
          <w:tcPr>
            <w:tcW w:w="440" w:type="dxa"/>
            <w:vAlign w:val="bottom"/>
            <w:tcBorders>
              <w:right w:val="single" w:sz="8" w:color="auto"/>
            </w:tcBorders>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4"/>
                <w:szCs w:val="14"/>
                <w:color w:val="auto"/>
              </w:rPr>
              <w:t>21</w:t>
            </w:r>
          </w:p>
        </w:tc>
        <w:tc>
          <w:tcPr>
            <w:tcW w:w="9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52</w:t>
            </w:r>
          </w:p>
        </w:tc>
        <w:tc>
          <w:tcPr>
            <w:tcW w:w="10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Thomas Lynch</w:t>
            </w:r>
          </w:p>
        </w:tc>
        <w:tc>
          <w:tcPr>
            <w:tcW w:w="440" w:type="dxa"/>
            <w:vAlign w:val="bottom"/>
            <w:tcBorders>
              <w:right w:val="single" w:sz="8" w:color="auto"/>
            </w:tcBorders>
            <w:shd w:val="clear" w:color="auto" w:fill="CCEEFF"/>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23</w:t>
            </w:r>
          </w:p>
        </w:tc>
        <w:tc>
          <w:tcPr>
            <w:tcW w:w="9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78</w:t>
            </w:r>
          </w:p>
        </w:tc>
        <w:tc>
          <w:tcPr>
            <w:tcW w:w="10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Edward Roberts</w:t>
            </w:r>
          </w:p>
        </w:tc>
        <w:tc>
          <w:tcPr>
            <w:tcW w:w="440" w:type="dxa"/>
            <w:vAlign w:val="bottom"/>
            <w:tcBorders>
              <w:right w:val="single" w:sz="8" w:color="auto"/>
            </w:tcBorders>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4"/>
                <w:szCs w:val="14"/>
                <w:color w:val="auto"/>
              </w:rPr>
              <w:t>44</w:t>
            </w:r>
          </w:p>
        </w:tc>
        <w:tc>
          <w:tcPr>
            <w:tcW w:w="9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17</w:t>
            </w:r>
          </w:p>
        </w:tc>
        <w:tc>
          <w:tcPr>
            <w:tcW w:w="10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Dermot Kelleher</w:t>
            </w:r>
          </w:p>
        </w:tc>
        <w:tc>
          <w:tcPr>
            <w:tcW w:w="440" w:type="dxa"/>
            <w:vAlign w:val="bottom"/>
            <w:tcBorders>
              <w:right w:val="single" w:sz="8" w:color="auto"/>
            </w:tcBorders>
            <w:shd w:val="clear" w:color="auto" w:fill="CCEEFF"/>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30</w:t>
            </w:r>
          </w:p>
        </w:tc>
        <w:tc>
          <w:tcPr>
            <w:tcW w:w="9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65</w:t>
            </w:r>
          </w:p>
        </w:tc>
        <w:tc>
          <w:tcPr>
            <w:tcW w:w="10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Anthony Murphy</w:t>
            </w:r>
          </w:p>
        </w:tc>
        <w:tc>
          <w:tcPr>
            <w:tcW w:w="440" w:type="dxa"/>
            <w:vAlign w:val="bottom"/>
            <w:tcBorders>
              <w:right w:val="single" w:sz="8" w:color="auto"/>
            </w:tcBorders>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line="148"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8" w:lineRule="exact"/>
              <w:rPr>
                <w:sz w:val="20"/>
                <w:szCs w:val="20"/>
                <w:color w:val="auto"/>
              </w:rPr>
            </w:pPr>
            <w:r>
              <w:rPr>
                <w:rFonts w:ascii="Arial" w:cs="Arial" w:eastAsia="Arial" w:hAnsi="Arial"/>
                <w:sz w:val="14"/>
                <w:szCs w:val="14"/>
                <w:color w:val="auto"/>
              </w:rPr>
              <w:t>14</w:t>
            </w:r>
          </w:p>
        </w:tc>
        <w:tc>
          <w:tcPr>
            <w:tcW w:w="9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75</w:t>
            </w:r>
          </w:p>
        </w:tc>
        <w:tc>
          <w:tcPr>
            <w:tcW w:w="10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shd w:val="clear" w:color="auto" w:fill="CCEEFF"/>
          </w:tcPr>
          <w:p>
            <w:pPr>
              <w:ind w:left="20"/>
              <w:spacing w:after="0" w:line="148" w:lineRule="exact"/>
              <w:rPr>
                <w:sz w:val="20"/>
                <w:szCs w:val="20"/>
                <w:color w:val="auto"/>
              </w:rPr>
            </w:pPr>
            <w:r>
              <w:rPr>
                <w:rFonts w:ascii="Arial" w:cs="Arial" w:eastAsia="Arial" w:hAnsi="Arial"/>
                <w:sz w:val="14"/>
                <w:szCs w:val="14"/>
                <w:color w:val="auto"/>
              </w:rPr>
              <w:t>Declan McKeon</w:t>
            </w:r>
          </w:p>
        </w:tc>
        <w:tc>
          <w:tcPr>
            <w:tcW w:w="440" w:type="dxa"/>
            <w:vAlign w:val="bottom"/>
            <w:tcBorders>
              <w:right w:val="single" w:sz="8" w:color="auto"/>
            </w:tcBorders>
            <w:shd w:val="clear" w:color="auto" w:fill="CCEEFF"/>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2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12</w:t>
            </w:r>
          </w:p>
        </w:tc>
        <w:tc>
          <w:tcPr>
            <w:tcW w:w="9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40</w:t>
            </w:r>
          </w:p>
        </w:tc>
        <w:tc>
          <w:tcPr>
            <w:tcW w:w="1040" w:type="dxa"/>
            <w:vAlign w:val="bottom"/>
            <w:tcBorders>
              <w:right w:val="single" w:sz="8" w:color="auto"/>
            </w:tcBorders>
            <w:shd w:val="clear" w:color="auto" w:fill="CCEEFF"/>
          </w:tcPr>
          <w:p>
            <w:pPr>
              <w:jc w:val="right"/>
              <w:spacing w:after="0" w:line="148"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5"/>
        </w:trPr>
        <w:tc>
          <w:tcPr>
            <w:tcW w:w="1640" w:type="dxa"/>
            <w:vAlign w:val="bottom"/>
            <w:tcBorders>
              <w:left w:val="single" w:sz="8" w:color="auto"/>
              <w:bottom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Cathrin Petty</w:t>
            </w:r>
          </w:p>
        </w:tc>
        <w:tc>
          <w:tcPr>
            <w:tcW w:w="440" w:type="dxa"/>
            <w:vAlign w:val="bottom"/>
            <w:tcBorders>
              <w:bottom w:val="single" w:sz="8" w:color="auto"/>
              <w:right w:val="single" w:sz="8" w:color="auto"/>
            </w:tcBorders>
          </w:tcPr>
          <w:p>
            <w:pPr>
              <w:ind w:left="60"/>
              <w:spacing w:after="0" w:line="148" w:lineRule="exact"/>
              <w:rPr>
                <w:sz w:val="20"/>
                <w:szCs w:val="20"/>
                <w:color w:val="auto"/>
              </w:rPr>
            </w:pPr>
            <w:r>
              <w:rPr>
                <w:rFonts w:ascii="Arial" w:cs="Arial" w:eastAsia="Arial" w:hAnsi="Arial"/>
                <w:sz w:val="14"/>
                <w:szCs w:val="14"/>
                <w:color w:val="auto"/>
              </w:rPr>
              <w:t>2010</w:t>
            </w:r>
          </w:p>
        </w:tc>
        <w:tc>
          <w:tcPr>
            <w:tcW w:w="90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28"/>
              <w:spacing w:after="0" w:line="148" w:lineRule="exact"/>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2</w:t>
            </w:r>
          </w:p>
        </w:tc>
        <w:tc>
          <w:tcPr>
            <w:tcW w:w="94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12</w:t>
            </w:r>
          </w:p>
        </w:tc>
        <w:tc>
          <w:tcPr>
            <w:tcW w:w="1040" w:type="dxa"/>
            <w:vAlign w:val="bottom"/>
            <w:tcBorders>
              <w:bottom w:val="single" w:sz="8" w:color="auto"/>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03"/>
        </w:trPr>
        <w:tc>
          <w:tcPr>
            <w:tcW w:w="1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w:t>
            </w:r>
          </w:p>
        </w:tc>
        <w:tc>
          <w:tcPr>
            <w:tcW w:w="12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773</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945</w:t>
            </w: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704</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pension contributions above represent contributions paid by the Company to a defined contribution pension scheme.</w:t>
      </w:r>
    </w:p>
    <w:p>
      <w:pPr>
        <w:spacing w:after="0" w:line="23" w:lineRule="exact"/>
        <w:rPr>
          <w:sz w:val="20"/>
          <w:szCs w:val="20"/>
          <w:color w:val="auto"/>
        </w:rPr>
      </w:pPr>
    </w:p>
    <w:p>
      <w:pPr>
        <w:ind w:right="20" w:firstLine="8"/>
        <w:spacing w:after="0" w:line="258" w:lineRule="auto"/>
        <w:tabs>
          <w:tab w:leader="none" w:pos="2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Further information is set out in the </w:t>
      </w:r>
      <w:r>
        <w:rPr>
          <w:rFonts w:ascii="Arial" w:cs="Arial" w:eastAsia="Arial" w:hAnsi="Arial"/>
          <w:sz w:val="18"/>
          <w:szCs w:val="18"/>
          <w:i w:val="1"/>
          <w:iCs w:val="1"/>
          <w:color w:val="auto"/>
        </w:rPr>
        <w:t>Directors’ and Key Executive Officers service agreements and letters of engagement</w:t>
      </w:r>
      <w:r>
        <w:rPr>
          <w:rFonts w:ascii="Arial" w:cs="Arial" w:eastAsia="Arial" w:hAnsi="Arial"/>
          <w:sz w:val="18"/>
          <w:szCs w:val="18"/>
          <w:color w:val="auto"/>
        </w:rPr>
        <w:t xml:space="preserve"> section from pages 19 to 21 of this report.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obligations</w:t>
      </w:r>
    </w:p>
    <w:p>
      <w:pPr>
        <w:spacing w:after="0" w:line="25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The Group operates a number of defined contribution schemes and a defined benefit pension scheme. The Group accounts for pensions in accordance with IAS 19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(“IAS 19”).</w:t>
      </w:r>
    </w:p>
    <w:p>
      <w:pPr>
        <w:spacing w:after="0" w:line="198"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Defined Contribution Schemes</w:t>
      </w:r>
    </w:p>
    <w:p>
      <w:pPr>
        <w:spacing w:after="0" w:line="25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Income Statement. Contributions for the year ended 31 December 2011 and year ended 31 December 2010 were $16,644,000 and $14,206,000 respectively.</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50% of each participant's contributions and each participant can contribute up to 6% of their annual compensation. Contributions to the U.S. Plan are recorded, in the year contributed, as an expense in the Consolidated Income Statement. Contributions for the year ended 31 December 2011 and year ended 31 December 2010 were $7,064,000 and $6,603,000 respectively.</w:t>
      </w:r>
    </w:p>
    <w:p>
      <w:pPr>
        <w:spacing w:after="0" w:line="20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Defined Benefit Plans</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One of the Group’s subsidiaries, ICON Development Solutions Limited, which was acquired by the Group in 2003, operates a defined benefit pension plan in the United Kingdom for certain of its employees, which is now closed to new members. The plan is managed externally and the related pension costs and liabilities are assessed in accordance with the advice of a professionally qualified actuary. Plan assets at 31 December 2011 and 31 December 2010 consist of units held in independently administered funds. The most recent valuation of plan obligations was carried out as at 1 September 2010 using the projected unit credit method and updated on an appropriate basis at 31 December 2011.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assumptions</w:t>
      </w:r>
    </w:p>
    <w:p>
      <w:pPr>
        <w:spacing w:after="0" w:line="25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following assumptions were used in determining the fair value of the plan assets and the present value of the projected benefit obligation at 31 December 2011: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462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34"/>
        </w:trPr>
        <w:tc>
          <w:tcPr>
            <w:tcW w:w="5500" w:type="dxa"/>
            <w:vAlign w:val="bottom"/>
          </w:tcPr>
          <w:p>
            <w:pPr>
              <w:spacing w:after="0"/>
              <w:rPr>
                <w:sz w:val="20"/>
                <w:szCs w:val="20"/>
                <w:color w:val="auto"/>
              </w:rPr>
            </w:pPr>
          </w:p>
        </w:tc>
        <w:tc>
          <w:tcPr>
            <w:tcW w:w="46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5"/>
        </w:trPr>
        <w:tc>
          <w:tcPr>
            <w:tcW w:w="5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4.70%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620" w:type="dxa"/>
            <w:vAlign w:val="bottom"/>
          </w:tcPr>
          <w:p>
            <w:pPr>
              <w:jc w:val="right"/>
              <w:ind w:right="250"/>
              <w:spacing w:after="0"/>
              <w:rPr>
                <w:sz w:val="20"/>
                <w:szCs w:val="20"/>
                <w:color w:val="auto"/>
              </w:rPr>
            </w:pPr>
            <w:r>
              <w:rPr>
                <w:rFonts w:ascii="Arial" w:cs="Arial" w:eastAsia="Arial" w:hAnsi="Arial"/>
                <w:sz w:val="18"/>
                <w:szCs w:val="18"/>
                <w:b w:val="1"/>
                <w:bCs w:val="1"/>
                <w:color w:val="auto"/>
              </w:rPr>
              <w:t>5.80%</w:t>
            </w:r>
          </w:p>
        </w:tc>
        <w:tc>
          <w:tcPr>
            <w:tcW w:w="130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15"/>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Inflation rate</w:t>
            </w:r>
          </w:p>
        </w:tc>
        <w:tc>
          <w:tcPr>
            <w:tcW w:w="4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rPr>
              <w:t>Future pension increases</w:t>
            </w:r>
          </w:p>
        </w:tc>
        <w:tc>
          <w:tcPr>
            <w:tcW w:w="4620" w:type="dxa"/>
            <w:vAlign w:val="bottom"/>
          </w:tcPr>
          <w:p>
            <w:pPr>
              <w:jc w:val="right"/>
              <w:ind w:right="250"/>
              <w:spacing w:after="0"/>
              <w:rPr>
                <w:sz w:val="20"/>
                <w:szCs w:val="20"/>
                <w:color w:val="auto"/>
              </w:rPr>
            </w:pPr>
            <w:r>
              <w:rPr>
                <w:rFonts w:ascii="Arial" w:cs="Arial" w:eastAsia="Arial" w:hAnsi="Arial"/>
                <w:sz w:val="18"/>
                <w:szCs w:val="18"/>
                <w:b w:val="1"/>
                <w:bCs w:val="1"/>
                <w:color w:val="auto"/>
              </w:rPr>
              <w:t>2.90%</w:t>
            </w:r>
          </w:p>
        </w:tc>
        <w:tc>
          <w:tcPr>
            <w:tcW w:w="13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55"/>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Future salary increases</w:t>
            </w:r>
          </w:p>
        </w:tc>
        <w:tc>
          <w:tcPr>
            <w:tcW w:w="4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cost for the year ended 31 December 2011: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622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34"/>
        </w:trPr>
        <w:tc>
          <w:tcPr>
            <w:tcW w:w="3900" w:type="dxa"/>
            <w:vAlign w:val="bottom"/>
          </w:tcPr>
          <w:p>
            <w:pPr>
              <w:spacing w:after="0"/>
              <w:rPr>
                <w:sz w:val="20"/>
                <w:szCs w:val="20"/>
                <w:color w:val="auto"/>
              </w:rPr>
            </w:pPr>
          </w:p>
        </w:tc>
        <w:tc>
          <w:tcPr>
            <w:tcW w:w="62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5"/>
        </w:trPr>
        <w:tc>
          <w:tcPr>
            <w:tcW w:w="39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2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5.45%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220" w:type="dxa"/>
            <w:vAlign w:val="bottom"/>
          </w:tcPr>
          <w:p>
            <w:pPr>
              <w:jc w:val="right"/>
              <w:ind w:right="250"/>
              <w:spacing w:after="0"/>
              <w:rPr>
                <w:sz w:val="20"/>
                <w:szCs w:val="20"/>
                <w:color w:val="auto"/>
              </w:rPr>
            </w:pPr>
            <w:r>
              <w:rPr>
                <w:rFonts w:ascii="Arial" w:cs="Arial" w:eastAsia="Arial" w:hAnsi="Arial"/>
                <w:sz w:val="18"/>
                <w:szCs w:val="18"/>
                <w:b w:val="1"/>
                <w:bCs w:val="1"/>
                <w:color w:val="auto"/>
              </w:rPr>
              <w:t>7.10%</w:t>
            </w:r>
          </w:p>
        </w:tc>
        <w:tc>
          <w:tcPr>
            <w:tcW w:w="130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55"/>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Future salary increases</w:t>
            </w:r>
          </w:p>
        </w:tc>
        <w:tc>
          <w:tcPr>
            <w:tcW w:w="6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4.05%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599"/>
        </w:trPr>
        <w:tc>
          <w:tcPr>
            <w:tcW w:w="3900" w:type="dxa"/>
            <w:vAlign w:val="bottom"/>
          </w:tcPr>
          <w:p>
            <w:pPr>
              <w:spacing w:after="0"/>
              <w:rPr>
                <w:sz w:val="24"/>
                <w:szCs w:val="24"/>
                <w:color w:val="auto"/>
              </w:rPr>
            </w:pPr>
          </w:p>
        </w:tc>
        <w:tc>
          <w:tcPr>
            <w:tcW w:w="6220" w:type="dxa"/>
            <w:vAlign w:val="bottom"/>
          </w:tcPr>
          <w:p>
            <w:pPr>
              <w:jc w:val="right"/>
              <w:ind w:right="4230"/>
              <w:spacing w:after="0"/>
              <w:rPr>
                <w:sz w:val="20"/>
                <w:szCs w:val="20"/>
                <w:color w:val="auto"/>
              </w:rPr>
            </w:pPr>
            <w:r>
              <w:rPr>
                <w:rFonts w:ascii="Arial" w:cs="Arial" w:eastAsia="Arial" w:hAnsi="Arial"/>
                <w:sz w:val="18"/>
                <w:szCs w:val="18"/>
                <w:color w:val="auto"/>
              </w:rPr>
              <w:t>76</w:t>
            </w:r>
          </w:p>
        </w:tc>
        <w:tc>
          <w:tcPr>
            <w:tcW w:w="1300" w:type="dxa"/>
            <w:vAlign w:val="bottom"/>
          </w:tcPr>
          <w:p>
            <w:pPr>
              <w:spacing w:after="0"/>
              <w:rPr>
                <w:sz w:val="24"/>
                <w:szCs w:val="24"/>
                <w:color w:val="auto"/>
              </w:rPr>
            </w:pPr>
          </w:p>
        </w:tc>
      </w:tr>
      <w:tr>
        <w:trPr>
          <w:trHeight w:val="117"/>
        </w:trPr>
        <w:tc>
          <w:tcPr>
            <w:tcW w:w="3900" w:type="dxa"/>
            <w:vAlign w:val="bottom"/>
            <w:tcBorders>
              <w:bottom w:val="single" w:sz="8" w:color="808080"/>
            </w:tcBorders>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 xml:space="preserve">9.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7840" w:type="dxa"/>
            <w:vAlign w:val="bottom"/>
          </w:tcPr>
          <w:p>
            <w:pPr>
              <w:spacing w:after="0"/>
              <w:rPr>
                <w:sz w:val="20"/>
                <w:szCs w:val="20"/>
                <w:color w:val="auto"/>
              </w:rPr>
            </w:pPr>
            <w:r>
              <w:rPr>
                <w:rFonts w:ascii="Arial" w:cs="Arial" w:eastAsia="Arial" w:hAnsi="Arial"/>
                <w:sz w:val="18"/>
                <w:szCs w:val="18"/>
                <w:i w:val="1"/>
                <w:iCs w:val="1"/>
                <w:color w:val="auto"/>
              </w:rPr>
              <w:t>Mortality assumptions</w:t>
            </w: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The mortality assumptions adopted at 31 December 2011 imply the following life expectancies:</w:t>
            </w:r>
          </w:p>
        </w:tc>
        <w:tc>
          <w:tcPr>
            <w:tcW w:w="2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784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7840" w:type="dxa"/>
            <w:vAlign w:val="bottom"/>
          </w:tcPr>
          <w:p>
            <w:pPr>
              <w:spacing w:after="0"/>
              <w:rPr>
                <w:sz w:val="20"/>
                <w:szCs w:val="20"/>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28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Male currently age 42</w:t>
            </w:r>
          </w:p>
        </w:tc>
        <w:tc>
          <w:tcPr>
            <w:tcW w:w="23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26.6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Female currently age 42</w:t>
            </w: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rPr>
              <w:t>29.1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29.0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Male currently age 62</w:t>
            </w:r>
          </w:p>
        </w:tc>
        <w:tc>
          <w:tcPr>
            <w:tcW w:w="23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24.5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Female currently age 62</w:t>
            </w:r>
          </w:p>
        </w:tc>
        <w:tc>
          <w:tcPr>
            <w:tcW w:w="2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27.2 years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7840" w:type="dxa"/>
            <w:vAlign w:val="bottom"/>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840" w:type="dxa"/>
            <w:vAlign w:val="bottom"/>
          </w:tcPr>
          <w:p>
            <w:pPr>
              <w:spacing w:after="0"/>
              <w:rPr>
                <w:sz w:val="20"/>
                <w:szCs w:val="20"/>
                <w:color w:val="auto"/>
              </w:rPr>
            </w:pPr>
            <w:r>
              <w:rPr>
                <w:rFonts w:ascii="Arial" w:cs="Arial" w:eastAsia="Arial" w:hAnsi="Arial"/>
                <w:sz w:val="18"/>
                <w:szCs w:val="18"/>
                <w:color w:val="auto"/>
              </w:rPr>
              <w:t>Movement in the net benefit obligation recognised in non-current other liabilities was as follows:</w:t>
            </w:r>
          </w:p>
        </w:tc>
        <w:tc>
          <w:tcPr>
            <w:tcW w:w="2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840" w:type="dxa"/>
            <w:vAlign w:val="bottom"/>
          </w:tcPr>
          <w:p>
            <w:pPr>
              <w:spacing w:after="0"/>
              <w:rPr>
                <w:sz w:val="24"/>
                <w:szCs w:val="24"/>
                <w:color w:val="auto"/>
              </w:rPr>
            </w:pP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7840" w:type="dxa"/>
            <w:vAlign w:val="bottom"/>
          </w:tcPr>
          <w:p>
            <w:pPr>
              <w:spacing w:after="0"/>
              <w:rPr>
                <w:sz w:val="18"/>
                <w:szCs w:val="18"/>
                <w:color w:val="auto"/>
              </w:rPr>
            </w:pP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8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40" w:type="dxa"/>
            <w:vAlign w:val="bottom"/>
          </w:tcPr>
          <w:p>
            <w:pPr>
              <w:spacing w:after="0"/>
              <w:rPr>
                <w:sz w:val="20"/>
                <w:szCs w:val="20"/>
                <w:color w:val="auto"/>
              </w:rPr>
            </w:pP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2"/>
        </w:trPr>
        <w:tc>
          <w:tcPr>
            <w:tcW w:w="78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at start of year</w:t>
            </w:r>
          </w:p>
        </w:tc>
        <w:tc>
          <w:tcPr>
            <w:tcW w:w="23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16,482</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Current service cost</w:t>
            </w:r>
          </w:p>
        </w:tc>
        <w:tc>
          <w:tcPr>
            <w:tcW w:w="2300" w:type="dxa"/>
            <w:vAlign w:val="bottom"/>
          </w:tcPr>
          <w:p>
            <w:pPr>
              <w:jc w:val="right"/>
              <w:ind w:right="310"/>
              <w:spacing w:after="0"/>
              <w:rPr>
                <w:sz w:val="20"/>
                <w:szCs w:val="20"/>
                <w:color w:val="auto"/>
              </w:rPr>
            </w:pPr>
            <w:r>
              <w:rPr>
                <w:rFonts w:ascii="Arial" w:cs="Arial" w:eastAsia="Arial" w:hAnsi="Arial"/>
                <w:sz w:val="18"/>
                <w:szCs w:val="18"/>
                <w:b w:val="1"/>
                <w:bCs w:val="1"/>
                <w:color w:val="auto"/>
              </w:rPr>
              <w:t>212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3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931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2300" w:type="dxa"/>
            <w:vAlign w:val="bottom"/>
          </w:tcPr>
          <w:p>
            <w:pPr>
              <w:jc w:val="right"/>
              <w:ind w:right="310"/>
              <w:spacing w:after="0"/>
              <w:rPr>
                <w:sz w:val="20"/>
                <w:szCs w:val="20"/>
                <w:color w:val="auto"/>
              </w:rPr>
            </w:pPr>
            <w:r>
              <w:rPr>
                <w:rFonts w:ascii="Arial" w:cs="Arial" w:eastAsia="Arial" w:hAnsi="Arial"/>
                <w:sz w:val="18"/>
                <w:szCs w:val="18"/>
                <w:b w:val="1"/>
                <w:bCs w:val="1"/>
                <w:color w:val="auto"/>
              </w:rPr>
              <w:t>135</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on benefit obligation</w:t>
            </w:r>
          </w:p>
        </w:tc>
        <w:tc>
          <w:tcPr>
            <w:tcW w:w="23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2,621</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Benefits paid</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(109)</w:t>
            </w: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rate changes</w:t>
            </w:r>
          </w:p>
        </w:tc>
        <w:tc>
          <w:tcPr>
            <w:tcW w:w="2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(348)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at end of year</w:t>
            </w:r>
          </w:p>
        </w:tc>
        <w:tc>
          <w:tcPr>
            <w:tcW w:w="2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19,924</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start of year</w:t>
            </w:r>
          </w:p>
        </w:tc>
        <w:tc>
          <w:tcPr>
            <w:tcW w:w="23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15,499</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300" w:type="dxa"/>
            <w:vAlign w:val="bottom"/>
          </w:tcPr>
          <w:p>
            <w:pPr>
              <w:jc w:val="right"/>
              <w:ind w:right="310"/>
              <w:spacing w:after="0"/>
              <w:rPr>
                <w:sz w:val="20"/>
                <w:szCs w:val="20"/>
                <w:color w:val="auto"/>
              </w:rPr>
            </w:pPr>
            <w:r>
              <w:rPr>
                <w:rFonts w:ascii="Arial" w:cs="Arial" w:eastAsia="Arial" w:hAnsi="Arial"/>
                <w:sz w:val="18"/>
                <w:szCs w:val="18"/>
                <w:b w:val="1"/>
                <w:bCs w:val="1"/>
                <w:color w:val="auto"/>
              </w:rPr>
              <w:t>1,141</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(loss)/gain on plan assets</w:t>
            </w:r>
          </w:p>
        </w:tc>
        <w:tc>
          <w:tcPr>
            <w:tcW w:w="23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(1,744)</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Employer contribution</w:t>
            </w:r>
          </w:p>
        </w:tc>
        <w:tc>
          <w:tcPr>
            <w:tcW w:w="2300" w:type="dxa"/>
            <w:vAlign w:val="bottom"/>
          </w:tcPr>
          <w:p>
            <w:pPr>
              <w:jc w:val="right"/>
              <w:ind w:right="310"/>
              <w:spacing w:after="0"/>
              <w:rPr>
                <w:sz w:val="20"/>
                <w:szCs w:val="20"/>
                <w:color w:val="auto"/>
              </w:rPr>
            </w:pPr>
            <w:r>
              <w:rPr>
                <w:rFonts w:ascii="Arial" w:cs="Arial" w:eastAsia="Arial" w:hAnsi="Arial"/>
                <w:sz w:val="18"/>
                <w:szCs w:val="18"/>
                <w:b w:val="1"/>
                <w:bCs w:val="1"/>
                <w:color w:val="auto"/>
              </w:rPr>
              <w:t>273</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23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135</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Benefit paid</w:t>
            </w:r>
          </w:p>
        </w:tc>
        <w:tc>
          <w:tcPr>
            <w:tcW w:w="2300" w:type="dxa"/>
            <w:vAlign w:val="bottom"/>
          </w:tcPr>
          <w:p>
            <w:pPr>
              <w:jc w:val="right"/>
              <w:ind w:right="250"/>
              <w:spacing w:after="0"/>
              <w:rPr>
                <w:sz w:val="20"/>
                <w:szCs w:val="20"/>
                <w:color w:val="auto"/>
              </w:rPr>
            </w:pPr>
            <w:r>
              <w:rPr>
                <w:rFonts w:ascii="Arial" w:cs="Arial" w:eastAsia="Arial" w:hAnsi="Arial"/>
                <w:sz w:val="18"/>
                <w:szCs w:val="18"/>
                <w:b w:val="1"/>
                <w:bCs w:val="1"/>
                <w:color w:val="auto"/>
              </w:rPr>
              <w:t>(109)</w:t>
            </w: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rate changes</w:t>
            </w:r>
          </w:p>
        </w:tc>
        <w:tc>
          <w:tcPr>
            <w:tcW w:w="2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2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15,021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8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benefit obligation*</w:t>
            </w:r>
          </w:p>
        </w:tc>
        <w:tc>
          <w:tcPr>
            <w:tcW w:w="2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(4,903)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right="360"/>
        <w:spacing w:after="0" w:line="259" w:lineRule="auto"/>
        <w:rPr>
          <w:sz w:val="20"/>
          <w:szCs w:val="20"/>
          <w:color w:val="auto"/>
        </w:rPr>
      </w:pPr>
      <w:r>
        <w:rPr>
          <w:rFonts w:ascii="Arial" w:cs="Arial" w:eastAsia="Arial" w:hAnsi="Arial"/>
          <w:sz w:val="18"/>
          <w:szCs w:val="18"/>
          <w:i w:val="1"/>
          <w:iCs w:val="1"/>
          <w:color w:val="auto"/>
        </w:rPr>
        <w:t>*Retirement plan net benefit obligation amounting to $1.0 million at 31 December 2010 has been reclassified from current accrued and other liabilities to non-current other liabilities due to the long term nature of these liabilities.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Defined benefit pension income/(expense) recognised in the Consolidated Statement of Comprehensive Income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70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7380" w:type="dxa"/>
            <w:vAlign w:val="bottom"/>
          </w:tcPr>
          <w:p>
            <w:pPr>
              <w:spacing w:after="0"/>
              <w:rPr>
                <w:sz w:val="18"/>
                <w:szCs w:val="18"/>
                <w:color w:val="auto"/>
              </w:rPr>
            </w:pPr>
          </w:p>
        </w:tc>
        <w:tc>
          <w:tcPr>
            <w:tcW w:w="27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7380" w:type="dxa"/>
            <w:vAlign w:val="bottom"/>
          </w:tcPr>
          <w:p>
            <w:pPr>
              <w:spacing w:after="0"/>
              <w:rPr>
                <w:sz w:val="18"/>
                <w:szCs w:val="18"/>
                <w:color w:val="auto"/>
              </w:rPr>
            </w:pPr>
          </w:p>
        </w:tc>
        <w:tc>
          <w:tcPr>
            <w:tcW w:w="27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7380" w:type="dxa"/>
            <w:vAlign w:val="bottom"/>
          </w:tcPr>
          <w:p>
            <w:pPr>
              <w:spacing w:after="0"/>
              <w:rPr>
                <w:sz w:val="20"/>
                <w:szCs w:val="20"/>
                <w:color w:val="auto"/>
              </w:rPr>
            </w:pPr>
          </w:p>
        </w:tc>
        <w:tc>
          <w:tcPr>
            <w:tcW w:w="27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7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at start of year</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r>
      <w:tr>
        <w:trPr>
          <w:trHeight w:val="215"/>
        </w:trPr>
        <w:tc>
          <w:tcPr>
            <w:tcW w:w="7380" w:type="dxa"/>
            <w:vAlign w:val="bottom"/>
          </w:tcPr>
          <w:p>
            <w:pPr>
              <w:spacing w:after="0"/>
              <w:rPr>
                <w:sz w:val="20"/>
                <w:szCs w:val="20"/>
                <w:color w:val="auto"/>
              </w:rPr>
            </w:pPr>
            <w:r>
              <w:rPr>
                <w:rFonts w:ascii="Arial" w:cs="Arial" w:eastAsia="Arial" w:hAnsi="Arial"/>
                <w:sz w:val="18"/>
                <w:szCs w:val="18"/>
                <w:color w:val="auto"/>
              </w:rPr>
              <w:t>Effect of changes in assumptions underlying the present value of benefit obligations</w:t>
            </w:r>
          </w:p>
        </w:tc>
        <w:tc>
          <w:tcPr>
            <w:tcW w:w="2700" w:type="dxa"/>
            <w:vAlign w:val="bottom"/>
          </w:tcPr>
          <w:p>
            <w:pPr>
              <w:jc w:val="right"/>
              <w:ind w:right="190"/>
              <w:spacing w:after="0"/>
              <w:rPr>
                <w:sz w:val="20"/>
                <w:szCs w:val="20"/>
                <w:color w:val="auto"/>
              </w:rPr>
            </w:pPr>
            <w:r>
              <w:rPr>
                <w:rFonts w:ascii="Arial" w:cs="Arial" w:eastAsia="Arial" w:hAnsi="Arial"/>
                <w:sz w:val="18"/>
                <w:szCs w:val="18"/>
                <w:b w:val="1"/>
                <w:bCs w:val="1"/>
                <w:color w:val="auto"/>
              </w:rPr>
              <w:t>(2,621)</w:t>
            </w:r>
          </w:p>
        </w:tc>
        <w:tc>
          <w:tcPr>
            <w:tcW w:w="134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22"/>
        </w:trPr>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Experience adjustments on plan assets</w:t>
            </w:r>
          </w:p>
        </w:tc>
        <w:tc>
          <w:tcPr>
            <w:tcW w:w="2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(1,744)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15"/>
        </w:trPr>
        <w:tc>
          <w:tcPr>
            <w:tcW w:w="7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7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at end of year</w:t>
            </w:r>
          </w:p>
        </w:tc>
        <w:tc>
          <w:tcPr>
            <w:tcW w:w="2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(4,060)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bl>
    <w:p>
      <w:pPr>
        <w:jc w:val="both"/>
        <w:spacing w:after="0" w:line="259" w:lineRule="auto"/>
        <w:rPr>
          <w:sz w:val="20"/>
          <w:szCs w:val="20"/>
          <w:color w:val="auto"/>
        </w:rPr>
      </w:pPr>
      <w:r>
        <w:rPr>
          <w:rFonts w:ascii="Arial" w:cs="Arial" w:eastAsia="Arial" w:hAnsi="Arial"/>
          <w:sz w:val="18"/>
          <w:szCs w:val="18"/>
          <w:i w:val="1"/>
          <w:iCs w:val="1"/>
          <w:color w:val="auto"/>
        </w:rPr>
        <w:t>Cumulative net actuarial losses recognised from 1 January 2004 (the date of transition to EU IFRS) to 31 December 2011 amounted to $4.9 million (31 December 2010: net losses of $0.5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w w:val="95"/>
              </w:rPr>
              <w:t>Defined benefit pension income/(expense) recognised in the Consolidated Income Statement was as follows:</w:t>
            </w: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8"/>
        </w:trPr>
        <w:tc>
          <w:tcPr>
            <w:tcW w:w="8260" w:type="dxa"/>
            <w:vAlign w:val="bottom"/>
          </w:tcPr>
          <w:p>
            <w:pPr>
              <w:spacing w:after="0"/>
              <w:rPr>
                <w:sz w:val="24"/>
                <w:szCs w:val="24"/>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8260" w:type="dxa"/>
            <w:vAlign w:val="bottom"/>
          </w:tcPr>
          <w:p>
            <w:pPr>
              <w:spacing w:after="0"/>
              <w:rPr>
                <w:sz w:val="18"/>
                <w:szCs w:val="18"/>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8260" w:type="dxa"/>
            <w:vAlign w:val="bottom"/>
          </w:tcPr>
          <w:p>
            <w:pPr>
              <w:spacing w:after="0"/>
              <w:rPr>
                <w:sz w:val="18"/>
                <w:szCs w:val="18"/>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3"/>
        </w:trPr>
        <w:tc>
          <w:tcPr>
            <w:tcW w:w="8260" w:type="dxa"/>
            <w:vAlign w:val="bottom"/>
          </w:tcPr>
          <w:p>
            <w:pPr>
              <w:spacing w:after="0"/>
              <w:rPr>
                <w:sz w:val="20"/>
                <w:szCs w:val="20"/>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Current service cost</w:t>
            </w: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212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15"/>
        </w:trPr>
        <w:tc>
          <w:tcPr>
            <w:tcW w:w="8260" w:type="dxa"/>
            <w:vAlign w:val="bottom"/>
          </w:tcPr>
          <w:p>
            <w:pPr>
              <w:spacing w:after="0"/>
              <w:rPr>
                <w:sz w:val="20"/>
                <w:szCs w:val="20"/>
                <w:color w:val="auto"/>
              </w:rPr>
            </w:pPr>
            <w:r>
              <w:rPr>
                <w:rFonts w:ascii="Arial" w:cs="Arial" w:eastAsia="Arial" w:hAnsi="Arial"/>
                <w:sz w:val="18"/>
                <w:szCs w:val="18"/>
                <w:color w:val="auto"/>
              </w:rPr>
              <w:t>Interest cost</w:t>
            </w: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931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746</w:t>
            </w:r>
          </w:p>
        </w:tc>
      </w:tr>
      <w:tr>
        <w:trPr>
          <w:trHeight w:val="222"/>
        </w:trPr>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(gain)/loss on plan assets *</w:t>
            </w:r>
          </w:p>
        </w:tc>
        <w:tc>
          <w:tcPr>
            <w:tcW w:w="1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(1,141)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5"/>
        </w:trPr>
        <w:tc>
          <w:tcPr>
            <w:tcW w:w="8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8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periodic pension cost/(credit)</w:t>
            </w:r>
          </w:p>
        </w:tc>
        <w:tc>
          <w:tcPr>
            <w:tcW w:w="1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ind w:right="1380" w:firstLine="8"/>
        <w:spacing w:after="0" w:line="521" w:lineRule="auto"/>
        <w:tabs>
          <w:tab w:leader="none" w:pos="134"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 actual return on plan assets during the year ended 31 December 2011 amounted to a loss of $0.6 million (2010: gain of $2.0 million). Plan Assets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w w:val="92"/>
              </w:rPr>
              <w:t>The fair value of plan assets at 31 December 2011 is analysed as follows:</w:t>
            </w:r>
          </w:p>
        </w:tc>
        <w:tc>
          <w:tcPr>
            <w:tcW w:w="46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46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18"/>
                <w:szCs w:val="18"/>
                <w:color w:val="auto"/>
              </w:rPr>
            </w:pPr>
          </w:p>
        </w:tc>
        <w:tc>
          <w:tcPr>
            <w:tcW w:w="46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460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4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 funds</w:t>
            </w:r>
          </w:p>
        </w:tc>
        <w:tc>
          <w:tcPr>
            <w:tcW w:w="4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15,021</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599"/>
        </w:trPr>
        <w:tc>
          <w:tcPr>
            <w:tcW w:w="5440" w:type="dxa"/>
            <w:vAlign w:val="bottom"/>
          </w:tcPr>
          <w:p>
            <w:pPr>
              <w:spacing w:after="0"/>
              <w:rPr>
                <w:sz w:val="24"/>
                <w:szCs w:val="24"/>
                <w:color w:val="auto"/>
              </w:rPr>
            </w:pPr>
          </w:p>
        </w:tc>
        <w:tc>
          <w:tcPr>
            <w:tcW w:w="4600" w:type="dxa"/>
            <w:vAlign w:val="bottom"/>
          </w:tcPr>
          <w:p>
            <w:pPr>
              <w:jc w:val="right"/>
              <w:ind w:right="4150"/>
              <w:spacing w:after="0"/>
              <w:rPr>
                <w:sz w:val="20"/>
                <w:szCs w:val="20"/>
                <w:color w:val="auto"/>
              </w:rPr>
            </w:pPr>
            <w:r>
              <w:rPr>
                <w:rFonts w:ascii="Arial" w:cs="Arial" w:eastAsia="Arial" w:hAnsi="Arial"/>
                <w:sz w:val="18"/>
                <w:szCs w:val="18"/>
                <w:color w:val="auto"/>
              </w:rPr>
              <w:t>78</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4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assets of the scheme are invested in a unitised with profits policy. The plan’s assets do not include any of the Group’s own financial instruments, nor any property occupied by, or other assets used by the Group. The expected long-term rate of return on assets at 31 December 2011 of 5.8% (2010: 7.1%) was calculated on the assumption of the following returns for each asset class: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542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34"/>
        </w:trPr>
        <w:tc>
          <w:tcPr>
            <w:tcW w:w="4700" w:type="dxa"/>
            <w:vAlign w:val="bottom"/>
          </w:tcPr>
          <w:p>
            <w:pPr>
              <w:spacing w:after="0"/>
              <w:rPr>
                <w:sz w:val="20"/>
                <w:szCs w:val="20"/>
                <w:color w:val="auto"/>
              </w:rPr>
            </w:pPr>
          </w:p>
        </w:tc>
        <w:tc>
          <w:tcPr>
            <w:tcW w:w="54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5"/>
        </w:trPr>
        <w:tc>
          <w:tcPr>
            <w:tcW w:w="47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5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47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Bonds</w:t>
            </w:r>
          </w:p>
        </w:tc>
        <w:tc>
          <w:tcPr>
            <w:tcW w:w="5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bl>
    <w:p>
      <w:pPr>
        <w:spacing w:after="0" w:line="22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At 31 December 2011, UK gilts were yielding around 2.8%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3.1% per annum has been assumed, this being the expected long-term out-performance of equities over UK gilts. The long-term expected return on bonds is determined by reference to UK long dated government and corporate bond yields at the reporting date. This is represented by the iboxx UK corporate AA credit rated bonds with 15 year plus return.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w w:val="99"/>
              </w:rPr>
              <w:t>The underlying asset split of the funds at 31 December 2011 and 31 December 2010 was as follows:</w:t>
            </w:r>
          </w:p>
        </w:tc>
        <w:tc>
          <w:tcPr>
            <w:tcW w:w="2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8"/>
        </w:trPr>
        <w:tc>
          <w:tcPr>
            <w:tcW w:w="8000" w:type="dxa"/>
            <w:vAlign w:val="bottom"/>
          </w:tcPr>
          <w:p>
            <w:pPr>
              <w:spacing w:after="0"/>
              <w:rPr>
                <w:sz w:val="24"/>
                <w:szCs w:val="24"/>
                <w:color w:val="auto"/>
              </w:rPr>
            </w:pP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Pr>
          <w:p>
            <w:pPr>
              <w:ind w:left="340"/>
              <w:spacing w:after="0"/>
              <w:rPr>
                <w:sz w:val="20"/>
                <w:szCs w:val="20"/>
                <w:color w:val="auto"/>
              </w:rPr>
            </w:pPr>
            <w:r>
              <w:rPr>
                <w:rFonts w:ascii="Arial" w:cs="Arial" w:eastAsia="Arial" w:hAnsi="Arial"/>
                <w:sz w:val="18"/>
                <w:szCs w:val="18"/>
                <w:color w:val="auto"/>
                <w:w w:val="86"/>
              </w:rPr>
              <w:t>31 December</w:t>
            </w:r>
          </w:p>
        </w:tc>
      </w:tr>
      <w:tr>
        <w:trPr>
          <w:trHeight w:val="234"/>
        </w:trPr>
        <w:tc>
          <w:tcPr>
            <w:tcW w:w="8000" w:type="dxa"/>
            <w:vAlign w:val="bottom"/>
          </w:tcPr>
          <w:p>
            <w:pPr>
              <w:spacing w:after="0"/>
              <w:rPr>
                <w:sz w:val="20"/>
                <w:szCs w:val="20"/>
                <w:color w:val="auto"/>
              </w:rPr>
            </w:pP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center"/>
              <w:ind w:left="850"/>
              <w:spacing w:after="0"/>
              <w:rPr>
                <w:sz w:val="20"/>
                <w:szCs w:val="20"/>
                <w:color w:val="auto"/>
              </w:rPr>
            </w:pPr>
            <w:r>
              <w:rPr>
                <w:rFonts w:ascii="Arial" w:cs="Arial" w:eastAsia="Arial" w:hAnsi="Arial"/>
                <w:sz w:val="18"/>
                <w:szCs w:val="18"/>
                <w:color w:val="auto"/>
                <w:w w:val="89"/>
              </w:rPr>
              <w:t>2010</w:t>
            </w:r>
          </w:p>
        </w:tc>
      </w:tr>
      <w:tr>
        <w:trPr>
          <w:trHeight w:val="215"/>
        </w:trPr>
        <w:tc>
          <w:tcPr>
            <w:tcW w:w="8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Equities</w:t>
            </w:r>
          </w:p>
        </w:tc>
        <w:tc>
          <w:tcPr>
            <w:tcW w:w="2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90%</w:t>
            </w:r>
          </w:p>
        </w:tc>
        <w:tc>
          <w:tcPr>
            <w:tcW w:w="130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90%</w:t>
            </w:r>
          </w:p>
        </w:tc>
      </w:tr>
      <w:tr>
        <w:trPr>
          <w:trHeight w:val="209"/>
        </w:trPr>
        <w:tc>
          <w:tcPr>
            <w:tcW w:w="8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Bonds</w:t>
            </w:r>
          </w:p>
        </w:tc>
        <w:tc>
          <w:tcPr>
            <w:tcW w:w="2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w:t>
            </w:r>
          </w:p>
        </w:tc>
        <w:tc>
          <w:tcPr>
            <w:tcW w:w="130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88"/>
              </w:rPr>
              <w:t>10%</w:t>
            </w:r>
          </w:p>
        </w:tc>
      </w:tr>
    </w:tbl>
    <w:p>
      <w:pPr>
        <w:spacing w:after="0" w:line="22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Applying the above expected long term rates of return to the asset distribution at 31 December 2011, gives rise to an expected overall rate of return of scheme assets of approximately 5.8% (2010: 7.1%) per annum.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Group expects to contribute approximately $0.3 million of normal contribution to the defined benefit pension scheme for the year ended 31 December 2011.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ind w:right="8020" w:firstLine="8"/>
        <w:spacing w:after="0" w:line="532" w:lineRule="auto"/>
        <w:tabs>
          <w:tab w:leader="none" w:pos="179"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obligations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Historical Information</w:t>
      </w: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history of the Group’s defined benefit pension scheme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sz w:val="20"/>
                <w:szCs w:val="20"/>
                <w:color w:val="auto"/>
              </w:rPr>
            </w:pPr>
            <w:r>
              <w:rPr>
                <w:rFonts w:ascii="Arial" w:cs="Arial" w:eastAsia="Arial" w:hAnsi="Arial"/>
                <w:sz w:val="18"/>
                <w:szCs w:val="18"/>
                <w:color w:val="auto"/>
              </w:rPr>
              <w:t>Other Liabilities/Non-current other liabilities</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31 December</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31December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31 December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21"/>
        </w:trPr>
        <w:tc>
          <w:tcPr>
            <w:tcW w:w="32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2010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2009</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2008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2007</w:t>
            </w:r>
          </w:p>
        </w:tc>
      </w:tr>
      <w:tr>
        <w:trPr>
          <w:trHeight w:val="230"/>
        </w:trPr>
        <w:tc>
          <w:tcPr>
            <w:tcW w:w="3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$’000</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$’000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benefit obligations</w:t>
            </w:r>
          </w:p>
        </w:tc>
        <w:tc>
          <w:tcPr>
            <w:tcW w:w="1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(19,924)</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(16,482)</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(13,686)</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(10,114)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w:t>
            </w:r>
          </w:p>
        </w:tc>
      </w:tr>
      <w:tr>
        <w:trPr>
          <w:trHeight w:val="222"/>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Fair value of plan assets</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15,021</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15,499</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13,573</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10,392</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15,470</w:t>
            </w:r>
          </w:p>
        </w:tc>
      </w:tr>
      <w:tr>
        <w:trPr>
          <w:trHeight w:val="215"/>
        </w:trPr>
        <w:tc>
          <w:tcPr>
            <w:tcW w:w="3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Present value of net (obligations)/assets*</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(4,903)</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(983)</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(113)</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right="360"/>
        <w:spacing w:after="0" w:line="259" w:lineRule="auto"/>
        <w:rPr>
          <w:sz w:val="20"/>
          <w:szCs w:val="20"/>
          <w:color w:val="auto"/>
        </w:rPr>
      </w:pPr>
      <w:r>
        <w:rPr>
          <w:rFonts w:ascii="Arial" w:cs="Arial" w:eastAsia="Arial" w:hAnsi="Arial"/>
          <w:sz w:val="18"/>
          <w:szCs w:val="18"/>
          <w:i w:val="1"/>
          <w:iCs w:val="1"/>
          <w:color w:val="auto"/>
        </w:rPr>
        <w:t>*Retirement plan net benefit obligation amounting to $1.0 million at 31 December 2010 has been reclassified from current accrued and other liabilities to non-current other liabilities due to the long term nature of these liabilities.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31 December</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31December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31 December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21"/>
        </w:trPr>
        <w:tc>
          <w:tcPr>
            <w:tcW w:w="216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2010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2009</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2008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2007</w:t>
            </w:r>
          </w:p>
        </w:tc>
      </w:tr>
      <w:tr>
        <w:trPr>
          <w:trHeight w:val="229"/>
        </w:trPr>
        <w:tc>
          <w:tcPr>
            <w:tcW w:w="2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$’000</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$’000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(loss)/gain on asset</w:t>
            </w:r>
          </w:p>
        </w:tc>
        <w:tc>
          <w:tcPr>
            <w:tcW w:w="21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(1,744)</w:t>
            </w:r>
          </w:p>
        </w:tc>
        <w:tc>
          <w:tcPr>
            <w:tcW w:w="1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1,023</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1,460</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(2,923)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22"/>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Actuarial (loss)/gain on liability</w:t>
            </w:r>
          </w:p>
        </w:tc>
        <w:tc>
          <w:tcPr>
            <w:tcW w:w="2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(2,621)</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(2,232)</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(2,079)</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1,968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4,722</w:t>
            </w:r>
          </w:p>
        </w:tc>
      </w:tr>
      <w:tr>
        <w:trPr>
          <w:trHeight w:val="215"/>
        </w:trPr>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actuarial (loss)/gain</w:t>
            </w:r>
          </w:p>
        </w:tc>
        <w:tc>
          <w:tcPr>
            <w:tcW w:w="2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(4,365)</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(1,209)</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(619)</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(955)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5,376</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Share based payments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plans</w:t>
      </w:r>
    </w:p>
    <w:p>
      <w:pPr>
        <w:spacing w:after="0" w:line="25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 17 January 2003 the Company adopted the Share Option Plan 2003 (“the 2003 Plan”), pursuant to which the Compensation and Organisation Committee of the Group’s Board of Director’s may grant options to employees of the Company or its subsidiaries for the purchase of ordinary shares.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No options can be granted after 17 January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21 July 2008 the Company adopted the Employee Share Option Plan 2008 (the “2008 Employee Plan”) pursuant to which the Compensation and Organisation Committee of the Group’s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Group’s Board of Directors may grant options to any consultant, adviser or non-Executive director retained by the Company or any Subsidiary for the purchase of ordinary shares. 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21 July 2018.</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21 July 2008 the Company adopted the 2008 Employees Restricted Share Unit Plan (the “2008 RSU Plan”) pursuant to which the Compensation and Organisation Committee of the Group’s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 summary of the total number of options outstanding and number of options available to grant under each plan as at 31 December 2011: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Outstanding</w:t>
            </w:r>
          </w:p>
        </w:tc>
        <w:tc>
          <w:tcPr>
            <w:tcW w:w="1280" w:type="dxa"/>
            <w:vAlign w:val="bottom"/>
          </w:tcPr>
          <w:p>
            <w:pPr>
              <w:spacing w:after="0"/>
              <w:rPr>
                <w:sz w:val="18"/>
                <w:szCs w:val="18"/>
                <w:color w:val="auto"/>
              </w:rPr>
            </w:pPr>
          </w:p>
        </w:tc>
        <w:tc>
          <w:tcPr>
            <w:tcW w:w="29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Available to Grant</w:t>
            </w:r>
          </w:p>
        </w:tc>
      </w:tr>
      <w:tr>
        <w:trPr>
          <w:trHeight w:val="215"/>
        </w:trPr>
        <w:tc>
          <w:tcPr>
            <w:tcW w:w="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60" w:type="dxa"/>
            <w:vAlign w:val="bottom"/>
          </w:tcPr>
          <w:p>
            <w:pPr>
              <w:jc w:val="right"/>
              <w:ind w:right="550"/>
              <w:spacing w:after="0"/>
              <w:rPr>
                <w:sz w:val="20"/>
                <w:szCs w:val="20"/>
                <w:color w:val="auto"/>
              </w:rPr>
            </w:pPr>
            <w:r>
              <w:rPr>
                <w:rFonts w:ascii="Arial" w:cs="Arial" w:eastAsia="Arial" w:hAnsi="Arial"/>
                <w:sz w:val="18"/>
                <w:szCs w:val="18"/>
                <w:b w:val="1"/>
                <w:bCs w:val="1"/>
                <w:color w:val="auto"/>
              </w:rPr>
              <w:t>31 December</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w w:val="88"/>
              </w:rPr>
              <w:t>31 December</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34"/>
        </w:trPr>
        <w:tc>
          <w:tcPr>
            <w:tcW w:w="4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15"/>
        </w:trPr>
        <w:tc>
          <w:tcPr>
            <w:tcW w:w="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1998</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Incentive Plan</w:t>
            </w:r>
          </w:p>
        </w:tc>
        <w:tc>
          <w:tcPr>
            <w:tcW w:w="32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462,950</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644,810</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400" w:type="dxa"/>
            <w:vAlign w:val="bottom"/>
          </w:tcPr>
          <w:p>
            <w:pPr>
              <w:spacing w:after="0"/>
              <w:rPr>
                <w:sz w:val="20"/>
                <w:szCs w:val="20"/>
                <w:color w:val="auto"/>
              </w:rPr>
            </w:pPr>
            <w:r>
              <w:rPr>
                <w:rFonts w:ascii="Arial" w:cs="Arial" w:eastAsia="Arial" w:hAnsi="Arial"/>
                <w:sz w:val="18"/>
                <w:szCs w:val="18"/>
                <w:color w:val="auto"/>
                <w:w w:val="94"/>
              </w:rPr>
              <w:t>2003</w:t>
            </w:r>
          </w:p>
        </w:tc>
        <w:tc>
          <w:tcPr>
            <w:tcW w:w="3520" w:type="dxa"/>
            <w:vAlign w:val="bottom"/>
          </w:tcPr>
          <w:p>
            <w:pPr>
              <w:ind w:left="20"/>
              <w:spacing w:after="0"/>
              <w:rPr>
                <w:sz w:val="20"/>
                <w:szCs w:val="20"/>
                <w:color w:val="auto"/>
              </w:rPr>
            </w:pPr>
            <w:r>
              <w:rPr>
                <w:rFonts w:ascii="Arial" w:cs="Arial" w:eastAsia="Arial" w:hAnsi="Arial"/>
                <w:sz w:val="18"/>
                <w:szCs w:val="18"/>
                <w:color w:val="auto"/>
              </w:rPr>
              <w:t>Stock Option Plan</w:t>
            </w:r>
          </w:p>
        </w:tc>
        <w:tc>
          <w:tcPr>
            <w:tcW w:w="3260" w:type="dxa"/>
            <w:vAlign w:val="bottom"/>
          </w:tcPr>
          <w:p>
            <w:pPr>
              <w:jc w:val="right"/>
              <w:ind w:right="550"/>
              <w:spacing w:after="0"/>
              <w:rPr>
                <w:sz w:val="20"/>
                <w:szCs w:val="20"/>
                <w:color w:val="auto"/>
              </w:rPr>
            </w:pPr>
            <w:r>
              <w:rPr>
                <w:rFonts w:ascii="Arial" w:cs="Arial" w:eastAsia="Arial" w:hAnsi="Arial"/>
                <w:sz w:val="18"/>
                <w:szCs w:val="18"/>
                <w:b w:val="1"/>
                <w:bCs w:val="1"/>
                <w:color w:val="auto"/>
              </w:rPr>
              <w:t>3,184,985</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3,454,472</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379,130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408,829</w:t>
            </w:r>
          </w:p>
        </w:tc>
      </w:tr>
      <w:tr>
        <w:trPr>
          <w:trHeight w:val="222"/>
        </w:trPr>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2008</w:t>
            </w:r>
          </w:p>
        </w:tc>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 Plans</w:t>
            </w:r>
          </w:p>
        </w:tc>
        <w:tc>
          <w:tcPr>
            <w:tcW w:w="32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1,254,883</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699,395</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4,983,703</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5,300,605</w:t>
            </w:r>
          </w:p>
        </w:tc>
      </w:tr>
      <w:tr>
        <w:trPr>
          <w:trHeight w:val="215"/>
        </w:trPr>
        <w:tc>
          <w:tcPr>
            <w:tcW w:w="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3520" w:type="dxa"/>
            <w:vAlign w:val="bottom"/>
            <w:tcBorders>
              <w:bottom w:val="single" w:sz="8" w:color="auto"/>
            </w:tcBorders>
            <w:shd w:val="clear" w:color="auto" w:fill="CCEEFF"/>
          </w:tcPr>
          <w:p>
            <w:pPr>
              <w:spacing w:after="0"/>
              <w:rPr>
                <w:sz w:val="22"/>
                <w:szCs w:val="22"/>
                <w:color w:val="auto"/>
              </w:rPr>
            </w:pPr>
          </w:p>
        </w:tc>
        <w:tc>
          <w:tcPr>
            <w:tcW w:w="32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4,902,818</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4,798,677</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5,123,833</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5,709,434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1998 Long Term Incentive Plan expired on 14 January 2008 and no further options may be granted under this plan.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The total number of share options outstanding and exercisable at 31 December 2011 is as follows:</w:t>
            </w:r>
          </w:p>
        </w:tc>
        <w:tc>
          <w:tcPr>
            <w:tcW w:w="19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38"/>
        </w:trPr>
        <w:tc>
          <w:tcPr>
            <w:tcW w:w="7900" w:type="dxa"/>
            <w:vAlign w:val="bottom"/>
          </w:tcPr>
          <w:p>
            <w:pPr>
              <w:spacing w:after="0"/>
              <w:rPr>
                <w:sz w:val="24"/>
                <w:szCs w:val="24"/>
                <w:color w:val="auto"/>
              </w:rPr>
            </w:pPr>
          </w:p>
        </w:tc>
        <w:tc>
          <w:tcPr>
            <w:tcW w:w="1900" w:type="dxa"/>
            <w:vAlign w:val="bottom"/>
          </w:tcPr>
          <w:p>
            <w:pPr>
              <w:jc w:val="center"/>
              <w:ind w:left="610"/>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7900" w:type="dxa"/>
            <w:vAlign w:val="bottom"/>
          </w:tcPr>
          <w:p>
            <w:pPr>
              <w:spacing w:after="0"/>
              <w:rPr>
                <w:sz w:val="20"/>
                <w:szCs w:val="20"/>
                <w:color w:val="auto"/>
              </w:rPr>
            </w:pPr>
          </w:p>
        </w:tc>
        <w:tc>
          <w:tcPr>
            <w:tcW w:w="1900" w:type="dxa"/>
            <w:vAlign w:val="bottom"/>
          </w:tcPr>
          <w:p>
            <w:pPr>
              <w:jc w:val="center"/>
              <w:ind w:left="610"/>
              <w:spacing w:after="0"/>
              <w:rPr>
                <w:sz w:val="20"/>
                <w:szCs w:val="20"/>
                <w:color w:val="auto"/>
              </w:rPr>
            </w:pPr>
            <w:r>
              <w:rPr>
                <w:rFonts w:ascii="Arial" w:cs="Arial" w:eastAsia="Arial" w:hAnsi="Arial"/>
                <w:sz w:val="18"/>
                <w:szCs w:val="18"/>
                <w:b w:val="1"/>
                <w:bCs w:val="1"/>
                <w:color w:val="auto"/>
                <w:w w:val="88"/>
              </w:rPr>
              <w:t>Options</w:t>
            </w:r>
          </w:p>
        </w:tc>
        <w:tc>
          <w:tcPr>
            <w:tcW w:w="162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Exercise Price</w:t>
            </w:r>
          </w:p>
        </w:tc>
      </w:tr>
      <w:tr>
        <w:trPr>
          <w:trHeight w:val="430"/>
        </w:trPr>
        <w:tc>
          <w:tcPr>
            <w:tcW w:w="7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2"/>
        </w:trPr>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2009</w:t>
            </w:r>
          </w:p>
        </w:tc>
        <w:tc>
          <w:tcPr>
            <w:tcW w:w="19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9"/>
              </w:rPr>
              <w:t>5,408,222</w:t>
            </w:r>
          </w:p>
        </w:tc>
        <w:tc>
          <w:tcPr>
            <w:tcW w:w="1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$18.99</w:t>
            </w:r>
          </w:p>
        </w:tc>
      </w:tr>
      <w:tr>
        <w:trPr>
          <w:trHeight w:val="215"/>
        </w:trPr>
        <w:tc>
          <w:tcPr>
            <w:tcW w:w="7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5"/>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9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9"/>
              </w:rPr>
              <w:t>1,038,327</w:t>
            </w:r>
          </w:p>
        </w:tc>
        <w:tc>
          <w:tcPr>
            <w:tcW w:w="16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$24.34</w:t>
            </w:r>
          </w:p>
        </w:tc>
      </w:tr>
      <w:tr>
        <w:trPr>
          <w:trHeight w:val="215"/>
        </w:trPr>
        <w:tc>
          <w:tcPr>
            <w:tcW w:w="7900" w:type="dxa"/>
            <w:vAlign w:val="bottom"/>
          </w:tcPr>
          <w:p>
            <w:pPr>
              <w:spacing w:after="0"/>
              <w:rPr>
                <w:sz w:val="20"/>
                <w:szCs w:val="20"/>
                <w:color w:val="auto"/>
              </w:rPr>
            </w:pPr>
            <w:r>
              <w:rPr>
                <w:rFonts w:ascii="Arial" w:cs="Arial" w:eastAsia="Arial" w:hAnsi="Arial"/>
                <w:sz w:val="18"/>
                <w:szCs w:val="18"/>
                <w:color w:val="auto"/>
              </w:rPr>
              <w:t>Exercised</w:t>
            </w:r>
          </w:p>
        </w:tc>
        <w:tc>
          <w:tcPr>
            <w:tcW w:w="1900" w:type="dxa"/>
            <w:vAlign w:val="bottom"/>
          </w:tcPr>
          <w:p>
            <w:pPr>
              <w:jc w:val="center"/>
              <w:ind w:left="610"/>
              <w:spacing w:after="0"/>
              <w:rPr>
                <w:sz w:val="20"/>
                <w:szCs w:val="20"/>
                <w:color w:val="auto"/>
              </w:rPr>
            </w:pPr>
            <w:r>
              <w:rPr>
                <w:rFonts w:ascii="Arial" w:cs="Arial" w:eastAsia="Arial" w:hAnsi="Arial"/>
                <w:sz w:val="18"/>
                <w:szCs w:val="18"/>
                <w:color w:val="auto"/>
                <w:w w:val="91"/>
              </w:rPr>
              <w:t>(1,237,015)</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87"/>
              </w:rPr>
              <w:t>$10.64</w:t>
            </w:r>
          </w:p>
        </w:tc>
      </w:tr>
      <w:tr>
        <w:trPr>
          <w:trHeight w:val="222"/>
        </w:trPr>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0"/>
              </w:rPr>
              <w:t>(410,857)</w:t>
            </w:r>
          </w:p>
        </w:tc>
        <w:tc>
          <w:tcPr>
            <w:tcW w:w="1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$25.86</w:t>
            </w:r>
          </w:p>
        </w:tc>
      </w:tr>
      <w:tr>
        <w:trPr>
          <w:trHeight w:val="215"/>
        </w:trPr>
        <w:tc>
          <w:tcPr>
            <w:tcW w:w="7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2"/>
        </w:trPr>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2010</w:t>
            </w:r>
          </w:p>
        </w:tc>
        <w:tc>
          <w:tcPr>
            <w:tcW w:w="19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9"/>
              </w:rPr>
              <w:t>4,798,677</w:t>
            </w:r>
          </w:p>
        </w:tc>
        <w:tc>
          <w:tcPr>
            <w:tcW w:w="1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$21.71</w:t>
            </w:r>
          </w:p>
        </w:tc>
      </w:tr>
      <w:tr>
        <w:trPr>
          <w:trHeight w:val="215"/>
        </w:trPr>
        <w:tc>
          <w:tcPr>
            <w:tcW w:w="7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5"/>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9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9"/>
              </w:rPr>
              <w:t>989,449</w:t>
            </w:r>
          </w:p>
        </w:tc>
        <w:tc>
          <w:tcPr>
            <w:tcW w:w="16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$19.66</w:t>
            </w:r>
          </w:p>
        </w:tc>
      </w:tr>
      <w:tr>
        <w:trPr>
          <w:trHeight w:val="215"/>
        </w:trPr>
        <w:tc>
          <w:tcPr>
            <w:tcW w:w="7900" w:type="dxa"/>
            <w:vAlign w:val="bottom"/>
          </w:tcPr>
          <w:p>
            <w:pPr>
              <w:spacing w:after="0"/>
              <w:rPr>
                <w:sz w:val="20"/>
                <w:szCs w:val="20"/>
                <w:color w:val="auto"/>
              </w:rPr>
            </w:pPr>
            <w:r>
              <w:rPr>
                <w:rFonts w:ascii="Arial" w:cs="Arial" w:eastAsia="Arial" w:hAnsi="Arial"/>
                <w:sz w:val="18"/>
                <w:szCs w:val="18"/>
                <w:color w:val="auto"/>
              </w:rPr>
              <w:t>Exercised</w:t>
            </w:r>
          </w:p>
        </w:tc>
        <w:tc>
          <w:tcPr>
            <w:tcW w:w="1900" w:type="dxa"/>
            <w:vAlign w:val="bottom"/>
          </w:tcPr>
          <w:p>
            <w:pPr>
              <w:jc w:val="center"/>
              <w:ind w:left="630"/>
              <w:spacing w:after="0"/>
              <w:rPr>
                <w:sz w:val="20"/>
                <w:szCs w:val="20"/>
                <w:color w:val="auto"/>
              </w:rPr>
            </w:pPr>
            <w:r>
              <w:rPr>
                <w:rFonts w:ascii="Arial" w:cs="Arial" w:eastAsia="Arial" w:hAnsi="Arial"/>
                <w:sz w:val="18"/>
                <w:szCs w:val="18"/>
                <w:color w:val="auto"/>
                <w:w w:val="90"/>
              </w:rPr>
              <w:t>(430,340)</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87"/>
              </w:rPr>
              <w:t>$10.84</w:t>
            </w:r>
          </w:p>
        </w:tc>
      </w:tr>
      <w:tr>
        <w:trPr>
          <w:trHeight w:val="222"/>
        </w:trPr>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0"/>
              </w:rPr>
              <w:t>(454,968)</w:t>
            </w:r>
          </w:p>
        </w:tc>
        <w:tc>
          <w:tcPr>
            <w:tcW w:w="1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$25.77</w:t>
            </w:r>
          </w:p>
        </w:tc>
      </w:tr>
      <w:tr>
        <w:trPr>
          <w:trHeight w:val="215"/>
        </w:trPr>
        <w:tc>
          <w:tcPr>
            <w:tcW w:w="7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5"/>
        </w:trPr>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2011</w:t>
            </w:r>
          </w:p>
        </w:tc>
        <w:tc>
          <w:tcPr>
            <w:tcW w:w="19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b w:val="1"/>
                <w:bCs w:val="1"/>
                <w:color w:val="auto"/>
                <w:w w:val="89"/>
              </w:rPr>
              <w:t>4,902,818</w:t>
            </w:r>
          </w:p>
        </w:tc>
        <w:tc>
          <w:tcPr>
            <w:tcW w:w="1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87"/>
              </w:rPr>
              <w:t>$21.87</w:t>
            </w:r>
          </w:p>
        </w:tc>
      </w:tr>
      <w:tr>
        <w:trPr>
          <w:trHeight w:val="209"/>
        </w:trPr>
        <w:tc>
          <w:tcPr>
            <w:tcW w:w="7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5"/>
        </w:trPr>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Exercisable at 31 December 2011</w:t>
            </w:r>
          </w:p>
        </w:tc>
        <w:tc>
          <w:tcPr>
            <w:tcW w:w="19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b w:val="1"/>
                <w:bCs w:val="1"/>
                <w:color w:val="auto"/>
                <w:w w:val="89"/>
              </w:rPr>
              <w:t>2,368,508</w:t>
            </w:r>
          </w:p>
        </w:tc>
        <w:tc>
          <w:tcPr>
            <w:tcW w:w="162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87"/>
              </w:rPr>
              <w:t>$20.35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share price of exercised options during the year ended 31 December 2011 was $18.88 (31 December 2010: $24.93).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At 31 December 2011, the range of exercise prices and weighted average remaining contractual life of outstanding and exercisable options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tcPr>
          <w:p>
            <w:pPr>
              <w:spacing w:after="0"/>
              <w:rPr>
                <w:sz w:val="18"/>
                <w:szCs w:val="18"/>
                <w:color w:val="auto"/>
              </w:rPr>
            </w:pPr>
          </w:p>
        </w:tc>
        <w:tc>
          <w:tcPr>
            <w:tcW w:w="3740" w:type="dxa"/>
            <w:vAlign w:val="bottom"/>
            <w:gridSpan w:val="2"/>
          </w:tcPr>
          <w:p>
            <w:pPr>
              <w:jc w:val="right"/>
              <w:ind w:right="1470"/>
              <w:spacing w:after="0"/>
              <w:rPr>
                <w:sz w:val="20"/>
                <w:szCs w:val="20"/>
                <w:color w:val="auto"/>
              </w:rPr>
            </w:pPr>
            <w:r>
              <w:rPr>
                <w:rFonts w:ascii="Arial" w:cs="Arial" w:eastAsia="Arial" w:hAnsi="Arial"/>
                <w:sz w:val="18"/>
                <w:szCs w:val="18"/>
                <w:b w:val="1"/>
                <w:bCs w:val="1"/>
                <w:color w:val="auto"/>
              </w:rPr>
              <w:t>Options Outstanding</w:t>
            </w:r>
          </w:p>
        </w:tc>
        <w:tc>
          <w:tcPr>
            <w:tcW w:w="19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Options Exercisable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Weighted</w:t>
            </w:r>
          </w:p>
        </w:tc>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b w:val="1"/>
                <w:bCs w:val="1"/>
                <w:color w:val="auto"/>
              </w:rPr>
              <w:t>Range</w:t>
            </w:r>
          </w:p>
        </w:tc>
        <w:tc>
          <w:tcPr>
            <w:tcW w:w="1660" w:type="dxa"/>
            <w:vAlign w:val="bottom"/>
          </w:tcPr>
          <w:p>
            <w:pPr>
              <w:spacing w:after="0"/>
              <w:rPr>
                <w:sz w:val="18"/>
                <w:szCs w:val="18"/>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Average</w:t>
            </w:r>
          </w:p>
        </w:tc>
        <w:tc>
          <w:tcPr>
            <w:tcW w:w="1960" w:type="dxa"/>
            <w:vAlign w:val="bottom"/>
          </w:tcPr>
          <w:p>
            <w:pPr>
              <w:jc w:val="right"/>
              <w:ind w:right="390"/>
              <w:spacing w:after="0"/>
              <w:rPr>
                <w:sz w:val="20"/>
                <w:szCs w:val="20"/>
                <w:color w:val="auto"/>
              </w:rPr>
            </w:pPr>
            <w:r>
              <w:rPr>
                <w:rFonts w:ascii="Arial" w:cs="Arial" w:eastAsia="Arial" w:hAnsi="Arial"/>
                <w:sz w:val="18"/>
                <w:szCs w:val="18"/>
                <w:b w:val="1"/>
                <w:bCs w:val="1"/>
                <w:color w:val="auto"/>
              </w:rPr>
              <w:t>Weighted</w:t>
            </w:r>
          </w:p>
        </w:tc>
        <w:tc>
          <w:tcPr>
            <w:tcW w:w="2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b w:val="1"/>
                <w:bCs w:val="1"/>
                <w:color w:val="auto"/>
              </w:rPr>
              <w:t>Exercise</w:t>
            </w: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Remaining</w:t>
            </w:r>
          </w:p>
        </w:tc>
        <w:tc>
          <w:tcPr>
            <w:tcW w:w="1960" w:type="dxa"/>
            <w:vAlign w:val="bottom"/>
          </w:tcPr>
          <w:p>
            <w:pPr>
              <w:jc w:val="right"/>
              <w:ind w:right="390"/>
              <w:spacing w:after="0"/>
              <w:rPr>
                <w:sz w:val="20"/>
                <w:szCs w:val="20"/>
                <w:color w:val="auto"/>
              </w:rPr>
            </w:pPr>
            <w:r>
              <w:rPr>
                <w:rFonts w:ascii="Arial" w:cs="Arial" w:eastAsia="Arial" w:hAnsi="Arial"/>
                <w:sz w:val="18"/>
                <w:szCs w:val="18"/>
                <w:b w:val="1"/>
                <w:bCs w:val="1"/>
                <w:color w:val="auto"/>
              </w:rPr>
              <w:t>Average</w:t>
            </w:r>
          </w:p>
        </w:tc>
        <w:tc>
          <w:tcPr>
            <w:tcW w:w="2160" w:type="dxa"/>
            <w:vAlign w:val="bottom"/>
          </w:tcPr>
          <w:p>
            <w:pPr>
              <w:jc w:val="right"/>
              <w:ind w:right="750"/>
              <w:spacing w:after="0"/>
              <w:rPr>
                <w:sz w:val="20"/>
                <w:szCs w:val="20"/>
                <w:color w:val="auto"/>
              </w:rPr>
            </w:pPr>
            <w:r>
              <w:rPr>
                <w:rFonts w:ascii="Arial" w:cs="Arial" w:eastAsia="Arial" w:hAnsi="Arial"/>
                <w:sz w:val="18"/>
                <w:szCs w:val="18"/>
                <w:b w:val="1"/>
                <w:bCs w:val="1"/>
                <w:color w:val="auto"/>
              </w:rPr>
              <w:t>Number of</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460" w:type="dxa"/>
            <w:vAlign w:val="bottom"/>
          </w:tcPr>
          <w:p>
            <w:pPr>
              <w:jc w:val="right"/>
              <w:ind w:right="410"/>
              <w:spacing w:after="0"/>
              <w:rPr>
                <w:sz w:val="20"/>
                <w:szCs w:val="20"/>
                <w:color w:val="auto"/>
              </w:rPr>
            </w:pPr>
            <w:r>
              <w:rPr>
                <w:rFonts w:ascii="Arial" w:cs="Arial" w:eastAsia="Arial" w:hAnsi="Arial"/>
                <w:sz w:val="18"/>
                <w:szCs w:val="18"/>
                <w:b w:val="1"/>
                <w:bCs w:val="1"/>
                <w:color w:val="auto"/>
              </w:rPr>
              <w:t>Price</w:t>
            </w: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Contractual Life</w:t>
            </w:r>
          </w:p>
        </w:tc>
        <w:tc>
          <w:tcPr>
            <w:tcW w:w="1960" w:type="dxa"/>
            <w:vAlign w:val="bottom"/>
          </w:tcPr>
          <w:p>
            <w:pPr>
              <w:jc w:val="right"/>
              <w:ind w:right="390"/>
              <w:spacing w:after="0"/>
              <w:rPr>
                <w:sz w:val="20"/>
                <w:szCs w:val="20"/>
                <w:color w:val="auto"/>
              </w:rPr>
            </w:pPr>
            <w:r>
              <w:rPr>
                <w:rFonts w:ascii="Arial" w:cs="Arial" w:eastAsia="Arial" w:hAnsi="Arial"/>
                <w:sz w:val="18"/>
                <w:szCs w:val="18"/>
                <w:b w:val="1"/>
                <w:bCs w:val="1"/>
                <w:color w:val="auto"/>
              </w:rPr>
              <w:t>Exercise Price</w:t>
            </w:r>
          </w:p>
        </w:tc>
        <w:tc>
          <w:tcPr>
            <w:tcW w:w="2160" w:type="dxa"/>
            <w:vAlign w:val="bottom"/>
          </w:tcPr>
          <w:p>
            <w:pPr>
              <w:jc w:val="right"/>
              <w:ind w:right="750"/>
              <w:spacing w:after="0"/>
              <w:rPr>
                <w:sz w:val="20"/>
                <w:szCs w:val="20"/>
                <w:color w:val="auto"/>
              </w:rPr>
            </w:pPr>
            <w:r>
              <w:rPr>
                <w:rFonts w:ascii="Arial" w:cs="Arial" w:eastAsia="Arial" w:hAnsi="Arial"/>
                <w:sz w:val="18"/>
                <w:szCs w:val="18"/>
                <w:b w:val="1"/>
                <w:bCs w:val="1"/>
                <w:color w:val="auto"/>
              </w:rPr>
              <w:t>Shares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328,374</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1.13</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$8.60</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328,374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$8.88</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17,000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0.09</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$8.88</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17,000</w:t>
            </w: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$10.42</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2.04</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$10.42</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$11.00</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455,653</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2.09</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$11.00</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455,653</w:t>
            </w: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$15.47</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810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5.33</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$15.47</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270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$15.84</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103,000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5.33</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$15.84</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41,200</w:t>
            </w:r>
          </w:p>
        </w:tc>
        <w:tc>
          <w:tcPr>
            <w:tcW w:w="110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$16.80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150,000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7.83</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$16.80</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$17.17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30,000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7.85</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$17.17</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$17.30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2.64</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$17.30</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24,000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$18.00</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70,000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2.83</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$18.00</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70,000</w:t>
            </w:r>
          </w:p>
        </w:tc>
        <w:tc>
          <w:tcPr>
            <w:tcW w:w="1100" w:type="dxa"/>
            <w:vAlign w:val="bottom"/>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$18.98</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4.87</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$18.98</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5,400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$19.45</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33,000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6.82</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$19.45</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6,600</w:t>
            </w:r>
          </w:p>
        </w:tc>
        <w:tc>
          <w:tcPr>
            <w:tcW w:w="1100" w:type="dxa"/>
            <w:vAlign w:val="bottom"/>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$20.16</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6.87</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$20.16</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$20.28</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749,339</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7.17</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$20.28</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1,500</w:t>
            </w:r>
          </w:p>
        </w:tc>
        <w:tc>
          <w:tcPr>
            <w:tcW w:w="1100" w:type="dxa"/>
            <w:vAlign w:val="bottom"/>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$21.25</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664,950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3.13</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$21.25</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523,894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$21.76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3.31</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$21.76</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800</w:t>
            </w:r>
          </w:p>
        </w:tc>
        <w:tc>
          <w:tcPr>
            <w:tcW w:w="1100" w:type="dxa"/>
            <w:vAlign w:val="bottom"/>
          </w:tcPr>
          <w:p>
            <w:pPr>
              <w:jc w:val="right"/>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$22.10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5.56</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$22.10</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4,400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$22.26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574,818</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5.15</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$22.26</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230,383</w:t>
            </w:r>
          </w:p>
        </w:tc>
        <w:tc>
          <w:tcPr>
            <w:tcW w:w="1100" w:type="dxa"/>
            <w:vAlign w:val="bottom"/>
          </w:tcPr>
          <w:p>
            <w:pPr>
              <w:jc w:val="right"/>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$22.60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3.65</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$22.60</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1,600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$22.93</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10,000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7.56</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$22.93</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$23.06</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6.62</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$23.06</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2,000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$23.20</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4,000</w:t>
            </w:r>
          </w:p>
        </w:tc>
        <w:tc>
          <w:tcPr>
            <w:tcW w:w="2080" w:type="dxa"/>
            <w:vAlign w:val="bottom"/>
          </w:tcPr>
          <w:p>
            <w:pPr>
              <w:jc w:val="right"/>
              <w:ind w:right="350"/>
              <w:spacing w:after="0"/>
              <w:rPr>
                <w:sz w:val="20"/>
                <w:szCs w:val="20"/>
                <w:color w:val="auto"/>
              </w:rPr>
            </w:pPr>
            <w:r>
              <w:rPr>
                <w:rFonts w:ascii="Arial" w:cs="Arial" w:eastAsia="Arial" w:hAnsi="Arial"/>
                <w:sz w:val="18"/>
                <w:szCs w:val="18"/>
                <w:color w:val="auto"/>
              </w:rPr>
              <w:t>6.70</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$23.20</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800</w:t>
            </w:r>
          </w:p>
        </w:tc>
        <w:tc>
          <w:tcPr>
            <w:tcW w:w="1100" w:type="dxa"/>
            <w:vAlign w:val="bottom"/>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$24.25</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150,000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6.18</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$24.25</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$24.46</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651,264</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6.17</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$24.46</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134,962</w:t>
            </w:r>
          </w:p>
        </w:tc>
        <w:tc>
          <w:tcPr>
            <w:tcW w:w="110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$26.20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6.38</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$26.20</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$26.27</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2,000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4.81</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$26.27</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spacing w:after="0"/>
              <w:rPr>
                <w:sz w:val="20"/>
                <w:szCs w:val="20"/>
                <w:color w:val="auto"/>
              </w:rPr>
            </w:pPr>
            <w:r>
              <w:rPr>
                <w:rFonts w:ascii="Arial" w:cs="Arial" w:eastAsia="Arial" w:hAnsi="Arial"/>
                <w:sz w:val="18"/>
                <w:szCs w:val="18"/>
                <w:color w:val="auto"/>
              </w:rPr>
              <w:t>$26.27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$27.91</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6.42</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$27.91</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$29.45</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8,000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6.33</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$29.45</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1,600</w:t>
            </w:r>
          </w:p>
        </w:tc>
        <w:tc>
          <w:tcPr>
            <w:tcW w:w="1100" w:type="dxa"/>
            <w:vAlign w:val="bottom"/>
          </w:tcPr>
          <w:p>
            <w:pPr>
              <w:jc w:val="right"/>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$35.33</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808,210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4.15</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$35.33</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489,292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right"/>
              <w:ind w:right="410"/>
              <w:spacing w:after="0"/>
              <w:rPr>
                <w:sz w:val="20"/>
                <w:szCs w:val="20"/>
                <w:color w:val="auto"/>
              </w:rPr>
            </w:pPr>
            <w:r>
              <w:rPr>
                <w:rFonts w:ascii="Arial" w:cs="Arial" w:eastAsia="Arial" w:hAnsi="Arial"/>
                <w:sz w:val="18"/>
                <w:szCs w:val="18"/>
                <w:color w:val="auto"/>
              </w:rPr>
              <w:t>$36.05</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6,000</w:t>
            </w:r>
          </w:p>
        </w:tc>
        <w:tc>
          <w:tcPr>
            <w:tcW w:w="2080" w:type="dxa"/>
            <w:vAlign w:val="bottom"/>
          </w:tcPr>
          <w:p>
            <w:pPr>
              <w:jc w:val="right"/>
              <w:ind w:right="370"/>
              <w:spacing w:after="0"/>
              <w:rPr>
                <w:sz w:val="20"/>
                <w:szCs w:val="20"/>
                <w:color w:val="auto"/>
              </w:rPr>
            </w:pPr>
            <w:r>
              <w:rPr>
                <w:rFonts w:ascii="Arial" w:cs="Arial" w:eastAsia="Arial" w:hAnsi="Arial"/>
                <w:sz w:val="18"/>
                <w:szCs w:val="18"/>
                <w:color w:val="auto"/>
              </w:rPr>
              <w:t>4.40</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$36.05</w:t>
            </w:r>
          </w:p>
        </w:tc>
        <w:tc>
          <w:tcPr>
            <w:tcW w:w="2160" w:type="dxa"/>
            <w:vAlign w:val="bottom"/>
          </w:tcPr>
          <w:p>
            <w:pPr>
              <w:jc w:val="right"/>
              <w:ind w:right="750"/>
              <w:spacing w:after="0"/>
              <w:rPr>
                <w:sz w:val="20"/>
                <w:szCs w:val="20"/>
                <w:color w:val="auto"/>
              </w:rPr>
            </w:pPr>
            <w:r>
              <w:rPr>
                <w:rFonts w:ascii="Arial" w:cs="Arial" w:eastAsia="Arial" w:hAnsi="Arial"/>
                <w:sz w:val="18"/>
                <w:szCs w:val="18"/>
                <w:color w:val="auto"/>
              </w:rPr>
              <w:t>4,500</w:t>
            </w:r>
          </w:p>
        </w:tc>
        <w:tc>
          <w:tcPr>
            <w:tcW w:w="1100" w:type="dxa"/>
            <w:vAlign w:val="bottom"/>
          </w:tcPr>
          <w:p>
            <w:pPr>
              <w:jc w:val="right"/>
              <w:spacing w:after="0"/>
              <w:rPr>
                <w:sz w:val="20"/>
                <w:szCs w:val="20"/>
                <w:color w:val="auto"/>
              </w:rPr>
            </w:pPr>
            <w:r>
              <w:rPr>
                <w:rFonts w:ascii="Arial" w:cs="Arial" w:eastAsia="Arial" w:hAnsi="Arial"/>
                <w:sz w:val="18"/>
                <w:szCs w:val="18"/>
                <w:color w:val="auto"/>
              </w:rPr>
              <w:t>$36.05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$36.20</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2,000</w:t>
            </w:r>
          </w:p>
        </w:tc>
        <w:tc>
          <w:tcPr>
            <w:tcW w:w="20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4.33</w:t>
            </w:r>
          </w:p>
        </w:tc>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$36.20</w:t>
            </w:r>
          </w:p>
        </w:tc>
        <w:tc>
          <w:tcPr>
            <w:tcW w:w="21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1,200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$41.25</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1,000</w:t>
            </w:r>
          </w:p>
        </w:tc>
        <w:tc>
          <w:tcPr>
            <w:tcW w:w="2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4.67</w:t>
            </w:r>
          </w:p>
        </w:tc>
        <w:tc>
          <w:tcPr>
            <w:tcW w:w="1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$41.25</w:t>
            </w:r>
          </w:p>
        </w:tc>
        <w:tc>
          <w:tcPr>
            <w:tcW w:w="21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600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$8.60 - $41.25</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4,902,818</w:t>
            </w:r>
          </w:p>
        </w:tc>
        <w:tc>
          <w:tcPr>
            <w:tcW w:w="2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4.68</w:t>
            </w:r>
          </w:p>
        </w:tc>
        <w:tc>
          <w:tcPr>
            <w:tcW w:w="1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$21.87</w:t>
            </w:r>
          </w:p>
        </w:tc>
        <w:tc>
          <w:tcPr>
            <w:tcW w:w="21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2,368,508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color w:val="auto"/>
              </w:rPr>
              <w:t>83</w:t>
            </w:r>
          </w:p>
        </w:tc>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 fair values</w:t>
      </w:r>
    </w:p>
    <w:p>
      <w:pPr>
        <w:spacing w:after="0" w:line="25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2011 was $7.50 based on the following grants: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jc w:val="right"/>
              <w:ind w:right="1370"/>
              <w:spacing w:after="0"/>
              <w:rPr>
                <w:sz w:val="20"/>
                <w:szCs w:val="20"/>
                <w:color w:val="auto"/>
              </w:rPr>
            </w:pPr>
            <w:r>
              <w:rPr>
                <w:rFonts w:ascii="Arial" w:cs="Arial" w:eastAsia="Arial" w:hAnsi="Arial"/>
                <w:sz w:val="18"/>
                <w:szCs w:val="18"/>
                <w:b w:val="1"/>
                <w:bCs w:val="1"/>
                <w:color w:val="auto"/>
              </w:rPr>
              <w:t>Grant Date</w:t>
            </w:r>
          </w:p>
        </w:tc>
        <w:tc>
          <w:tcPr>
            <w:tcW w:w="3480" w:type="dxa"/>
            <w:vAlign w:val="bottom"/>
          </w:tcPr>
          <w:p>
            <w:pPr>
              <w:jc w:val="right"/>
              <w:ind w:right="1090"/>
              <w:spacing w:after="0"/>
              <w:rPr>
                <w:sz w:val="20"/>
                <w:szCs w:val="20"/>
                <w:color w:val="auto"/>
              </w:rPr>
            </w:pPr>
            <w:r>
              <w:rPr>
                <w:rFonts w:ascii="Arial" w:cs="Arial" w:eastAsia="Arial" w:hAnsi="Arial"/>
                <w:sz w:val="18"/>
                <w:szCs w:val="18"/>
                <w:b w:val="1"/>
                <w:bCs w:val="1"/>
                <w:color w:val="auto"/>
              </w:rPr>
              <w:t>Number of</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33"/>
        </w:trPr>
        <w:tc>
          <w:tcPr>
            <w:tcW w:w="5360" w:type="dxa"/>
            <w:vAlign w:val="bottom"/>
          </w:tcPr>
          <w:p>
            <w:pPr>
              <w:spacing w:after="0"/>
              <w:rPr>
                <w:sz w:val="20"/>
                <w:szCs w:val="20"/>
                <w:color w:val="auto"/>
              </w:rPr>
            </w:pPr>
          </w:p>
        </w:tc>
        <w:tc>
          <w:tcPr>
            <w:tcW w:w="3480" w:type="dxa"/>
            <w:vAlign w:val="bottom"/>
          </w:tcPr>
          <w:p>
            <w:pPr>
              <w:jc w:val="right"/>
              <w:ind w:right="1090"/>
              <w:spacing w:after="0"/>
              <w:rPr>
                <w:sz w:val="20"/>
                <w:szCs w:val="20"/>
                <w:color w:val="auto"/>
              </w:rPr>
            </w:pPr>
            <w:r>
              <w:rPr>
                <w:rFonts w:ascii="Arial" w:cs="Arial" w:eastAsia="Arial" w:hAnsi="Arial"/>
                <w:sz w:val="18"/>
                <w:szCs w:val="18"/>
                <w:b w:val="1"/>
                <w:bCs w:val="1"/>
                <w:color w:val="auto"/>
              </w:rPr>
              <w:t>Shares</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3-Mar-11</w:t>
            </w:r>
          </w:p>
        </w:tc>
        <w:tc>
          <w:tcPr>
            <w:tcW w:w="34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799,449</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jc w:val="right"/>
              <w:ind w:right="1370"/>
              <w:spacing w:after="0"/>
              <w:rPr>
                <w:sz w:val="20"/>
                <w:szCs w:val="20"/>
                <w:color w:val="auto"/>
              </w:rPr>
            </w:pPr>
            <w:r>
              <w:rPr>
                <w:rFonts w:ascii="Arial" w:cs="Arial" w:eastAsia="Arial" w:hAnsi="Arial"/>
                <w:sz w:val="18"/>
                <w:szCs w:val="18"/>
                <w:color w:val="auto"/>
              </w:rPr>
              <w:t>25-Jul-11</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10,000</w:t>
            </w:r>
          </w:p>
        </w:tc>
        <w:tc>
          <w:tcPr>
            <w:tcW w:w="2580" w:type="dxa"/>
            <w:vAlign w:val="bottom"/>
          </w:tcPr>
          <w:p>
            <w:pPr>
              <w:jc w:val="right"/>
              <w:spacing w:after="0"/>
              <w:rPr>
                <w:sz w:val="20"/>
                <w:szCs w:val="20"/>
                <w:color w:val="auto"/>
              </w:rPr>
            </w:pPr>
            <w:r>
              <w:rPr>
                <w:rFonts w:ascii="Arial" w:cs="Arial" w:eastAsia="Arial" w:hAnsi="Arial"/>
                <w:sz w:val="18"/>
                <w:szCs w:val="18"/>
                <w:color w:val="auto"/>
              </w:rPr>
              <w:t>22.93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31-Oct-11</w:t>
            </w:r>
          </w:p>
        </w:tc>
        <w:tc>
          <w:tcPr>
            <w:tcW w:w="34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150,000</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07-Nov-11</w:t>
            </w:r>
          </w:p>
        </w:tc>
        <w:tc>
          <w:tcPr>
            <w:tcW w:w="34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30,000</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989,449</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2010 was $9.23 based on the following grants: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jc w:val="right"/>
              <w:ind w:right="1370"/>
              <w:spacing w:after="0"/>
              <w:rPr>
                <w:sz w:val="20"/>
                <w:szCs w:val="20"/>
                <w:color w:val="auto"/>
              </w:rPr>
            </w:pPr>
            <w:r>
              <w:rPr>
                <w:rFonts w:ascii="Arial" w:cs="Arial" w:eastAsia="Arial" w:hAnsi="Arial"/>
                <w:sz w:val="18"/>
                <w:szCs w:val="18"/>
                <w:b w:val="1"/>
                <w:bCs w:val="1"/>
                <w:color w:val="auto"/>
              </w:rPr>
              <w:t>Grant Date</w:t>
            </w:r>
          </w:p>
        </w:tc>
        <w:tc>
          <w:tcPr>
            <w:tcW w:w="3480" w:type="dxa"/>
            <w:vAlign w:val="bottom"/>
          </w:tcPr>
          <w:p>
            <w:pPr>
              <w:jc w:val="right"/>
              <w:ind w:right="1090"/>
              <w:spacing w:after="0"/>
              <w:rPr>
                <w:sz w:val="20"/>
                <w:szCs w:val="20"/>
                <w:color w:val="auto"/>
              </w:rPr>
            </w:pPr>
            <w:r>
              <w:rPr>
                <w:rFonts w:ascii="Arial" w:cs="Arial" w:eastAsia="Arial" w:hAnsi="Arial"/>
                <w:sz w:val="18"/>
                <w:szCs w:val="18"/>
                <w:b w:val="1"/>
                <w:bCs w:val="1"/>
                <w:color w:val="auto"/>
              </w:rPr>
              <w:t>Number of</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33"/>
        </w:trPr>
        <w:tc>
          <w:tcPr>
            <w:tcW w:w="5360" w:type="dxa"/>
            <w:vAlign w:val="bottom"/>
          </w:tcPr>
          <w:p>
            <w:pPr>
              <w:spacing w:after="0"/>
              <w:rPr>
                <w:sz w:val="20"/>
                <w:szCs w:val="20"/>
                <w:color w:val="auto"/>
              </w:rPr>
            </w:pPr>
          </w:p>
        </w:tc>
        <w:tc>
          <w:tcPr>
            <w:tcW w:w="3480" w:type="dxa"/>
            <w:vAlign w:val="bottom"/>
          </w:tcPr>
          <w:p>
            <w:pPr>
              <w:jc w:val="right"/>
              <w:ind w:right="1090"/>
              <w:spacing w:after="0"/>
              <w:rPr>
                <w:sz w:val="20"/>
                <w:szCs w:val="20"/>
                <w:color w:val="auto"/>
              </w:rPr>
            </w:pPr>
            <w:r>
              <w:rPr>
                <w:rFonts w:ascii="Arial" w:cs="Arial" w:eastAsia="Arial" w:hAnsi="Arial"/>
                <w:sz w:val="18"/>
                <w:szCs w:val="18"/>
                <w:b w:val="1"/>
                <w:bCs w:val="1"/>
                <w:color w:val="auto"/>
              </w:rPr>
              <w:t>Shares</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4-Mar-10</w:t>
            </w:r>
          </w:p>
        </w:tc>
        <w:tc>
          <w:tcPr>
            <w:tcW w:w="34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816,927</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jc w:val="right"/>
              <w:ind w:right="1370"/>
              <w:spacing w:after="0"/>
              <w:rPr>
                <w:sz w:val="20"/>
                <w:szCs w:val="20"/>
                <w:color w:val="auto"/>
              </w:rPr>
            </w:pPr>
            <w:r>
              <w:rPr>
                <w:rFonts w:ascii="Arial" w:cs="Arial" w:eastAsia="Arial" w:hAnsi="Arial"/>
                <w:sz w:val="18"/>
                <w:szCs w:val="18"/>
                <w:color w:val="auto"/>
              </w:rPr>
              <w:t>8-Mar-10</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150,000</w:t>
            </w:r>
          </w:p>
        </w:tc>
        <w:tc>
          <w:tcPr>
            <w:tcW w:w="2580" w:type="dxa"/>
            <w:vAlign w:val="bottom"/>
          </w:tcPr>
          <w:p>
            <w:pPr>
              <w:jc w:val="right"/>
              <w:spacing w:after="0"/>
              <w:rPr>
                <w:sz w:val="20"/>
                <w:szCs w:val="20"/>
                <w:color w:val="auto"/>
              </w:rPr>
            </w:pPr>
            <w:r>
              <w:rPr>
                <w:rFonts w:ascii="Arial" w:cs="Arial" w:eastAsia="Arial" w:hAnsi="Arial"/>
                <w:sz w:val="18"/>
                <w:szCs w:val="18"/>
                <w:color w:val="auto"/>
              </w:rPr>
              <w:t>$24.25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29-Apr-10</w:t>
            </w:r>
          </w:p>
        </w:tc>
        <w:tc>
          <w:tcPr>
            <w:tcW w:w="34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8,000</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jc w:val="right"/>
              <w:ind w:right="1370"/>
              <w:spacing w:after="0"/>
              <w:rPr>
                <w:sz w:val="20"/>
                <w:szCs w:val="20"/>
                <w:color w:val="auto"/>
              </w:rPr>
            </w:pPr>
            <w:r>
              <w:rPr>
                <w:rFonts w:ascii="Arial" w:cs="Arial" w:eastAsia="Arial" w:hAnsi="Arial"/>
                <w:sz w:val="18"/>
                <w:szCs w:val="18"/>
                <w:color w:val="auto"/>
              </w:rPr>
              <w:t>3-May-10</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10,000</w:t>
            </w:r>
          </w:p>
        </w:tc>
        <w:tc>
          <w:tcPr>
            <w:tcW w:w="2580" w:type="dxa"/>
            <w:vAlign w:val="bottom"/>
          </w:tcPr>
          <w:p>
            <w:pPr>
              <w:jc w:val="right"/>
              <w:spacing w:after="0"/>
              <w:rPr>
                <w:sz w:val="20"/>
                <w:szCs w:val="20"/>
                <w:color w:val="auto"/>
              </w:rPr>
            </w:pPr>
            <w:r>
              <w:rPr>
                <w:rFonts w:ascii="Arial" w:cs="Arial" w:eastAsia="Arial" w:hAnsi="Arial"/>
                <w:sz w:val="18"/>
                <w:szCs w:val="18"/>
                <w:color w:val="auto"/>
              </w:rPr>
              <w:t>$29.38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20-May-10</w:t>
            </w:r>
          </w:p>
        </w:tc>
        <w:tc>
          <w:tcPr>
            <w:tcW w:w="34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2,400</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jc w:val="right"/>
              <w:ind w:right="1370"/>
              <w:spacing w:after="0"/>
              <w:rPr>
                <w:sz w:val="20"/>
                <w:szCs w:val="20"/>
                <w:color w:val="auto"/>
              </w:rPr>
            </w:pPr>
            <w:r>
              <w:rPr>
                <w:rFonts w:ascii="Arial" w:cs="Arial" w:eastAsia="Arial" w:hAnsi="Arial"/>
                <w:sz w:val="18"/>
                <w:szCs w:val="18"/>
                <w:color w:val="auto"/>
              </w:rPr>
              <w:t>1-Jun-10</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2,000</w:t>
            </w:r>
          </w:p>
        </w:tc>
        <w:tc>
          <w:tcPr>
            <w:tcW w:w="2580" w:type="dxa"/>
            <w:vAlign w:val="bottom"/>
          </w:tcPr>
          <w:p>
            <w:pPr>
              <w:jc w:val="right"/>
              <w:spacing w:after="0"/>
              <w:rPr>
                <w:sz w:val="20"/>
                <w:szCs w:val="20"/>
                <w:color w:val="auto"/>
              </w:rPr>
            </w:pPr>
            <w:r>
              <w:rPr>
                <w:rFonts w:ascii="Arial" w:cs="Arial" w:eastAsia="Arial" w:hAnsi="Arial"/>
                <w:sz w:val="18"/>
                <w:szCs w:val="18"/>
                <w:color w:val="auto"/>
              </w:rPr>
              <w:t>$27.91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16-Aug-10</w:t>
            </w:r>
          </w:p>
        </w:tc>
        <w:tc>
          <w:tcPr>
            <w:tcW w:w="34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10,000</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Pr>
          <w:p>
            <w:pPr>
              <w:jc w:val="right"/>
              <w:ind w:right="1370"/>
              <w:spacing w:after="0"/>
              <w:rPr>
                <w:sz w:val="20"/>
                <w:szCs w:val="20"/>
                <w:color w:val="auto"/>
              </w:rPr>
            </w:pPr>
            <w:r>
              <w:rPr>
                <w:rFonts w:ascii="Arial" w:cs="Arial" w:eastAsia="Arial" w:hAnsi="Arial"/>
                <w:sz w:val="18"/>
                <w:szCs w:val="18"/>
                <w:color w:val="auto"/>
              </w:rPr>
              <w:t>13-Sep-10</w:t>
            </w: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4,000</w:t>
            </w:r>
          </w:p>
        </w:tc>
        <w:tc>
          <w:tcPr>
            <w:tcW w:w="2580" w:type="dxa"/>
            <w:vAlign w:val="bottom"/>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26-Oct-10</w:t>
            </w:r>
          </w:p>
        </w:tc>
        <w:tc>
          <w:tcPr>
            <w:tcW w:w="34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33,000</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15-Nov-10</w:t>
            </w:r>
          </w:p>
        </w:tc>
        <w:tc>
          <w:tcPr>
            <w:tcW w:w="34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2,000</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1,038,327</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$24.34</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share options – Assumptions</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fair values of options granted during the year ended 31 December 2011 and the year ended 31 December 2010 were calculated using a binomial option-pricing-model, using the following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960" w:type="dxa"/>
            <w:vAlign w:val="bottom"/>
          </w:tcPr>
          <w:p>
            <w:pPr>
              <w:jc w:val="right"/>
              <w:ind w:right="550"/>
              <w:spacing w:after="0"/>
              <w:rPr>
                <w:sz w:val="20"/>
                <w:szCs w:val="20"/>
                <w:color w:val="auto"/>
              </w:rPr>
            </w:pPr>
            <w:r>
              <w:rPr>
                <w:rFonts w:ascii="Arial" w:cs="Arial" w:eastAsia="Arial" w:hAnsi="Arial"/>
                <w:sz w:val="18"/>
                <w:szCs w:val="18"/>
                <w:b w:val="1"/>
                <w:bCs w:val="1"/>
                <w:color w:val="auto"/>
              </w:rPr>
              <w:t>Year ended</w:t>
            </w:r>
          </w:p>
        </w:tc>
        <w:tc>
          <w:tcPr>
            <w:tcW w:w="220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15"/>
        </w:trPr>
        <w:tc>
          <w:tcPr>
            <w:tcW w:w="5260" w:type="dxa"/>
            <w:vAlign w:val="bottom"/>
          </w:tcPr>
          <w:p>
            <w:pPr>
              <w:spacing w:after="0"/>
              <w:rPr>
                <w:sz w:val="18"/>
                <w:szCs w:val="18"/>
                <w:color w:val="auto"/>
              </w:rPr>
            </w:pPr>
          </w:p>
        </w:tc>
        <w:tc>
          <w:tcPr>
            <w:tcW w:w="3960" w:type="dxa"/>
            <w:vAlign w:val="bottom"/>
          </w:tcPr>
          <w:p>
            <w:pPr>
              <w:jc w:val="right"/>
              <w:ind w:right="550"/>
              <w:spacing w:after="0"/>
              <w:rPr>
                <w:sz w:val="20"/>
                <w:szCs w:val="20"/>
                <w:color w:val="auto"/>
              </w:rPr>
            </w:pPr>
            <w:r>
              <w:rPr>
                <w:rFonts w:ascii="Arial" w:cs="Arial" w:eastAsia="Arial" w:hAnsi="Arial"/>
                <w:sz w:val="18"/>
                <w:szCs w:val="18"/>
                <w:b w:val="1"/>
                <w:bCs w:val="1"/>
                <w:color w:val="auto"/>
              </w:rPr>
              <w:t>31 December</w:t>
            </w:r>
          </w:p>
        </w:tc>
        <w:tc>
          <w:tcPr>
            <w:tcW w:w="22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33"/>
        </w:trPr>
        <w:tc>
          <w:tcPr>
            <w:tcW w:w="5260" w:type="dxa"/>
            <w:vAlign w:val="bottom"/>
          </w:tcPr>
          <w:p>
            <w:pPr>
              <w:spacing w:after="0"/>
              <w:rPr>
                <w:sz w:val="20"/>
                <w:szCs w:val="20"/>
                <w:color w:val="auto"/>
              </w:rPr>
            </w:pPr>
          </w:p>
        </w:tc>
        <w:tc>
          <w:tcPr>
            <w:tcW w:w="39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22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39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$19.66</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3960" w:type="dxa"/>
            <w:vAlign w:val="bottom"/>
          </w:tcPr>
          <w:p>
            <w:pPr>
              <w:jc w:val="right"/>
              <w:ind w:right="550"/>
              <w:spacing w:after="0"/>
              <w:rPr>
                <w:sz w:val="20"/>
                <w:szCs w:val="20"/>
                <w:color w:val="auto"/>
              </w:rPr>
            </w:pPr>
            <w:r>
              <w:rPr>
                <w:rFonts w:ascii="Arial" w:cs="Arial" w:eastAsia="Arial" w:hAnsi="Arial"/>
                <w:sz w:val="18"/>
                <w:szCs w:val="18"/>
                <w:b w:val="1"/>
                <w:bCs w:val="1"/>
                <w:color w:val="auto"/>
              </w:rPr>
              <w:t>$19.66</w:t>
            </w:r>
          </w:p>
        </w:tc>
        <w:tc>
          <w:tcPr>
            <w:tcW w:w="2200" w:type="dxa"/>
            <w:vAlign w:val="bottom"/>
          </w:tcPr>
          <w:p>
            <w:pPr>
              <w:jc w:val="right"/>
              <w:spacing w:after="0"/>
              <w:rPr>
                <w:sz w:val="20"/>
                <w:szCs w:val="20"/>
                <w:color w:val="auto"/>
              </w:rPr>
            </w:pPr>
            <w:r>
              <w:rPr>
                <w:rFonts w:ascii="Arial" w:cs="Arial" w:eastAsia="Arial" w:hAnsi="Arial"/>
                <w:sz w:val="18"/>
                <w:szCs w:val="18"/>
                <w:color w:val="auto"/>
              </w:rPr>
              <w:t>$24.34</w:t>
            </w: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(1)</w:t>
            </w:r>
          </w:p>
        </w:tc>
        <w:tc>
          <w:tcPr>
            <w:tcW w:w="39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45-50%</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9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Risk-free rate (2)</w:t>
            </w:r>
          </w:p>
        </w:tc>
        <w:tc>
          <w:tcPr>
            <w:tcW w:w="39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0.8%-1.8%</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Rate of forced early exercise</w:t>
            </w:r>
          </w:p>
        </w:tc>
        <w:tc>
          <w:tcPr>
            <w:tcW w:w="3960" w:type="dxa"/>
            <w:vAlign w:val="bottom"/>
          </w:tcPr>
          <w:p>
            <w:pPr>
              <w:jc w:val="right"/>
              <w:ind w:right="550"/>
              <w:spacing w:after="0"/>
              <w:rPr>
                <w:sz w:val="20"/>
                <w:szCs w:val="20"/>
                <w:color w:val="auto"/>
              </w:rPr>
            </w:pPr>
            <w:r>
              <w:rPr>
                <w:rFonts w:ascii="Arial" w:cs="Arial" w:eastAsia="Arial" w:hAnsi="Arial"/>
                <w:sz w:val="18"/>
                <w:szCs w:val="18"/>
                <w:b w:val="1"/>
                <w:bCs w:val="1"/>
                <w:color w:val="auto"/>
              </w:rPr>
              <w:t>10% p.a.</w:t>
            </w:r>
          </w:p>
        </w:tc>
        <w:tc>
          <w:tcPr>
            <w:tcW w:w="2200" w:type="dxa"/>
            <w:vAlign w:val="bottom"/>
          </w:tcPr>
          <w:p>
            <w:pPr>
              <w:jc w:val="right"/>
              <w:spacing w:after="0"/>
              <w:rPr>
                <w:sz w:val="20"/>
                <w:szCs w:val="20"/>
                <w:color w:val="auto"/>
              </w:rPr>
            </w:pPr>
            <w:r>
              <w:rPr>
                <w:rFonts w:ascii="Arial" w:cs="Arial" w:eastAsia="Arial" w:hAnsi="Arial"/>
                <w:sz w:val="18"/>
                <w:szCs w:val="18"/>
                <w:color w:val="auto"/>
              </w:rPr>
              <w:t>10% p.a.</w:t>
            </w: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Minimum gain for voluntary early exercise</w:t>
            </w:r>
          </w:p>
        </w:tc>
        <w:tc>
          <w:tcPr>
            <w:tcW w:w="39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33% of exercise price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of exercise price</w:t>
            </w:r>
          </w:p>
        </w:tc>
      </w:tr>
      <w:tr>
        <w:trPr>
          <w:trHeight w:val="21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of voluntary early exercise at minimum gain</w:t>
            </w:r>
          </w:p>
        </w:tc>
        <w:tc>
          <w:tcPr>
            <w:tcW w:w="3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100% per annum</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per annum</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ind w:right="1280"/>
        <w:spacing w:after="0" w:line="249" w:lineRule="auto"/>
        <w:rPr>
          <w:sz w:val="20"/>
          <w:szCs w:val="20"/>
          <w:color w:val="auto"/>
        </w:rPr>
      </w:pPr>
      <w:r>
        <w:rPr>
          <w:rFonts w:ascii="Arial" w:cs="Arial" w:eastAsia="Arial" w:hAnsi="Arial"/>
          <w:sz w:val="18"/>
          <w:szCs w:val="18"/>
          <w:color w:val="auto"/>
        </w:rPr>
        <w:t>(1)Expected volatility has been determined based upon the volatility of the Company’s share price over a period which is commensurate with the expected term of the options granted.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(2)Risk free rate is dependent on the grant date.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Share based payments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awarded restricted Share Units (“RSU’s”) to certain key executives of the Group. Details of the RSU’s granted during the year ended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2011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ind w:left="820"/>
              <w:spacing w:after="0"/>
              <w:rPr>
                <w:sz w:val="20"/>
                <w:szCs w:val="20"/>
                <w:color w:val="auto"/>
              </w:rPr>
            </w:pPr>
            <w:r>
              <w:rPr>
                <w:rFonts w:ascii="Arial" w:cs="Arial" w:eastAsia="Arial" w:hAnsi="Arial"/>
                <w:sz w:val="18"/>
                <w:szCs w:val="18"/>
                <w:b w:val="1"/>
                <w:bCs w:val="1"/>
                <w:color w:val="auto"/>
              </w:rPr>
              <w:t>RSU’s Awarded</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2"/>
              </w:rPr>
              <w:t>Date of Award</w:t>
            </w:r>
          </w:p>
        </w:tc>
        <w:tc>
          <w:tcPr>
            <w:tcW w:w="258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Vesting Date</w:t>
            </w: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Market Price on Date of Award</w:t>
            </w:r>
          </w:p>
        </w:tc>
      </w:tr>
      <w:tr>
        <w:trPr>
          <w:trHeight w:val="215"/>
        </w:trPr>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2"/>
        </w:trPr>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100,000*</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 February 2011</w:t>
            </w:r>
          </w:p>
        </w:tc>
        <w:tc>
          <w:tcPr>
            <w:tcW w:w="258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10 February 2016</w:t>
            </w:r>
          </w:p>
        </w:tc>
        <w:tc>
          <w:tcPr>
            <w:tcW w:w="31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$22.11</w:t>
            </w:r>
          </w:p>
        </w:tc>
      </w:tr>
      <w:tr>
        <w:trPr>
          <w:trHeight w:val="215"/>
        </w:trPr>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2"/>
        </w:trPr>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120,000**</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 March 2011</w:t>
            </w:r>
          </w:p>
        </w:tc>
        <w:tc>
          <w:tcPr>
            <w:tcW w:w="258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3 March 2014</w:t>
            </w:r>
          </w:p>
        </w:tc>
        <w:tc>
          <w:tcPr>
            <w:tcW w:w="31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$20.28</w:t>
            </w:r>
          </w:p>
        </w:tc>
      </w:tr>
      <w:tr>
        <w:trPr>
          <w:trHeight w:val="215"/>
        </w:trPr>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2"/>
        </w:trPr>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 June 2011</w:t>
            </w:r>
          </w:p>
        </w:tc>
        <w:tc>
          <w:tcPr>
            <w:tcW w:w="25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6"/>
              </w:rPr>
              <w:t>7 June 2014</w:t>
            </w:r>
          </w:p>
        </w:tc>
        <w:tc>
          <w:tcPr>
            <w:tcW w:w="31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$24.60</w:t>
            </w:r>
          </w:p>
        </w:tc>
      </w:tr>
      <w:tr>
        <w:trPr>
          <w:trHeight w:val="215"/>
        </w:trPr>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2"/>
        </w:trPr>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100,000</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October 2011</w:t>
            </w:r>
          </w:p>
        </w:tc>
        <w:tc>
          <w:tcPr>
            <w:tcW w:w="258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1 October 2014</w:t>
            </w:r>
          </w:p>
        </w:tc>
        <w:tc>
          <w:tcPr>
            <w:tcW w:w="31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$16.08</w:t>
            </w:r>
          </w:p>
        </w:tc>
      </w:tr>
      <w:tr>
        <w:trPr>
          <w:trHeight w:val="215"/>
        </w:trPr>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2"/>
        </w:trPr>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27 October 2011</w:t>
            </w:r>
          </w:p>
        </w:tc>
        <w:tc>
          <w:tcPr>
            <w:tcW w:w="258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9"/>
              </w:rPr>
              <w:t>27 October 2014</w:t>
            </w:r>
          </w:p>
        </w:tc>
        <w:tc>
          <w:tcPr>
            <w:tcW w:w="31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$17.65</w:t>
            </w:r>
          </w:p>
        </w:tc>
      </w:tr>
      <w:tr>
        <w:trPr>
          <w:trHeight w:val="215"/>
        </w:trPr>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22"/>
        </w:trPr>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30,000</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 November 2011</w:t>
            </w:r>
          </w:p>
        </w:tc>
        <w:tc>
          <w:tcPr>
            <w:tcW w:w="258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0"/>
              </w:rPr>
              <w:t>7 November 2014</w:t>
            </w:r>
          </w:p>
        </w:tc>
        <w:tc>
          <w:tcPr>
            <w:tcW w:w="3120" w:type="dxa"/>
            <w:vAlign w:val="bottom"/>
            <w:tcBorders>
              <w:bottom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$17.17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50,000 RSU’s awarded to Mr. Alan Morgan which are not now expected to vest following his resignation from the Company.</w:t>
      </w:r>
    </w:p>
    <w:p>
      <w:pPr>
        <w:spacing w:after="0" w:line="23" w:lineRule="exact"/>
        <w:rPr>
          <w:sz w:val="20"/>
          <w:szCs w:val="20"/>
          <w:color w:val="auto"/>
        </w:rPr>
      </w:pPr>
    </w:p>
    <w:p>
      <w:pPr>
        <w:ind w:right="160" w:firstLine="8"/>
        <w:spacing w:after="0" w:line="258" w:lineRule="auto"/>
        <w:tabs>
          <w:tab w:leader="none" w:pos="224"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100,000 RSU’s awarded to Mr. Peter Gray which are not now expected to vest following his retirement as CEO of the Company on 30 September 2011.</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also awarded RSU’s in prior periods. On 7 August 2008 the Company awarded 6,280 restricted share units to certain employees of the Group. These RSU’s vested over periods ranging from 26 February 2009 to 26 February 2011. The market value of the Company’s shares on date of issue was $41.95. On 16 August 2010 2,512 ordinary shares were issued by the Company relating to certain of the 2008 RSU awards. On 20 May 2011, the Company issued a further 3,768 ordinary shares relating to the remaining 2008 RSU awards.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expense</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Operating profit for the year ended 31 December 2011 is stated after charging $7.6 million in respect of share based payments expense. Share based payment expense has been allocated to direct costs and other operating expenses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632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3720" w:type="dxa"/>
            <w:vAlign w:val="bottom"/>
          </w:tcPr>
          <w:p>
            <w:pPr>
              <w:spacing w:after="0"/>
              <w:rPr>
                <w:sz w:val="18"/>
                <w:szCs w:val="18"/>
                <w:color w:val="auto"/>
              </w:rPr>
            </w:pPr>
          </w:p>
        </w:tc>
        <w:tc>
          <w:tcPr>
            <w:tcW w:w="63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720" w:type="dxa"/>
            <w:vAlign w:val="bottom"/>
          </w:tcPr>
          <w:p>
            <w:pPr>
              <w:spacing w:after="0"/>
              <w:rPr>
                <w:sz w:val="18"/>
                <w:szCs w:val="18"/>
                <w:color w:val="auto"/>
              </w:rPr>
            </w:pPr>
          </w:p>
        </w:tc>
        <w:tc>
          <w:tcPr>
            <w:tcW w:w="63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3720" w:type="dxa"/>
            <w:vAlign w:val="bottom"/>
          </w:tcPr>
          <w:p>
            <w:pPr>
              <w:spacing w:after="0"/>
              <w:rPr>
                <w:sz w:val="20"/>
                <w:szCs w:val="20"/>
                <w:color w:val="auto"/>
              </w:rPr>
            </w:pPr>
          </w:p>
        </w:tc>
        <w:tc>
          <w:tcPr>
            <w:tcW w:w="63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3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5,270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4,068</w:t>
            </w:r>
          </w:p>
        </w:tc>
      </w:tr>
      <w:tr>
        <w:trPr>
          <w:trHeight w:val="222"/>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expenses</w:t>
            </w:r>
          </w:p>
        </w:tc>
        <w:tc>
          <w:tcPr>
            <w:tcW w:w="6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4,294</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3,315</w:t>
            </w:r>
          </w:p>
        </w:tc>
      </w:tr>
      <w:tr>
        <w:trPr>
          <w:trHeight w:val="215"/>
        </w:trPr>
        <w:tc>
          <w:tcPr>
            <w:tcW w:w="372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6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9,564</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7,383</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99"/>
        </w:trPr>
        <w:tc>
          <w:tcPr>
            <w:tcW w:w="3720" w:type="dxa"/>
            <w:vAlign w:val="bottom"/>
          </w:tcPr>
          <w:p>
            <w:pPr>
              <w:spacing w:after="0"/>
              <w:rPr>
                <w:sz w:val="24"/>
                <w:szCs w:val="24"/>
                <w:color w:val="auto"/>
              </w:rPr>
            </w:pPr>
          </w:p>
        </w:tc>
        <w:tc>
          <w:tcPr>
            <w:tcW w:w="6320" w:type="dxa"/>
            <w:vAlign w:val="bottom"/>
          </w:tcPr>
          <w:p>
            <w:pPr>
              <w:jc w:val="right"/>
              <w:ind w:right="4150"/>
              <w:spacing w:after="0"/>
              <w:rPr>
                <w:sz w:val="20"/>
                <w:szCs w:val="20"/>
                <w:color w:val="auto"/>
              </w:rPr>
            </w:pPr>
            <w:r>
              <w:rPr>
                <w:rFonts w:ascii="Arial" w:cs="Arial" w:eastAsia="Arial" w:hAnsi="Arial"/>
                <w:sz w:val="18"/>
                <w:szCs w:val="18"/>
                <w:color w:val="auto"/>
              </w:rPr>
              <w:t>85</w:t>
            </w:r>
          </w:p>
        </w:tc>
        <w:tc>
          <w:tcPr>
            <w:tcW w:w="1380" w:type="dxa"/>
            <w:vAlign w:val="bottom"/>
          </w:tcPr>
          <w:p>
            <w:pPr>
              <w:spacing w:after="0"/>
              <w:rPr>
                <w:sz w:val="24"/>
                <w:szCs w:val="24"/>
                <w:color w:val="auto"/>
              </w:rPr>
            </w:pPr>
          </w:p>
        </w:tc>
      </w:tr>
      <w:tr>
        <w:trPr>
          <w:trHeight w:val="117"/>
        </w:trPr>
        <w:tc>
          <w:tcPr>
            <w:tcW w:w="3720" w:type="dxa"/>
            <w:vAlign w:val="bottom"/>
            <w:tcBorders>
              <w:bottom w:val="single" w:sz="8" w:color="808080"/>
            </w:tcBorders>
          </w:tcPr>
          <w:p>
            <w:pPr>
              <w:spacing w:after="0"/>
              <w:rPr>
                <w:sz w:val="10"/>
                <w:szCs w:val="10"/>
                <w:color w:val="auto"/>
              </w:rPr>
            </w:pPr>
          </w:p>
        </w:tc>
        <w:tc>
          <w:tcPr>
            <w:tcW w:w="6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w w:val="94"/>
              </w:rPr>
              <w:t>11. Property, Plant and Equipment</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Office</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Leasehold</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Computer</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furniture &amp;</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Laboratory</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Motor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Land</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Buildings</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improvements</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equipment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fixtures</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equipment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27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2011</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4,113</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75,511</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26,186</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74,557</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56,444</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23,320</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260,175</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Additions</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1,728</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7,977</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3,185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1,568</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14,663</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Arising on acquisition</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278</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277</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2"/>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(636)</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4,212</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73,240</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27,342</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79,925</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58,096</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24,195</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43</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267,053</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At 1 January 2011</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12,993</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13,996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54,827</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24,572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13,665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120,075</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5,143</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780" w:type="dxa"/>
            <w:vAlign w:val="bottom"/>
          </w:tcPr>
          <w:p>
            <w:pPr>
              <w:spacing w:after="0" w:line="201" w:lineRule="exact"/>
              <w:rPr>
                <w:sz w:val="20"/>
                <w:szCs w:val="20"/>
                <w:color w:val="auto"/>
              </w:rPr>
            </w:pPr>
            <w:r>
              <w:rPr>
                <w:rFonts w:ascii="Arial" w:cs="Arial" w:eastAsia="Arial" w:hAnsi="Arial"/>
                <w:sz w:val="18"/>
                <w:szCs w:val="18"/>
                <w:color w:val="auto"/>
              </w:rPr>
              <w:t>Reclassification to Intangible</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assets</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(671)</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1,972</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3,517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8,417</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6,072</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3,186</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Eliminated on disposal</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22"/>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(445)</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8,668</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17,006</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60,733</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34,882</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16,349</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26</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137,664</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4,212</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64,572</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10,336</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19,192</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23,214</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7,846</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17</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129,389</w:t>
            </w:r>
          </w:p>
        </w:tc>
        <w:tc>
          <w:tcPr>
            <w:tcW w:w="0" w:type="dxa"/>
            <w:vAlign w:val="bottom"/>
          </w:tcPr>
          <w:p>
            <w:pPr>
              <w:spacing w:after="0"/>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2010</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4,113</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62,518</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12,190</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19,730</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31,872</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9,655</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140,100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at 31 December 2011 includes $nil (31 December 2010: $825,000) relating to computer equipment held under finance leases. Related accumulated depreciation amounted to $ nil (31 December 2010: $518,000). Depreciation expense of $23.2 million (31 December 2010: $25.8million) has been charged in ‘other operating expenses’ in the income statement.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Property, Plant and Equipment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Office</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Leasehold</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Computer</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furniture &amp;</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Laboratory</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Motor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Land</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Buildings</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improvements</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equipment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fixtures</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equipment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25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3,979</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80,309</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24,762</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66,022</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54,311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21,828</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251,254</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Additions</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2,569</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11,064</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3,973</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1,905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2"/>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(397)</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2010</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4,113</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75,511</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26,186</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74,557</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56,444</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23,320</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44</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260,175</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At 1 January 2010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6,032</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10,736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46,395</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24,861</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10,387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98,429</w:t>
            </w: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7,564</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4,047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10,414</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305</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3,534</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25,869</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Eliminated on disposal</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(876)</w:t>
            </w:r>
          </w:p>
        </w:tc>
        <w:tc>
          <w:tcPr>
            <w:tcW w:w="1060" w:type="dxa"/>
            <w:vAlign w:val="bottom"/>
          </w:tcPr>
          <w:p>
            <w:pPr>
              <w:jc w:val="right"/>
              <w:spacing w:after="0"/>
              <w:rPr>
                <w:sz w:val="20"/>
                <w:szCs w:val="20"/>
                <w:color w:val="auto"/>
              </w:rPr>
            </w:pPr>
            <w:r>
              <w:rPr>
                <w:rFonts w:ascii="Arial" w:cs="Arial" w:eastAsia="Arial" w:hAnsi="Arial"/>
                <w:sz w:val="18"/>
                <w:szCs w:val="18"/>
                <w:color w:val="auto"/>
              </w:rPr>
              <w:t>(1,038)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22"/>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12,993</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13,996</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54,827</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24,572</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13,665</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22</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120,075</w:t>
            </w: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4,113</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62,518</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12,190</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19,730</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31,872</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9,655</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140,100</w:t>
            </w:r>
          </w:p>
        </w:tc>
        <w:tc>
          <w:tcPr>
            <w:tcW w:w="0" w:type="dxa"/>
            <w:vAlign w:val="bottom"/>
          </w:tcPr>
          <w:p>
            <w:pPr>
              <w:spacing w:after="0"/>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2009</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3,979</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74,277</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14,026</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19,627</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29,450</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11,441</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152,825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at 31 December 2010 includes $825,000 (31 December 2009: $907,000) relating to computer equipment held under finance leases. Related accumulate depreciation amounted to $518,000 (31 December 2009: $357,000). Depreciation expense of $25.8 million (31 December 2009: $22.5 million) has bee charged in ‘other operating expenses’ in the income statement.</w:t>
      </w:r>
    </w:p>
    <w:p>
      <w:pPr>
        <w:spacing w:after="0" w:line="35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80"/>
          </w:cols>
          <w:pgMar w:left="240" w:top="515" w:right="1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 – goodwill and other</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Computer</w:t>
            </w: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rPr>
              <w:t>Customer</w:t>
            </w: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Volunteer</w:t>
            </w: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Order</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Technology</w:t>
            </w: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Software</w:t>
            </w: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Relationships</w:t>
            </w: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List</w:t>
            </w: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Backlog</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Tradename</w:t>
            </w: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Goodwill</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320" w:type="dxa"/>
            <w:vAlign w:val="bottom"/>
            <w:vMerge w:val="restart"/>
          </w:tcPr>
          <w:p>
            <w:pPr>
              <w:spacing w:after="0"/>
              <w:rPr>
                <w:sz w:val="20"/>
                <w:szCs w:val="20"/>
                <w:color w:val="auto"/>
              </w:rPr>
            </w:pPr>
            <w:r>
              <w:rPr>
                <w:rFonts w:ascii="Arial" w:cs="Arial" w:eastAsia="Arial" w:hAnsi="Arial"/>
                <w:sz w:val="16"/>
                <w:szCs w:val="16"/>
                <w:b w:val="1"/>
                <w:bCs w:val="1"/>
                <w:color w:val="auto"/>
              </w:rPr>
              <w:t>Cost</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rPr>
              <w:t>$’000</w:t>
            </w: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$’000</w:t>
            </w: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$’000</w:t>
            </w: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$’000</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05"/>
        </w:trPr>
        <w:tc>
          <w:tcPr>
            <w:tcW w:w="23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2011</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77,790</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12,288</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1,325</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1,470</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189,869</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282,742</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6"/>
                <w:szCs w:val="16"/>
                <w:color w:val="auto"/>
              </w:rPr>
              <w:t>Additions</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20,844</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20,844</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6"/>
                <w:szCs w:val="16"/>
                <w:color w:val="auto"/>
              </w:rPr>
              <w:t>Arising on acquisition</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11,891</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1,790</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11,169</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1,357</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83,656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109,898</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Foreign exchange movement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(2,741)</w:t>
            </w: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(533)</w:t>
            </w: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(109)</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(967)</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(118)</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(6,123)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(10,591)</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31 December 2011</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95,477</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23,646</w:t>
            </w: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1,325</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3,151</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10,202</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1,239</w:t>
            </w: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267,402</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402,442</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Amortisation</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6"/>
                <w:szCs w:val="16"/>
                <w:color w:val="auto"/>
              </w:rPr>
              <w:t>At 1 January 2011</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47,027</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5,194</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624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983</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53,828</w:t>
            </w:r>
          </w:p>
        </w:tc>
        <w:tc>
          <w:tcPr>
            <w:tcW w:w="0" w:type="dxa"/>
            <w:vAlign w:val="bottom"/>
          </w:tcPr>
          <w:p>
            <w:pPr>
              <w:spacing w:after="0"/>
              <w:rPr>
                <w:sz w:val="1"/>
                <w:szCs w:val="1"/>
                <w:color w:val="auto"/>
              </w:rPr>
            </w:pPr>
          </w:p>
        </w:tc>
      </w:tr>
      <w:tr>
        <w:trPr>
          <w:trHeight w:val="192"/>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from Property,</w:t>
            </w:r>
          </w:p>
        </w:tc>
        <w:tc>
          <w:tcPr>
            <w:tcW w:w="1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Plant and Equipment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671</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6"/>
                <w:szCs w:val="16"/>
                <w:color w:val="auto"/>
              </w:rPr>
              <w:t>Amortised in the year</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10,866</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2,483</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217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1,139</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672</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136</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15,513</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movement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(1,747)</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w:t>
            </w: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2011</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56,406</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7,626</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841</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2,084</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623</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126</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67,706</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At 31 December 2011</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39,071</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16,020</w:t>
            </w:r>
          </w:p>
        </w:tc>
        <w:tc>
          <w:tcPr>
            <w:tcW w:w="11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484</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1,067</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9,579</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1,113</w:t>
            </w: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267,402</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334,736</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At 31 December 2010</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30,763</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7,094</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701</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487</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189,869</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228,914</w:t>
            </w:r>
          </w:p>
        </w:tc>
        <w:tc>
          <w:tcPr>
            <w:tcW w:w="0" w:type="dxa"/>
            <w:vAlign w:val="bottom"/>
          </w:tcPr>
          <w:p>
            <w:pPr>
              <w:spacing w:after="0"/>
              <w:rPr>
                <w:sz w:val="1"/>
                <w:szCs w:val="1"/>
                <w:color w:val="auto"/>
              </w:rPr>
            </w:pPr>
          </w:p>
        </w:tc>
      </w:tr>
      <w:tr>
        <w:trPr>
          <w:trHeight w:val="23"/>
        </w:trPr>
        <w:tc>
          <w:tcPr>
            <w:tcW w:w="2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Amortisation expense of $15.4 million (31 December 2010: $8.0 million) has been charged in ‘other operating expenses’ in the income statement.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Intangible assets – goodwill and other </w:t>
      </w:r>
      <w:r>
        <w:rPr>
          <w:rFonts w:ascii="Arial" w:cs="Arial" w:eastAsia="Arial" w:hAnsi="Arial"/>
          <w:sz w:val="18"/>
          <w:szCs w:val="18"/>
          <w:b w:val="1"/>
          <w:bCs w:val="1"/>
          <w:i w:val="1"/>
          <w:iCs w:val="1"/>
          <w:color w:val="auto"/>
        </w:rPr>
        <w:t>(continued)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Computer</w:t>
            </w: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rPr>
              <w:t>Customer</w:t>
            </w: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Volunteer</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Order</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Technology</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Tradename</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Software</w:t>
            </w: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Relationships</w:t>
            </w: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List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Backlog</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Asset</w:t>
            </w:r>
          </w:p>
        </w:tc>
        <w:tc>
          <w:tcPr>
            <w:tcW w:w="1180" w:type="dxa"/>
            <w:vAlign w:val="bottom"/>
          </w:tcPr>
          <w:p>
            <w:pPr>
              <w:spacing w:after="0"/>
              <w:rPr>
                <w:sz w:val="17"/>
                <w:szCs w:val="17"/>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Goodwill</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260" w:type="dxa"/>
            <w:vAlign w:val="bottom"/>
            <w:vMerge w:val="restart"/>
          </w:tcPr>
          <w:p>
            <w:pPr>
              <w:spacing w:after="0"/>
              <w:rPr>
                <w:sz w:val="20"/>
                <w:szCs w:val="20"/>
                <w:color w:val="auto"/>
              </w:rPr>
            </w:pPr>
            <w:r>
              <w:rPr>
                <w:rFonts w:ascii="Arial" w:cs="Arial" w:eastAsia="Arial" w:hAnsi="Arial"/>
                <w:sz w:val="16"/>
                <w:szCs w:val="16"/>
                <w:b w:val="1"/>
                <w:bCs w:val="1"/>
                <w:color w:val="auto"/>
              </w:rPr>
              <w:t>Cost</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rPr>
              <w:t>$’000</w:t>
            </w: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$’000</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$’000</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05"/>
        </w:trPr>
        <w:tc>
          <w:tcPr>
            <w:tcW w:w="226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2010</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68,746</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11,644</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1,325</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1,470</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187,577</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270,762</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20"/>
                <w:szCs w:val="20"/>
                <w:color w:val="auto"/>
              </w:rPr>
            </w:pPr>
            <w:r>
              <w:rPr>
                <w:rFonts w:ascii="Arial" w:cs="Arial" w:eastAsia="Arial" w:hAnsi="Arial"/>
                <w:sz w:val="16"/>
                <w:szCs w:val="16"/>
                <w:color w:val="auto"/>
              </w:rPr>
              <w:t>Additions</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11,962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11,962</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20"/>
                <w:szCs w:val="20"/>
                <w:color w:val="auto"/>
              </w:rPr>
            </w:pPr>
            <w:r>
              <w:rPr>
                <w:rFonts w:ascii="Arial" w:cs="Arial" w:eastAsia="Arial" w:hAnsi="Arial"/>
                <w:sz w:val="16"/>
                <w:szCs w:val="16"/>
                <w:color w:val="auto"/>
              </w:rPr>
              <w:t>Arising on acquisition</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770</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3,505</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4,275</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Prior period acquisition</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2,539*</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09"/>
        </w:trPr>
        <w:tc>
          <w:tcPr>
            <w:tcW w:w="2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movement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(2,840)</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(126)</w:t>
            </w: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(3,752)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(6,718)</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2010</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77,790</w:t>
            </w: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12,288</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1,325</w:t>
            </w: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1,470</w:t>
            </w: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189,869</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282,742</w:t>
            </w:r>
          </w:p>
        </w:tc>
      </w:tr>
      <w:tr>
        <w:trPr>
          <w:trHeight w:val="202"/>
        </w:trPr>
        <w:tc>
          <w:tcPr>
            <w:tcW w:w="2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2380" w:type="dxa"/>
            <w:vAlign w:val="bottom"/>
          </w:tcPr>
          <w:p>
            <w:pPr>
              <w:spacing w:after="0"/>
              <w:rPr>
                <w:sz w:val="20"/>
                <w:szCs w:val="20"/>
                <w:color w:val="auto"/>
              </w:rPr>
            </w:pPr>
            <w:r>
              <w:rPr>
                <w:rFonts w:ascii="Arial" w:cs="Arial" w:eastAsia="Arial" w:hAnsi="Arial"/>
                <w:sz w:val="16"/>
                <w:szCs w:val="16"/>
                <w:b w:val="1"/>
                <w:bCs w:val="1"/>
                <w:color w:val="auto"/>
              </w:rPr>
              <w:t>Amortisation</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At 1 January 2010</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43,282</w:t>
            </w:r>
          </w:p>
        </w:tc>
        <w:tc>
          <w:tcPr>
            <w:tcW w:w="1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3,581</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407</w:t>
            </w:r>
          </w:p>
        </w:tc>
        <w:tc>
          <w:tcPr>
            <w:tcW w:w="12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493</w:t>
            </w:r>
          </w:p>
        </w:tc>
        <w:tc>
          <w:tcPr>
            <w:tcW w:w="11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47,763</w:t>
            </w:r>
          </w:p>
        </w:tc>
      </w:tr>
      <w:tr>
        <w:trPr>
          <w:trHeight w:val="202"/>
        </w:trPr>
        <w:tc>
          <w:tcPr>
            <w:tcW w:w="2380" w:type="dxa"/>
            <w:vAlign w:val="bottom"/>
          </w:tcPr>
          <w:p>
            <w:pPr>
              <w:spacing w:after="0"/>
              <w:rPr>
                <w:sz w:val="20"/>
                <w:szCs w:val="20"/>
                <w:color w:val="auto"/>
              </w:rPr>
            </w:pPr>
            <w:r>
              <w:rPr>
                <w:rFonts w:ascii="Arial" w:cs="Arial" w:eastAsia="Arial" w:hAnsi="Arial"/>
                <w:sz w:val="16"/>
                <w:szCs w:val="16"/>
                <w:color w:val="auto"/>
              </w:rPr>
              <w:t>Amortised in the year</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5,550</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1,747</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217</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490</w:t>
            </w:r>
          </w:p>
        </w:tc>
        <w:tc>
          <w:tcPr>
            <w:tcW w:w="11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8,004</w:t>
            </w:r>
          </w:p>
        </w:tc>
      </w:tr>
      <w:tr>
        <w:trPr>
          <w:trHeight w:val="202"/>
        </w:trPr>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Disposal</w:t>
            </w:r>
          </w:p>
        </w:tc>
        <w:tc>
          <w:tcPr>
            <w:tcW w:w="13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(78)</w:t>
            </w:r>
          </w:p>
        </w:tc>
        <w:tc>
          <w:tcPr>
            <w:tcW w:w="1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9"/>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movement</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(1,727)</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(134)</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r>
      <w:tr>
        <w:trPr>
          <w:trHeight w:val="202"/>
        </w:trPr>
        <w:tc>
          <w:tcPr>
            <w:tcW w:w="2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9"/>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2010</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47,027</w:t>
            </w: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5,194</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624</w:t>
            </w: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983</w:t>
            </w: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53,828</w:t>
            </w:r>
          </w:p>
        </w:tc>
      </w:tr>
      <w:tr>
        <w:trPr>
          <w:trHeight w:val="202"/>
        </w:trPr>
        <w:tc>
          <w:tcPr>
            <w:tcW w:w="2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238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2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At 31 December 2010</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30,763</w:t>
            </w: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7,094</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701</w:t>
            </w: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487</w:t>
            </w: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189,869</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228,914</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5"/>
        </w:trPr>
        <w:tc>
          <w:tcPr>
            <w:tcW w:w="2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2"/>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At 31 December 2009</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25,464</w:t>
            </w: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8,063</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918</w:t>
            </w: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977</w:t>
            </w: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187,577</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222,999</w:t>
            </w:r>
          </w:p>
        </w:tc>
      </w:tr>
      <w:tr>
        <w:trPr>
          <w:trHeight w:val="23"/>
        </w:trPr>
        <w:tc>
          <w:tcPr>
            <w:tcW w:w="2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i w:val="1"/>
          <w:iCs w:val="1"/>
          <w:color w:val="auto"/>
        </w:rPr>
        <w:t>*Further details are outlined in note 13(d).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Amortisation expense of $8.0 million (31 December 2009: $10.2 million) has been charged in ‘other operating expenses’ in the income statement.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ind w:right="7360" w:firstLine="8"/>
        <w:spacing w:after="0" w:line="532" w:lineRule="auto"/>
        <w:tabs>
          <w:tab w:leader="none" w:pos="26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 goodwill and other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Impairment review of goodwill</w:t>
      </w:r>
    </w:p>
    <w:p>
      <w:pPr>
        <w:spacing w:after="0"/>
        <w:rPr>
          <w:sz w:val="20"/>
          <w:szCs w:val="20"/>
          <w:color w:val="auto"/>
        </w:rPr>
      </w:pPr>
      <w:r>
        <w:rPr>
          <w:rFonts w:ascii="Arial" w:cs="Arial" w:eastAsia="Arial" w:hAnsi="Arial"/>
          <w:sz w:val="18"/>
          <w:szCs w:val="18"/>
          <w:i w:val="1"/>
          <w:iCs w:val="1"/>
          <w:color w:val="auto"/>
        </w:rPr>
        <w:t>Cash generating units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Goodwill acquired through business combinations has been allocated to individual cash-generating units (“CGU’s”) that are expected to benefit from the combination. The CGU’s identified represent the lowest level within the Group at which goodwill is monitored and are not larger than the operating segments determined in accordance with IFRS 8 </w:t>
      </w:r>
      <w:r>
        <w:rPr>
          <w:rFonts w:ascii="Arial" w:cs="Arial" w:eastAsia="Arial" w:hAnsi="Arial"/>
          <w:sz w:val="18"/>
          <w:szCs w:val="18"/>
          <w:i w:val="1"/>
          <w:iCs w:val="1"/>
          <w:color w:val="auto"/>
        </w:rPr>
        <w:t>Operating Segments</w:t>
      </w:r>
      <w:r>
        <w:rPr>
          <w:rFonts w:ascii="Arial" w:cs="Arial" w:eastAsia="Arial" w:hAnsi="Arial"/>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w w:val="94"/>
              </w:rPr>
              <w:t xml:space="preserve">The Group has identified two CGU’s in accordance with the provisions of IAS 36 </w:t>
            </w:r>
            <w:r>
              <w:rPr>
                <w:rFonts w:ascii="Arial" w:cs="Arial" w:eastAsia="Arial" w:hAnsi="Arial"/>
                <w:sz w:val="18"/>
                <w:szCs w:val="18"/>
                <w:i w:val="1"/>
                <w:iCs w:val="1"/>
                <w:color w:val="auto"/>
                <w:w w:val="94"/>
              </w:rPr>
              <w:t>Impairment of Assets</w:t>
            </w:r>
            <w:r>
              <w:rPr>
                <w:rFonts w:ascii="Arial" w:cs="Arial" w:eastAsia="Arial" w:hAnsi="Arial"/>
                <w:sz w:val="18"/>
                <w:szCs w:val="18"/>
                <w:color w:val="auto"/>
                <w:w w:val="94"/>
              </w:rPr>
              <w:t xml:space="preserve"> as follows:</w:t>
            </w: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7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7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7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390"/>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5"/>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267,402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189,869</w:t>
            </w:r>
          </w:p>
        </w:tc>
      </w:tr>
      <w:tr>
        <w:trPr>
          <w:trHeight w:val="222"/>
        </w:trPr>
        <w:tc>
          <w:tcPr>
            <w:tcW w:w="8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Central laboratory</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7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0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267,402</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189,869</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 impairment charge was recorded against the carrying value of the goodwill of the Central laboratory segment in a prior period. The remaining goodwill is fully attributable to the Clinical research CGU.</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testing methodology and results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is subject to impairment testing on an annual basis or more frequently if facts or circumstances warrant such a review. As the goodwill relating to the Central laboratory segment was fully impaired in a prior year, the 2011 impairment review consisted of a review of the goodwill applicable to the Clinical research CGU.</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recoverable amount of the Clinical research CGU is determined using a value-in-use computation based upon discounted net present value cash flow projections for the CGU. The cash flow projections are for a period of five years forward together with a terminal value calculated in accordance with the Gordon’s terminal value model. In calculating the terminal value a long-term growth rate of 2% has been applied to the estimated maintainable cash flow in the terminal year.</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Management’s estimates of future cash flows are based upon current budgets and strategic plans and are reflective of anticipated growth rates within the CRO industry, expected growth in the Group’s market share and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Intangible assets – goodwill and other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applied in determining the the five projected cash flows of the Clinical research CGU at 31 December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402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33"/>
        </w:trPr>
        <w:tc>
          <w:tcPr>
            <w:tcW w:w="6100" w:type="dxa"/>
            <w:vAlign w:val="bottom"/>
          </w:tcPr>
          <w:p>
            <w:pPr>
              <w:spacing w:after="0"/>
              <w:rPr>
                <w:sz w:val="20"/>
                <w:szCs w:val="20"/>
                <w:color w:val="auto"/>
              </w:rPr>
            </w:pPr>
          </w:p>
        </w:tc>
        <w:tc>
          <w:tcPr>
            <w:tcW w:w="4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revenue growth rate</w:t>
            </w:r>
          </w:p>
        </w:tc>
        <w:tc>
          <w:tcPr>
            <w:tcW w:w="40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6100" w:type="dxa"/>
            <w:vAlign w:val="bottom"/>
          </w:tcPr>
          <w:p>
            <w:pPr>
              <w:spacing w:after="0"/>
              <w:rPr>
                <w:sz w:val="20"/>
                <w:szCs w:val="20"/>
                <w:color w:val="auto"/>
              </w:rPr>
            </w:pPr>
            <w:r>
              <w:rPr>
                <w:rFonts w:ascii="Arial" w:cs="Arial" w:eastAsia="Arial" w:hAnsi="Arial"/>
                <w:sz w:val="18"/>
                <w:szCs w:val="18"/>
                <w:color w:val="auto"/>
              </w:rPr>
              <w:t>Expected growth rate for operating costs</w:t>
            </w: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8%</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effective tax rate</w:t>
            </w:r>
          </w:p>
        </w:tc>
        <w:tc>
          <w:tcPr>
            <w:tcW w:w="40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6100" w:type="dxa"/>
            <w:vAlign w:val="bottom"/>
          </w:tcPr>
          <w:p>
            <w:pPr>
              <w:spacing w:after="0"/>
              <w:rPr>
                <w:sz w:val="20"/>
                <w:szCs w:val="20"/>
                <w:color w:val="auto"/>
              </w:rPr>
            </w:pPr>
            <w:r>
              <w:rPr>
                <w:rFonts w:ascii="Arial" w:cs="Arial" w:eastAsia="Arial" w:hAnsi="Arial"/>
                <w:sz w:val="18"/>
                <w:szCs w:val="18"/>
                <w:color w:val="auto"/>
              </w:rPr>
              <w:t>Expected movement in creditors</w:t>
            </w:r>
          </w:p>
        </w:tc>
        <w:tc>
          <w:tcPr>
            <w:tcW w:w="4020" w:type="dxa"/>
            <w:vAlign w:val="bottom"/>
          </w:tcPr>
          <w:p>
            <w:pPr>
              <w:jc w:val="right"/>
              <w:ind w:right="250"/>
              <w:spacing w:after="0"/>
              <w:rPr>
                <w:sz w:val="20"/>
                <w:szCs w:val="20"/>
                <w:color w:val="auto"/>
              </w:rPr>
            </w:pPr>
            <w:r>
              <w:rPr>
                <w:rFonts w:ascii="Arial" w:cs="Arial" w:eastAsia="Arial" w:hAnsi="Arial"/>
                <w:sz w:val="18"/>
                <w:szCs w:val="18"/>
                <w:b w:val="1"/>
                <w:bCs w:val="1"/>
                <w:color w:val="auto"/>
              </w:rPr>
              <w:t>8%</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movement in debtors based on DSO*</w:t>
            </w:r>
          </w:p>
        </w:tc>
        <w:tc>
          <w:tcPr>
            <w:tcW w:w="40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50 days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days</w:t>
            </w:r>
          </w:p>
        </w:tc>
      </w:tr>
      <w:tr>
        <w:trPr>
          <w:trHeight w:val="215"/>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capital expenditure growth rate</w:t>
            </w:r>
          </w:p>
        </w:tc>
        <w:tc>
          <w:tcPr>
            <w:tcW w:w="4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*Days sales outstanding (DSO) is a a measure of the number of days in the period that the company takes to collect revenue</w:t>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Expected revenue growth and the expected growth in operating costs are determined based upon the expected growth rates used in preparing the Group’s budgets and strategic plans. In estimating budgeted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18% has been applied in determining the projected after tax cash flows.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increase in DSO used in conducting the current year’s impairment review is reflective of current and anticipated trends in the Group’s DSO. Expected long term DSO’s for the Group are anticipated to be in the range of 45 to 55 days. The Group’s DSO has increased from 37 days at 31 December 2010 to 47 days at 31 December 2011. Creditors’ are expected to increase in line with operating costs. Capital expenditure is expected to increase in line with the Group’s projected capital expenditure investment targets.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discount rate of 8% (2010:10%) has been applied to the projected cash flows of the Clinical research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 The reduction in the discount rate applied in the current year is reflective of a reduction in risk free interest rates (10 year US treasury bonds).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Intangible assets – goodwill and other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excess of the value-in-use of the Clinical research CGU at 31 December 2011, based on the assumptions above, has been calculated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39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6120" w:type="dxa"/>
            <w:vAlign w:val="bottom"/>
          </w:tcPr>
          <w:p>
            <w:pPr>
              <w:spacing w:after="0"/>
              <w:rPr>
                <w:sz w:val="18"/>
                <w:szCs w:val="18"/>
                <w:color w:val="auto"/>
              </w:rPr>
            </w:pPr>
          </w:p>
        </w:tc>
        <w:tc>
          <w:tcPr>
            <w:tcW w:w="39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3"/>
        </w:trPr>
        <w:tc>
          <w:tcPr>
            <w:tcW w:w="6120" w:type="dxa"/>
            <w:vAlign w:val="bottom"/>
          </w:tcPr>
          <w:p>
            <w:pPr>
              <w:spacing w:after="0"/>
              <w:rPr>
                <w:sz w:val="20"/>
                <w:szCs w:val="20"/>
                <w:color w:val="auto"/>
              </w:rPr>
            </w:pPr>
          </w:p>
        </w:tc>
        <w:tc>
          <w:tcPr>
            <w:tcW w:w="39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Value-in use (present value of future cash flows)</w:t>
            </w:r>
          </w:p>
        </w:tc>
        <w:tc>
          <w:tcPr>
            <w:tcW w:w="39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1,920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r>
      <w:tr>
        <w:trPr>
          <w:trHeight w:val="222"/>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amount of the Clinical research CGU</w:t>
            </w:r>
          </w:p>
        </w:tc>
        <w:tc>
          <w:tcPr>
            <w:tcW w:w="3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650</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15"/>
        </w:trPr>
        <w:tc>
          <w:tcPr>
            <w:tcW w:w="6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of value-in-use over carrying value</w:t>
            </w:r>
          </w:p>
        </w:tc>
        <w:tc>
          <w:tcPr>
            <w:tcW w:w="3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1,270</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sensitivity analysis to determine if reasonable changes in key assumptions could lead to an impairment was conducted at 31 December 2011 using the following revised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424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00" w:type="dxa"/>
            <w:vAlign w:val="bottom"/>
          </w:tcPr>
          <w:p>
            <w:pPr>
              <w:jc w:val="right"/>
              <w:spacing w:after="0"/>
              <w:rPr>
                <w:sz w:val="20"/>
                <w:szCs w:val="20"/>
                <w:color w:val="auto"/>
              </w:rPr>
            </w:pPr>
            <w:r>
              <w:rPr>
                <w:rFonts w:ascii="Arial" w:cs="Arial" w:eastAsia="Arial" w:hAnsi="Arial"/>
                <w:sz w:val="18"/>
                <w:szCs w:val="18"/>
                <w:color w:val="auto"/>
              </w:rPr>
              <w:t>31 December</w:t>
            </w:r>
          </w:p>
        </w:tc>
      </w:tr>
      <w:tr>
        <w:trPr>
          <w:trHeight w:val="233"/>
        </w:trPr>
        <w:tc>
          <w:tcPr>
            <w:tcW w:w="5880" w:type="dxa"/>
            <w:vAlign w:val="bottom"/>
          </w:tcPr>
          <w:p>
            <w:pPr>
              <w:spacing w:after="0"/>
              <w:rPr>
                <w:sz w:val="20"/>
                <w:szCs w:val="20"/>
                <w:color w:val="auto"/>
              </w:rPr>
            </w:pPr>
          </w:p>
        </w:tc>
        <w:tc>
          <w:tcPr>
            <w:tcW w:w="42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5"/>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revenue growth rate</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5880" w:type="dxa"/>
            <w:vAlign w:val="bottom"/>
          </w:tcPr>
          <w:p>
            <w:pPr>
              <w:spacing w:after="0"/>
              <w:rPr>
                <w:sz w:val="20"/>
                <w:szCs w:val="20"/>
                <w:color w:val="auto"/>
              </w:rPr>
            </w:pPr>
            <w:r>
              <w:rPr>
                <w:rFonts w:ascii="Arial" w:cs="Arial" w:eastAsia="Arial" w:hAnsi="Arial"/>
                <w:sz w:val="18"/>
                <w:szCs w:val="18"/>
                <w:color w:val="auto"/>
              </w:rPr>
              <w:t>Expected growth rate for operating costs</w:t>
            </w:r>
          </w:p>
        </w:tc>
        <w:tc>
          <w:tcPr>
            <w:tcW w:w="4240" w:type="dxa"/>
            <w:vAlign w:val="bottom"/>
          </w:tcPr>
          <w:p>
            <w:pPr>
              <w:jc w:val="right"/>
              <w:ind w:right="250"/>
              <w:spacing w:after="0"/>
              <w:rPr>
                <w:sz w:val="20"/>
                <w:szCs w:val="20"/>
                <w:color w:val="auto"/>
              </w:rPr>
            </w:pPr>
            <w:r>
              <w:rPr>
                <w:rFonts w:ascii="Arial" w:cs="Arial" w:eastAsia="Arial" w:hAnsi="Arial"/>
                <w:sz w:val="18"/>
                <w:szCs w:val="18"/>
                <w:b w:val="1"/>
                <w:bCs w:val="1"/>
                <w:color w:val="auto"/>
              </w:rPr>
              <w:t>3%</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capital expenditure growth rate</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5"/>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*All other inputs remained constant.</w:t>
      </w:r>
    </w:p>
    <w:p>
      <w:pPr>
        <w:spacing w:after="0" w:line="2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revised excess of the value-in-use of the Clinical research CGU at 31 December 2011, using the alternative assumptions above, has been calculated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36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6420" w:type="dxa"/>
            <w:vAlign w:val="bottom"/>
          </w:tcPr>
          <w:p>
            <w:pPr>
              <w:spacing w:after="0"/>
              <w:rPr>
                <w:sz w:val="18"/>
                <w:szCs w:val="18"/>
                <w:color w:val="auto"/>
              </w:rPr>
            </w:pPr>
          </w:p>
        </w:tc>
        <w:tc>
          <w:tcPr>
            <w:tcW w:w="36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3"/>
        </w:trPr>
        <w:tc>
          <w:tcPr>
            <w:tcW w:w="6420" w:type="dxa"/>
            <w:vAlign w:val="bottom"/>
          </w:tcPr>
          <w:p>
            <w:pPr>
              <w:spacing w:after="0"/>
              <w:rPr>
                <w:sz w:val="20"/>
                <w:szCs w:val="20"/>
                <w:color w:val="auto"/>
              </w:rPr>
            </w:pPr>
          </w:p>
        </w:tc>
        <w:tc>
          <w:tcPr>
            <w:tcW w:w="36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Revised value-in use (present value of future cash flows)</w:t>
            </w:r>
          </w:p>
        </w:tc>
        <w:tc>
          <w:tcPr>
            <w:tcW w:w="36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920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r>
      <w:tr>
        <w:trPr>
          <w:trHeight w:val="222"/>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Carrying amount of the Clinical research CGU</w:t>
            </w:r>
          </w:p>
        </w:tc>
        <w:tc>
          <w:tcPr>
            <w:tcW w:w="3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650</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15"/>
        </w:trPr>
        <w:tc>
          <w:tcPr>
            <w:tcW w:w="64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Revised excess of value-in-use over carrying value</w:t>
            </w:r>
          </w:p>
        </w:tc>
        <w:tc>
          <w:tcPr>
            <w:tcW w:w="3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270</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As the excess of the recoverable amount over the carrying value of the cash generating unit was maintained despite changes in key assumptons, management have concluded that no reasonable change in key assumptions would result in an impairment of the Clinical research CGU.</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acquisitions below have been accounted for as business combinations in accordance with the revised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Acquisition of Firecrest Clinical</w:t>
      </w:r>
    </w:p>
    <w:p>
      <w:pPr>
        <w:spacing w:after="0" w:line="2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14 July 2011 the Group acquired 100% of the common stock of Firecrest Clinical Limited (“Firecrest”), a market leading provider of technology solutions that boost investigator site performance and study management, for an initial cash consideration of €17.0 million ($24.1million). Headquartered in Limerick, Ireland, Firecrest Clinical provides a comprehensive site performance management system that is used to improve compliance consistency and execution of activities at investigator sites. Further consideration of up to €33.0 million ($46.8 million) may become payable if certain performance milestones are achieved in the period to 30 June 2013. At 31 December 2011 the Group has recorded a liability of €31.3 million ($40.6 million) in relation to these performance milestones. On 16 March 2012, the Group paid €3.0 million ($4.0 million) in respect of the first element of additional consideration payable upon the achievement of these performance milestones. In addition, the acquisition agreement provided for certain working capital targets to be achieved by Firecrest on completion. On 16 March 2012, the Group paid an additional €0.4 million ($0.5 million) in respect of this review.</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acquisition of Firecrest has been accounted for as a business combination in accordance with IFRS 3 Business Combinations. The following table summarises the estimated fair values of the assets acquired and the liabilities assumed: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334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5"/>
        </w:trPr>
        <w:tc>
          <w:tcPr>
            <w:tcW w:w="5180" w:type="dxa"/>
            <w:vAlign w:val="bottom"/>
          </w:tcPr>
          <w:p>
            <w:pPr>
              <w:spacing w:after="0"/>
              <w:rPr>
                <w:sz w:val="18"/>
                <w:szCs w:val="18"/>
                <w:color w:val="auto"/>
              </w:rPr>
            </w:pPr>
          </w:p>
        </w:tc>
        <w:tc>
          <w:tcPr>
            <w:tcW w:w="33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w:t>
            </w:r>
          </w:p>
        </w:tc>
        <w:tc>
          <w:tcPr>
            <w:tcW w:w="1300" w:type="dxa"/>
            <w:vAlign w:val="bottom"/>
          </w:tcPr>
          <w:p>
            <w:pPr>
              <w:spacing w:after="0"/>
              <w:rPr>
                <w:sz w:val="18"/>
                <w:szCs w:val="18"/>
                <w:color w:val="auto"/>
              </w:rPr>
            </w:pPr>
          </w:p>
        </w:tc>
      </w:tr>
      <w:tr>
        <w:trPr>
          <w:trHeight w:val="233"/>
        </w:trPr>
        <w:tc>
          <w:tcPr>
            <w:tcW w:w="5180" w:type="dxa"/>
            <w:vAlign w:val="bottom"/>
          </w:tcPr>
          <w:p>
            <w:pPr>
              <w:spacing w:after="0"/>
              <w:rPr>
                <w:sz w:val="20"/>
                <w:szCs w:val="20"/>
                <w:color w:val="auto"/>
              </w:rPr>
            </w:pPr>
          </w:p>
        </w:tc>
        <w:tc>
          <w:tcPr>
            <w:tcW w:w="334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687</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3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48,073</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48,073</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technology asset</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11,169</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11,169</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Intangible asset – customer relationships</w:t>
            </w:r>
          </w:p>
        </w:tc>
        <w:tc>
          <w:tcPr>
            <w:tcW w:w="3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5,243</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5,243</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order backlog</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1,172</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Intangible asset - trade name</w:t>
            </w:r>
          </w:p>
        </w:tc>
        <w:tc>
          <w:tcPr>
            <w:tcW w:w="3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1,357</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1,357</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1,965</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Other current assets</w:t>
            </w:r>
          </w:p>
        </w:tc>
        <w:tc>
          <w:tcPr>
            <w:tcW w:w="3340" w:type="dxa"/>
            <w:vAlign w:val="bottom"/>
          </w:tcPr>
          <w:p>
            <w:pPr>
              <w:jc w:val="right"/>
              <w:ind w:right="290"/>
              <w:spacing w:after="0"/>
              <w:rPr>
                <w:sz w:val="20"/>
                <w:szCs w:val="20"/>
                <w:color w:val="auto"/>
              </w:rPr>
            </w:pPr>
            <w:r>
              <w:rPr>
                <w:rFonts w:ascii="Arial" w:cs="Arial" w:eastAsia="Arial" w:hAnsi="Arial"/>
                <w:sz w:val="18"/>
                <w:szCs w:val="18"/>
                <w:color w:val="auto"/>
              </w:rPr>
              <w:t>846</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2,867</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340" w:type="dxa"/>
            <w:vAlign w:val="bottom"/>
          </w:tcPr>
          <w:p>
            <w:pPr>
              <w:jc w:val="right"/>
              <w:ind w:right="230"/>
              <w:spacing w:after="0"/>
              <w:rPr>
                <w:sz w:val="20"/>
                <w:szCs w:val="20"/>
                <w:color w:val="auto"/>
              </w:rPr>
            </w:pPr>
            <w:r>
              <w:rPr>
                <w:rFonts w:ascii="Arial" w:cs="Arial" w:eastAsia="Arial" w:hAnsi="Arial"/>
                <w:sz w:val="18"/>
                <w:szCs w:val="18"/>
                <w:color w:val="auto"/>
              </w:rPr>
              <w:t>(2,367)</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(2,367)</w:t>
            </w:r>
          </w:p>
        </w:tc>
      </w:tr>
      <w:tr>
        <w:trPr>
          <w:trHeight w:val="222"/>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(2,521)</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15"/>
        </w:trPr>
        <w:tc>
          <w:tcPr>
            <w:tcW w:w="5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33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68,491</w:t>
            </w:r>
          </w:p>
        </w:tc>
      </w:tr>
    </w:tbl>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and is not tax deductible.</w:t>
      </w:r>
    </w:p>
    <w:p>
      <w:pPr>
        <w:spacing w:after="0" w:line="17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carrying values of accounts receivable in the above table are carried at amortised cost and assumed to be approximate to their fair values due to the short term nature of these balances. There is no evidence that the Group will not be able to collect all amounts due within the above acquired accounts receivable.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proforma effect of the Firecrest acquisition if completed on 1 January 2010 would have resulted in net revenue and profit for the financial years ended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2010 and 31 December 2011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438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5660" w:type="dxa"/>
            <w:vAlign w:val="bottom"/>
          </w:tcPr>
          <w:p>
            <w:pPr>
              <w:spacing w:after="0"/>
              <w:rPr>
                <w:sz w:val="18"/>
                <w:szCs w:val="18"/>
                <w:color w:val="auto"/>
              </w:rPr>
            </w:pPr>
          </w:p>
        </w:tc>
        <w:tc>
          <w:tcPr>
            <w:tcW w:w="43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660" w:type="dxa"/>
            <w:vAlign w:val="bottom"/>
          </w:tcPr>
          <w:p>
            <w:pPr>
              <w:spacing w:after="0"/>
              <w:rPr>
                <w:sz w:val="18"/>
                <w:szCs w:val="18"/>
                <w:color w:val="auto"/>
              </w:rPr>
            </w:pPr>
          </w:p>
        </w:tc>
        <w:tc>
          <w:tcPr>
            <w:tcW w:w="4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660" w:type="dxa"/>
            <w:vAlign w:val="bottom"/>
          </w:tcPr>
          <w:p>
            <w:pPr>
              <w:spacing w:after="0"/>
              <w:rPr>
                <w:sz w:val="20"/>
                <w:szCs w:val="20"/>
                <w:color w:val="auto"/>
              </w:rPr>
            </w:pPr>
          </w:p>
        </w:tc>
        <w:tc>
          <w:tcPr>
            <w:tcW w:w="43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4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952,729</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906,311</w:t>
            </w:r>
          </w:p>
        </w:tc>
      </w:tr>
      <w:tr>
        <w:trPr>
          <w:trHeight w:val="42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Profit for the year</w:t>
            </w:r>
          </w:p>
        </w:tc>
        <w:tc>
          <w:tcPr>
            <w:tcW w:w="4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24,181</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85,228</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51"/>
        </w:trPr>
        <w:tc>
          <w:tcPr>
            <w:tcW w:w="5660" w:type="dxa"/>
            <w:vAlign w:val="bottom"/>
          </w:tcPr>
          <w:p>
            <w:pPr>
              <w:spacing w:after="0"/>
              <w:rPr>
                <w:sz w:val="20"/>
                <w:szCs w:val="20"/>
                <w:color w:val="auto"/>
              </w:rPr>
            </w:pPr>
            <w:r>
              <w:rPr>
                <w:rFonts w:ascii="Arial" w:cs="Arial" w:eastAsia="Arial" w:hAnsi="Arial"/>
                <w:sz w:val="18"/>
                <w:szCs w:val="18"/>
                <w:i w:val="1"/>
                <w:iCs w:val="1"/>
                <w:color w:val="auto"/>
              </w:rPr>
              <w:t>(b) Acquisition of Oxford Outcomes</w:t>
            </w:r>
          </w:p>
        </w:tc>
        <w:tc>
          <w:tcPr>
            <w:tcW w:w="43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14 January 2011 the Group acquired approximately 80% of the common stock of Oxford Outcomes Limited (“Oxford Outcomes”), a leading international health outcomes consultancy business, for an initial cash consideration of £17.8 million ($27.6 million). Headquartered in Oxford, United Kingdom, and with offices in the USA and Canada, Oxford Outcomes provides specialist services in the areas of patient reported outcomes (PRO), health economics, epidemiology and translation and linguistic validation. Further consideration of up to £6.5 million ($10.1 million) may become payable in respect of the period to 31 March 2012 if certain performance milestones are achieved. In July 2011 the Group paid £3.3 million ($5.1 million) in respect of the first element of this additional consideration. The Group has recorded a liability of £3.2 million ($4.9 million) at 31 December 2011 in respect of the remaining performance milestones. The acquisition agreement also provided for certain working capital targets to be achieved by Oxford Outcomes on completion. In May 2011 the Group paid an additional £3.3 million ($5.1 million) in respect of certain elements of this review. A liability for a further £0.8 million ($1.2 million) was recorded at 31 December 2011 in respect of the remaining elements of this review. These amounts were paid in March 2012.</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14 January 2011, a put and call option was also agreed between the Group and the selling shareholders for the acquisition of the remaining common stock of Oxford Outcomes during the year ended December 31, 2011 for cash consideration of £3.8 million ($6.0 million). Further consideration of up to £1.5 million ($2.3 million) relating to this remaining common stock may become payable during the period to 31 March 2012 if certain performance milestones are achieved. On 20 October 2011 this option was exercised and £3.8 million ($6.0 million) was paid by the Group to the selling shareholders together with a further £0.7 million ($1.1 million) in respect of the first element of amounts due in respect of the performance milestones. The Group has recorded a liability of £0.8 million ($1.2 million) at 31 December 2011 in respect of the remaining performance milestones.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The acquisition of Oxford Outcomes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estimated fair values of the assets acquired and the liabilities assumed: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334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5"/>
        </w:trPr>
        <w:tc>
          <w:tcPr>
            <w:tcW w:w="5180" w:type="dxa"/>
            <w:vAlign w:val="bottom"/>
          </w:tcPr>
          <w:p>
            <w:pPr>
              <w:spacing w:after="0"/>
              <w:rPr>
                <w:sz w:val="18"/>
                <w:szCs w:val="18"/>
                <w:color w:val="auto"/>
              </w:rPr>
            </w:pPr>
          </w:p>
        </w:tc>
        <w:tc>
          <w:tcPr>
            <w:tcW w:w="33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w:t>
            </w:r>
          </w:p>
        </w:tc>
        <w:tc>
          <w:tcPr>
            <w:tcW w:w="1300" w:type="dxa"/>
            <w:vAlign w:val="bottom"/>
          </w:tcPr>
          <w:p>
            <w:pPr>
              <w:spacing w:after="0"/>
              <w:rPr>
                <w:sz w:val="18"/>
                <w:szCs w:val="18"/>
                <w:color w:val="auto"/>
              </w:rPr>
            </w:pPr>
          </w:p>
        </w:tc>
      </w:tr>
      <w:tr>
        <w:trPr>
          <w:trHeight w:val="233"/>
        </w:trPr>
        <w:tc>
          <w:tcPr>
            <w:tcW w:w="5180" w:type="dxa"/>
            <w:vAlign w:val="bottom"/>
          </w:tcPr>
          <w:p>
            <w:pPr>
              <w:spacing w:after="0"/>
              <w:rPr>
                <w:sz w:val="20"/>
                <w:szCs w:val="20"/>
                <w:color w:val="auto"/>
              </w:rPr>
            </w:pPr>
          </w:p>
        </w:tc>
        <w:tc>
          <w:tcPr>
            <w:tcW w:w="334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490</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3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35,583</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35,583</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6,648</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618</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6,335</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6,335</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Other current assets</w:t>
            </w:r>
          </w:p>
        </w:tc>
        <w:tc>
          <w:tcPr>
            <w:tcW w:w="3340" w:type="dxa"/>
            <w:vAlign w:val="bottom"/>
          </w:tcPr>
          <w:p>
            <w:pPr>
              <w:jc w:val="right"/>
              <w:ind w:right="290"/>
              <w:spacing w:after="0"/>
              <w:rPr>
                <w:sz w:val="20"/>
                <w:szCs w:val="20"/>
                <w:color w:val="auto"/>
              </w:rPr>
            </w:pPr>
            <w:r>
              <w:rPr>
                <w:rFonts w:ascii="Arial" w:cs="Arial" w:eastAsia="Arial" w:hAnsi="Arial"/>
                <w:sz w:val="18"/>
                <w:szCs w:val="18"/>
                <w:color w:val="auto"/>
              </w:rPr>
              <w:t>1,354</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1,354</w:t>
            </w:r>
          </w:p>
        </w:tc>
      </w:tr>
      <w:tr>
        <w:trPr>
          <w:trHeight w:val="215"/>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5,438</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5,438</w:t>
            </w:r>
          </w:p>
        </w:tc>
      </w:tr>
      <w:tr>
        <w:trPr>
          <w:trHeight w:val="215"/>
        </w:trPr>
        <w:tc>
          <w:tcPr>
            <w:tcW w:w="51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340" w:type="dxa"/>
            <w:vAlign w:val="bottom"/>
          </w:tcPr>
          <w:p>
            <w:pPr>
              <w:jc w:val="right"/>
              <w:ind w:right="230"/>
              <w:spacing w:after="0"/>
              <w:rPr>
                <w:sz w:val="20"/>
                <w:szCs w:val="20"/>
                <w:color w:val="auto"/>
              </w:rPr>
            </w:pPr>
            <w:r>
              <w:rPr>
                <w:rFonts w:ascii="Arial" w:cs="Arial" w:eastAsia="Arial" w:hAnsi="Arial"/>
                <w:sz w:val="18"/>
                <w:szCs w:val="18"/>
                <w:color w:val="auto"/>
              </w:rPr>
              <w:t>(2,003)</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22"/>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(2,128)</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15"/>
        </w:trPr>
        <w:tc>
          <w:tcPr>
            <w:tcW w:w="5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33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52,335</w:t>
            </w: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Goodwill represents the cost of established workforce with experience in specialist services in the areas of patient reported outcomes (PRO), health economics, epidemiology and translation and linguistic validation. Goodwill is not tax deductible.</w:t>
      </w:r>
    </w:p>
    <w:p>
      <w:pPr>
        <w:spacing w:after="0" w:line="198"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carrying values of accounts receivable in the above table are carried at amortised cost and assumed to be approximate to their fair values due to the short term nature of these balances. There is no evidence that the Group will not be able to collect all amounts due within the above acquired accounts receivables.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proforma effect of the Oxford Outcomes acquisition if completed on 1 January 2010 would have resulted in net revenue and profit for the financial years ended 31 December 2010 and 31 December 2011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660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3460" w:type="dxa"/>
            <w:vAlign w:val="bottom"/>
          </w:tcPr>
          <w:p>
            <w:pPr>
              <w:spacing w:after="0"/>
              <w:rPr>
                <w:sz w:val="18"/>
                <w:szCs w:val="18"/>
                <w:color w:val="auto"/>
              </w:rPr>
            </w:pPr>
          </w:p>
        </w:tc>
        <w:tc>
          <w:tcPr>
            <w:tcW w:w="660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31December</w:t>
            </w:r>
          </w:p>
        </w:tc>
      </w:tr>
      <w:tr>
        <w:trPr>
          <w:trHeight w:val="215"/>
        </w:trPr>
        <w:tc>
          <w:tcPr>
            <w:tcW w:w="3460" w:type="dxa"/>
            <w:vAlign w:val="bottom"/>
          </w:tcPr>
          <w:p>
            <w:pPr>
              <w:spacing w:after="0"/>
              <w:rPr>
                <w:sz w:val="18"/>
                <w:szCs w:val="18"/>
                <w:color w:val="auto"/>
              </w:rPr>
            </w:pPr>
          </w:p>
        </w:tc>
        <w:tc>
          <w:tcPr>
            <w:tcW w:w="66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3460" w:type="dxa"/>
            <w:vAlign w:val="bottom"/>
          </w:tcPr>
          <w:p>
            <w:pPr>
              <w:spacing w:after="0"/>
              <w:rPr>
                <w:sz w:val="20"/>
                <w:szCs w:val="20"/>
                <w:color w:val="auto"/>
              </w:rPr>
            </w:pPr>
          </w:p>
        </w:tc>
        <w:tc>
          <w:tcPr>
            <w:tcW w:w="660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4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5"/>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945,729</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919,524</w:t>
            </w:r>
          </w:p>
        </w:tc>
      </w:tr>
      <w:tr>
        <w:trPr>
          <w:trHeight w:val="209"/>
        </w:trPr>
        <w:tc>
          <w:tcPr>
            <w:tcW w:w="34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5"/>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6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21,210</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90,625</w:t>
            </w:r>
          </w:p>
        </w:tc>
      </w:tr>
      <w:tr>
        <w:trPr>
          <w:trHeight w:val="599"/>
        </w:trPr>
        <w:tc>
          <w:tcPr>
            <w:tcW w:w="3460" w:type="dxa"/>
            <w:vAlign w:val="bottom"/>
          </w:tcPr>
          <w:p>
            <w:pPr>
              <w:spacing w:after="0"/>
              <w:rPr>
                <w:sz w:val="24"/>
                <w:szCs w:val="24"/>
                <w:color w:val="auto"/>
              </w:rPr>
            </w:pPr>
          </w:p>
        </w:tc>
        <w:tc>
          <w:tcPr>
            <w:tcW w:w="6600" w:type="dxa"/>
            <w:vAlign w:val="bottom"/>
          </w:tcPr>
          <w:p>
            <w:pPr>
              <w:jc w:val="right"/>
              <w:ind w:right="4170"/>
              <w:spacing w:after="0"/>
              <w:rPr>
                <w:sz w:val="20"/>
                <w:szCs w:val="20"/>
                <w:color w:val="auto"/>
              </w:rPr>
            </w:pPr>
            <w:r>
              <w:rPr>
                <w:rFonts w:ascii="Arial" w:cs="Arial" w:eastAsia="Arial" w:hAnsi="Arial"/>
                <w:sz w:val="18"/>
                <w:szCs w:val="18"/>
                <w:color w:val="auto"/>
              </w:rPr>
              <w:t>95</w:t>
            </w:r>
          </w:p>
        </w:tc>
        <w:tc>
          <w:tcPr>
            <w:tcW w:w="1360" w:type="dxa"/>
            <w:vAlign w:val="bottom"/>
          </w:tcPr>
          <w:p>
            <w:pPr>
              <w:spacing w:after="0"/>
              <w:rPr>
                <w:sz w:val="24"/>
                <w:szCs w:val="24"/>
                <w:color w:val="auto"/>
              </w:rPr>
            </w:pPr>
          </w:p>
        </w:tc>
      </w:tr>
      <w:tr>
        <w:trPr>
          <w:trHeight w:val="117"/>
        </w:trPr>
        <w:tc>
          <w:tcPr>
            <w:tcW w:w="3460" w:type="dxa"/>
            <w:vAlign w:val="bottom"/>
            <w:tcBorders>
              <w:bottom w:val="single" w:sz="8" w:color="808080"/>
            </w:tcBorders>
          </w:tcPr>
          <w:p>
            <w:pPr>
              <w:spacing w:after="0"/>
              <w:rPr>
                <w:sz w:val="10"/>
                <w:szCs w:val="10"/>
                <w:color w:val="auto"/>
              </w:rPr>
            </w:pPr>
          </w:p>
        </w:tc>
        <w:tc>
          <w:tcPr>
            <w:tcW w:w="66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Prior period acquisition of Timaq Medical Imaging</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17 May 2010 the Group acquired Timaq Medical Imaging (“Timaq”), a European provider of advanced imaging services to the pharmaceutical and biotechnology industry located in Zurich, Switzerland. The Company was acquired for an initial cash consideration of CHF 1.3 million ($1.2 million), with additional consideration of up to CHF 2.9 million ($2.6 million) payable if certain performance milestones are achieved by the Group. The Group accrued CHF 2.9 million ($2.6 million) in relation to the additional consideration at date of acquisition.</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5 November 2010, the first element of these performance milestones was achieved requiring deferred payments of CHF 0.3 million ($0.3 million) to the selling shareholders in each of the years ended 31 December 2010, 31 December 2011 and 31 December 2012. As at 31 December 2011 CHF 0.6 million ($0.6 million) has been paid by the Group and a further CHF 0.3 million ($0.3 million) has been recorded as a liability in respect of the payment due in 2012. Further consideration of up to CHF 2.0 million is payable if the remaining performance milestones are achieved during the years ended 31 December 2010 to 31 December 2012. During the year ended 31 December 2011 the Group assessed the likelihood of the remaining milestones being achieved as remote and consequently has released CHF 2.0 million ($1.7 million) previously accrued in relation to these milestones</w:t>
      </w:r>
      <w:r>
        <w:rPr>
          <w:rFonts w:ascii="Arial" w:cs="Arial" w:eastAsia="Arial" w:hAnsi="Arial"/>
          <w:sz w:val="17"/>
          <w:szCs w:val="17"/>
          <w:i w:val="1"/>
          <w:iCs w:val="1"/>
          <w:color w:val="auto"/>
        </w:rPr>
        <w:t>.</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fair values of the assets acquired and the liabilities assumed: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30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5"/>
        </w:trPr>
        <w:tc>
          <w:tcPr>
            <w:tcW w:w="5220" w:type="dxa"/>
            <w:vAlign w:val="bottom"/>
          </w:tcPr>
          <w:p>
            <w:pPr>
              <w:spacing w:after="0"/>
              <w:rPr>
                <w:sz w:val="18"/>
                <w:szCs w:val="18"/>
                <w:color w:val="auto"/>
              </w:rPr>
            </w:pPr>
          </w:p>
        </w:tc>
        <w:tc>
          <w:tcPr>
            <w:tcW w:w="330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w:t>
            </w:r>
          </w:p>
        </w:tc>
        <w:tc>
          <w:tcPr>
            <w:tcW w:w="1300" w:type="dxa"/>
            <w:vAlign w:val="bottom"/>
          </w:tcPr>
          <w:p>
            <w:pPr>
              <w:spacing w:after="0"/>
              <w:rPr>
                <w:sz w:val="18"/>
                <w:szCs w:val="18"/>
                <w:color w:val="auto"/>
              </w:rPr>
            </w:pPr>
          </w:p>
        </w:tc>
      </w:tr>
      <w:tr>
        <w:trPr>
          <w:trHeight w:val="233"/>
        </w:trPr>
        <w:tc>
          <w:tcPr>
            <w:tcW w:w="5220" w:type="dxa"/>
            <w:vAlign w:val="bottom"/>
          </w:tcPr>
          <w:p>
            <w:pPr>
              <w:spacing w:after="0"/>
              <w:rPr>
                <w:sz w:val="20"/>
                <w:szCs w:val="20"/>
                <w:color w:val="auto"/>
              </w:rPr>
            </w:pPr>
          </w:p>
        </w:tc>
        <w:tc>
          <w:tcPr>
            <w:tcW w:w="33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107</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Goodwill</w:t>
            </w:r>
          </w:p>
        </w:tc>
        <w:tc>
          <w:tcPr>
            <w:tcW w:w="3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3,505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3,505</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customer relationships</w:t>
            </w:r>
          </w:p>
        </w:tc>
        <w:tc>
          <w:tcPr>
            <w:tcW w:w="3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770</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Other current assets</w:t>
            </w:r>
          </w:p>
        </w:tc>
        <w:tc>
          <w:tcPr>
            <w:tcW w:w="3300" w:type="dxa"/>
            <w:vAlign w:val="bottom"/>
          </w:tcPr>
          <w:p>
            <w:pPr>
              <w:jc w:val="right"/>
              <w:ind w:right="290"/>
              <w:spacing w:after="0"/>
              <w:rPr>
                <w:sz w:val="20"/>
                <w:szCs w:val="20"/>
                <w:color w:val="auto"/>
              </w:rPr>
            </w:pPr>
            <w:r>
              <w:rPr>
                <w:rFonts w:ascii="Arial" w:cs="Arial" w:eastAsia="Arial" w:hAnsi="Arial"/>
                <w:sz w:val="18"/>
                <w:szCs w:val="18"/>
                <w:color w:val="auto"/>
              </w:rPr>
              <w:t>160</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22"/>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(719)</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15"/>
        </w:trPr>
        <w:tc>
          <w:tcPr>
            <w:tcW w:w="5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33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3,823</w:t>
            </w:r>
          </w:p>
        </w:tc>
      </w:tr>
    </w:tbl>
    <w:p>
      <w:pPr>
        <w:spacing w:after="0" w:line="22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pharmaceutical and biotechnology customers in the European market.</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proforma effect of the Timaq Medical Imaging acquisition if completed on 1 January 2009 would have resulted in net revenue and profit for the financial years ended 31 December 2009 and 31 December 2010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658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3460" w:type="dxa"/>
            <w:vAlign w:val="bottom"/>
          </w:tcPr>
          <w:p>
            <w:pPr>
              <w:spacing w:after="0"/>
              <w:rPr>
                <w:sz w:val="18"/>
                <w:szCs w:val="18"/>
                <w:color w:val="auto"/>
              </w:rPr>
            </w:pPr>
          </w:p>
        </w:tc>
        <w:tc>
          <w:tcPr>
            <w:tcW w:w="65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460" w:type="dxa"/>
            <w:vAlign w:val="bottom"/>
          </w:tcPr>
          <w:p>
            <w:pPr>
              <w:spacing w:after="0"/>
              <w:rPr>
                <w:sz w:val="18"/>
                <w:szCs w:val="18"/>
                <w:color w:val="auto"/>
              </w:rPr>
            </w:pPr>
          </w:p>
        </w:tc>
        <w:tc>
          <w:tcPr>
            <w:tcW w:w="65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2009</w:t>
            </w:r>
          </w:p>
        </w:tc>
      </w:tr>
      <w:tr>
        <w:trPr>
          <w:trHeight w:val="234"/>
        </w:trPr>
        <w:tc>
          <w:tcPr>
            <w:tcW w:w="3460" w:type="dxa"/>
            <w:vAlign w:val="bottom"/>
          </w:tcPr>
          <w:p>
            <w:pPr>
              <w:spacing w:after="0"/>
              <w:rPr>
                <w:sz w:val="20"/>
                <w:szCs w:val="20"/>
                <w:color w:val="auto"/>
              </w:rPr>
            </w:pPr>
          </w:p>
        </w:tc>
        <w:tc>
          <w:tcPr>
            <w:tcW w:w="65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4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900,370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888,929</w:t>
            </w:r>
          </w:p>
        </w:tc>
      </w:tr>
      <w:tr>
        <w:trPr>
          <w:trHeight w:val="209"/>
        </w:trPr>
        <w:tc>
          <w:tcPr>
            <w:tcW w:w="34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6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86,647</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96,675</w:t>
            </w:r>
          </w:p>
        </w:tc>
      </w:tr>
      <w:tr>
        <w:trPr>
          <w:trHeight w:val="599"/>
        </w:trPr>
        <w:tc>
          <w:tcPr>
            <w:tcW w:w="3460" w:type="dxa"/>
            <w:vAlign w:val="bottom"/>
          </w:tcPr>
          <w:p>
            <w:pPr>
              <w:spacing w:after="0"/>
              <w:rPr>
                <w:sz w:val="24"/>
                <w:szCs w:val="24"/>
                <w:color w:val="auto"/>
              </w:rPr>
            </w:pPr>
          </w:p>
        </w:tc>
        <w:tc>
          <w:tcPr>
            <w:tcW w:w="6580" w:type="dxa"/>
            <w:vAlign w:val="bottom"/>
          </w:tcPr>
          <w:p>
            <w:pPr>
              <w:jc w:val="right"/>
              <w:ind w:right="4150"/>
              <w:spacing w:after="0"/>
              <w:rPr>
                <w:sz w:val="20"/>
                <w:szCs w:val="20"/>
                <w:color w:val="auto"/>
              </w:rPr>
            </w:pPr>
            <w:r>
              <w:rPr>
                <w:rFonts w:ascii="Arial" w:cs="Arial" w:eastAsia="Arial" w:hAnsi="Arial"/>
                <w:sz w:val="18"/>
                <w:szCs w:val="18"/>
                <w:color w:val="auto"/>
              </w:rPr>
              <w:t>96</w:t>
            </w:r>
          </w:p>
        </w:tc>
        <w:tc>
          <w:tcPr>
            <w:tcW w:w="1380" w:type="dxa"/>
            <w:vAlign w:val="bottom"/>
          </w:tcPr>
          <w:p>
            <w:pPr>
              <w:spacing w:after="0"/>
              <w:rPr>
                <w:sz w:val="24"/>
                <w:szCs w:val="24"/>
                <w:color w:val="auto"/>
              </w:rPr>
            </w:pPr>
          </w:p>
        </w:tc>
      </w:tr>
      <w:tr>
        <w:trPr>
          <w:trHeight w:val="117"/>
        </w:trPr>
        <w:tc>
          <w:tcPr>
            <w:tcW w:w="3460" w:type="dxa"/>
            <w:vAlign w:val="bottom"/>
            <w:tcBorders>
              <w:bottom w:val="single" w:sz="8" w:color="808080"/>
            </w:tcBorders>
          </w:tcPr>
          <w:p>
            <w:pPr>
              <w:spacing w:after="0"/>
              <w:rPr>
                <w:sz w:val="10"/>
                <w:szCs w:val="10"/>
                <w:color w:val="auto"/>
              </w:rPr>
            </w:pPr>
          </w:p>
        </w:tc>
        <w:tc>
          <w:tcPr>
            <w:tcW w:w="6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Prior period acquisition of Healthcare Discoveries Inc.</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11 February 2008 the Group acquired 100% of the common stock of Healthcare Discoveries Inc. for an initial cash consideration of $11.1 million, excluding costs of acquisition. Healthcare Discoveries, located in San Antonio, Texas, is engaged in the provision of Phase I clinical trial services. Certain performance milestones were built into the acquisition agreement requiring payment of additional consideration of up to $10.0 million if these milestones were achieved during the year ended 31 December 2008. On 3 September 2010, $2.2 million was paid to the former shareholders of Healthcare Discoveries Inc. in full and final settlement of the outstanding consideration payable.</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acquisition of Healthcare Discoveries has been accounted for as a business combination in accordance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summarises the fair values of the assets acquired and the liabilities assumed at the date of acquisition.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30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spacing w:after="0"/>
              <w:rPr>
                <w:sz w:val="18"/>
                <w:szCs w:val="18"/>
                <w:color w:val="auto"/>
              </w:rPr>
            </w:pPr>
          </w:p>
        </w:tc>
      </w:tr>
      <w:tr>
        <w:trPr>
          <w:trHeight w:val="215"/>
        </w:trPr>
        <w:tc>
          <w:tcPr>
            <w:tcW w:w="5220" w:type="dxa"/>
            <w:vAlign w:val="bottom"/>
          </w:tcPr>
          <w:p>
            <w:pPr>
              <w:spacing w:after="0"/>
              <w:rPr>
                <w:sz w:val="18"/>
                <w:szCs w:val="18"/>
                <w:color w:val="auto"/>
              </w:rPr>
            </w:pPr>
          </w:p>
        </w:tc>
        <w:tc>
          <w:tcPr>
            <w:tcW w:w="330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33"/>
        </w:trPr>
        <w:tc>
          <w:tcPr>
            <w:tcW w:w="5220" w:type="dxa"/>
            <w:vAlign w:val="bottom"/>
          </w:tcPr>
          <w:p>
            <w:pPr>
              <w:spacing w:after="0"/>
              <w:rPr>
                <w:sz w:val="20"/>
                <w:szCs w:val="20"/>
                <w:color w:val="auto"/>
              </w:rPr>
            </w:pPr>
          </w:p>
        </w:tc>
        <w:tc>
          <w:tcPr>
            <w:tcW w:w="33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327</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Cash</w:t>
            </w:r>
          </w:p>
        </w:tc>
        <w:tc>
          <w:tcPr>
            <w:tcW w:w="330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575</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Current liabilities</w:t>
            </w:r>
          </w:p>
        </w:tc>
        <w:tc>
          <w:tcPr>
            <w:tcW w:w="3300" w:type="dxa"/>
            <w:vAlign w:val="bottom"/>
          </w:tcPr>
          <w:p>
            <w:pPr>
              <w:jc w:val="right"/>
              <w:ind w:right="230"/>
              <w:spacing w:after="0"/>
              <w:rPr>
                <w:sz w:val="20"/>
                <w:szCs w:val="20"/>
                <w:color w:val="auto"/>
              </w:rPr>
            </w:pPr>
            <w:r>
              <w:rPr>
                <w:rFonts w:ascii="Arial" w:cs="Arial" w:eastAsia="Arial" w:hAnsi="Arial"/>
                <w:sz w:val="18"/>
                <w:szCs w:val="18"/>
                <w:color w:val="auto"/>
              </w:rPr>
              <w:t>(1,951)</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12,424</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12,424</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Intangible assets – customer relationships</w:t>
            </w:r>
          </w:p>
        </w:tc>
        <w:tc>
          <w:tcPr>
            <w:tcW w:w="3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1,565</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1,565</w:t>
            </w:r>
          </w:p>
        </w:tc>
      </w:tr>
      <w:tr>
        <w:trPr>
          <w:trHeight w:val="222"/>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 volunteer list</w:t>
            </w:r>
          </w:p>
        </w:tc>
        <w:tc>
          <w:tcPr>
            <w:tcW w:w="33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1,325</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15"/>
        </w:trPr>
        <w:tc>
          <w:tcPr>
            <w:tcW w:w="5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33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14,270</w:t>
            </w:r>
          </w:p>
        </w:tc>
      </w:tr>
      <w:tr>
        <w:trPr>
          <w:trHeight w:val="450"/>
        </w:trPr>
        <w:tc>
          <w:tcPr>
            <w:tcW w:w="5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13,295</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Costs</w:t>
            </w:r>
          </w:p>
        </w:tc>
        <w:tc>
          <w:tcPr>
            <w:tcW w:w="3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w:t>
            </w:r>
          </w:p>
        </w:tc>
      </w:tr>
      <w:tr>
        <w:trPr>
          <w:trHeight w:val="215"/>
        </w:trPr>
        <w:tc>
          <w:tcPr>
            <w:tcW w:w="52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Purchase Price</w:t>
            </w:r>
          </w:p>
        </w:tc>
        <w:tc>
          <w:tcPr>
            <w:tcW w:w="3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14,270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14. Inventories</w:t>
            </w:r>
          </w:p>
        </w:tc>
        <w:tc>
          <w:tcPr>
            <w:tcW w:w="48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8"/>
        </w:trPr>
        <w:tc>
          <w:tcPr>
            <w:tcW w:w="5200" w:type="dxa"/>
            <w:vAlign w:val="bottom"/>
          </w:tcPr>
          <w:p>
            <w:pPr>
              <w:spacing w:after="0"/>
              <w:rPr>
                <w:sz w:val="24"/>
                <w:szCs w:val="24"/>
                <w:color w:val="auto"/>
              </w:rPr>
            </w:pPr>
          </w:p>
        </w:tc>
        <w:tc>
          <w:tcPr>
            <w:tcW w:w="484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200" w:type="dxa"/>
            <w:vAlign w:val="bottom"/>
          </w:tcPr>
          <w:p>
            <w:pPr>
              <w:spacing w:after="0"/>
              <w:rPr>
                <w:sz w:val="18"/>
                <w:szCs w:val="18"/>
                <w:color w:val="auto"/>
              </w:rPr>
            </w:pPr>
          </w:p>
        </w:tc>
        <w:tc>
          <w:tcPr>
            <w:tcW w:w="4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200" w:type="dxa"/>
            <w:vAlign w:val="bottom"/>
          </w:tcPr>
          <w:p>
            <w:pPr>
              <w:spacing w:after="0"/>
              <w:rPr>
                <w:sz w:val="20"/>
                <w:szCs w:val="20"/>
                <w:color w:val="auto"/>
              </w:rPr>
            </w:pPr>
          </w:p>
        </w:tc>
        <w:tc>
          <w:tcPr>
            <w:tcW w:w="48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430"/>
        </w:trPr>
        <w:tc>
          <w:tcPr>
            <w:tcW w:w="5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5"/>
        </w:trPr>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Laboratory inventories</w:t>
            </w:r>
          </w:p>
        </w:tc>
        <w:tc>
          <w:tcPr>
            <w:tcW w:w="4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2,787</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r>
    </w:tbl>
    <w:p>
      <w:pPr>
        <w:spacing w:after="0" w:line="22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cost of inventories is recognised as an expense and included in other direct costs in the income statement. $23.9 million (2010:$ 22.5million) was charged in the income statement for the year ended 31 December 2011.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15. Accounts receivable</w:t>
            </w:r>
          </w:p>
        </w:tc>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8"/>
        </w:trPr>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2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206,864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168,191</w:t>
            </w:r>
          </w:p>
        </w:tc>
      </w:tr>
      <w:tr>
        <w:trPr>
          <w:trHeight w:val="222"/>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amounts provided for doubtful debts</w:t>
            </w:r>
          </w:p>
        </w:tc>
        <w:tc>
          <w:tcPr>
            <w:tcW w:w="17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(5,526)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r>
      <w:tr>
        <w:trPr>
          <w:trHeight w:val="215"/>
        </w:trPr>
        <w:tc>
          <w:tcPr>
            <w:tcW w:w="2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receivable, net</w:t>
            </w:r>
          </w:p>
        </w:tc>
        <w:tc>
          <w:tcPr>
            <w:tcW w:w="1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201,338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164,907</w:t>
            </w:r>
          </w:p>
        </w:tc>
      </w:tr>
      <w:tr>
        <w:trPr>
          <w:trHeight w:val="20"/>
        </w:trPr>
        <w:tc>
          <w:tcPr>
            <w:tcW w:w="7040" w:type="dxa"/>
            <w:vAlign w:val="bottom"/>
            <w:tcBorders>
              <w:bottom w:val="single" w:sz="8" w:color="auto"/>
            </w:tcBorders>
            <w:gridSpan w:val="4"/>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51"/>
        </w:trPr>
        <w:tc>
          <w:tcPr>
            <w:tcW w:w="7040" w:type="dxa"/>
            <w:vAlign w:val="bottom"/>
            <w:gridSpan w:val="4"/>
          </w:tcPr>
          <w:p>
            <w:pPr>
              <w:spacing w:after="0"/>
              <w:rPr>
                <w:sz w:val="20"/>
                <w:szCs w:val="20"/>
                <w:color w:val="auto"/>
              </w:rPr>
            </w:pPr>
            <w:r>
              <w:rPr>
                <w:rFonts w:ascii="Arial" w:cs="Arial" w:eastAsia="Arial" w:hAnsi="Arial"/>
                <w:sz w:val="18"/>
                <w:szCs w:val="18"/>
                <w:color w:val="auto"/>
                <w:w w:val="94"/>
              </w:rPr>
              <w:t>Further analysis of Group’s accounts receivable balances at 31 December 2011 is as follows:</w:t>
            </w: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8"/>
        </w:trPr>
        <w:tc>
          <w:tcPr>
            <w:tcW w:w="2180" w:type="dxa"/>
            <w:vAlign w:val="bottom"/>
          </w:tcPr>
          <w:p>
            <w:pPr>
              <w:spacing w:after="0"/>
              <w:rPr>
                <w:sz w:val="24"/>
                <w:szCs w:val="24"/>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1720" w:type="dxa"/>
            <w:vAlign w:val="bottom"/>
          </w:tcPr>
          <w:p>
            <w:pPr>
              <w:spacing w:after="0"/>
              <w:rPr>
                <w:sz w:val="24"/>
                <w:szCs w:val="24"/>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Gross</w:t>
            </w:r>
          </w:p>
        </w:tc>
        <w:tc>
          <w:tcPr>
            <w:tcW w:w="16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Net</w:t>
            </w:r>
          </w:p>
        </w:tc>
      </w:tr>
      <w:tr>
        <w:trPr>
          <w:trHeight w:val="215"/>
        </w:trPr>
        <w:tc>
          <w:tcPr>
            <w:tcW w:w="218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accounts</w:t>
            </w:r>
          </w:p>
        </w:tc>
        <w:tc>
          <w:tcPr>
            <w:tcW w:w="172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accounts</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accounts</w:t>
            </w:r>
          </w:p>
        </w:tc>
        <w:tc>
          <w:tcPr>
            <w:tcW w:w="16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accounts</w:t>
            </w:r>
          </w:p>
        </w:tc>
      </w:tr>
      <w:tr>
        <w:trPr>
          <w:trHeight w:val="215"/>
        </w:trPr>
        <w:tc>
          <w:tcPr>
            <w:tcW w:w="218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receivable</w:t>
            </w: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Impairment</w:t>
            </w: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receivable</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receivable</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Impairment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receivable</w:t>
            </w:r>
          </w:p>
        </w:tc>
      </w:tr>
      <w:tr>
        <w:trPr>
          <w:trHeight w:val="215"/>
        </w:trPr>
        <w:tc>
          <w:tcPr>
            <w:tcW w:w="218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218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$’000</w:t>
            </w: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$’000</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2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Not past due</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146,421</w:t>
            </w:r>
          </w:p>
        </w:tc>
        <w:tc>
          <w:tcPr>
            <w:tcW w:w="17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(290)</w:t>
            </w: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146,131</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111,563</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111,460</w:t>
            </w: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Past due 0 to 30 days</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31,481</w:t>
            </w: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rPr>
              <w:t>(829)</w:t>
            </w: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30,652</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28,511</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28,511</w:t>
            </w: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Past due 31 to 60 days</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8,744</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8,744</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10,581</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10,581</w:t>
            </w:r>
          </w:p>
        </w:tc>
      </w:tr>
      <w:tr>
        <w:trPr>
          <w:trHeight w:val="222"/>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Past due 61+ days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20,218</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(4,407)</w:t>
            </w: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15,811</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17,536</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(3,181)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14,355</w:t>
            </w:r>
          </w:p>
        </w:tc>
      </w:tr>
      <w:tr>
        <w:trPr>
          <w:trHeight w:val="215"/>
        </w:trPr>
        <w:tc>
          <w:tcPr>
            <w:tcW w:w="2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receivable</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206,864</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(5,526)</w:t>
            </w: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201,338</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168,191</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(3,284)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164,907</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provision for impairment is recognised where there is objective evidence that the Group will not be able to collect all amounts due according to the original terms of the receivable. At 31 December 2011, the Group maintained an impairment provision of $5.5 million (2010: $ 3.3 million). Movement on the accounts receivable impairment provision during the year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7360" w:type="dxa"/>
            <w:vAlign w:val="bottom"/>
          </w:tcPr>
          <w:p>
            <w:pPr>
              <w:spacing w:after="0"/>
              <w:rPr>
                <w:sz w:val="18"/>
                <w:szCs w:val="18"/>
                <w:color w:val="auto"/>
              </w:rPr>
            </w:pPr>
          </w:p>
        </w:tc>
        <w:tc>
          <w:tcPr>
            <w:tcW w:w="27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Accounts receivable impairment provision</w:t>
            </w:r>
          </w:p>
        </w:tc>
        <w:tc>
          <w:tcPr>
            <w:tcW w:w="27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736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start of year</w:t>
            </w:r>
          </w:p>
        </w:tc>
        <w:tc>
          <w:tcPr>
            <w:tcW w:w="27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3,284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2720" w:type="dxa"/>
            <w:vAlign w:val="bottom"/>
          </w:tcPr>
          <w:p>
            <w:pPr>
              <w:jc w:val="right"/>
              <w:ind w:right="190"/>
              <w:spacing w:after="0"/>
              <w:rPr>
                <w:sz w:val="20"/>
                <w:szCs w:val="20"/>
                <w:color w:val="auto"/>
              </w:rPr>
            </w:pPr>
            <w:r>
              <w:rPr>
                <w:rFonts w:ascii="Arial" w:cs="Arial" w:eastAsia="Arial" w:hAnsi="Arial"/>
                <w:sz w:val="18"/>
                <w:szCs w:val="18"/>
                <w:b w:val="1"/>
                <w:bCs w:val="1"/>
                <w:color w:val="auto"/>
              </w:rPr>
              <w:t>(945)</w:t>
            </w:r>
          </w:p>
        </w:tc>
        <w:tc>
          <w:tcPr>
            <w:tcW w:w="1340" w:type="dxa"/>
            <w:vAlign w:val="bottom"/>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provided for during the year</w:t>
            </w:r>
          </w:p>
        </w:tc>
        <w:tc>
          <w:tcPr>
            <w:tcW w:w="27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4,190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22"/>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Amounts released during the year</w:t>
            </w:r>
          </w:p>
        </w:tc>
        <w:tc>
          <w:tcPr>
            <w:tcW w:w="2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(1,003)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5"/>
        </w:trPr>
        <w:tc>
          <w:tcPr>
            <w:tcW w:w="7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5,526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All receivables are due within twelve months of the year ended 31 December 2011.</w:t>
            </w:r>
          </w:p>
        </w:tc>
        <w:tc>
          <w:tcPr>
            <w:tcW w:w="2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1"/>
        </w:trPr>
        <w:tc>
          <w:tcPr>
            <w:tcW w:w="7360" w:type="dxa"/>
            <w:vAlign w:val="bottom"/>
          </w:tcPr>
          <w:p>
            <w:pPr>
              <w:ind w:left="5620"/>
              <w:spacing w:after="0"/>
              <w:rPr>
                <w:sz w:val="20"/>
                <w:szCs w:val="20"/>
                <w:color w:val="auto"/>
              </w:rPr>
            </w:pPr>
            <w:r>
              <w:rPr>
                <w:rFonts w:ascii="Arial" w:cs="Arial" w:eastAsia="Arial" w:hAnsi="Arial"/>
                <w:sz w:val="18"/>
                <w:szCs w:val="18"/>
                <w:color w:val="auto"/>
              </w:rPr>
              <w:t>98</w:t>
            </w:r>
          </w:p>
        </w:tc>
        <w:tc>
          <w:tcPr>
            <w:tcW w:w="2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3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spacing w:after="0"/>
              <w:rPr>
                <w:sz w:val="20"/>
                <w:szCs w:val="20"/>
                <w:color w:val="auto"/>
              </w:rPr>
            </w:pPr>
            <w:r>
              <w:rPr>
                <w:rFonts w:ascii="Arial" w:cs="Arial" w:eastAsia="Arial" w:hAnsi="Arial"/>
                <w:sz w:val="18"/>
                <w:szCs w:val="18"/>
                <w:b w:val="1"/>
                <w:bCs w:val="1"/>
                <w:color w:val="auto"/>
              </w:rPr>
              <w:t xml:space="preserve">15. Accounts receivable </w:t>
            </w:r>
            <w:r>
              <w:rPr>
                <w:rFonts w:ascii="Arial" w:cs="Arial" w:eastAsia="Arial" w:hAnsi="Arial"/>
                <w:sz w:val="18"/>
                <w:szCs w:val="18"/>
                <w:b w:val="1"/>
                <w:bCs w:val="1"/>
                <w:i w:val="1"/>
                <w:iCs w:val="1"/>
                <w:color w:val="auto"/>
              </w:rPr>
              <w:t>(continued)</w:t>
            </w: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8540" w:type="dxa"/>
            <w:vAlign w:val="bottom"/>
          </w:tcPr>
          <w:p>
            <w:pPr>
              <w:spacing w:after="0"/>
              <w:rPr>
                <w:sz w:val="20"/>
                <w:szCs w:val="20"/>
                <w:color w:val="auto"/>
              </w:rPr>
            </w:pPr>
            <w:r>
              <w:rPr>
                <w:rFonts w:ascii="Arial" w:cs="Arial" w:eastAsia="Arial" w:hAnsi="Arial"/>
                <w:sz w:val="18"/>
                <w:szCs w:val="18"/>
                <w:color w:val="auto"/>
              </w:rPr>
              <w:t>The carrying amounts of the Group’s accounts receivables are denominated in the following currencies:</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540" w:type="dxa"/>
            <w:vAlign w:val="bottom"/>
          </w:tcPr>
          <w:p>
            <w:pPr>
              <w:spacing w:after="0"/>
              <w:rPr>
                <w:sz w:val="24"/>
                <w:szCs w:val="24"/>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854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3"/>
        </w:trPr>
        <w:tc>
          <w:tcPr>
            <w:tcW w:w="85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134,265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85,811</w:t>
            </w:r>
          </w:p>
        </w:tc>
        <w:tc>
          <w:tcPr>
            <w:tcW w:w="0" w:type="dxa"/>
            <w:vAlign w:val="bottom"/>
          </w:tcPr>
          <w:p>
            <w:pPr>
              <w:spacing w:after="0"/>
              <w:rPr>
                <w:sz w:val="1"/>
                <w:szCs w:val="1"/>
                <w:color w:val="auto"/>
              </w:rPr>
            </w:pPr>
          </w:p>
        </w:tc>
      </w:tr>
      <w:tr>
        <w:trPr>
          <w:trHeight w:val="215"/>
        </w:trPr>
        <w:tc>
          <w:tcPr>
            <w:tcW w:w="8540" w:type="dxa"/>
            <w:vAlign w:val="bottom"/>
          </w:tcPr>
          <w:p>
            <w:pPr>
              <w:spacing w:after="0"/>
              <w:rPr>
                <w:sz w:val="20"/>
                <w:szCs w:val="20"/>
                <w:color w:val="auto"/>
              </w:rPr>
            </w:pPr>
            <w:r>
              <w:rPr>
                <w:rFonts w:ascii="Arial" w:cs="Arial" w:eastAsia="Arial" w:hAnsi="Arial"/>
                <w:sz w:val="18"/>
                <w:szCs w:val="18"/>
                <w:color w:val="auto"/>
              </w:rPr>
              <w:t>Euro</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51,468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69,145</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Sterling</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10,873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2"/>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currencies</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4,732</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201,338</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164,907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8540" w:type="dxa"/>
            <w:vAlign w:val="bottom"/>
          </w:tcPr>
          <w:p>
            <w:pPr>
              <w:spacing w:after="0"/>
              <w:rPr>
                <w:sz w:val="20"/>
                <w:szCs w:val="20"/>
                <w:color w:val="auto"/>
              </w:rPr>
            </w:pPr>
            <w:r>
              <w:rPr>
                <w:rFonts w:ascii="Arial" w:cs="Arial" w:eastAsia="Arial" w:hAnsi="Arial"/>
                <w:sz w:val="18"/>
                <w:szCs w:val="18"/>
                <w:b w:val="1"/>
                <w:bCs w:val="1"/>
                <w:color w:val="auto"/>
              </w:rPr>
              <w:t>16. Other assets</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540" w:type="dxa"/>
            <w:vAlign w:val="bottom"/>
          </w:tcPr>
          <w:p>
            <w:pPr>
              <w:spacing w:after="0"/>
              <w:rPr>
                <w:sz w:val="24"/>
                <w:szCs w:val="24"/>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854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Other non-current assets</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85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Lease deposits</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6,826</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22"/>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employee savings scheme assets</w:t>
            </w: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3,775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10,601</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0"/>
        </w:trPr>
        <w:tc>
          <w:tcPr>
            <w:tcW w:w="8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w w:val="90"/>
              </w:rPr>
              <w:t>Lease deposits paid in respect of certain premises leased by the Group are refundable on expiry of the related leases.</w:t>
            </w: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6"/>
        </w:trPr>
        <w:tc>
          <w:tcPr>
            <w:tcW w:w="8540" w:type="dxa"/>
            <w:vAlign w:val="bottom"/>
          </w:tcPr>
          <w:p>
            <w:pPr>
              <w:spacing w:after="0"/>
              <w:rPr>
                <w:sz w:val="24"/>
                <w:szCs w:val="24"/>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854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Other current assets</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85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prepayments</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1,056</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5"/>
        </w:trPr>
        <w:tc>
          <w:tcPr>
            <w:tcW w:w="8540" w:type="dxa"/>
            <w:vAlign w:val="bottom"/>
          </w:tcPr>
          <w:p>
            <w:pPr>
              <w:spacing w:after="0"/>
              <w:rPr>
                <w:sz w:val="20"/>
                <w:szCs w:val="20"/>
                <w:color w:val="auto"/>
              </w:rPr>
            </w:pPr>
            <w:r>
              <w:rPr>
                <w:rFonts w:ascii="Arial" w:cs="Arial" w:eastAsia="Arial" w:hAnsi="Arial"/>
                <w:sz w:val="18"/>
                <w:szCs w:val="18"/>
                <w:color w:val="auto"/>
              </w:rPr>
              <w:t>Facility and information system related prepayments</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11,361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15"/>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prepayments</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3,872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5"/>
        </w:trPr>
        <w:tc>
          <w:tcPr>
            <w:tcW w:w="8540" w:type="dxa"/>
            <w:vAlign w:val="bottom"/>
          </w:tcPr>
          <w:p>
            <w:pPr>
              <w:spacing w:after="0"/>
              <w:rPr>
                <w:sz w:val="20"/>
                <w:szCs w:val="20"/>
                <w:color w:val="auto"/>
              </w:rPr>
            </w:pPr>
            <w:r>
              <w:rPr>
                <w:rFonts w:ascii="Arial" w:cs="Arial" w:eastAsia="Arial" w:hAnsi="Arial"/>
                <w:sz w:val="18"/>
                <w:szCs w:val="18"/>
                <w:color w:val="auto"/>
              </w:rPr>
              <w:t>Sales tax recoverable</w:t>
            </w: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5,588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2"/>
        </w:trPr>
        <w:tc>
          <w:tcPr>
            <w:tcW w:w="8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4,532</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5"/>
        </w:trPr>
        <w:tc>
          <w:tcPr>
            <w:tcW w:w="8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26,409</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23,005</w:t>
            </w:r>
          </w:p>
        </w:tc>
        <w:tc>
          <w:tcPr>
            <w:tcW w:w="0" w:type="dxa"/>
            <w:vAlign w:val="bottom"/>
          </w:tcPr>
          <w:p>
            <w:pPr>
              <w:spacing w:after="0"/>
              <w:rPr>
                <w:sz w:val="1"/>
                <w:szCs w:val="1"/>
                <w:color w:val="auto"/>
              </w:rPr>
            </w:pPr>
          </w:p>
        </w:tc>
      </w:tr>
    </w:tbl>
    <w:p>
      <w:pPr>
        <w:jc w:val="both"/>
        <w:ind w:right="20"/>
        <w:spacing w:after="0" w:line="259" w:lineRule="auto"/>
        <w:rPr>
          <w:sz w:val="20"/>
          <w:szCs w:val="20"/>
          <w:color w:val="auto"/>
        </w:rPr>
      </w:pPr>
      <w:r>
        <w:rPr>
          <w:rFonts w:ascii="Arial" w:cs="Arial" w:eastAsia="Arial" w:hAnsi="Arial"/>
          <w:sz w:val="18"/>
          <w:szCs w:val="18"/>
          <w:i w:val="1"/>
          <w:iCs w:val="1"/>
          <w:color w:val="auto"/>
        </w:rPr>
        <w:t>Certain reclassifications have been made to prior year comparatives to be consistent with the current year presentation. There is no change to the overall total balance.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do not contain any impaired assets. The maximum exposure to credit risk at the reporting date is the carrying value of each receivable.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Group does not hold any collateral as security.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17. Current asset investments</w:t>
            </w:r>
          </w:p>
        </w:tc>
        <w:tc>
          <w:tcPr>
            <w:tcW w:w="4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8"/>
        </w:trPr>
        <w:tc>
          <w:tcPr>
            <w:tcW w:w="5680" w:type="dxa"/>
            <w:vAlign w:val="bottom"/>
          </w:tcPr>
          <w:p>
            <w:pPr>
              <w:spacing w:after="0"/>
              <w:rPr>
                <w:sz w:val="24"/>
                <w:szCs w:val="24"/>
                <w:color w:val="auto"/>
              </w:rPr>
            </w:pPr>
          </w:p>
        </w:tc>
        <w:tc>
          <w:tcPr>
            <w:tcW w:w="44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680" w:type="dxa"/>
            <w:vAlign w:val="bottom"/>
          </w:tcPr>
          <w:p>
            <w:pPr>
              <w:spacing w:after="0"/>
              <w:rPr>
                <w:sz w:val="18"/>
                <w:szCs w:val="18"/>
                <w:color w:val="auto"/>
              </w:rPr>
            </w:pPr>
          </w:p>
        </w:tc>
        <w:tc>
          <w:tcPr>
            <w:tcW w:w="44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680" w:type="dxa"/>
            <w:vAlign w:val="bottom"/>
          </w:tcPr>
          <w:p>
            <w:pPr>
              <w:spacing w:after="0"/>
              <w:rPr>
                <w:sz w:val="20"/>
                <w:szCs w:val="20"/>
                <w:color w:val="auto"/>
              </w:rPr>
            </w:pPr>
          </w:p>
        </w:tc>
        <w:tc>
          <w:tcPr>
            <w:tcW w:w="44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6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At start of year</w:t>
            </w:r>
          </w:p>
        </w:tc>
        <w:tc>
          <w:tcPr>
            <w:tcW w:w="44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49,227</w:t>
            </w:r>
          </w:p>
        </w:tc>
      </w:tr>
      <w:tr>
        <w:trPr>
          <w:trHeight w:val="215"/>
        </w:trPr>
        <w:tc>
          <w:tcPr>
            <w:tcW w:w="5680" w:type="dxa"/>
            <w:vAlign w:val="bottom"/>
          </w:tcPr>
          <w:p>
            <w:pPr>
              <w:spacing w:after="0"/>
              <w:rPr>
                <w:sz w:val="20"/>
                <w:szCs w:val="20"/>
                <w:color w:val="auto"/>
              </w:rPr>
            </w:pPr>
            <w:r>
              <w:rPr>
                <w:rFonts w:ascii="Arial" w:cs="Arial" w:eastAsia="Arial" w:hAnsi="Arial"/>
                <w:sz w:val="18"/>
                <w:szCs w:val="18"/>
                <w:color w:val="auto"/>
              </w:rPr>
              <w:t>Additions</w:t>
            </w:r>
          </w:p>
        </w:tc>
        <w:tc>
          <w:tcPr>
            <w:tcW w:w="4400" w:type="dxa"/>
            <w:vAlign w:val="bottom"/>
          </w:tcPr>
          <w:p>
            <w:pPr>
              <w:jc w:val="right"/>
              <w:ind w:right="250"/>
              <w:spacing w:after="0"/>
              <w:rPr>
                <w:sz w:val="20"/>
                <w:szCs w:val="20"/>
                <w:color w:val="auto"/>
              </w:rPr>
            </w:pPr>
            <w:r>
              <w:rPr>
                <w:rFonts w:ascii="Arial" w:cs="Arial" w:eastAsia="Arial" w:hAnsi="Arial"/>
                <w:sz w:val="18"/>
                <w:szCs w:val="18"/>
                <w:b w:val="1"/>
                <w:bCs w:val="1"/>
                <w:color w:val="auto"/>
              </w:rPr>
              <w:t>56,000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4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(438)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r>
      <w:tr>
        <w:trPr>
          <w:trHeight w:val="222"/>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Unrealised capital loss - investments</w:t>
            </w:r>
          </w:p>
        </w:tc>
        <w:tc>
          <w:tcPr>
            <w:tcW w:w="4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(622)</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56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year</w:t>
            </w:r>
          </w:p>
        </w:tc>
        <w:tc>
          <w:tcPr>
            <w:tcW w:w="4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54,940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Current asset investments are reported at fair value, with unrealised gains or losses recorded in other comprehensive income. During the year ended 31 December 2011 an unrealised loss of $0.6million (2010: $nil ) was recorded.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18. Cash and cash equivalents</w:t>
            </w:r>
          </w:p>
        </w:tc>
        <w:tc>
          <w:tcPr>
            <w:tcW w:w="45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8"/>
        </w:trPr>
        <w:tc>
          <w:tcPr>
            <w:tcW w:w="5520" w:type="dxa"/>
            <w:vAlign w:val="bottom"/>
          </w:tcPr>
          <w:p>
            <w:pPr>
              <w:spacing w:after="0"/>
              <w:rPr>
                <w:sz w:val="24"/>
                <w:szCs w:val="24"/>
                <w:color w:val="auto"/>
              </w:rPr>
            </w:pP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520" w:type="dxa"/>
            <w:vAlign w:val="bottom"/>
          </w:tcPr>
          <w:p>
            <w:pPr>
              <w:spacing w:after="0"/>
              <w:rPr>
                <w:sz w:val="18"/>
                <w:szCs w:val="18"/>
                <w:color w:val="auto"/>
              </w:rPr>
            </w:pP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520" w:type="dxa"/>
            <w:vAlign w:val="bottom"/>
          </w:tcPr>
          <w:p>
            <w:pPr>
              <w:spacing w:after="0"/>
              <w:rPr>
                <w:sz w:val="20"/>
                <w:szCs w:val="20"/>
                <w:color w:val="auto"/>
              </w:rPr>
            </w:pPr>
          </w:p>
        </w:tc>
        <w:tc>
          <w:tcPr>
            <w:tcW w:w="45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430"/>
        </w:trPr>
        <w:tc>
          <w:tcPr>
            <w:tcW w:w="5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5"/>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45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58,823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54,319</w:t>
            </w:r>
          </w:p>
        </w:tc>
      </w:tr>
      <w:tr>
        <w:trPr>
          <w:trHeight w:val="222"/>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 term deposits</w:t>
            </w:r>
          </w:p>
        </w:tc>
        <w:tc>
          <w:tcPr>
            <w:tcW w:w="4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60,414</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201,387</w:t>
            </w:r>
          </w:p>
        </w:tc>
      </w:tr>
      <w:tr>
        <w:trPr>
          <w:trHeight w:val="215"/>
        </w:trPr>
        <w:tc>
          <w:tcPr>
            <w:tcW w:w="552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119,237</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255,706</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Current asset investments comprise highly liquid investments with maturities of greater than three months and minimum “A” rated fixed and floating rate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19. Accrued and other liabilities</w:t>
            </w:r>
          </w:p>
        </w:tc>
        <w:tc>
          <w:tcPr>
            <w:tcW w:w="4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6000" w:type="dxa"/>
            <w:vAlign w:val="bottom"/>
          </w:tcPr>
          <w:p>
            <w:pPr>
              <w:spacing w:after="0"/>
              <w:rPr>
                <w:sz w:val="24"/>
                <w:szCs w:val="24"/>
                <w:color w:val="auto"/>
              </w:rPr>
            </w:pPr>
          </w:p>
        </w:tc>
        <w:tc>
          <w:tcPr>
            <w:tcW w:w="404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18"/>
                <w:szCs w:val="18"/>
                <w:color w:val="auto"/>
              </w:rPr>
            </w:pPr>
          </w:p>
        </w:tc>
        <w:tc>
          <w:tcPr>
            <w:tcW w:w="4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6000" w:type="dxa"/>
            <w:vAlign w:val="bottom"/>
            <w:vMerge w:val="restart"/>
          </w:tcPr>
          <w:p>
            <w:pPr>
              <w:spacing w:after="0"/>
              <w:rPr>
                <w:sz w:val="20"/>
                <w:szCs w:val="20"/>
                <w:color w:val="auto"/>
              </w:rPr>
            </w:pPr>
            <w:r>
              <w:rPr>
                <w:rFonts w:ascii="Arial" w:cs="Arial" w:eastAsia="Arial" w:hAnsi="Arial"/>
                <w:sz w:val="18"/>
                <w:szCs w:val="18"/>
                <w:b w:val="1"/>
                <w:bCs w:val="1"/>
                <w:color w:val="auto"/>
              </w:rPr>
              <w:t>Non-current other liabilities</w:t>
            </w:r>
          </w:p>
        </w:tc>
        <w:tc>
          <w:tcPr>
            <w:tcW w:w="404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6000" w:type="dxa"/>
            <w:vAlign w:val="bottom"/>
            <w:vMerge w:val="continue"/>
          </w:tcPr>
          <w:p>
            <w:pPr>
              <w:spacing w:after="0"/>
              <w:rPr>
                <w:sz w:val="18"/>
                <w:szCs w:val="18"/>
                <w:color w:val="auto"/>
              </w:rPr>
            </w:pPr>
          </w:p>
        </w:tc>
        <w:tc>
          <w:tcPr>
            <w:tcW w:w="4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 (note 21)</w:t>
            </w:r>
          </w:p>
        </w:tc>
        <w:tc>
          <w:tcPr>
            <w:tcW w:w="4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1,351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Retirement plan benefit net obligation*</w:t>
            </w:r>
          </w:p>
        </w:tc>
        <w:tc>
          <w:tcPr>
            <w:tcW w:w="4040" w:type="dxa"/>
            <w:vAlign w:val="bottom"/>
          </w:tcPr>
          <w:p>
            <w:pPr>
              <w:jc w:val="right"/>
              <w:ind w:right="210"/>
              <w:spacing w:after="0"/>
              <w:rPr>
                <w:sz w:val="20"/>
                <w:szCs w:val="20"/>
                <w:color w:val="auto"/>
              </w:rPr>
            </w:pPr>
            <w:r>
              <w:rPr>
                <w:rFonts w:ascii="Arial" w:cs="Arial" w:eastAsia="Arial" w:hAnsi="Arial"/>
                <w:sz w:val="18"/>
                <w:szCs w:val="18"/>
                <w:b w:val="1"/>
                <w:bCs w:val="1"/>
                <w:color w:val="auto"/>
              </w:rPr>
              <w:t>4,903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2"/>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employee savings scheme liabilities</w:t>
            </w:r>
          </w:p>
        </w:tc>
        <w:tc>
          <w:tcPr>
            <w:tcW w:w="4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3,232</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9,486</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6,129</w:t>
            </w:r>
          </w:p>
        </w:tc>
        <w:tc>
          <w:tcPr>
            <w:tcW w:w="0" w:type="dxa"/>
            <w:vAlign w:val="bottom"/>
          </w:tcPr>
          <w:p>
            <w:pPr>
              <w:spacing w:after="0"/>
              <w:rPr>
                <w:sz w:val="1"/>
                <w:szCs w:val="1"/>
                <w:color w:val="auto"/>
              </w:rPr>
            </w:pPr>
          </w:p>
        </w:tc>
      </w:tr>
    </w:tbl>
    <w:p>
      <w:pPr>
        <w:ind w:right="280"/>
        <w:spacing w:after="0" w:line="259" w:lineRule="auto"/>
        <w:rPr>
          <w:sz w:val="20"/>
          <w:szCs w:val="20"/>
          <w:color w:val="auto"/>
        </w:rPr>
      </w:pPr>
      <w:r>
        <w:rPr>
          <w:rFonts w:ascii="Arial" w:cs="Arial" w:eastAsia="Arial" w:hAnsi="Arial"/>
          <w:sz w:val="18"/>
          <w:szCs w:val="18"/>
          <w:i w:val="1"/>
          <w:iCs w:val="1"/>
          <w:color w:val="auto"/>
        </w:rPr>
        <w:t>*Retirement plan net benefit obligation to $1.0 million at 31 December 2010 has been reclassified from current accrued and other liabilities to non-current other liabilities due to the long term nature of these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Deferred employee savings scheme liabilities are payable between 1 to 2 years from the reporting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 xml:space="preserve">19. Accrued and other liabilities </w:t>
            </w:r>
            <w:r>
              <w:rPr>
                <w:rFonts w:ascii="Arial" w:cs="Arial" w:eastAsia="Arial" w:hAnsi="Arial"/>
                <w:sz w:val="18"/>
                <w:szCs w:val="18"/>
                <w:b w:val="1"/>
                <w:bCs w:val="1"/>
                <w:i w:val="1"/>
                <w:iCs w:val="1"/>
                <w:color w:val="auto"/>
              </w:rPr>
              <w:t>(continued)</w:t>
            </w:r>
          </w:p>
        </w:tc>
        <w:tc>
          <w:tcPr>
            <w:tcW w:w="3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6140" w:type="dxa"/>
            <w:vAlign w:val="bottom"/>
          </w:tcPr>
          <w:p>
            <w:pPr>
              <w:spacing w:after="0"/>
              <w:rPr>
                <w:sz w:val="24"/>
                <w:szCs w:val="24"/>
                <w:color w:val="auto"/>
              </w:rPr>
            </w:pP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18"/>
                <w:szCs w:val="18"/>
                <w:color w:val="auto"/>
              </w:rPr>
            </w:pP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Current accrued and other liabilities</w:t>
            </w: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6140" w:type="dxa"/>
            <w:vAlign w:val="bottom"/>
            <w:vMerge w:val="continue"/>
          </w:tcPr>
          <w:p>
            <w:pPr>
              <w:spacing w:after="0"/>
              <w:rPr>
                <w:sz w:val="18"/>
                <w:szCs w:val="18"/>
                <w:color w:val="auto"/>
              </w:rPr>
            </w:pPr>
          </w:p>
        </w:tc>
        <w:tc>
          <w:tcPr>
            <w:tcW w:w="3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3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62,017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54,983</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Facility and information system related liabilities</w:t>
            </w: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14,780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overhead liabilities</w:t>
            </w:r>
          </w:p>
        </w:tc>
        <w:tc>
          <w:tcPr>
            <w:tcW w:w="3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24,520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Other liabilities</w:t>
            </w: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1,823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Short term government grants</w:t>
            </w:r>
          </w:p>
        </w:tc>
        <w:tc>
          <w:tcPr>
            <w:tcW w:w="3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8"/>
                <w:szCs w:val="18"/>
                <w:color w:val="auto"/>
              </w:rPr>
              <w:t>Short term finance leases (note 26)</w:t>
            </w: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2"/>
        </w:trPr>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programme</w:t>
            </w:r>
          </w:p>
        </w:tc>
        <w:tc>
          <w:tcPr>
            <w:tcW w:w="3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1,259</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104,478</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96,172</w:t>
            </w:r>
          </w:p>
        </w:tc>
        <w:tc>
          <w:tcPr>
            <w:tcW w:w="0" w:type="dxa"/>
            <w:vAlign w:val="bottom"/>
          </w:tcPr>
          <w:p>
            <w:pPr>
              <w:spacing w:after="0"/>
              <w:rPr>
                <w:sz w:val="1"/>
                <w:szCs w:val="1"/>
                <w:color w:val="auto"/>
              </w:rPr>
            </w:pPr>
          </w:p>
        </w:tc>
      </w:tr>
    </w:tbl>
    <w:p>
      <w:pPr>
        <w:jc w:val="both"/>
        <w:ind w:right="400"/>
        <w:spacing w:after="0" w:line="321" w:lineRule="auto"/>
        <w:rPr>
          <w:sz w:val="20"/>
          <w:szCs w:val="20"/>
          <w:color w:val="auto"/>
        </w:rPr>
      </w:pPr>
      <w:r>
        <w:rPr>
          <w:rFonts w:ascii="Arial" w:cs="Arial" w:eastAsia="Arial" w:hAnsi="Arial"/>
          <w:sz w:val="16"/>
          <w:szCs w:val="16"/>
          <w:i w:val="1"/>
          <w:iCs w:val="1"/>
          <w:color w:val="auto"/>
        </w:rPr>
        <w:t>Restructuring provisions amounting to $0.3 million and acquisition consideration payable amounting to $2.7 million as at 31 December 2010, previously recorded within current accrued and other liabilities, have been reclassified to current provisions (note 20) consistent with the current year presentation.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20. Provisions</w:t>
            </w:r>
          </w:p>
        </w:tc>
        <w:tc>
          <w:tcPr>
            <w:tcW w:w="2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300" w:type="dxa"/>
            <w:vAlign w:val="bottom"/>
          </w:tcPr>
          <w:p>
            <w:pPr>
              <w:spacing w:after="0"/>
              <w:rPr>
                <w:sz w:val="24"/>
                <w:szCs w:val="24"/>
                <w:color w:val="auto"/>
              </w:rPr>
            </w:pPr>
          </w:p>
        </w:tc>
        <w:tc>
          <w:tcPr>
            <w:tcW w:w="276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7300" w:type="dxa"/>
            <w:vAlign w:val="bottom"/>
          </w:tcPr>
          <w:p>
            <w:pPr>
              <w:spacing w:after="0"/>
              <w:rPr>
                <w:sz w:val="18"/>
                <w:szCs w:val="18"/>
                <w:color w:val="auto"/>
              </w:rPr>
            </w:pPr>
          </w:p>
        </w:tc>
        <w:tc>
          <w:tcPr>
            <w:tcW w:w="2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00" w:type="dxa"/>
            <w:vAlign w:val="bottom"/>
          </w:tcPr>
          <w:p>
            <w:pPr>
              <w:spacing w:after="0"/>
              <w:rPr>
                <w:sz w:val="20"/>
                <w:szCs w:val="20"/>
                <w:color w:val="auto"/>
              </w:rPr>
            </w:pPr>
          </w:p>
        </w:tc>
        <w:tc>
          <w:tcPr>
            <w:tcW w:w="276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provisions</w:t>
            </w:r>
          </w:p>
        </w:tc>
        <w:tc>
          <w:tcPr>
            <w:tcW w:w="27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consideration payable (note 13)</w:t>
            </w:r>
          </w:p>
        </w:tc>
        <w:tc>
          <w:tcPr>
            <w:tcW w:w="2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11,903</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11,903</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7300" w:type="dxa"/>
            <w:vAlign w:val="bottom"/>
          </w:tcPr>
          <w:p>
            <w:pPr>
              <w:spacing w:after="0"/>
              <w:rPr>
                <w:sz w:val="20"/>
                <w:szCs w:val="20"/>
                <w:color w:val="auto"/>
              </w:rPr>
            </w:pPr>
            <w:r>
              <w:rPr>
                <w:rFonts w:ascii="Arial" w:cs="Arial" w:eastAsia="Arial" w:hAnsi="Arial"/>
                <w:sz w:val="18"/>
                <w:szCs w:val="18"/>
                <w:color w:val="auto"/>
              </w:rPr>
              <w:t>Acquisition consideration is payable within two years from the reporting date.</w:t>
            </w:r>
          </w:p>
        </w:tc>
        <w:tc>
          <w:tcPr>
            <w:tcW w:w="2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300" w:type="dxa"/>
            <w:vAlign w:val="bottom"/>
          </w:tcPr>
          <w:p>
            <w:pPr>
              <w:spacing w:after="0"/>
              <w:rPr>
                <w:sz w:val="24"/>
                <w:szCs w:val="24"/>
                <w:color w:val="auto"/>
              </w:rPr>
            </w:pPr>
          </w:p>
        </w:tc>
        <w:tc>
          <w:tcPr>
            <w:tcW w:w="2760" w:type="dxa"/>
            <w:vAlign w:val="bottom"/>
          </w:tcPr>
          <w:p>
            <w:pPr>
              <w:jc w:val="right"/>
              <w:ind w:right="19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7300" w:type="dxa"/>
            <w:vAlign w:val="bottom"/>
          </w:tcPr>
          <w:p>
            <w:pPr>
              <w:spacing w:after="0"/>
              <w:rPr>
                <w:sz w:val="18"/>
                <w:szCs w:val="18"/>
                <w:color w:val="auto"/>
              </w:rPr>
            </w:pPr>
          </w:p>
        </w:tc>
        <w:tc>
          <w:tcPr>
            <w:tcW w:w="2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Current provisions</w:t>
            </w:r>
          </w:p>
        </w:tc>
        <w:tc>
          <w:tcPr>
            <w:tcW w:w="276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730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provision (note 7)</w:t>
            </w:r>
          </w:p>
        </w:tc>
        <w:tc>
          <w:tcPr>
            <w:tcW w:w="27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3,874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consideration payable (note 13)</w:t>
            </w:r>
          </w:p>
        </w:tc>
        <w:tc>
          <w:tcPr>
            <w:tcW w:w="2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37,615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41,489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7300" w:type="dxa"/>
            <w:vAlign w:val="bottom"/>
          </w:tcPr>
          <w:p>
            <w:pPr>
              <w:ind w:left="5580"/>
              <w:spacing w:after="0"/>
              <w:rPr>
                <w:sz w:val="20"/>
                <w:szCs w:val="20"/>
                <w:color w:val="auto"/>
              </w:rPr>
            </w:pPr>
            <w:r>
              <w:rPr>
                <w:rFonts w:ascii="Arial" w:cs="Arial" w:eastAsia="Arial" w:hAnsi="Arial"/>
                <w:sz w:val="18"/>
                <w:szCs w:val="18"/>
                <w:color w:val="auto"/>
              </w:rPr>
              <w:t>101</w:t>
            </w:r>
          </w:p>
        </w:tc>
        <w:tc>
          <w:tcPr>
            <w:tcW w:w="2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300" w:type="dxa"/>
            <w:vAlign w:val="bottom"/>
            <w:tcBorders>
              <w:bottom w:val="single" w:sz="8" w:color="808080"/>
            </w:tcBorders>
          </w:tcPr>
          <w:p>
            <w:pPr>
              <w:spacing w:after="0"/>
              <w:rPr>
                <w:sz w:val="10"/>
                <w:szCs w:val="10"/>
                <w:color w:val="auto"/>
              </w:rPr>
            </w:pPr>
          </w:p>
        </w:tc>
        <w:tc>
          <w:tcPr>
            <w:tcW w:w="27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Deferred government grants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424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840" w:type="dxa"/>
            <w:vAlign w:val="bottom"/>
          </w:tcPr>
          <w:p>
            <w:pPr>
              <w:spacing w:after="0"/>
              <w:rPr>
                <w:sz w:val="18"/>
                <w:szCs w:val="18"/>
                <w:color w:val="auto"/>
              </w:rPr>
            </w:pPr>
          </w:p>
        </w:tc>
        <w:tc>
          <w:tcPr>
            <w:tcW w:w="42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840" w:type="dxa"/>
            <w:vAlign w:val="bottom"/>
          </w:tcPr>
          <w:p>
            <w:pPr>
              <w:spacing w:after="0"/>
              <w:rPr>
                <w:sz w:val="20"/>
                <w:szCs w:val="20"/>
                <w:color w:val="auto"/>
              </w:rPr>
            </w:pPr>
          </w:p>
        </w:tc>
        <w:tc>
          <w:tcPr>
            <w:tcW w:w="42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8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1,581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1,909</w:t>
            </w:r>
          </w:p>
        </w:tc>
      </w:tr>
      <w:tr>
        <w:trPr>
          <w:trHeight w:val="215"/>
        </w:trPr>
        <w:tc>
          <w:tcPr>
            <w:tcW w:w="5840" w:type="dxa"/>
            <w:vAlign w:val="bottom"/>
          </w:tcPr>
          <w:p>
            <w:pPr>
              <w:spacing w:after="0"/>
              <w:rPr>
                <w:sz w:val="20"/>
                <w:szCs w:val="20"/>
                <w:color w:val="auto"/>
              </w:rPr>
            </w:pPr>
            <w:r>
              <w:rPr>
                <w:rFonts w:ascii="Arial" w:cs="Arial" w:eastAsia="Arial" w:hAnsi="Arial"/>
                <w:sz w:val="18"/>
                <w:szCs w:val="18"/>
                <w:color w:val="auto"/>
              </w:rPr>
              <w:t>Amortised during the year</w:t>
            </w:r>
          </w:p>
        </w:tc>
        <w:tc>
          <w:tcPr>
            <w:tcW w:w="4240" w:type="dxa"/>
            <w:vAlign w:val="bottom"/>
          </w:tcPr>
          <w:p>
            <w:pPr>
              <w:jc w:val="right"/>
              <w:ind w:right="190"/>
              <w:spacing w:after="0"/>
              <w:rPr>
                <w:sz w:val="20"/>
                <w:szCs w:val="20"/>
                <w:color w:val="auto"/>
              </w:rPr>
            </w:pPr>
            <w:r>
              <w:rPr>
                <w:rFonts w:ascii="Arial" w:cs="Arial" w:eastAsia="Arial" w:hAnsi="Arial"/>
                <w:sz w:val="18"/>
                <w:szCs w:val="18"/>
                <w:b w:val="1"/>
                <w:bCs w:val="1"/>
                <w:color w:val="auto"/>
              </w:rPr>
              <w:t>(115)</w:t>
            </w: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2"/>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4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5"/>
        </w:trPr>
        <w:tc>
          <w:tcPr>
            <w:tcW w:w="58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42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1,430</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r>
      <w:tr>
        <w:trPr>
          <w:trHeight w:val="209"/>
        </w:trPr>
        <w:tc>
          <w:tcPr>
            <w:tcW w:w="58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2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22"/>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1,351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1,470</w:t>
            </w:r>
          </w:p>
        </w:tc>
      </w:tr>
      <w:tr>
        <w:trPr>
          <w:trHeight w:val="215"/>
        </w:trPr>
        <w:tc>
          <w:tcPr>
            <w:tcW w:w="58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1,430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1,581</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51"/>
        </w:trPr>
        <w:tc>
          <w:tcPr>
            <w:tcW w:w="5840" w:type="dxa"/>
            <w:vAlign w:val="bottom"/>
          </w:tcPr>
          <w:p>
            <w:pPr>
              <w:spacing w:after="0"/>
              <w:rPr>
                <w:sz w:val="20"/>
                <w:szCs w:val="20"/>
                <w:color w:val="auto"/>
              </w:rPr>
            </w:pPr>
            <w:r>
              <w:rPr>
                <w:rFonts w:ascii="Arial" w:cs="Arial" w:eastAsia="Arial" w:hAnsi="Arial"/>
                <w:sz w:val="18"/>
                <w:szCs w:val="18"/>
                <w:b w:val="1"/>
                <w:bCs w:val="1"/>
                <w:color w:val="auto"/>
              </w:rPr>
              <w:t>22. Bank credit lines and loan facilities</w:t>
            </w:r>
          </w:p>
        </w:tc>
        <w:tc>
          <w:tcPr>
            <w:tcW w:w="42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20 July 2011, the Group agreed a three year committed multi currency revolving credit facility for $150 million with Citibank, JP Morgan, Ulster Bank, Deutsche Bank and Barclays Bank. Each bank, subject to the agreement, has committed $30 million to the facility and the terms and conditions attaching to the facility are the same for each institution. The facility bears interest at LIBOR plus a margin and is secured by certain composite guarantees, indemnities and pledges in favour of the banks. This facility replaced all facilities previously in place with Bank of Ireland, AIB, Citibank and JP Morgan. On 29 February 2012, $20 million was drawn down to fund working capital requirements.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23. Share capital</w:t>
            </w:r>
          </w:p>
        </w:tc>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5500" w:type="dxa"/>
            <w:vAlign w:val="bottom"/>
          </w:tcPr>
          <w:p>
            <w:pPr>
              <w:spacing w:after="0"/>
              <w:rPr>
                <w:sz w:val="20"/>
                <w:szCs w:val="20"/>
                <w:color w:val="auto"/>
              </w:rPr>
            </w:pPr>
            <w:r>
              <w:rPr>
                <w:rFonts w:ascii="Arial" w:cs="Arial" w:eastAsia="Arial" w:hAnsi="Arial"/>
                <w:sz w:val="18"/>
                <w:szCs w:val="18"/>
                <w:i w:val="1"/>
                <w:iCs w:val="1"/>
                <w:color w:val="auto"/>
              </w:rPr>
              <w:t>Group and Company</w:t>
            </w:r>
          </w:p>
        </w:tc>
        <w:tc>
          <w:tcPr>
            <w:tcW w:w="4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500" w:type="dxa"/>
            <w:vAlign w:val="bottom"/>
          </w:tcPr>
          <w:p>
            <w:pPr>
              <w:spacing w:after="0"/>
              <w:rPr>
                <w:sz w:val="20"/>
                <w:szCs w:val="20"/>
                <w:color w:val="auto"/>
              </w:rPr>
            </w:pPr>
            <w:r>
              <w:rPr>
                <w:rFonts w:ascii="Arial" w:cs="Arial" w:eastAsia="Arial" w:hAnsi="Arial"/>
                <w:sz w:val="18"/>
                <w:szCs w:val="18"/>
                <w:b w:val="1"/>
                <w:bCs w:val="1"/>
                <w:color w:val="auto"/>
              </w:rPr>
              <w:t>Authorised share capital:</w:t>
            </w:r>
          </w:p>
        </w:tc>
        <w:tc>
          <w:tcPr>
            <w:tcW w:w="5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 of Ordinary Shares</w:t>
            </w:r>
          </w:p>
        </w:tc>
        <w:tc>
          <w:tcPr>
            <w:tcW w:w="0" w:type="dxa"/>
            <w:vAlign w:val="bottom"/>
          </w:tcPr>
          <w:p>
            <w:pPr>
              <w:spacing w:after="0"/>
              <w:rPr>
                <w:sz w:val="1"/>
                <w:szCs w:val="1"/>
                <w:color w:val="auto"/>
              </w:rPr>
            </w:pPr>
          </w:p>
        </w:tc>
      </w:tr>
      <w:tr>
        <w:trPr>
          <w:trHeight w:val="43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 of par value €0.06</w:t>
            </w:r>
          </w:p>
        </w:tc>
        <w:tc>
          <w:tcPr>
            <w:tcW w:w="4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439"/>
        </w:trPr>
        <w:tc>
          <w:tcPr>
            <w:tcW w:w="5500" w:type="dxa"/>
            <w:vAlign w:val="bottom"/>
          </w:tcPr>
          <w:p>
            <w:pPr>
              <w:spacing w:after="0"/>
              <w:rPr>
                <w:sz w:val="24"/>
                <w:szCs w:val="24"/>
                <w:color w:val="auto"/>
              </w:rPr>
            </w:pPr>
          </w:p>
        </w:tc>
        <w:tc>
          <w:tcPr>
            <w:tcW w:w="458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5500" w:type="dxa"/>
            <w:vAlign w:val="bottom"/>
          </w:tcPr>
          <w:p>
            <w:pPr>
              <w:spacing w:after="0"/>
              <w:rPr>
                <w:sz w:val="18"/>
                <w:szCs w:val="18"/>
                <w:color w:val="auto"/>
              </w:rPr>
            </w:pPr>
          </w:p>
        </w:tc>
        <w:tc>
          <w:tcPr>
            <w:tcW w:w="45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Allotted, called up and fully paid</w:t>
            </w:r>
          </w:p>
        </w:tc>
        <w:tc>
          <w:tcPr>
            <w:tcW w:w="45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500" w:type="dxa"/>
            <w:vAlign w:val="bottom"/>
            <w:vMerge w:val="continue"/>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60,135,603 (31 December 2010: 60,247,092) ordinary shares of €0.06 each</w:t>
            </w:r>
          </w:p>
        </w:tc>
        <w:tc>
          <w:tcPr>
            <w:tcW w:w="4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5,055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5"/>
        </w:trPr>
        <w:tc>
          <w:tcPr>
            <w:tcW w:w="5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 fully paid share capital</w:t>
            </w: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rPr>
              <w:t>At beginning of year</w:t>
            </w:r>
          </w:p>
        </w:tc>
        <w:tc>
          <w:tcPr>
            <w:tcW w:w="4580" w:type="dxa"/>
            <w:vAlign w:val="bottom"/>
          </w:tcPr>
          <w:p>
            <w:pPr>
              <w:jc w:val="right"/>
              <w:ind w:right="250"/>
              <w:spacing w:after="0"/>
              <w:rPr>
                <w:sz w:val="20"/>
                <w:szCs w:val="20"/>
                <w:color w:val="auto"/>
              </w:rPr>
            </w:pPr>
            <w:r>
              <w:rPr>
                <w:rFonts w:ascii="Arial" w:cs="Arial" w:eastAsia="Arial" w:hAnsi="Arial"/>
                <w:sz w:val="18"/>
                <w:szCs w:val="18"/>
                <w:b w:val="1"/>
                <w:bCs w:val="1"/>
                <w:color w:val="auto"/>
              </w:rPr>
              <w:t>5,063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exercised</w:t>
            </w:r>
          </w:p>
        </w:tc>
        <w:tc>
          <w:tcPr>
            <w:tcW w:w="45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Repurchase of ordinary shares</w:t>
            </w:r>
          </w:p>
        </w:tc>
        <w:tc>
          <w:tcPr>
            <w:tcW w:w="4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year</w:t>
            </w:r>
          </w:p>
        </w:tc>
        <w:tc>
          <w:tcPr>
            <w:tcW w:w="4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5,055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5500" w:type="dxa"/>
            <w:vAlign w:val="bottom"/>
          </w:tcPr>
          <w:p>
            <w:pPr>
              <w:spacing w:after="0"/>
              <w:rPr>
                <w:sz w:val="24"/>
                <w:szCs w:val="24"/>
                <w:color w:val="auto"/>
              </w:rPr>
            </w:pPr>
          </w:p>
        </w:tc>
        <w:tc>
          <w:tcPr>
            <w:tcW w:w="4580" w:type="dxa"/>
            <w:vAlign w:val="bottom"/>
          </w:tcPr>
          <w:p>
            <w:pPr>
              <w:jc w:val="right"/>
              <w:ind w:right="4150"/>
              <w:spacing w:after="0"/>
              <w:rPr>
                <w:sz w:val="20"/>
                <w:szCs w:val="20"/>
                <w:color w:val="auto"/>
              </w:rPr>
            </w:pPr>
            <w:r>
              <w:rPr>
                <w:rFonts w:ascii="Arial" w:cs="Arial" w:eastAsia="Arial" w:hAnsi="Arial"/>
                <w:sz w:val="18"/>
                <w:szCs w:val="18"/>
                <w:color w:val="auto"/>
              </w:rPr>
              <w:t>102</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0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Share capital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Holders of Ordinary shares will be entitled to receive such dividends as may be recommended by the board of Directors of the Group and approved by the shareholders and/or such interim dividends as the board of Directors of the Group may decide. On liquidation or a winding up of the Company, the par value of the Ordinary Shares will be repaid out of the assets available for distribution among the holders of the Company’s American Depository Shares (“ADSs”) and Ordinary Shares not otherwise represented by ADSs.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year ended 31 December 2011, 430,340 options were exercised by employees for total proceeds of $4.7 million. During the year ended 31 December 2011, 3,768 ordinary shares were issued in respect of certain restricted stock unit’s previously awarded by the Company.</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year ended 31 December 2010, 1,237,015 options were exercised by employees for total proceeds of $13.2 million. During the year ended 31 December 2010, 2,512 ordinary shares were issued in respect of certain restricted stock unit’s previously awarded by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programme</w:t>
      </w:r>
    </w:p>
    <w:p>
      <w:pPr>
        <w:spacing w:after="0" w:line="2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27 October 2011, the Company announced its intention to commence a share repurchase programme of up to $50 million. On 22 November 2011, the Company entered into two separate share repurchase plans of up to$10 million each, covering the periods 23 November 2011 to 31 December 2011 and 1 January 2012 to 20 February 2012 respectively. On 21 February 2012 the Company entered into a third share repurchase plan of up to $20 million, covering the period 22 February 2012 to 22 April 2012. On 27 April 2012 the Company entered into a fourth share repurchase plan of up to $20 million, covering the period 27 April 2012 to 18 July 2012. The Company may enter further share repurchase plans to effect the share repurchase programme in accordance with Rule 10b-18 and Rule 10b5-1 of the Securities Exchange Act of 1934, the authorisation granted at the Company’s annual general meeting on 18 July 2011, applicable laws and regulations and the Listing Rules of the Irish Stock Exchange.</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share repurchase programme, a broker will purchase the Company’s American Depositary Shares (“ADSs”) from time to time on the open market or in privately negotiated transactions in accordance with agreed terms and limitations. ADSs purchased will be deposited with the Depositary under the Company’s ADR facility against delivery of the underlying Ordinary Shares, which will be repurchased by the Company on the Irish Stock Exchange in compliance with the Company’s share repurchase authorisation and applicable laws and regulations. Separately, Ordinary Shares traded on the Irish Stock Exchange may also be repurchased on behalf of the Company. The programme is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are irrevocable and the trading decisions in respect of the repurchase programme will be made independently of and uninfluenced by the Company. The Company confirms that, on entering all three share repurchase plans outlined above, it had no material non-public, price-sensitive or inside information regarding the Company or its securities.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timing and actual number of shares repurchased will be dependent on market conditions, legal and regulatory requirements and the other terms and limitations contained in the plans. In addition, share repurchases may be suspended or discontinued in certain circumstances in accordance with the agreed terms. Therefore, there can be no assurance as to the timing or number of shares that may be repurchased under the repurchase programme. All Ordinary Shares repurchased by the Company will be cancelled.</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31 December 2011, 545,597 ordinary shares were repurchased by the Company for a total consideration of $9.0 million. All ordinary shares repurchased by the Company were cancelled, and the nominal value of these shares transferred to a capital redemption reserve fund as required under Irish Company Law.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Capital and reserves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980" w:type="dxa"/>
            <w:vAlign w:val="bottom"/>
          </w:tcPr>
          <w:p>
            <w:pPr>
              <w:spacing w:after="0"/>
              <w:rPr>
                <w:sz w:val="18"/>
                <w:szCs w:val="18"/>
                <w:color w:val="auto"/>
              </w:rPr>
            </w:pP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980" w:type="dxa"/>
            <w:vAlign w:val="bottom"/>
          </w:tcPr>
          <w:p>
            <w:pPr>
              <w:spacing w:after="0"/>
              <w:rPr>
                <w:sz w:val="20"/>
                <w:szCs w:val="20"/>
                <w:color w:val="auto"/>
              </w:rPr>
            </w:pP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9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reserve</w:t>
            </w:r>
          </w:p>
        </w:tc>
        <w:tc>
          <w:tcPr>
            <w:tcW w:w="41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39,429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31,478</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Capital redemption reserve</w:t>
            </w:r>
          </w:p>
        </w:tc>
        <w:tc>
          <w:tcPr>
            <w:tcW w:w="4100" w:type="dxa"/>
            <w:vAlign w:val="bottom"/>
          </w:tcPr>
          <w:p>
            <w:pPr>
              <w:jc w:val="right"/>
              <w:ind w:right="250"/>
              <w:spacing w:after="0"/>
              <w:rPr>
                <w:sz w:val="20"/>
                <w:szCs w:val="20"/>
                <w:color w:val="auto"/>
              </w:rPr>
            </w:pPr>
            <w:r>
              <w:rPr>
                <w:rFonts w:ascii="Arial" w:cs="Arial" w:eastAsia="Arial" w:hAnsi="Arial"/>
                <w:sz w:val="18"/>
                <w:szCs w:val="18"/>
                <w:b w:val="1"/>
                <w:bCs w:val="1"/>
                <w:color w:val="auto"/>
              </w:rPr>
              <w:t>44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41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7,422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7,422</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4100" w:type="dxa"/>
            <w:vAlign w:val="bottom"/>
          </w:tcPr>
          <w:p>
            <w:pPr>
              <w:jc w:val="right"/>
              <w:ind w:right="190"/>
              <w:spacing w:after="0"/>
              <w:rPr>
                <w:sz w:val="20"/>
                <w:szCs w:val="20"/>
                <w:color w:val="auto"/>
              </w:rPr>
            </w:pPr>
            <w:r>
              <w:rPr>
                <w:rFonts w:ascii="Arial" w:cs="Arial" w:eastAsia="Arial" w:hAnsi="Arial"/>
                <w:sz w:val="18"/>
                <w:szCs w:val="18"/>
                <w:b w:val="1"/>
                <w:bCs w:val="1"/>
                <w:color w:val="auto"/>
              </w:rPr>
              <w:t>(11,507)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 – fair value reserve</w:t>
            </w:r>
          </w:p>
        </w:tc>
        <w:tc>
          <w:tcPr>
            <w:tcW w:w="41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4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491,937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483,896</w:t>
            </w:r>
          </w:p>
        </w:tc>
      </w:tr>
      <w:tr>
        <w:trPr>
          <w:trHeight w:val="215"/>
        </w:trPr>
        <w:tc>
          <w:tcPr>
            <w:tcW w:w="59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526,703</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523,145</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payment reserve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Share based payment reserve is used to account for share-based payments. The fair value of share based payments is expensed to the income statement over the period the related services are received, with a corresponding increase in equity. At 31 December 2011 the Group has recognised a cumulative charge for share based payments of $53.2 million net of deferred tax (2010: $43.7 million). The Group has also recognised a cumulative credit of $10.3 million (2010: $9.6million) in reserves for the current and deferred tax effects of the tax benefits relating to the exercise of employee share options in excess of related cumulative compensation expense. The Group has reclassified a cumulative credit of $24.1 million (2010: $21.8 million) to retained earnings in respect of exercised and expired share based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redemption reserve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Capital Redemption Reserve comprises the nominal value of shares repurchased and cancelled by the Group and transferred from share capital to the capital redemption reserve fund as required under Irish Group Law. During the year ended 31 December 2011, 545,597 (31 December 2010: nil) ordinary shares were repurchased and cancelled by the Group.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reserves</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Group has recognised a non-distributable reserve of $1.4 million in accordance with agreements made between the Group and Enterprise Ireland, an Irish government agency. The requirement for these non-distributable reserves will expire between the period 2012 and 2014. In 2005 the Group also recognised a share based compensation charge of $6.0 million being the fair value of outstanding ordinary shares transferred to Mr Peter Gray, Vice Chairman of the board of Directors (formerly Chief Executive Officer), by founding Directors, Dr. John Climax and Dr. Ronan Lambe.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reserve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currency reserve comprises all foreign exchange differences arising from the translation of the financial statements of foreign currency denominated operations of the Group since 1 June 2004, the date of transition to IFRS. As at 31 December 2011, this amounted to a cumulative loss of $7.9 million (2010:$19.3 million). In addition the Group has recognised a cumulative gain for the currency impact of long term funding amounting to $20.9 million as at 31 December 2011 (2010: $20.1million). This is offset by a cumulative charge of $1.5 million (2010: $1.2 million) for the related tax on the currency impact on long term funding.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 investments – fair value reserve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current asset investment – fair value reserve comprises unrealised fair value gains and losses on current asset investments held as available-for-sale. The Group has recognised a loss of $0.6 million during the year ended 31 December 2011 (2010: $nil million). Unrealised gains and losses are released to the Consolidated Income Statement on disposal of the related asset.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Capital and reserves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Retained earnings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profit for the financial year the Group has also recognised the actuarial loss on the defined benefit pension scheme in this reserve. In 2011 the Group recognised an actuarial loss of $4.4 million on the defined benefit pension scheme (31 December 2010: actuarial loss of $1.2 million). The Group has also recognised a credit of $2.3 million (2010: $6.4 million) in respect of exercised and expired share based awards that have been transferred from the Option Reserve.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Financial Instruments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21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Group’s exposure to credit risk arises predominately in respect of the creditworthiness of its customers in relation to amounts due from them for the value of work performed and the creditworthiness of counterparties with which it invests surplus cash balances.</w:t>
      </w:r>
    </w:p>
    <w:p>
      <w:pPr>
        <w:spacing w:after="0" w:line="19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Credit risk pertaining to customers is managed by ensuring strict credit procedures are in place, in particular through evaluation of all new customers and ongoing account monitoring. The Group earns revenues from contracts with its customers based upon certain activities and performance specifications. Contract terms may range from several weeks to several years depending on the nature of the work to be performed. Such contracts are generally either fixed price or units-based. In most cases, a small portion of the contract fee is paid at the time the study or trial is started. The balance of the contract fee is generally payable in instalments over the study or trial duration and may be based on the achievement of</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performance targets or "milestones" or, based on units delivered, or on a fixed monthly payment schedule. For instance, instalment payments may be based on patient enrolment or delivery of the database. Where customers request changes in the scope of a trial or in the services to be provided, a change order or amendment is issued which may result either in an increase or decrease in the contract value. The Group also contracts on a "fee-for-service," or "time and materials" basis, but this accounts for a small portion of overall project activities.</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During the course of the study, the Group will generally incur expenses which are fully reimbursable by customers.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customer.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customer's decision to de-emphasise a particular trial or inadequate patient enrollment or investigator recruitment.</w:t>
      </w:r>
    </w:p>
    <w:p>
      <w:pPr>
        <w:spacing w:after="0" w:line="21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Group’s top five customers accounted for approximately 37% and 33% respectively of net revenue during the years ended 31 December 2011 and 31 December 2010. During the year ended 31 December 2011, 13% of the Group’s net revenues was derived from one client, with no other client contributing more than 10% of net revenues during this period. During the year ended 31 December 2010 no one client contributed more than 10% of net revenues.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maximum exposure of credit risk pertaining to customers is the carrying value of accounts receivable and unbilled revenue balances. The carrying value of accounts receivable and unbilled revenue balances, by geographic region, at 31 December 2011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518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Accounts Receivable</w:t>
            </w:r>
          </w:p>
        </w:tc>
        <w:tc>
          <w:tcPr>
            <w:tcW w:w="296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Unbilled Revenue</w:t>
            </w:r>
          </w:p>
        </w:tc>
      </w:tr>
      <w:tr>
        <w:trPr>
          <w:trHeight w:val="215"/>
        </w:trPr>
        <w:tc>
          <w:tcPr>
            <w:tcW w:w="3280" w:type="dxa"/>
            <w:vAlign w:val="bottom"/>
          </w:tcPr>
          <w:p>
            <w:pPr>
              <w:spacing w:after="0"/>
              <w:rPr>
                <w:sz w:val="18"/>
                <w:szCs w:val="18"/>
                <w:color w:val="auto"/>
              </w:rPr>
            </w:pPr>
          </w:p>
        </w:tc>
        <w:tc>
          <w:tcPr>
            <w:tcW w:w="360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31 December</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280" w:type="dxa"/>
            <w:vAlign w:val="bottom"/>
          </w:tcPr>
          <w:p>
            <w:pPr>
              <w:spacing w:after="0"/>
              <w:rPr>
                <w:sz w:val="18"/>
                <w:szCs w:val="18"/>
                <w:color w:val="auto"/>
              </w:rPr>
            </w:pPr>
          </w:p>
        </w:tc>
        <w:tc>
          <w:tcPr>
            <w:tcW w:w="36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3280" w:type="dxa"/>
            <w:vAlign w:val="bottom"/>
          </w:tcPr>
          <w:p>
            <w:pPr>
              <w:spacing w:after="0"/>
              <w:rPr>
                <w:sz w:val="20"/>
                <w:szCs w:val="20"/>
                <w:color w:val="auto"/>
              </w:rPr>
            </w:pPr>
          </w:p>
        </w:tc>
        <w:tc>
          <w:tcPr>
            <w:tcW w:w="360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$’000</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6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90,791</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91,583</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64,427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51,351</w:t>
            </w: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United States</w:t>
            </w:r>
          </w:p>
        </w:tc>
        <w:tc>
          <w:tcPr>
            <w:tcW w:w="3600" w:type="dxa"/>
            <w:vAlign w:val="bottom"/>
          </w:tcPr>
          <w:p>
            <w:pPr>
              <w:jc w:val="right"/>
              <w:ind w:right="250"/>
              <w:spacing w:after="0"/>
              <w:rPr>
                <w:sz w:val="20"/>
                <w:szCs w:val="20"/>
                <w:color w:val="auto"/>
              </w:rPr>
            </w:pPr>
            <w:r>
              <w:rPr>
                <w:rFonts w:ascii="Arial" w:cs="Arial" w:eastAsia="Arial" w:hAnsi="Arial"/>
                <w:sz w:val="18"/>
                <w:szCs w:val="18"/>
                <w:b w:val="1"/>
                <w:bCs w:val="1"/>
                <w:color w:val="auto"/>
              </w:rPr>
              <w:t>106,037</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71,668</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57,631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48,186</w:t>
            </w:r>
          </w:p>
        </w:tc>
      </w:tr>
      <w:tr>
        <w:trPr>
          <w:trHeight w:val="222"/>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4,510</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1,656</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4,792</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1,894</w:t>
            </w:r>
          </w:p>
        </w:tc>
      </w:tr>
      <w:tr>
        <w:trPr>
          <w:trHeight w:val="215"/>
        </w:trPr>
        <w:tc>
          <w:tcPr>
            <w:tcW w:w="32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201,338</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164,907</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126,850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101,431</w:t>
            </w:r>
          </w:p>
        </w:tc>
      </w:tr>
    </w:tbl>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exposure to credit risk also arises with counterparties in respect of surplus cash balances invested. The Group’s treasury function actively manages available cash resources and invests significant cash balances in various financial institutions to try to ensure optimum returns for surplus cash balances. These balances are classified as cash and cash equivalents or current asset investments depending on the maturity of the related investment. Credit risk in relation to these balances is managed through ongoing monitoring of the composition of the balances and ensuring that funds are invested in accordance with strict risk management policies and controls as specified by the Group’s Board of Directors. Surplus cash balances are invested in minimum “A” rated fixed and floating rate securities.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tc>
        <w:tc>
          <w:tcPr>
            <w:tcW w:w="2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7"/>
        </w:trPr>
        <w:tc>
          <w:tcPr>
            <w:tcW w:w="7220" w:type="dxa"/>
            <w:vAlign w:val="bottom"/>
          </w:tcPr>
          <w:p>
            <w:pPr>
              <w:spacing w:after="0"/>
              <w:rPr>
                <w:sz w:val="20"/>
                <w:szCs w:val="20"/>
                <w:color w:val="auto"/>
              </w:rPr>
            </w:pPr>
            <w:r>
              <w:rPr>
                <w:rFonts w:ascii="Arial" w:cs="Arial" w:eastAsia="Arial" w:hAnsi="Arial"/>
                <w:sz w:val="18"/>
                <w:szCs w:val="18"/>
                <w:i w:val="1"/>
                <w:iCs w:val="1"/>
                <w:color w:val="auto"/>
              </w:rPr>
              <w:t>Liquid and Capital Resources</w:t>
            </w: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7"/>
        </w:trPr>
        <w:tc>
          <w:tcPr>
            <w:tcW w:w="7220" w:type="dxa"/>
            <w:vAlign w:val="bottom"/>
          </w:tcPr>
          <w:p>
            <w:pPr>
              <w:spacing w:after="0"/>
              <w:rPr>
                <w:sz w:val="20"/>
                <w:szCs w:val="20"/>
                <w:color w:val="auto"/>
              </w:rPr>
            </w:pPr>
            <w:r>
              <w:rPr>
                <w:rFonts w:ascii="Arial" w:cs="Arial" w:eastAsia="Arial" w:hAnsi="Arial"/>
                <w:sz w:val="18"/>
                <w:szCs w:val="18"/>
                <w:color w:val="auto"/>
              </w:rPr>
              <w:t>The Group’s liquid and capital resources at 31 December 2011 were as follows:</w:t>
            </w: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7220" w:type="dxa"/>
            <w:vAlign w:val="bottom"/>
          </w:tcPr>
          <w:p>
            <w:pPr>
              <w:spacing w:after="0"/>
              <w:rPr>
                <w:sz w:val="24"/>
                <w:szCs w:val="24"/>
                <w:color w:val="auto"/>
              </w:rPr>
            </w:pPr>
          </w:p>
        </w:tc>
        <w:tc>
          <w:tcPr>
            <w:tcW w:w="28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7220" w:type="dxa"/>
            <w:vAlign w:val="bottom"/>
          </w:tcPr>
          <w:p>
            <w:pPr>
              <w:spacing w:after="0"/>
              <w:rPr>
                <w:sz w:val="18"/>
                <w:szCs w:val="18"/>
                <w:color w:val="auto"/>
              </w:rPr>
            </w:pPr>
          </w:p>
        </w:tc>
        <w:tc>
          <w:tcPr>
            <w:tcW w:w="2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7220" w:type="dxa"/>
            <w:vAlign w:val="bottom"/>
          </w:tcPr>
          <w:p>
            <w:pPr>
              <w:spacing w:after="0"/>
              <w:rPr>
                <w:sz w:val="20"/>
                <w:szCs w:val="20"/>
                <w:color w:val="auto"/>
              </w:rPr>
            </w:pPr>
          </w:p>
        </w:tc>
        <w:tc>
          <w:tcPr>
            <w:tcW w:w="28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7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 (note 17)</w:t>
            </w:r>
          </w:p>
        </w:tc>
        <w:tc>
          <w:tcPr>
            <w:tcW w:w="28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54,940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(note 18)</w:t>
            </w:r>
          </w:p>
        </w:tc>
        <w:tc>
          <w:tcPr>
            <w:tcW w:w="2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119,237</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255,706</w:t>
            </w:r>
          </w:p>
        </w:tc>
      </w:tr>
      <w:tr>
        <w:trPr>
          <w:trHeight w:val="215"/>
        </w:trPr>
        <w:tc>
          <w:tcPr>
            <w:tcW w:w="7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liquid resources</w:t>
            </w:r>
          </w:p>
        </w:tc>
        <w:tc>
          <w:tcPr>
            <w:tcW w:w="2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174,177</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255,706</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9"/>
        </w:trPr>
        <w:tc>
          <w:tcPr>
            <w:tcW w:w="7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w:t>
            </w:r>
          </w:p>
        </w:tc>
        <w:tc>
          <w:tcPr>
            <w:tcW w:w="2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691,848</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683,743</w:t>
            </w: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Group’s primary objectives in managing its liquid and capital resources are as follows:</w:t>
      </w:r>
    </w:p>
    <w:p>
      <w:pPr>
        <w:spacing w:after="0" w:line="23" w:lineRule="exact"/>
        <w:rPr>
          <w:sz w:val="20"/>
          <w:szCs w:val="20"/>
          <w:color w:val="auto"/>
        </w:rPr>
      </w:pPr>
    </w:p>
    <w:p>
      <w:pPr>
        <w:ind w:left="680" w:hanging="350"/>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maintain adequate resources to fund its continued operations,</w:t>
      </w:r>
    </w:p>
    <w:p>
      <w:pPr>
        <w:spacing w:after="0" w:line="8" w:lineRule="exact"/>
        <w:rPr>
          <w:rFonts w:ascii="Arial" w:cs="Arial" w:eastAsia="Arial" w:hAnsi="Arial"/>
          <w:sz w:val="18"/>
          <w:szCs w:val="18"/>
          <w:color w:val="auto"/>
        </w:rPr>
      </w:pPr>
    </w:p>
    <w:p>
      <w:pPr>
        <w:ind w:left="680" w:hanging="350"/>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ensure availability of sufficient resources to sustain future development and growth of the business,</w:t>
      </w:r>
    </w:p>
    <w:p>
      <w:pPr>
        <w:spacing w:after="0" w:line="8" w:lineRule="exact"/>
        <w:rPr>
          <w:rFonts w:ascii="Arial" w:cs="Arial" w:eastAsia="Arial" w:hAnsi="Arial"/>
          <w:sz w:val="18"/>
          <w:szCs w:val="18"/>
          <w:color w:val="auto"/>
        </w:rPr>
      </w:pPr>
    </w:p>
    <w:p>
      <w:pPr>
        <w:ind w:left="680" w:hanging="350"/>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maintain sufficient resources to mitigate risks and unforeseen events which may arise.</w:t>
      </w:r>
    </w:p>
    <w:p>
      <w:pPr>
        <w:spacing w:after="0" w:line="23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facility is set out in note 22 </w:t>
      </w:r>
      <w:r>
        <w:rPr>
          <w:rFonts w:ascii="Arial" w:cs="Arial" w:eastAsia="Arial" w:hAnsi="Arial"/>
          <w:sz w:val="17"/>
          <w:szCs w:val="17"/>
          <w:i w:val="1"/>
          <w:iCs w:val="1"/>
          <w:color w:val="auto"/>
        </w:rPr>
        <w:t>Bank Credit Lines and Loan Facilities.</w:t>
      </w:r>
      <w:r>
        <w:rPr>
          <w:rFonts w:ascii="Arial" w:cs="Arial" w:eastAsia="Arial" w:hAnsi="Arial"/>
          <w:sz w:val="17"/>
          <w:szCs w:val="17"/>
          <w:color w:val="auto"/>
        </w:rPr>
        <w:t xml:space="preserve"> There were no funds drawn down under this at 31 December 2011. Amounts drawn under previous facilities were repaid during the year ended 31 December 2010. The Group may raise additional finance through the issuance of ordinary shares or debt as required.</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i w:val="1"/>
                <w:iCs w:val="1"/>
                <w:color w:val="auto"/>
              </w:rPr>
              <w:t>Year ended 31 December 2011</w:t>
            </w: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38"/>
        </w:trPr>
        <w:tc>
          <w:tcPr>
            <w:tcW w:w="2640" w:type="dxa"/>
            <w:vAlign w:val="bottom"/>
          </w:tcPr>
          <w:p>
            <w:pPr>
              <w:spacing w:after="0"/>
              <w:rPr>
                <w:sz w:val="24"/>
                <w:szCs w:val="24"/>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Carrying</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Contractual</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6 months</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r>
      <w:tr>
        <w:trPr>
          <w:trHeight w:val="215"/>
        </w:trPr>
        <w:tc>
          <w:tcPr>
            <w:tcW w:w="264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Cashflows</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or less</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6-12 months</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1-2 years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2-5 years</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r>
      <w:tr>
        <w:trPr>
          <w:trHeight w:val="234"/>
        </w:trPr>
        <w:tc>
          <w:tcPr>
            <w:tcW w:w="26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$’000</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2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(3,232)</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(3,232)</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(3,232)</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640" w:type="dxa"/>
            <w:vAlign w:val="bottom"/>
          </w:tcPr>
          <w:p>
            <w:pPr>
              <w:spacing w:after="0"/>
              <w:rPr>
                <w:sz w:val="20"/>
                <w:szCs w:val="20"/>
                <w:color w:val="auto"/>
              </w:rPr>
            </w:pPr>
            <w:r>
              <w:rPr>
                <w:rFonts w:ascii="Arial" w:cs="Arial" w:eastAsia="Arial" w:hAnsi="Arial"/>
                <w:sz w:val="18"/>
                <w:szCs w:val="18"/>
                <w:color w:val="auto"/>
              </w:rPr>
              <w:t>Non-current provisions</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(11,903)</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(12,602)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(12,602)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(5,340)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(5,340)</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(5,340)</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6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(104,399)</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(104,399)</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(104,399)</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2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Provisions</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(41,489)</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(41,974)</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(28,682)</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(13,292)</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5"/>
        </w:trPr>
        <w:tc>
          <w:tcPr>
            <w:tcW w:w="26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(166,363)</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(167,547)</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(138,421)</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(13,292)</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(15,834)</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599"/>
        </w:trPr>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color w:val="auto"/>
              </w:rPr>
              <w:t>107</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7"/>
        </w:trPr>
        <w:tc>
          <w:tcPr>
            <w:tcW w:w="26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w w:val="92"/>
              </w:rPr>
              <w:t xml:space="preserve">25. Financial Instruments </w:t>
            </w:r>
            <w:r>
              <w:rPr>
                <w:rFonts w:ascii="Arial" w:cs="Arial" w:eastAsia="Arial" w:hAnsi="Arial"/>
                <w:sz w:val="18"/>
                <w:szCs w:val="18"/>
                <w:i w:val="1"/>
                <w:iCs w:val="1"/>
                <w:color w:val="auto"/>
                <w:w w:val="92"/>
              </w:rPr>
              <w:t>(</w:t>
            </w:r>
            <w:r>
              <w:rPr>
                <w:rFonts w:ascii="Arial" w:cs="Arial" w:eastAsia="Arial" w:hAnsi="Arial"/>
                <w:sz w:val="18"/>
                <w:szCs w:val="18"/>
                <w:b w:val="1"/>
                <w:bCs w:val="1"/>
                <w:i w:val="1"/>
                <w:iCs w:val="1"/>
                <w:color w:val="auto"/>
                <w:w w:val="92"/>
              </w:rPr>
              <w:t>continued)</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7"/>
        </w:trPr>
        <w:tc>
          <w:tcPr>
            <w:tcW w:w="2980" w:type="dxa"/>
            <w:vAlign w:val="bottom"/>
          </w:tcPr>
          <w:p>
            <w:pPr>
              <w:spacing w:after="0"/>
              <w:rPr>
                <w:sz w:val="20"/>
                <w:szCs w:val="20"/>
                <w:color w:val="auto"/>
              </w:rPr>
            </w:pPr>
            <w:r>
              <w:rPr>
                <w:rFonts w:ascii="Arial" w:cs="Arial" w:eastAsia="Arial" w:hAnsi="Arial"/>
                <w:sz w:val="18"/>
                <w:szCs w:val="18"/>
                <w:i w:val="1"/>
                <w:iCs w:val="1"/>
                <w:color w:val="auto"/>
              </w:rPr>
              <w:t>Year ended 31 December 2010</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8"/>
        </w:trPr>
        <w:tc>
          <w:tcPr>
            <w:tcW w:w="298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Carrying</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Contractual</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6 months</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r>
      <w:tr>
        <w:trPr>
          <w:trHeight w:val="215"/>
        </w:trPr>
        <w:tc>
          <w:tcPr>
            <w:tcW w:w="29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Cashflows</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or less</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6-12 months</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1-2 years</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2-5 years</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r>
      <w:tr>
        <w:trPr>
          <w:trHeight w:val="234"/>
        </w:trPr>
        <w:tc>
          <w:tcPr>
            <w:tcW w:w="29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2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(3,676)</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(3,676)</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(3,676)</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980" w:type="dxa"/>
            <w:vAlign w:val="bottom"/>
          </w:tcPr>
          <w:p>
            <w:pPr>
              <w:spacing w:after="0"/>
              <w:rPr>
                <w:sz w:val="20"/>
                <w:szCs w:val="20"/>
                <w:color w:val="auto"/>
              </w:rPr>
            </w:pPr>
            <w:r>
              <w:rPr>
                <w:rFonts w:ascii="Arial" w:cs="Arial" w:eastAsia="Arial" w:hAnsi="Arial"/>
                <w:sz w:val="18"/>
                <w:szCs w:val="18"/>
                <w:color w:val="auto"/>
              </w:rPr>
              <w:t>Accounts payable</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(12,314)</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(12,314)</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(12,314)</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(96,061)</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(96,063)</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(95,983)</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provisions</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(3,027)</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(3,027)</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(3,027)</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2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(115,078)</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(115,080)</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(111,324)</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(80)</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(3,676)</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*Certain reclassifications have been made to prior year comparatives to be consistent with the current year presentation.</w:t>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Non-current other liabilities above excludes retirement plan net benefit obligation (2011: $4.9 million and 2010: $1.0 million) and deferred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grants (2011: $1.4 million and 2010: $1.5 million). Accrued and other liabilities excludes deferred government grants (2011: $0.1 million and 2010: $0.1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Group is subject to a number of foreign currency risks given the global nature of its operations. The principal foreign currency risks to which the business is subject to includes both foreign currency translation risk and foreign currency transaction risk. Although domiciled in Ireland, the Group reports its results in U.S. dollars. As a consequence the results of non-U.S. based operations, when translated into U.S. dollars, could be affected by fluctuations in exchange rates between the U.S. dollar and the currencies of those operations.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among other things, on which of the Group’s offices provide staff for the contract, and the location of investigator sites.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Group’s transaction risk in relation to financial assets and liabilities at 31 December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2040" w:type="dxa"/>
            <w:vAlign w:val="bottom"/>
          </w:tcPr>
          <w:p>
            <w:pPr>
              <w:jc w:val="right"/>
              <w:ind w:right="450"/>
              <w:spacing w:after="0"/>
              <w:rPr>
                <w:sz w:val="20"/>
                <w:szCs w:val="20"/>
                <w:color w:val="auto"/>
              </w:rPr>
            </w:pPr>
            <w:r>
              <w:rPr>
                <w:rFonts w:ascii="Arial" w:cs="Arial" w:eastAsia="Arial" w:hAnsi="Arial"/>
                <w:sz w:val="18"/>
                <w:szCs w:val="18"/>
                <w:b w:val="1"/>
                <w:bCs w:val="1"/>
                <w:color w:val="auto"/>
              </w:rPr>
              <w:t>U.S. Dollar</w:t>
            </w:r>
          </w:p>
        </w:tc>
        <w:tc>
          <w:tcPr>
            <w:tcW w:w="1680" w:type="dxa"/>
            <w:vAlign w:val="bottom"/>
          </w:tcPr>
          <w:p>
            <w:pPr>
              <w:jc w:val="right"/>
              <w:ind w:right="510"/>
              <w:spacing w:after="0"/>
              <w:rPr>
                <w:sz w:val="20"/>
                <w:szCs w:val="20"/>
                <w:color w:val="auto"/>
              </w:rPr>
            </w:pPr>
            <w:r>
              <w:rPr>
                <w:rFonts w:ascii="Arial" w:cs="Arial" w:eastAsia="Arial" w:hAnsi="Arial"/>
                <w:sz w:val="18"/>
                <w:szCs w:val="18"/>
                <w:b w:val="1"/>
                <w:bCs w:val="1"/>
                <w:color w:val="auto"/>
              </w:rPr>
              <w:t>Sterling</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Euro</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5"/>
        </w:trPr>
        <w:tc>
          <w:tcPr>
            <w:tcW w:w="3440" w:type="dxa"/>
            <w:vAlign w:val="bottom"/>
          </w:tcPr>
          <w:p>
            <w:pPr>
              <w:spacing w:after="0"/>
              <w:rPr>
                <w:sz w:val="18"/>
                <w:szCs w:val="18"/>
                <w:color w:val="auto"/>
              </w:rPr>
            </w:pPr>
          </w:p>
        </w:tc>
        <w:tc>
          <w:tcPr>
            <w:tcW w:w="2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6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34"/>
        </w:trPr>
        <w:tc>
          <w:tcPr>
            <w:tcW w:w="3440" w:type="dxa"/>
            <w:vAlign w:val="bottom"/>
          </w:tcPr>
          <w:p>
            <w:pPr>
              <w:spacing w:after="0"/>
              <w:rPr>
                <w:sz w:val="20"/>
                <w:szCs w:val="20"/>
                <w:color w:val="auto"/>
              </w:rPr>
            </w:pPr>
          </w:p>
        </w:tc>
        <w:tc>
          <w:tcPr>
            <w:tcW w:w="2040" w:type="dxa"/>
            <w:vAlign w:val="bottom"/>
          </w:tcPr>
          <w:p>
            <w:pPr>
              <w:jc w:val="right"/>
              <w:ind w:right="450"/>
              <w:spacing w:after="0"/>
              <w:rPr>
                <w:sz w:val="20"/>
                <w:szCs w:val="20"/>
                <w:color w:val="auto"/>
              </w:rPr>
            </w:pPr>
            <w:r>
              <w:rPr>
                <w:rFonts w:ascii="Arial" w:cs="Arial" w:eastAsia="Arial" w:hAnsi="Arial"/>
                <w:sz w:val="18"/>
                <w:szCs w:val="18"/>
                <w:b w:val="1"/>
                <w:bCs w:val="1"/>
                <w:color w:val="auto"/>
              </w:rPr>
              <w:t>$’000</w:t>
            </w:r>
          </w:p>
        </w:tc>
        <w:tc>
          <w:tcPr>
            <w:tcW w:w="1680" w:type="dxa"/>
            <w:vAlign w:val="bottom"/>
          </w:tcPr>
          <w:p>
            <w:pPr>
              <w:jc w:val="right"/>
              <w:ind w:right="510"/>
              <w:spacing w:after="0"/>
              <w:rPr>
                <w:sz w:val="20"/>
                <w:szCs w:val="20"/>
                <w:color w:val="auto"/>
              </w:rPr>
            </w:pPr>
            <w:r>
              <w:rPr>
                <w:rFonts w:ascii="Arial" w:cs="Arial" w:eastAsia="Arial" w:hAnsi="Arial"/>
                <w:sz w:val="18"/>
                <w:szCs w:val="18"/>
                <w:b w:val="1"/>
                <w:bCs w:val="1"/>
                <w:color w:val="auto"/>
              </w:rPr>
              <w:t>$’000</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$’000</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29,302</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6,567</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2,767</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2,437</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41,073</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Unbilled revenue/payments on account</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(17,499)</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(3,479)</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(2,760)</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706</w:t>
            </w:r>
          </w:p>
        </w:tc>
        <w:tc>
          <w:tcPr>
            <w:tcW w:w="1140" w:type="dxa"/>
            <w:vAlign w:val="bottom"/>
          </w:tcPr>
          <w:p>
            <w:pPr>
              <w:jc w:val="right"/>
              <w:spacing w:after="0"/>
              <w:rPr>
                <w:sz w:val="20"/>
                <w:szCs w:val="20"/>
                <w:color w:val="auto"/>
              </w:rPr>
            </w:pPr>
            <w:r>
              <w:rPr>
                <w:rFonts w:ascii="Arial" w:cs="Arial" w:eastAsia="Arial" w:hAnsi="Arial"/>
                <w:sz w:val="18"/>
                <w:szCs w:val="18"/>
                <w:color w:val="auto"/>
              </w:rPr>
              <w:t>(23,032)</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69,226</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1,752</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743</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239</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71,960</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Other current assets</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800</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214</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473</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278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1,765</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90</w:t>
            </w:r>
          </w:p>
        </w:tc>
        <w:tc>
          <w:tcPr>
            <w:tcW w:w="16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472</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44</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(345)</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(194)</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(119)</w:t>
            </w:r>
          </w:p>
        </w:tc>
        <w:tc>
          <w:tcPr>
            <w:tcW w:w="11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(17,645)</w:t>
            </w:r>
          </w:p>
        </w:tc>
        <w:tc>
          <w:tcPr>
            <w:tcW w:w="1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(650)</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131</w:t>
            </w:r>
          </w:p>
        </w:tc>
        <w:tc>
          <w:tcPr>
            <w:tcW w:w="1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(18,323)</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Current tax payable</w:t>
            </w:r>
          </w:p>
        </w:tc>
        <w:tc>
          <w:tcPr>
            <w:tcW w:w="20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130</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Intergroup transactions</w:t>
            </w:r>
          </w:p>
        </w:tc>
        <w:tc>
          <w:tcPr>
            <w:tcW w:w="20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(53,954)</w:t>
            </w:r>
          </w:p>
        </w:tc>
        <w:tc>
          <w:tcPr>
            <w:tcW w:w="16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(11,388)</w:t>
            </w: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(5,078)</w:t>
            </w:r>
          </w:p>
        </w:tc>
        <w:tc>
          <w:tcPr>
            <w:tcW w:w="1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(24,403)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(94,823)</w:t>
            </w:r>
          </w:p>
        </w:tc>
      </w:tr>
      <w:tr>
        <w:trPr>
          <w:trHeight w:val="215"/>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Transaction Risk</w:t>
            </w:r>
          </w:p>
        </w:tc>
        <w:tc>
          <w:tcPr>
            <w:tcW w:w="20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10,321</w:t>
            </w:r>
          </w:p>
        </w:tc>
        <w:tc>
          <w:tcPr>
            <w:tcW w:w="16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(7,329)</w:t>
            </w: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(3,316)</w:t>
            </w:r>
          </w:p>
        </w:tc>
        <w:tc>
          <w:tcPr>
            <w:tcW w:w="1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(20,973)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(21,297)</w:t>
            </w: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Foreign exchange gains and losses recognised on the above balances are recorded in “other operating expenses”. The total foreign exchange loss incurred during the year ending 31 December 2011 amounted to $0.4million (2010: $3.7 million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Group’s transaction risk in relation to financial assets and liabilities at 31 December 2010: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U.S. Dollar</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Sterling</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Euro</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Total</w:t>
            </w:r>
          </w:p>
        </w:tc>
      </w:tr>
      <w:tr>
        <w:trPr>
          <w:trHeight w:val="215"/>
        </w:trPr>
        <w:tc>
          <w:tcPr>
            <w:tcW w:w="3460" w:type="dxa"/>
            <w:vAlign w:val="bottom"/>
          </w:tcPr>
          <w:p>
            <w:pPr>
              <w:spacing w:after="0"/>
              <w:rPr>
                <w:sz w:val="18"/>
                <w:szCs w:val="18"/>
                <w:color w:val="auto"/>
              </w:rPr>
            </w:pP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2010</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2010</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2010</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2010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0"/>
        </w:trPr>
        <w:tc>
          <w:tcPr>
            <w:tcW w:w="3460" w:type="dxa"/>
            <w:vAlign w:val="bottom"/>
          </w:tcPr>
          <w:p>
            <w:pPr>
              <w:spacing w:after="0"/>
              <w:rPr>
                <w:sz w:val="19"/>
                <w:szCs w:val="19"/>
                <w:color w:val="auto"/>
              </w:rPr>
            </w:pP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$’000</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$’000</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$’000</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$’000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17,646</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4,091</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3,156</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551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25,444</w:t>
            </w: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Unbilled revenue/payments on account</w:t>
            </w:r>
          </w:p>
        </w:tc>
        <w:tc>
          <w:tcPr>
            <w:tcW w:w="2040" w:type="dxa"/>
            <w:vAlign w:val="bottom"/>
          </w:tcPr>
          <w:p>
            <w:pPr>
              <w:jc w:val="right"/>
              <w:ind w:right="410"/>
              <w:spacing w:after="0"/>
              <w:rPr>
                <w:sz w:val="20"/>
                <w:szCs w:val="20"/>
                <w:color w:val="auto"/>
              </w:rPr>
            </w:pPr>
            <w:r>
              <w:rPr>
                <w:rFonts w:ascii="Arial" w:cs="Arial" w:eastAsia="Arial" w:hAnsi="Arial"/>
                <w:sz w:val="18"/>
                <w:szCs w:val="18"/>
                <w:color w:val="auto"/>
              </w:rPr>
              <w:t>(49,816)</w:t>
            </w: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(2,519)</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(2,429)</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3,817</w:t>
            </w:r>
          </w:p>
        </w:tc>
        <w:tc>
          <w:tcPr>
            <w:tcW w:w="1180" w:type="dxa"/>
            <w:vAlign w:val="bottom"/>
          </w:tcPr>
          <w:p>
            <w:pPr>
              <w:jc w:val="right"/>
              <w:spacing w:after="0"/>
              <w:rPr>
                <w:sz w:val="20"/>
                <w:szCs w:val="20"/>
                <w:color w:val="auto"/>
              </w:rPr>
            </w:pPr>
            <w:r>
              <w:rPr>
                <w:rFonts w:ascii="Arial" w:cs="Arial" w:eastAsia="Arial" w:hAnsi="Arial"/>
                <w:sz w:val="18"/>
                <w:szCs w:val="18"/>
                <w:color w:val="auto"/>
              </w:rPr>
              <w:t>(50,947)</w:t>
            </w: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120,740</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2,787</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454</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506</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124,487</w:t>
            </w: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Other current assets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1,308</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204</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1,871</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1,210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4,593</w:t>
            </w: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89</w:t>
            </w:r>
          </w:p>
        </w:tc>
        <w:tc>
          <w:tcPr>
            <w:tcW w:w="16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487</w:t>
            </w:r>
          </w:p>
        </w:tc>
        <w:tc>
          <w:tcPr>
            <w:tcW w:w="15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410"/>
              <w:spacing w:after="0"/>
              <w:rPr>
                <w:sz w:val="20"/>
                <w:szCs w:val="20"/>
                <w:color w:val="auto"/>
              </w:rPr>
            </w:pPr>
            <w:r>
              <w:rPr>
                <w:rFonts w:ascii="Arial" w:cs="Arial" w:eastAsia="Arial" w:hAnsi="Arial"/>
                <w:sz w:val="18"/>
                <w:szCs w:val="18"/>
                <w:color w:val="auto"/>
              </w:rPr>
              <w:t>(506)</w:t>
            </w: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(288)</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(98)</w:t>
            </w: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(385)</w:t>
            </w:r>
          </w:p>
        </w:tc>
        <w:tc>
          <w:tcPr>
            <w:tcW w:w="118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373</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(461)</w:t>
            </w: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139</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5"/>
        </w:trPr>
        <w:tc>
          <w:tcPr>
            <w:tcW w:w="3460" w:type="dxa"/>
            <w:vAlign w:val="bottom"/>
          </w:tcPr>
          <w:p>
            <w:pPr>
              <w:spacing w:after="0"/>
              <w:rPr>
                <w:sz w:val="20"/>
                <w:szCs w:val="20"/>
                <w:color w:val="auto"/>
              </w:rPr>
            </w:pPr>
            <w:r>
              <w:rPr>
                <w:rFonts w:ascii="Arial" w:cs="Arial" w:eastAsia="Arial" w:hAnsi="Arial"/>
                <w:sz w:val="18"/>
                <w:szCs w:val="18"/>
                <w:color w:val="auto"/>
              </w:rPr>
              <w:t>Current tax payable</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88</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22"/>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Intergroup transactions</w:t>
            </w:r>
          </w:p>
        </w:tc>
        <w:tc>
          <w:tcPr>
            <w:tcW w:w="20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(87,959)</w:t>
            </w: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(10,023)</w:t>
            </w:r>
          </w:p>
        </w:tc>
        <w:tc>
          <w:tcPr>
            <w:tcW w:w="1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(17,682)</w:t>
            </w:r>
          </w:p>
        </w:tc>
        <w:tc>
          <w:tcPr>
            <w:tcW w:w="1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(24,134)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(139,798)</w:t>
            </w:r>
          </w:p>
        </w:tc>
      </w:tr>
      <w:tr>
        <w:trPr>
          <w:trHeight w:val="215"/>
        </w:trPr>
        <w:tc>
          <w:tcPr>
            <w:tcW w:w="3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5"/>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Transaction Risk</w:t>
            </w:r>
          </w:p>
        </w:tc>
        <w:tc>
          <w:tcPr>
            <w:tcW w:w="20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1,875</w:t>
            </w: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(6,209)</w:t>
            </w:r>
          </w:p>
        </w:tc>
        <w:tc>
          <w:tcPr>
            <w:tcW w:w="1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(14,014)</w:t>
            </w:r>
          </w:p>
        </w:tc>
        <w:tc>
          <w:tcPr>
            <w:tcW w:w="1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(18,560)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(36,908)</w:t>
            </w: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Translation gains and losses recognised on the above balances are recorded in “other operating expenses”. The total loss incurred during the year ending 31 December 2010 amounted to $3.7million (2009: $1.6 million loss). Certain reclassifications have been made to prior year comparatives to be consistent with the current year presentation. There is no change to the overall total balance.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The following significant exchange rates applied during the year:</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8"/>
        </w:trPr>
        <w:tc>
          <w:tcPr>
            <w:tcW w:w="5360" w:type="dxa"/>
            <w:vAlign w:val="bottom"/>
          </w:tcPr>
          <w:p>
            <w:pPr>
              <w:spacing w:after="0"/>
              <w:rPr>
                <w:sz w:val="24"/>
                <w:szCs w:val="24"/>
                <w:color w:val="auto"/>
              </w:rPr>
            </w:pP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Average Rate</w:t>
            </w:r>
          </w:p>
        </w:tc>
        <w:tc>
          <w:tcPr>
            <w:tcW w:w="1280" w:type="dxa"/>
            <w:vAlign w:val="bottom"/>
          </w:tcPr>
          <w:p>
            <w:pPr>
              <w:spacing w:after="0"/>
              <w:rPr>
                <w:sz w:val="24"/>
                <w:szCs w:val="24"/>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Closing Rate</w:t>
            </w:r>
          </w:p>
        </w:tc>
        <w:tc>
          <w:tcPr>
            <w:tcW w:w="840" w:type="dxa"/>
            <w:vAlign w:val="bottom"/>
          </w:tcPr>
          <w:p>
            <w:pPr>
              <w:spacing w:after="0"/>
              <w:rPr>
                <w:sz w:val="24"/>
                <w:szCs w:val="24"/>
                <w:color w:val="auto"/>
              </w:rPr>
            </w:pPr>
          </w:p>
        </w:tc>
      </w:tr>
      <w:tr>
        <w:trPr>
          <w:trHeight w:val="234"/>
        </w:trPr>
        <w:tc>
          <w:tcPr>
            <w:tcW w:w="5360" w:type="dxa"/>
            <w:vAlign w:val="bottom"/>
          </w:tcPr>
          <w:p>
            <w:pPr>
              <w:spacing w:after="0"/>
              <w:rPr>
                <w:sz w:val="20"/>
                <w:szCs w:val="20"/>
                <w:color w:val="auto"/>
              </w:rPr>
            </w:pPr>
          </w:p>
        </w:tc>
        <w:tc>
          <w:tcPr>
            <w:tcW w:w="20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2011</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8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r>
      <w:tr>
        <w:trPr>
          <w:trHeight w:val="215"/>
        </w:trPr>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5"/>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w:t>
            </w:r>
          </w:p>
        </w:tc>
        <w:tc>
          <w:tcPr>
            <w:tcW w:w="20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1.3991</w:t>
            </w:r>
          </w:p>
        </w:tc>
        <w:tc>
          <w:tcPr>
            <w:tcW w:w="12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1.3240</w:t>
            </w:r>
          </w:p>
        </w:tc>
        <w:tc>
          <w:tcPr>
            <w:tcW w:w="18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1.2961</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1.3377</w:t>
            </w:r>
          </w:p>
        </w:tc>
      </w:tr>
      <w:tr>
        <w:trPr>
          <w:trHeight w:val="209"/>
        </w:trPr>
        <w:tc>
          <w:tcPr>
            <w:tcW w:w="5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5"/>
        </w:trPr>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Pound Sterling</w:t>
            </w:r>
          </w:p>
        </w:tc>
        <w:tc>
          <w:tcPr>
            <w:tcW w:w="20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1.6050</w:t>
            </w:r>
          </w:p>
        </w:tc>
        <w:tc>
          <w:tcPr>
            <w:tcW w:w="12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1.5420</w:t>
            </w:r>
          </w:p>
        </w:tc>
        <w:tc>
          <w:tcPr>
            <w:tcW w:w="188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1.5413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1.5599</w:t>
            </w: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ten percent strengthening or weakening of the US Dollar, Euro and Sterling (considered individually) against all other currencies would have increased or decreased profit and equity by $0.03 million (31 December 2010 $1.8 million) as a consequence of the retranslation of foreign currency denominated financial assets and liabilities at those dates.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Group is exposed to interest rate risk in respect of its cash and cash equivalents, current asset investments and amounts drawn under negotiated facilities which are subject to variable rates of interest.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is set out in note 22 </w:t>
      </w:r>
      <w:r>
        <w:rPr>
          <w:rFonts w:ascii="Arial" w:cs="Arial" w:eastAsia="Arial" w:hAnsi="Arial"/>
          <w:sz w:val="18"/>
          <w:szCs w:val="18"/>
          <w:i w:val="1"/>
          <w:iCs w:val="1"/>
          <w:color w:val="auto"/>
        </w:rPr>
        <w:t>Bank Credit Lines and Loan Facilities</w:t>
      </w:r>
      <w:r>
        <w:rPr>
          <w:rFonts w:ascii="Arial" w:cs="Arial" w:eastAsia="Arial" w:hAnsi="Arial"/>
          <w:sz w:val="18"/>
          <w:szCs w:val="18"/>
          <w:color w:val="auto"/>
        </w:rPr>
        <w:t>. There were no amounts drawn down under this at 31 December 2011. Amounts drawn under previous facilities were repaid during the year ended 31 December 2010. The Group manages interest rate risk in respect of amounts drawn under negotiated facilities through ongoing monitoring of actual and forecast cash balances, reviewing existing and future cash requirements of the business and by reviewing existing levels of borrowings having regard to current market interest rates and future trends.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sensitivity analysis below represents the hypothetical change in our interest income and interest expense based on an immediate 1% movement in market interest rates.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0" w:type="dxa"/>
            <w:vAlign w:val="bottom"/>
          </w:tcPr>
          <w:p>
            <w:pPr>
              <w:jc w:val="right"/>
              <w:ind w:right="150"/>
              <w:spacing w:after="0"/>
              <w:rPr>
                <w:sz w:val="20"/>
                <w:szCs w:val="20"/>
                <w:color w:val="auto"/>
              </w:rPr>
            </w:pPr>
            <w:r>
              <w:rPr>
                <w:rFonts w:ascii="Arial" w:cs="Arial" w:eastAsia="Arial" w:hAnsi="Arial"/>
                <w:sz w:val="18"/>
                <w:szCs w:val="18"/>
                <w:b w:val="1"/>
                <w:bCs w:val="1"/>
                <w:color w:val="auto"/>
              </w:rPr>
              <w:t>Interest Income</w:t>
            </w:r>
          </w:p>
        </w:tc>
        <w:tc>
          <w:tcPr>
            <w:tcW w:w="1180" w:type="dxa"/>
            <w:vAlign w:val="bottom"/>
          </w:tcPr>
          <w:p>
            <w:pPr>
              <w:spacing w:after="0"/>
              <w:rPr>
                <w:sz w:val="18"/>
                <w:szCs w:val="18"/>
                <w:color w:val="auto"/>
              </w:rPr>
            </w:pPr>
          </w:p>
        </w:tc>
        <w:tc>
          <w:tcPr>
            <w:tcW w:w="2020" w:type="dxa"/>
            <w:vAlign w:val="bottom"/>
          </w:tcPr>
          <w:p>
            <w:pPr>
              <w:jc w:val="right"/>
              <w:ind w:right="130"/>
              <w:spacing w:after="0"/>
              <w:rPr>
                <w:sz w:val="20"/>
                <w:szCs w:val="20"/>
                <w:color w:val="auto"/>
              </w:rPr>
            </w:pPr>
            <w:r>
              <w:rPr>
                <w:rFonts w:ascii="Arial" w:cs="Arial" w:eastAsia="Arial" w:hAnsi="Arial"/>
                <w:sz w:val="18"/>
                <w:szCs w:val="18"/>
                <w:b w:val="1"/>
                <w:bCs w:val="1"/>
                <w:color w:val="auto"/>
              </w:rPr>
              <w:t>Interest Expense</w:t>
            </w:r>
          </w:p>
        </w:tc>
        <w:tc>
          <w:tcPr>
            <w:tcW w:w="720" w:type="dxa"/>
            <w:vAlign w:val="bottom"/>
          </w:tcPr>
          <w:p>
            <w:pPr>
              <w:spacing w:after="0"/>
              <w:rPr>
                <w:sz w:val="18"/>
                <w:szCs w:val="18"/>
                <w:color w:val="auto"/>
              </w:rPr>
            </w:pPr>
          </w:p>
        </w:tc>
      </w:tr>
      <w:tr>
        <w:trPr>
          <w:trHeight w:val="215"/>
        </w:trPr>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0" w:type="dxa"/>
            <w:vAlign w:val="bottom"/>
          </w:tcPr>
          <w:p>
            <w:pPr>
              <w:jc w:val="right"/>
              <w:ind w:right="870"/>
              <w:spacing w:after="0"/>
              <w:rPr>
                <w:sz w:val="20"/>
                <w:szCs w:val="20"/>
                <w:color w:val="auto"/>
              </w:rPr>
            </w:pPr>
            <w:r>
              <w:rPr>
                <w:rFonts w:ascii="Arial" w:cs="Arial" w:eastAsia="Arial" w:hAnsi="Arial"/>
                <w:sz w:val="18"/>
                <w:szCs w:val="18"/>
                <w:b w:val="1"/>
                <w:bCs w:val="1"/>
                <w:color w:val="auto"/>
              </w:rPr>
              <w:t>2011</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2010</w:t>
            </w:r>
          </w:p>
        </w:tc>
        <w:tc>
          <w:tcPr>
            <w:tcW w:w="2020" w:type="dxa"/>
            <w:vAlign w:val="bottom"/>
          </w:tcPr>
          <w:p>
            <w:pPr>
              <w:jc w:val="right"/>
              <w:ind w:right="870"/>
              <w:spacing w:after="0"/>
              <w:rPr>
                <w:sz w:val="20"/>
                <w:szCs w:val="20"/>
                <w:color w:val="auto"/>
              </w:rPr>
            </w:pPr>
            <w:r>
              <w:rPr>
                <w:rFonts w:ascii="Arial" w:cs="Arial" w:eastAsia="Arial" w:hAnsi="Arial"/>
                <w:sz w:val="18"/>
                <w:szCs w:val="18"/>
                <w:b w:val="1"/>
                <w:bCs w:val="1"/>
                <w:color w:val="auto"/>
              </w:rPr>
              <w:t>2011</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$’000</w:t>
            </w:r>
          </w:p>
        </w:tc>
        <w:tc>
          <w:tcPr>
            <w:tcW w:w="2020" w:type="dxa"/>
            <w:vAlign w:val="bottom"/>
          </w:tcPr>
          <w:p>
            <w:pPr>
              <w:jc w:val="right"/>
              <w:ind w:right="870"/>
              <w:spacing w:after="0"/>
              <w:rPr>
                <w:sz w:val="20"/>
                <w:szCs w:val="20"/>
                <w:color w:val="auto"/>
              </w:rPr>
            </w:pPr>
            <w:r>
              <w:rPr>
                <w:rFonts w:ascii="Arial" w:cs="Arial" w:eastAsia="Arial" w:hAnsi="Arial"/>
                <w:sz w:val="18"/>
                <w:szCs w:val="18"/>
                <w:b w:val="1"/>
                <w:bCs w:val="1"/>
                <w:color w:val="auto"/>
              </w:rPr>
              <w:t>$’000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500" w:type="dxa"/>
            <w:vAlign w:val="bottom"/>
            <w:gridSpan w:val="2"/>
          </w:tcPr>
          <w:p>
            <w:pPr>
              <w:spacing w:after="0"/>
              <w:rPr>
                <w:sz w:val="18"/>
                <w:szCs w:val="18"/>
                <w:color w:val="auto"/>
              </w:rPr>
            </w:pPr>
          </w:p>
        </w:tc>
        <w:tc>
          <w:tcPr>
            <w:tcW w:w="4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5"/>
        </w:trPr>
        <w:tc>
          <w:tcPr>
            <w:tcW w:w="35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As reported</w:t>
            </w:r>
          </w:p>
        </w:tc>
        <w:tc>
          <w:tcPr>
            <w:tcW w:w="400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1,194</w:t>
            </w:r>
          </w:p>
        </w:tc>
        <w:tc>
          <w:tcPr>
            <w:tcW w:w="1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1,761</w:t>
            </w:r>
          </w:p>
        </w:tc>
        <w:tc>
          <w:tcPr>
            <w:tcW w:w="20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9"/>
        </w:trPr>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5"/>
        </w:trPr>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3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Increase</w:t>
            </w:r>
          </w:p>
        </w:tc>
        <w:tc>
          <w:tcPr>
            <w:tcW w:w="400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3,280</w:t>
            </w:r>
          </w:p>
        </w:tc>
        <w:tc>
          <w:tcPr>
            <w:tcW w:w="1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3,943</w:t>
            </w:r>
          </w:p>
        </w:tc>
        <w:tc>
          <w:tcPr>
            <w:tcW w:w="20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9"/>
        </w:trPr>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5"/>
        </w:trPr>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1%</w:t>
            </w:r>
          </w:p>
        </w:tc>
        <w:tc>
          <w:tcPr>
            <w:tcW w:w="3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Decrease</w:t>
            </w:r>
          </w:p>
        </w:tc>
        <w:tc>
          <w:tcPr>
            <w:tcW w:w="400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Interest expense included in note 4 relates to commitment fees on bank overdraft and credit facilities and therefore is not included in the above sensitivity analysis. The above analysis assumes that all other variables remain constant.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5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223" w:lineRule="exact"/>
        <w:rPr>
          <w:sz w:val="20"/>
          <w:szCs w:val="20"/>
          <w:color w:val="auto"/>
        </w:rPr>
      </w:pPr>
    </w:p>
    <w:p>
      <w:pPr>
        <w:jc w:val="both"/>
        <w:ind w:left="1240" w:right="20" w:hanging="1236"/>
        <w:spacing w:after="0" w:line="262" w:lineRule="auto"/>
        <w:tabs>
          <w:tab w:leader="none" w:pos="12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2" w:lineRule="exact"/>
        <w:rPr>
          <w:sz w:val="20"/>
          <w:szCs w:val="20"/>
          <w:color w:val="auto"/>
        </w:rPr>
      </w:pPr>
    </w:p>
    <w:p>
      <w:pPr>
        <w:jc w:val="both"/>
        <w:ind w:left="1240" w:hanging="1236"/>
        <w:spacing w:after="0" w:line="275" w:lineRule="auto"/>
        <w:tabs>
          <w:tab w:leader="none" w:pos="12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together with the carrying amounts shown in the Statement of Financial Position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308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3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3080" w:type="dxa"/>
            <w:vAlign w:val="bottom"/>
          </w:tcPr>
          <w:p>
            <w:pPr>
              <w:jc w:val="right"/>
              <w:ind w:right="250"/>
              <w:spacing w:after="0"/>
              <w:rPr>
                <w:sz w:val="20"/>
                <w:szCs w:val="20"/>
                <w:color w:val="auto"/>
              </w:rPr>
            </w:pPr>
            <w:r>
              <w:rPr>
                <w:rFonts w:ascii="Arial" w:cs="Arial" w:eastAsia="Arial" w:hAnsi="Arial"/>
                <w:sz w:val="18"/>
                <w:szCs w:val="18"/>
                <w:b w:val="1"/>
                <w:bCs w:val="1"/>
                <w:color w:val="auto"/>
              </w:rPr>
              <w:t>Carrying</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Carrying</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3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34"/>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Financial Assets</w:t>
            </w:r>
          </w:p>
        </w:tc>
        <w:tc>
          <w:tcPr>
            <w:tcW w:w="30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380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10,601</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10,601</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10,598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Accounts receivable</w:t>
            </w:r>
          </w:p>
        </w:tc>
        <w:tc>
          <w:tcPr>
            <w:tcW w:w="3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201,338</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201,338</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164,907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164,907</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0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126,850</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126,850</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101,431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101,431</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Other current assets</w:t>
            </w:r>
          </w:p>
        </w:tc>
        <w:tc>
          <w:tcPr>
            <w:tcW w:w="3080" w:type="dxa"/>
            <w:vAlign w:val="bottom"/>
          </w:tcPr>
          <w:p>
            <w:pPr>
              <w:jc w:val="right"/>
              <w:ind w:right="250"/>
              <w:spacing w:after="0"/>
              <w:rPr>
                <w:sz w:val="20"/>
                <w:szCs w:val="20"/>
                <w:color w:val="auto"/>
              </w:rPr>
            </w:pPr>
            <w:r>
              <w:rPr>
                <w:rFonts w:ascii="Arial" w:cs="Arial" w:eastAsia="Arial" w:hAnsi="Arial"/>
                <w:sz w:val="18"/>
                <w:szCs w:val="18"/>
                <w:b w:val="1"/>
                <w:bCs w:val="1"/>
                <w:color w:val="auto"/>
              </w:rPr>
              <w:t>26,409</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26,409</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23,005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23,005</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30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54,940</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54,940</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119,237</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119,237</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255,706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255,706</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539,375</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539,375</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555,647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555,647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(3,232)</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(3,232)</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(3,676)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Non-current provisions</w:t>
            </w:r>
          </w:p>
        </w:tc>
        <w:tc>
          <w:tcPr>
            <w:tcW w:w="3080" w:type="dxa"/>
            <w:vAlign w:val="bottom"/>
          </w:tcPr>
          <w:p>
            <w:pPr>
              <w:jc w:val="right"/>
              <w:ind w:right="190"/>
              <w:spacing w:after="0"/>
              <w:rPr>
                <w:sz w:val="20"/>
                <w:szCs w:val="20"/>
                <w:color w:val="auto"/>
              </w:rPr>
            </w:pPr>
            <w:r>
              <w:rPr>
                <w:rFonts w:ascii="Arial" w:cs="Arial" w:eastAsia="Arial" w:hAnsi="Arial"/>
                <w:sz w:val="18"/>
                <w:szCs w:val="18"/>
                <w:b w:val="1"/>
                <w:bCs w:val="1"/>
                <w:color w:val="auto"/>
              </w:rPr>
              <w:t>(11,903)</w:t>
            </w: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rPr>
              <w:t>(12,603)</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(5,340)</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(5,340)</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(12,314)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Payments on account</w:t>
            </w:r>
          </w:p>
        </w:tc>
        <w:tc>
          <w:tcPr>
            <w:tcW w:w="3080" w:type="dxa"/>
            <w:vAlign w:val="bottom"/>
          </w:tcPr>
          <w:p>
            <w:pPr>
              <w:jc w:val="right"/>
              <w:ind w:right="190"/>
              <w:spacing w:after="0"/>
              <w:rPr>
                <w:sz w:val="20"/>
                <w:szCs w:val="20"/>
                <w:color w:val="auto"/>
              </w:rPr>
            </w:pPr>
            <w:r>
              <w:rPr>
                <w:rFonts w:ascii="Arial" w:cs="Arial" w:eastAsia="Arial" w:hAnsi="Arial"/>
                <w:sz w:val="18"/>
                <w:szCs w:val="18"/>
                <w:b w:val="1"/>
                <w:bCs w:val="1"/>
                <w:color w:val="auto"/>
              </w:rPr>
              <w:t>(150,792)</w:t>
            </w: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rPr>
              <w:t>(150,792)</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(134,240)</w:t>
            </w:r>
          </w:p>
        </w:tc>
        <w:tc>
          <w:tcPr>
            <w:tcW w:w="1340" w:type="dxa"/>
            <w:vAlign w:val="bottom"/>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15"/>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30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3080" w:type="dxa"/>
            <w:vAlign w:val="bottom"/>
          </w:tcPr>
          <w:p>
            <w:pPr>
              <w:jc w:val="right"/>
              <w:ind w:right="190"/>
              <w:spacing w:after="0"/>
              <w:rPr>
                <w:sz w:val="20"/>
                <w:szCs w:val="20"/>
                <w:color w:val="auto"/>
              </w:rPr>
            </w:pPr>
            <w:r>
              <w:rPr>
                <w:rFonts w:ascii="Arial" w:cs="Arial" w:eastAsia="Arial" w:hAnsi="Arial"/>
                <w:sz w:val="18"/>
                <w:szCs w:val="18"/>
                <w:b w:val="1"/>
                <w:bCs w:val="1"/>
                <w:color w:val="auto"/>
              </w:rPr>
              <w:t>(104,399)</w:t>
            </w: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rPr>
              <w:t>(104,399)</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(95,899)</w:t>
            </w:r>
          </w:p>
        </w:tc>
        <w:tc>
          <w:tcPr>
            <w:tcW w:w="1340" w:type="dxa"/>
            <w:vAlign w:val="bottom"/>
          </w:tcPr>
          <w:p>
            <w:pPr>
              <w:jc w:val="right"/>
              <w:spacing w:after="0"/>
              <w:rPr>
                <w:sz w:val="20"/>
                <w:szCs w:val="20"/>
                <w:color w:val="auto"/>
              </w:rPr>
            </w:pPr>
            <w:r>
              <w:rPr>
                <w:rFonts w:ascii="Arial" w:cs="Arial" w:eastAsia="Arial" w:hAnsi="Arial"/>
                <w:sz w:val="18"/>
                <w:szCs w:val="18"/>
                <w:color w:val="auto"/>
              </w:rPr>
              <w:t>(98,884)</w:t>
            </w:r>
          </w:p>
        </w:tc>
        <w:tc>
          <w:tcPr>
            <w:tcW w:w="0" w:type="dxa"/>
            <w:vAlign w:val="bottom"/>
          </w:tcPr>
          <w:p>
            <w:pPr>
              <w:spacing w:after="0"/>
              <w:rPr>
                <w:sz w:val="1"/>
                <w:szCs w:val="1"/>
                <w:color w:val="auto"/>
              </w:rPr>
            </w:pPr>
          </w:p>
        </w:tc>
      </w:tr>
      <w:tr>
        <w:trPr>
          <w:trHeight w:val="222"/>
        </w:trPr>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Provisions</w:t>
            </w:r>
          </w:p>
        </w:tc>
        <w:tc>
          <w:tcPr>
            <w:tcW w:w="3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(41,489)</w:t>
            </w: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(41,489)</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(3,027)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5"/>
        </w:trPr>
        <w:tc>
          <w:tcPr>
            <w:tcW w:w="38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auto"/>
            </w:tcBorders>
            <w:shd w:val="clear" w:color="auto" w:fill="CCEEFF"/>
          </w:tcPr>
          <w:p>
            <w:pPr>
              <w:spacing w:after="0"/>
              <w:rPr>
                <w:sz w:val="22"/>
                <w:szCs w:val="22"/>
                <w:color w:val="auto"/>
              </w:rPr>
            </w:pPr>
          </w:p>
        </w:tc>
        <w:tc>
          <w:tcPr>
            <w:tcW w:w="3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(317,155)</w:t>
            </w: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(317,855)</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(249,314)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(249,314)</w:t>
            </w:r>
          </w:p>
        </w:tc>
        <w:tc>
          <w:tcPr>
            <w:tcW w:w="0" w:type="dxa"/>
            <w:vAlign w:val="bottom"/>
          </w:tcPr>
          <w:p>
            <w:pPr>
              <w:spacing w:after="0"/>
              <w:rPr>
                <w:sz w:val="1"/>
                <w:szCs w:val="1"/>
                <w:color w:val="auto"/>
              </w:rPr>
            </w:pPr>
          </w:p>
        </w:tc>
      </w:tr>
    </w:tbl>
    <w:p>
      <w:pPr>
        <w:jc w:val="both"/>
        <w:ind w:right="20"/>
        <w:spacing w:after="0" w:line="259" w:lineRule="auto"/>
        <w:rPr>
          <w:sz w:val="20"/>
          <w:szCs w:val="20"/>
          <w:color w:val="auto"/>
        </w:rPr>
      </w:pPr>
      <w:r>
        <w:rPr>
          <w:rFonts w:ascii="Arial" w:cs="Arial" w:eastAsia="Arial" w:hAnsi="Arial"/>
          <w:sz w:val="18"/>
          <w:szCs w:val="18"/>
          <w:i w:val="1"/>
          <w:iCs w:val="1"/>
          <w:color w:val="auto"/>
        </w:rPr>
        <w:t>Certain reclassifications have been made to prior year comparatives to be consistent with the current year presentation. There is no change to the overall total balance.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carrying values of other non-current assets, accounts receivable, less impairment provision, unbilled revenue, other current assets, cash and cash equivalents, other non-current liabilities, non-current provisions (excluding contingent consideration), accounts payable, payments on account, accrued and other liabilities and provisions (excluding contingent consideration), are carried at amortised cost and assumed to be approximate to their fair values due to the short term nature of these balances.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Current asset investments are stated at fair value, with any resultant gain or loss recognised in the statement of comprehensive income. The fair value of current asset investments is their market price at the financial year end date. They are measured on the basis of level 1 inputs.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fair value finance lease obligations for disclosure purposes is calculated based on the present value of future principal and interest cash flows, discounted at the market rate of interest at the reporting date. They are measured on the basis of level 2 inputs.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Financial Instruments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Included within non-current provisions and provisions are amounts due in respect of certain performance milestones on recent acquisitions (see note 13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These amounts are payable over periods up to June 2013 and are included in the financial statements at their fair value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on the basis of level 3 inputs.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Lease commitments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Group has several non-cancellable operating leases, primarily for facilities, that expire over the next 12 years. These leases generally contain renewal options and require the Group to pay all executory costs such as maintenance and insurance. Future minimum rental commitments for operating leases with non-cancellable terms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760" w:type="dxa"/>
            <w:vAlign w:val="bottom"/>
          </w:tcPr>
          <w:p>
            <w:pPr>
              <w:spacing w:after="0"/>
              <w:rPr>
                <w:sz w:val="18"/>
                <w:szCs w:val="18"/>
                <w:color w:val="auto"/>
              </w:rPr>
            </w:pP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760" w:type="dxa"/>
            <w:vAlign w:val="bottom"/>
          </w:tcPr>
          <w:p>
            <w:pPr>
              <w:spacing w:after="0"/>
              <w:rPr>
                <w:sz w:val="20"/>
                <w:szCs w:val="20"/>
                <w:color w:val="auto"/>
              </w:rPr>
            </w:pP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7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4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36,927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39,405</w:t>
            </w:r>
          </w:p>
        </w:tc>
      </w:tr>
      <w:tr>
        <w:trPr>
          <w:trHeight w:val="215"/>
        </w:trPr>
        <w:tc>
          <w:tcPr>
            <w:tcW w:w="576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31,564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34,302</w:t>
            </w: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Between two and three years</w:t>
            </w:r>
          </w:p>
        </w:tc>
        <w:tc>
          <w:tcPr>
            <w:tcW w:w="4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26,582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30,191</w:t>
            </w:r>
          </w:p>
        </w:tc>
      </w:tr>
      <w:tr>
        <w:trPr>
          <w:trHeight w:val="215"/>
        </w:trPr>
        <w:tc>
          <w:tcPr>
            <w:tcW w:w="5760" w:type="dxa"/>
            <w:vAlign w:val="bottom"/>
          </w:tcPr>
          <w:p>
            <w:pPr>
              <w:spacing w:after="0"/>
              <w:rPr>
                <w:sz w:val="20"/>
                <w:szCs w:val="20"/>
                <w:color w:val="auto"/>
              </w:rPr>
            </w:pPr>
            <w:r>
              <w:rPr>
                <w:rFonts w:ascii="Arial" w:cs="Arial" w:eastAsia="Arial" w:hAnsi="Arial"/>
                <w:sz w:val="18"/>
                <w:szCs w:val="18"/>
                <w:color w:val="auto"/>
              </w:rPr>
              <w:t>Between three and four years</w:t>
            </w:r>
          </w:p>
        </w:tc>
        <w:tc>
          <w:tcPr>
            <w:tcW w:w="4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25,327</w:t>
            </w:r>
          </w:p>
        </w:tc>
      </w:tr>
      <w:tr>
        <w:trPr>
          <w:trHeight w:val="215"/>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Between four and five years</w:t>
            </w:r>
          </w:p>
        </w:tc>
        <w:tc>
          <w:tcPr>
            <w:tcW w:w="42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16,681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18,986</w:t>
            </w:r>
          </w:p>
        </w:tc>
      </w:tr>
      <w:tr>
        <w:trPr>
          <w:trHeight w:val="222"/>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More than five years</w:t>
            </w:r>
          </w:p>
        </w:tc>
        <w:tc>
          <w:tcPr>
            <w:tcW w:w="4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26,884</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35,939</w:t>
            </w:r>
          </w:p>
        </w:tc>
      </w:tr>
      <w:tr>
        <w:trPr>
          <w:trHeight w:val="215"/>
        </w:trPr>
        <w:tc>
          <w:tcPr>
            <w:tcW w:w="57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4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158,726</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184,150</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51"/>
        </w:trPr>
        <w:tc>
          <w:tcPr>
            <w:tcW w:w="5760" w:type="dxa"/>
            <w:vAlign w:val="bottom"/>
          </w:tcPr>
          <w:p>
            <w:pPr>
              <w:spacing w:after="0"/>
              <w:rPr>
                <w:sz w:val="20"/>
                <w:szCs w:val="20"/>
                <w:color w:val="auto"/>
              </w:rPr>
            </w:pPr>
            <w:r>
              <w:rPr>
                <w:rFonts w:ascii="Arial" w:cs="Arial" w:eastAsia="Arial" w:hAnsi="Arial"/>
                <w:sz w:val="18"/>
                <w:szCs w:val="18"/>
                <w:b w:val="1"/>
                <w:bCs w:val="1"/>
                <w:color w:val="auto"/>
              </w:rPr>
              <w:t>27. Commitments and contingencies</w:t>
            </w:r>
          </w:p>
        </w:tc>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7"/>
        </w:trPr>
        <w:tc>
          <w:tcPr>
            <w:tcW w:w="5760" w:type="dxa"/>
            <w:vAlign w:val="bottom"/>
          </w:tcPr>
          <w:p>
            <w:pPr>
              <w:spacing w:after="0"/>
              <w:rPr>
                <w:sz w:val="20"/>
                <w:szCs w:val="20"/>
                <w:color w:val="auto"/>
              </w:rPr>
            </w:pPr>
            <w:r>
              <w:rPr>
                <w:rFonts w:ascii="Arial" w:cs="Arial" w:eastAsia="Arial" w:hAnsi="Arial"/>
                <w:sz w:val="18"/>
                <w:szCs w:val="18"/>
                <w:color w:val="auto"/>
              </w:rPr>
              <w:t>(a)   Capital commitments</w:t>
            </w:r>
          </w:p>
        </w:tc>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 commitments for the purchase of property, plant and equipment were authorised by the Group at 31 December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65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3460" w:type="dxa"/>
            <w:vAlign w:val="bottom"/>
          </w:tcPr>
          <w:p>
            <w:pPr>
              <w:spacing w:after="0"/>
              <w:rPr>
                <w:sz w:val="18"/>
                <w:szCs w:val="18"/>
                <w:color w:val="auto"/>
              </w:rPr>
            </w:pPr>
          </w:p>
        </w:tc>
        <w:tc>
          <w:tcPr>
            <w:tcW w:w="65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3"/>
        </w:trPr>
        <w:tc>
          <w:tcPr>
            <w:tcW w:w="3460" w:type="dxa"/>
            <w:vAlign w:val="bottom"/>
          </w:tcPr>
          <w:p>
            <w:pPr>
              <w:spacing w:after="0"/>
              <w:rPr>
                <w:sz w:val="20"/>
                <w:szCs w:val="20"/>
                <w:color w:val="auto"/>
              </w:rPr>
            </w:pPr>
          </w:p>
        </w:tc>
        <w:tc>
          <w:tcPr>
            <w:tcW w:w="65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Contracted for</w:t>
            </w:r>
          </w:p>
        </w:tc>
        <w:tc>
          <w:tcPr>
            <w:tcW w:w="65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16,655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10,980</w:t>
            </w:r>
          </w:p>
        </w:tc>
      </w:tr>
      <w:tr>
        <w:trPr>
          <w:trHeight w:val="222"/>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Not-contracted for</w:t>
            </w:r>
          </w:p>
        </w:tc>
        <w:tc>
          <w:tcPr>
            <w:tcW w:w="6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8,982</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10,011</w:t>
            </w:r>
          </w:p>
        </w:tc>
      </w:tr>
      <w:tr>
        <w:trPr>
          <w:trHeight w:val="215"/>
        </w:trPr>
        <w:tc>
          <w:tcPr>
            <w:tcW w:w="346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25,637</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20,991</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99"/>
        </w:trPr>
        <w:tc>
          <w:tcPr>
            <w:tcW w:w="3460" w:type="dxa"/>
            <w:vAlign w:val="bottom"/>
          </w:tcPr>
          <w:p>
            <w:pPr>
              <w:spacing w:after="0"/>
              <w:rPr>
                <w:sz w:val="24"/>
                <w:szCs w:val="24"/>
                <w:color w:val="auto"/>
              </w:rPr>
            </w:pPr>
          </w:p>
        </w:tc>
        <w:tc>
          <w:tcPr>
            <w:tcW w:w="6580" w:type="dxa"/>
            <w:vAlign w:val="bottom"/>
          </w:tcPr>
          <w:p>
            <w:pPr>
              <w:jc w:val="right"/>
              <w:ind w:right="4110"/>
              <w:spacing w:after="0"/>
              <w:rPr>
                <w:sz w:val="20"/>
                <w:szCs w:val="20"/>
                <w:color w:val="auto"/>
              </w:rPr>
            </w:pPr>
            <w:r>
              <w:rPr>
                <w:rFonts w:ascii="Arial" w:cs="Arial" w:eastAsia="Arial" w:hAnsi="Arial"/>
                <w:sz w:val="18"/>
                <w:szCs w:val="18"/>
                <w:color w:val="auto"/>
              </w:rPr>
              <w:t>113</w:t>
            </w:r>
          </w:p>
        </w:tc>
        <w:tc>
          <w:tcPr>
            <w:tcW w:w="1380" w:type="dxa"/>
            <w:vAlign w:val="bottom"/>
          </w:tcPr>
          <w:p>
            <w:pPr>
              <w:spacing w:after="0"/>
              <w:rPr>
                <w:sz w:val="24"/>
                <w:szCs w:val="24"/>
                <w:color w:val="auto"/>
              </w:rPr>
            </w:pPr>
          </w:p>
        </w:tc>
      </w:tr>
      <w:tr>
        <w:trPr>
          <w:trHeight w:val="117"/>
        </w:trPr>
        <w:tc>
          <w:tcPr>
            <w:tcW w:w="3460" w:type="dxa"/>
            <w:vAlign w:val="bottom"/>
            <w:tcBorders>
              <w:bottom w:val="single" w:sz="8" w:color="808080"/>
            </w:tcBorders>
          </w:tcPr>
          <w:p>
            <w:pPr>
              <w:spacing w:after="0"/>
              <w:rPr>
                <w:sz w:val="10"/>
                <w:szCs w:val="10"/>
                <w:color w:val="auto"/>
              </w:rPr>
            </w:pPr>
          </w:p>
        </w:tc>
        <w:tc>
          <w:tcPr>
            <w:tcW w:w="6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 Commitments and contingencies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Group has guaranteed the liabilities referred to in Section 5 (c) (ii) of the Companies (Amendment) Act, 1986 in respect of the financial year ending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2011 for the subsidiary companies listed below. These subsidiaries are availing of the exemption under Section 17 of the Companies (Amendment)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Act, 1986 not to file statutory financial statements.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Clinical Research Property Holdings (Ireland) Limited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Clinical Property Development (Ireland) Limited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Clinical Property Holdings Limited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Clinical Property Development Limited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Clinical Research Limited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-ICS (Ireland) Limited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-Firecrest Clinical Limited</w:t>
      </w:r>
    </w:p>
    <w:p>
      <w:pPr>
        <w:spacing w:after="0" w:line="209"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Group contractual obligations and commercial commitments as at 31 December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Payments due by period</w:t>
            </w: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3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40" w:type="dxa"/>
            <w:vAlign w:val="bottom"/>
          </w:tcPr>
          <w:p>
            <w:pPr>
              <w:jc w:val="right"/>
              <w:ind w:right="470"/>
              <w:spacing w:after="0"/>
              <w:rPr>
                <w:sz w:val="20"/>
                <w:szCs w:val="20"/>
                <w:color w:val="auto"/>
              </w:rPr>
            </w:pPr>
            <w:r>
              <w:rPr>
                <w:rFonts w:ascii="Arial" w:cs="Arial" w:eastAsia="Arial" w:hAnsi="Arial"/>
                <w:sz w:val="18"/>
                <w:szCs w:val="18"/>
                <w:b w:val="1"/>
                <w:bCs w:val="1"/>
                <w:color w:val="auto"/>
              </w:rPr>
              <w:t>Less than</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1 to 3</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3 to 5</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r>
      <w:tr>
        <w:trPr>
          <w:trHeight w:val="215"/>
        </w:trPr>
        <w:tc>
          <w:tcPr>
            <w:tcW w:w="3260" w:type="dxa"/>
            <w:vAlign w:val="bottom"/>
          </w:tcPr>
          <w:p>
            <w:pPr>
              <w:spacing w:after="0"/>
              <w:rPr>
                <w:sz w:val="18"/>
                <w:szCs w:val="18"/>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jc w:val="right"/>
              <w:ind w:right="470"/>
              <w:spacing w:after="0"/>
              <w:rPr>
                <w:sz w:val="20"/>
                <w:szCs w:val="20"/>
                <w:color w:val="auto"/>
              </w:rPr>
            </w:pPr>
            <w:r>
              <w:rPr>
                <w:rFonts w:ascii="Arial" w:cs="Arial" w:eastAsia="Arial" w:hAnsi="Arial"/>
                <w:sz w:val="18"/>
                <w:szCs w:val="18"/>
                <w:b w:val="1"/>
                <w:bCs w:val="1"/>
                <w:color w:val="auto"/>
              </w:rPr>
              <w:t>1 year</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years</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r>
      <w:tr>
        <w:trPr>
          <w:trHeight w:val="234"/>
        </w:trPr>
        <w:tc>
          <w:tcPr>
            <w:tcW w:w="3260" w:type="dxa"/>
            <w:vAlign w:val="bottom"/>
          </w:tcPr>
          <w:p>
            <w:pPr>
              <w:spacing w:after="0"/>
              <w:rPr>
                <w:sz w:val="20"/>
                <w:szCs w:val="20"/>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1740" w:type="dxa"/>
            <w:vAlign w:val="bottom"/>
          </w:tcPr>
          <w:p>
            <w:pPr>
              <w:jc w:val="right"/>
              <w:ind w:right="470"/>
              <w:spacing w:after="0"/>
              <w:rPr>
                <w:sz w:val="20"/>
                <w:szCs w:val="20"/>
                <w:color w:val="auto"/>
              </w:rPr>
            </w:pPr>
            <w:r>
              <w:rPr>
                <w:rFonts w:ascii="Arial" w:cs="Arial" w:eastAsia="Arial" w:hAnsi="Arial"/>
                <w:sz w:val="18"/>
                <w:szCs w:val="18"/>
                <w:b w:val="1"/>
                <w:bCs w:val="1"/>
                <w:color w:val="auto"/>
              </w:rPr>
              <w:t>$’000</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$’000</w:t>
            </w: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3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2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158,726</w:t>
            </w:r>
          </w:p>
        </w:tc>
        <w:tc>
          <w:tcPr>
            <w:tcW w:w="1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36,927</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58,146</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36,769</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26,884</w:t>
            </w: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Share repurchase programme</w:t>
            </w:r>
          </w:p>
        </w:tc>
        <w:tc>
          <w:tcPr>
            <w:tcW w:w="2120" w:type="dxa"/>
            <w:vAlign w:val="bottom"/>
          </w:tcPr>
          <w:p>
            <w:pPr>
              <w:jc w:val="right"/>
              <w:ind w:right="350"/>
              <w:spacing w:after="0"/>
              <w:rPr>
                <w:sz w:val="20"/>
                <w:szCs w:val="20"/>
                <w:color w:val="auto"/>
              </w:rPr>
            </w:pPr>
            <w:r>
              <w:rPr>
                <w:rFonts w:ascii="Arial" w:cs="Arial" w:eastAsia="Arial" w:hAnsi="Arial"/>
                <w:sz w:val="18"/>
                <w:szCs w:val="18"/>
                <w:color w:val="auto"/>
              </w:rPr>
              <w:t>10,000</w:t>
            </w: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10,000</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2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25,637</w:t>
            </w:r>
          </w:p>
        </w:tc>
        <w:tc>
          <w:tcPr>
            <w:tcW w:w="17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25,637</w:t>
            </w:r>
          </w:p>
        </w:tc>
        <w:tc>
          <w:tcPr>
            <w:tcW w:w="16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3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194,363</w:t>
            </w:r>
          </w:p>
        </w:tc>
        <w:tc>
          <w:tcPr>
            <w:tcW w:w="17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72,564</w:t>
            </w:r>
          </w:p>
        </w:tc>
        <w:tc>
          <w:tcPr>
            <w:tcW w:w="16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58,146</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36,769</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26,884</w:t>
            </w:r>
          </w:p>
        </w:tc>
      </w:tr>
    </w:tbl>
    <w:p>
      <w:pPr>
        <w:spacing w:after="0" w:line="22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Group expects to spend approximately $35 to $40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Litigation</w:t>
      </w: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Related Parties</w:t>
      </w:r>
    </w:p>
    <w:p>
      <w:pPr>
        <w:spacing w:after="0" w:line="254"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Transactions with Directors and Executive Officers</w:t>
      </w:r>
    </w:p>
    <w:p>
      <w:pPr>
        <w:spacing w:after="0" w:line="25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The total compensation of the Directors and Executive Officers (key management remuneration) for the years ended 31 December 2011 and 2010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488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5160" w:type="dxa"/>
            <w:vAlign w:val="bottom"/>
          </w:tcPr>
          <w:p>
            <w:pPr>
              <w:spacing w:after="0"/>
              <w:rPr>
                <w:sz w:val="18"/>
                <w:szCs w:val="18"/>
                <w:color w:val="auto"/>
              </w:rPr>
            </w:pPr>
          </w:p>
        </w:tc>
        <w:tc>
          <w:tcPr>
            <w:tcW w:w="488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160" w:type="dxa"/>
            <w:vAlign w:val="bottom"/>
          </w:tcPr>
          <w:p>
            <w:pPr>
              <w:spacing w:after="0"/>
              <w:rPr>
                <w:sz w:val="18"/>
                <w:szCs w:val="18"/>
                <w:color w:val="auto"/>
              </w:rPr>
            </w:pPr>
          </w:p>
        </w:tc>
        <w:tc>
          <w:tcPr>
            <w:tcW w:w="48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160" w:type="dxa"/>
            <w:vAlign w:val="bottom"/>
          </w:tcPr>
          <w:p>
            <w:pPr>
              <w:spacing w:after="0"/>
              <w:rPr>
                <w:sz w:val="20"/>
                <w:szCs w:val="20"/>
                <w:color w:val="auto"/>
              </w:rPr>
            </w:pPr>
          </w:p>
        </w:tc>
        <w:tc>
          <w:tcPr>
            <w:tcW w:w="48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1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Salary and fees</w:t>
            </w:r>
          </w:p>
        </w:tc>
        <w:tc>
          <w:tcPr>
            <w:tcW w:w="48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2,145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Bonus</w:t>
            </w:r>
          </w:p>
        </w:tc>
        <w:tc>
          <w:tcPr>
            <w:tcW w:w="4880" w:type="dxa"/>
            <w:vAlign w:val="bottom"/>
          </w:tcPr>
          <w:p>
            <w:pPr>
              <w:jc w:val="right"/>
              <w:ind w:right="210"/>
              <w:spacing w:after="0"/>
              <w:rPr>
                <w:sz w:val="20"/>
                <w:szCs w:val="20"/>
                <w:color w:val="auto"/>
              </w:rPr>
            </w:pPr>
            <w:r>
              <w:rPr>
                <w:rFonts w:ascii="Arial" w:cs="Arial" w:eastAsia="Arial" w:hAnsi="Arial"/>
                <w:sz w:val="18"/>
                <w:szCs w:val="18"/>
                <w:b w:val="1"/>
                <w:bCs w:val="1"/>
                <w:color w:val="auto"/>
              </w:rPr>
              <w:t>682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48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Pension contributions</w:t>
            </w:r>
          </w:p>
        </w:tc>
        <w:tc>
          <w:tcPr>
            <w:tcW w:w="4880" w:type="dxa"/>
            <w:vAlign w:val="bottom"/>
          </w:tcPr>
          <w:p>
            <w:pPr>
              <w:jc w:val="right"/>
              <w:ind w:right="210"/>
              <w:spacing w:after="0"/>
              <w:rPr>
                <w:sz w:val="20"/>
                <w:szCs w:val="20"/>
                <w:color w:val="auto"/>
              </w:rPr>
            </w:pPr>
            <w:r>
              <w:rPr>
                <w:rFonts w:ascii="Arial" w:cs="Arial" w:eastAsia="Arial" w:hAnsi="Arial"/>
                <w:sz w:val="18"/>
                <w:szCs w:val="18"/>
                <w:b w:val="1"/>
                <w:bCs w:val="1"/>
                <w:color w:val="auto"/>
              </w:rPr>
              <w:t>144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22"/>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4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1,521</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r>
      <w:tr>
        <w:trPr>
          <w:trHeight w:val="215"/>
        </w:trPr>
        <w:tc>
          <w:tcPr>
            <w:tcW w:w="51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5"/>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4,575</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3,633</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 options were awarded to directors and executive officers during the years ended 31 December 2011 and 31 December 2010: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Name of Director/Key Executive Officer</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Exercise price</w:t>
            </w:r>
          </w:p>
        </w:tc>
        <w:tc>
          <w:tcPr>
            <w:tcW w:w="2360" w:type="dxa"/>
            <w:vAlign w:val="bottom"/>
          </w:tcPr>
          <w:p>
            <w:pPr>
              <w:ind w:left="220"/>
              <w:spacing w:after="0"/>
              <w:rPr>
                <w:sz w:val="20"/>
                <w:szCs w:val="20"/>
                <w:color w:val="auto"/>
              </w:rPr>
            </w:pPr>
            <w:r>
              <w:rPr>
                <w:rFonts w:ascii="Arial" w:cs="Arial" w:eastAsia="Arial" w:hAnsi="Arial"/>
                <w:sz w:val="18"/>
                <w:szCs w:val="18"/>
                <w:b w:val="1"/>
                <w:bCs w:val="1"/>
                <w:color w:val="auto"/>
              </w:rPr>
              <w:t>Grant date</w:t>
            </w:r>
          </w:p>
        </w:tc>
        <w:tc>
          <w:tcPr>
            <w:tcW w:w="2980" w:type="dxa"/>
            <w:vAlign w:val="bottom"/>
          </w:tcPr>
          <w:p>
            <w:pPr>
              <w:ind w:left="940"/>
              <w:spacing w:after="0"/>
              <w:rPr>
                <w:sz w:val="20"/>
                <w:szCs w:val="20"/>
                <w:color w:val="auto"/>
              </w:rPr>
            </w:pPr>
            <w:r>
              <w:rPr>
                <w:rFonts w:ascii="Arial" w:cs="Arial" w:eastAsia="Arial" w:hAnsi="Arial"/>
                <w:sz w:val="18"/>
                <w:szCs w:val="18"/>
                <w:b w:val="1"/>
                <w:bCs w:val="1"/>
                <w:color w:val="auto"/>
              </w:rPr>
              <w:t>Expiry date</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Bruce Given</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Peter Gray</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$24.25</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8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8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Ciaran Murray</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15"/>
        </w:trPr>
        <w:tc>
          <w:tcPr>
            <w:tcW w:w="3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$16.80</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31 October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31 October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Brendan Brennan</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John Climax</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Dr. Ronan Lambe</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Lynch</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 Dermot Kelleher</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605"/>
        </w:trPr>
        <w:tc>
          <w:tcPr>
            <w:tcW w:w="3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17"/>
        </w:trPr>
        <w:tc>
          <w:tcPr>
            <w:tcW w:w="3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 xml:space="preserve">29. Related Parties </w:t>
            </w:r>
            <w:r>
              <w:rPr>
                <w:rFonts w:ascii="Arial" w:cs="Arial" w:eastAsia="Arial" w:hAnsi="Arial"/>
                <w:sz w:val="18"/>
                <w:szCs w:val="18"/>
                <w:b w:val="1"/>
                <w:bCs w:val="1"/>
                <w:i w:val="1"/>
                <w:iCs w:val="1"/>
                <w:color w:val="auto"/>
              </w:rPr>
              <w:t>(continued)</w:t>
            </w: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57"/>
        </w:trPr>
        <w:tc>
          <w:tcPr>
            <w:tcW w:w="3540" w:type="dxa"/>
            <w:vAlign w:val="bottom"/>
          </w:tcPr>
          <w:p>
            <w:pPr>
              <w:spacing w:after="0"/>
              <w:rPr>
                <w:sz w:val="20"/>
                <w:szCs w:val="20"/>
                <w:color w:val="auto"/>
              </w:rPr>
            </w:pPr>
            <w:r>
              <w:rPr>
                <w:rFonts w:ascii="Arial" w:cs="Arial" w:eastAsia="Arial" w:hAnsi="Arial"/>
                <w:sz w:val="18"/>
                <w:szCs w:val="18"/>
                <w:b w:val="1"/>
                <w:bCs w:val="1"/>
                <w:color w:val="auto"/>
              </w:rPr>
              <w:t>Name of Director/Key Executive Officer</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Options</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Exercise price</w:t>
            </w:r>
          </w:p>
        </w:tc>
        <w:tc>
          <w:tcPr>
            <w:tcW w:w="2360" w:type="dxa"/>
            <w:vAlign w:val="bottom"/>
          </w:tcPr>
          <w:p>
            <w:pPr>
              <w:ind w:left="220"/>
              <w:spacing w:after="0"/>
              <w:rPr>
                <w:sz w:val="20"/>
                <w:szCs w:val="20"/>
                <w:color w:val="auto"/>
              </w:rPr>
            </w:pPr>
            <w:r>
              <w:rPr>
                <w:rFonts w:ascii="Arial" w:cs="Arial" w:eastAsia="Arial" w:hAnsi="Arial"/>
                <w:sz w:val="18"/>
                <w:szCs w:val="18"/>
                <w:b w:val="1"/>
                <w:bCs w:val="1"/>
                <w:color w:val="auto"/>
              </w:rPr>
              <w:t>Grant date</w:t>
            </w:r>
          </w:p>
        </w:tc>
        <w:tc>
          <w:tcPr>
            <w:tcW w:w="2980" w:type="dxa"/>
            <w:vAlign w:val="bottom"/>
          </w:tcPr>
          <w:p>
            <w:pPr>
              <w:ind w:left="940"/>
              <w:spacing w:after="0"/>
              <w:rPr>
                <w:sz w:val="20"/>
                <w:szCs w:val="20"/>
                <w:color w:val="auto"/>
              </w:rPr>
            </w:pPr>
            <w:r>
              <w:rPr>
                <w:rFonts w:ascii="Arial" w:cs="Arial" w:eastAsia="Arial" w:hAnsi="Arial"/>
                <w:sz w:val="18"/>
                <w:szCs w:val="18"/>
                <w:b w:val="1"/>
                <w:bCs w:val="1"/>
                <w:color w:val="auto"/>
              </w:rPr>
              <w:t>Expiry date</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Declan McKeon</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$29.45</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29 April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29 April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Cathrin Petty</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$19.45</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26 October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26 October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r>
        <w:trPr>
          <w:trHeight w:val="215"/>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Diarmaid Cunningham</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2,000</w:t>
            </w:r>
          </w:p>
        </w:tc>
        <w:tc>
          <w:tcPr>
            <w:tcW w:w="140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$24.46</w:t>
            </w:r>
          </w:p>
        </w:tc>
        <w:tc>
          <w:tcPr>
            <w:tcW w:w="23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4 March 2010</w:t>
            </w:r>
          </w:p>
        </w:tc>
        <w:tc>
          <w:tcPr>
            <w:tcW w:w="298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4 March 2018</w:t>
            </w:r>
          </w:p>
        </w:tc>
      </w:tr>
      <w:tr>
        <w:trPr>
          <w:trHeight w:val="229"/>
        </w:trPr>
        <w:tc>
          <w:tcPr>
            <w:tcW w:w="3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$20.28</w:t>
            </w:r>
          </w:p>
        </w:tc>
        <w:tc>
          <w:tcPr>
            <w:tcW w:w="2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 March 2011</w:t>
            </w:r>
          </w:p>
        </w:tc>
        <w:tc>
          <w:tcPr>
            <w:tcW w:w="29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March 2019</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options granted during the year end 31 December 2011 will vest between 2012 and 2016, with the exception of 100,000 of the options granted to Peter Gray on 8 March 2010 which will vest between 2011 and 2013. All other options granted to Directors and executive officers during 2010 will vest between 2011 and 2015.</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3 March 2011, Mr. Peter Gray was awarded 100,000 restricted stock units with a vesting period of three years. However, due to his retirement they are now not expected to vest as originally anticipated. On 10 February 2011, Mr. Ciaran Murray was awarded 50,000 restricted stock units with a vesting period of five years and on 1 October 2011 he was awarded 100,000 restricted stock units with a vesting period of three years.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Details of transactions entered into by Directors and Key Executive Officers in shares and share options of the Group during the year ended 31 December 2011 were are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Options exercised</w:t>
            </w:r>
          </w:p>
        </w:tc>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Market</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exercise</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on date</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960" w:type="dxa"/>
            <w:vAlign w:val="bottom"/>
          </w:tcPr>
          <w:p>
            <w:pPr>
              <w:spacing w:after="0"/>
              <w:rPr>
                <w:sz w:val="20"/>
                <w:szCs w:val="20"/>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 options</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price</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of exercise</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9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20,000</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$8.88</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96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6,000</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$8.88</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451"/>
        </w:trPr>
        <w:tc>
          <w:tcPr>
            <w:tcW w:w="3720" w:type="dxa"/>
            <w:vAlign w:val="bottom"/>
          </w:tcPr>
          <w:p>
            <w:pPr>
              <w:spacing w:after="0"/>
              <w:rPr>
                <w:sz w:val="20"/>
                <w:szCs w:val="20"/>
                <w:color w:val="auto"/>
              </w:rPr>
            </w:pPr>
            <w:r>
              <w:rPr>
                <w:rFonts w:ascii="Arial" w:cs="Arial" w:eastAsia="Arial" w:hAnsi="Arial"/>
                <w:sz w:val="18"/>
                <w:szCs w:val="18"/>
                <w:b w:val="1"/>
                <w:bCs w:val="1"/>
                <w:color w:val="auto"/>
              </w:rPr>
              <w:t>Shares purchased/(sold)</w:t>
            </w:r>
          </w:p>
        </w:tc>
        <w:tc>
          <w:tcPr>
            <w:tcW w:w="2960" w:type="dxa"/>
            <w:vAlign w:val="bottom"/>
          </w:tcPr>
          <w:p>
            <w:pPr>
              <w:spacing w:after="0"/>
              <w:rPr>
                <w:sz w:val="24"/>
                <w:szCs w:val="24"/>
                <w:color w:val="auto"/>
              </w:rPr>
            </w:pPr>
          </w:p>
        </w:tc>
        <w:tc>
          <w:tcPr>
            <w:tcW w:w="19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3"/>
              </w:rPr>
              <w:t>Average purchase</w:t>
            </w:r>
          </w:p>
        </w:tc>
        <w:tc>
          <w:tcPr>
            <w:tcW w:w="1320" w:type="dxa"/>
            <w:vAlign w:val="bottom"/>
          </w:tcPr>
          <w:p>
            <w:pPr>
              <w:spacing w:after="0"/>
              <w:rPr>
                <w:sz w:val="24"/>
                <w:szCs w:val="24"/>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Average Market</w:t>
            </w:r>
          </w:p>
        </w:tc>
        <w:tc>
          <w:tcPr>
            <w:tcW w:w="0" w:type="dxa"/>
            <w:vAlign w:val="bottom"/>
          </w:tcPr>
          <w:p>
            <w:pPr>
              <w:spacing w:after="0"/>
              <w:rPr>
                <w:sz w:val="1"/>
                <w:szCs w:val="1"/>
                <w:color w:val="auto"/>
              </w:rPr>
            </w:pPr>
          </w:p>
        </w:tc>
      </w:tr>
      <w:tr>
        <w:trPr>
          <w:trHeight w:val="197"/>
        </w:trPr>
        <w:tc>
          <w:tcPr>
            <w:tcW w:w="37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price/exercise</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 of Shares</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960" w:type="dxa"/>
            <w:vAlign w:val="bottom"/>
          </w:tcPr>
          <w:p>
            <w:pPr>
              <w:jc w:val="right"/>
              <w:ind w:right="50"/>
              <w:spacing w:after="0"/>
              <w:rPr>
                <w:sz w:val="20"/>
                <w:szCs w:val="20"/>
                <w:color w:val="auto"/>
              </w:rPr>
            </w:pPr>
            <w:r>
              <w:rPr>
                <w:rFonts w:ascii="Arial" w:cs="Arial" w:eastAsia="Arial" w:hAnsi="Arial"/>
                <w:sz w:val="18"/>
                <w:szCs w:val="18"/>
                <w:b w:val="1"/>
                <w:bCs w:val="1"/>
                <w:color w:val="auto"/>
              </w:rPr>
              <w:t>of shares</w:t>
            </w: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price</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of shares</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Sold</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Gray</w:t>
            </w:r>
          </w:p>
        </w:tc>
        <w:tc>
          <w:tcPr>
            <w:tcW w:w="2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(76,208)</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John Climax</w:t>
            </w:r>
          </w:p>
        </w:tc>
        <w:tc>
          <w:tcPr>
            <w:tcW w:w="2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(6,000)</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599"/>
        </w:trPr>
        <w:tc>
          <w:tcPr>
            <w:tcW w:w="3720" w:type="dxa"/>
            <w:vAlign w:val="bottom"/>
          </w:tcPr>
          <w:p>
            <w:pPr>
              <w:spacing w:after="0"/>
              <w:rPr>
                <w:sz w:val="24"/>
                <w:szCs w:val="24"/>
                <w:color w:val="auto"/>
              </w:rPr>
            </w:pPr>
          </w:p>
        </w:tc>
        <w:tc>
          <w:tcPr>
            <w:tcW w:w="2960" w:type="dxa"/>
            <w:vAlign w:val="bottom"/>
          </w:tcPr>
          <w:p>
            <w:pPr>
              <w:jc w:val="right"/>
              <w:ind w:right="750"/>
              <w:spacing w:after="0"/>
              <w:rPr>
                <w:sz w:val="20"/>
                <w:szCs w:val="20"/>
                <w:color w:val="auto"/>
              </w:rPr>
            </w:pPr>
            <w:r>
              <w:rPr>
                <w:rFonts w:ascii="Arial" w:cs="Arial" w:eastAsia="Arial" w:hAnsi="Arial"/>
                <w:sz w:val="18"/>
                <w:szCs w:val="18"/>
                <w:color w:val="auto"/>
              </w:rPr>
              <w:t>116</w:t>
            </w:r>
          </w:p>
        </w:tc>
        <w:tc>
          <w:tcPr>
            <w:tcW w:w="1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b w:val="1"/>
          <w:bCs w:val="1"/>
          <w:i w:val="1"/>
          <w:iCs w:val="1"/>
          <w:color w:val="auto"/>
        </w:rPr>
        <w:t>(continued)</w:t>
      </w:r>
    </w:p>
    <w:p>
      <w:pPr>
        <w:spacing w:after="0" w:line="254" w:lineRule="exact"/>
        <w:rPr>
          <w:rFonts w:ascii="Arial" w:cs="Arial" w:eastAsia="Arial" w:hAnsi="Arial"/>
          <w:sz w:val="18"/>
          <w:szCs w:val="18"/>
          <w:b w:val="1"/>
          <w:bCs w:val="1"/>
          <w:color w:val="auto"/>
        </w:rPr>
      </w:pPr>
    </w:p>
    <w:p>
      <w:pPr>
        <w:ind w:right="8440" w:firstLine="52"/>
        <w:spacing w:after="0" w:line="635" w:lineRule="auto"/>
        <w:tabs>
          <w:tab w:leader="none" w:pos="479" w:val="left"/>
        </w:tabs>
        <w:numPr>
          <w:ilvl w:val="1"/>
          <w:numId w:val="38"/>
        </w:numPr>
        <w:rPr>
          <w:rFonts w:ascii="Arial" w:cs="Arial" w:eastAsia="Arial" w:hAnsi="Arial"/>
          <w:sz w:val="15"/>
          <w:szCs w:val="15"/>
          <w:color w:val="auto"/>
        </w:rPr>
      </w:pPr>
      <w:r>
        <w:rPr>
          <w:rFonts w:ascii="Arial" w:cs="Arial" w:eastAsia="Arial" w:hAnsi="Arial"/>
          <w:sz w:val="15"/>
          <w:szCs w:val="15"/>
          <w:i w:val="1"/>
          <w:iCs w:val="1"/>
          <w:color w:val="auto"/>
        </w:rPr>
        <w:t>Other Related Party Transactions Years ended 31 December 2011 and 2010</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1 January 2010 the Group entered into a three year agreement with Rotrua Limited, a Company controlled by Dr. John Climax, a non-executive director of the Group. This three year agreement is for the provision of consultancy services by Dr Climax to the Group at an agreed fee of €262,500 ($348,968) per annum. The consultancy agreement provides that, the Group will provide during the term of the agreement, permanent disability and life insurance cover for Dr. Climax and medical insurance cover for himself and his dependants.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related party transactions during the years ended 21 December 2011 and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Post year end acquisition of PriceSpective LLC</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28 February 2012 the Group acquired 100% of the common stock of PriceSpective LLC (“PriceSpective”), a global leader in value strategy consulting, for an initial cash consideration of $37.1 million.</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Headquartered in Philadelphia, (USA) and with offices in London (UK), Los Angeles (USA), San Diego (USA), Raleigh (USA) and Boston (USA), PriceSpective is a premier consultancy that has a strong reputation for excellence in strategic pricing, market access, health economics outcome research (HEOR), due diligence support and payer engagement services. Since PriceSpective’s inception in 2003, it has developed strategies for dozens of new product launches and hundreds of development and in-market products across 40 plus disease areas.</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Further consideration of up to $15.0 million may become payable if certain performance milestones are achieved in the period to December 2012.The following table summarises the Group’s provisional estimates of the fair values of assets acquired and the liabilities assumed other than for intangible assets. The Group expects to finalise the purchase price allocation including the fair value of intangibles acquired during the first half of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372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5"/>
        </w:trPr>
        <w:tc>
          <w:tcPr>
            <w:tcW w:w="4800" w:type="dxa"/>
            <w:vAlign w:val="bottom"/>
          </w:tcPr>
          <w:p>
            <w:pPr>
              <w:spacing w:after="0"/>
              <w:rPr>
                <w:sz w:val="18"/>
                <w:szCs w:val="18"/>
                <w:color w:val="auto"/>
              </w:rPr>
            </w:pPr>
          </w:p>
        </w:tc>
        <w:tc>
          <w:tcPr>
            <w:tcW w:w="372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w:t>
            </w:r>
          </w:p>
        </w:tc>
        <w:tc>
          <w:tcPr>
            <w:tcW w:w="13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372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4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208</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53,336</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53,336</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2,311</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Accounts receivables</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2,662</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2,662</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1,292</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Non-current assets</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60</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22"/>
        </w:trPr>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(7,737)</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r>
      <w:tr>
        <w:trPr>
          <w:trHeight w:val="215"/>
        </w:trPr>
        <w:tc>
          <w:tcPr>
            <w:tcW w:w="4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52,132</w:t>
            </w:r>
          </w:p>
        </w:tc>
      </w:tr>
    </w:tbl>
    <w:p>
      <w:pPr>
        <w:jc w:val="both"/>
        <w:spacing w:after="0" w:line="25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Goodwill represents the acquisition of an established workforce with experience in strategic pricing, market access, HEOR, due diligence support and payer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engagement services.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 of accounts receivables in the above table are the gross contractual amounts receivable and are carried at amortised cost. This is assumed to be approximate to their fair value due to the short term nature of these balances. There is no evidence that the Group will not be able to collect all amounts as due.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 Subsequent Events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Post year end acquisition of BeijingWits Medical Limited</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15 February 2012 the Group acquired 100% of the common stock of BeijingWits Medical Limited (“BeijingWits”), a leading Chinese CRO, for an initial cash consideration of $9.0 million.</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BeijingWits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Group’s service capabilities in the region, BeijingWits will also strengthen the Group’s presence through the addition of over 100 highly qualified and experienced professionals in Beijing, Shanghai, Chengdu, Guangzhou, Wuhan and Hong Kong.</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Further consideration of up to $7.0 million may become payable if certain performance milestones are achieved in the period to 31 December 2013. The following table summarises the Group’s provisional estimates of the fair values of assets acquired and the liabilities assumed other than for intangible assets. The Group expects to finalise the purchase price allocation including the fair value of intangibles acquired during the first half of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372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r>
      <w:tr>
        <w:trPr>
          <w:trHeight w:val="215"/>
        </w:trPr>
        <w:tc>
          <w:tcPr>
            <w:tcW w:w="4800" w:type="dxa"/>
            <w:vAlign w:val="bottom"/>
          </w:tcPr>
          <w:p>
            <w:pPr>
              <w:spacing w:after="0"/>
              <w:rPr>
                <w:sz w:val="18"/>
                <w:szCs w:val="18"/>
                <w:color w:val="auto"/>
              </w:rPr>
            </w:pPr>
          </w:p>
        </w:tc>
        <w:tc>
          <w:tcPr>
            <w:tcW w:w="372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w:t>
            </w:r>
          </w:p>
        </w:tc>
        <w:tc>
          <w:tcPr>
            <w:tcW w:w="13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372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4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137</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15,139</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15,139</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587</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Accounts receivable</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657</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443</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Non-current assets</w:t>
            </w:r>
          </w:p>
        </w:tc>
        <w:tc>
          <w:tcPr>
            <w:tcW w:w="3720" w:type="dxa"/>
            <w:vAlign w:val="bottom"/>
          </w:tcPr>
          <w:p>
            <w:pPr>
              <w:jc w:val="right"/>
              <w:ind w:right="290"/>
              <w:spacing w:after="0"/>
              <w:rPr>
                <w:sz w:val="20"/>
                <w:szCs w:val="20"/>
                <w:color w:val="auto"/>
              </w:rPr>
            </w:pPr>
            <w:r>
              <w:rPr>
                <w:rFonts w:ascii="Arial" w:cs="Arial" w:eastAsia="Arial" w:hAnsi="Arial"/>
                <w:sz w:val="18"/>
                <w:szCs w:val="18"/>
                <w:color w:val="auto"/>
              </w:rPr>
              <w:t>83</w:t>
            </w:r>
          </w:p>
        </w:tc>
        <w:tc>
          <w:tcPr>
            <w:tcW w:w="1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22"/>
        </w:trPr>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(1,046)</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15"/>
        </w:trPr>
        <w:tc>
          <w:tcPr>
            <w:tcW w:w="4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16,000</w:t>
            </w:r>
          </w:p>
        </w:tc>
      </w:tr>
    </w:tbl>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 of accounts receivables in the above table are the gross contractual amounts receivable and are carried at amortised cost. This is assumed to be approximate to their fair value due to the short term nature of these balances. There is no evidence that the Group will not be able to collect all amounts as due.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Subsidiary Undertakings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 at 31 December 2011 the Group had the following principal subsidiary undertakings: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9"/>
        </w:trPr>
        <w:tc>
          <w:tcPr>
            <w:tcW w:w="308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414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Registered Office</w:t>
            </w:r>
          </w:p>
        </w:tc>
        <w:tc>
          <w:tcPr>
            <w:tcW w:w="42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group</w:t>
            </w: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 Limited</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South County Business Park Leopardstown</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Dublin 18</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Republic of Ireland</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212 Church Road</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North Wales</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Pennsylvania</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 19454</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U.S.A.</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Concept House</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(UK) Limited</w:t>
            </w: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6, Stoneycroft Rise</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Chandlers Ford</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Eastleigh</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Hampshire, SO53 3LD</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England</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Heinrich-Hertz Strasse 26</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GmbH</w:t>
            </w: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D-63225 Langen</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Germany</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20, rue Troyon</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SARL</w:t>
            </w: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92310 Sevres</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France</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6 Haba’al Shem Tov st.</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Israel Limited</w:t>
            </w: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North Industrial Area Lod 71289</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POB 1114 Lod 71100</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Israel</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Calle Josep Pla, número 2</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Torre Diagonal Mar</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piso 11</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módulo 1</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08019 Barcelona</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Spain</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Szepvolgy ut 39</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Kft.</w:t>
            </w: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Szepvolgy Irodapark</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1037 Budapest</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Hungary.</w:t>
            </w:r>
          </w:p>
        </w:tc>
        <w:tc>
          <w:tcPr>
            <w:tcW w:w="4200" w:type="dxa"/>
            <w:vAlign w:val="bottom"/>
            <w:shd w:val="clear" w:color="auto" w:fill="CCEEFF"/>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41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3rd Floor</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S.R.L.</w:t>
            </w:r>
          </w:p>
        </w:tc>
        <w:tc>
          <w:tcPr>
            <w:tcW w:w="4140" w:type="dxa"/>
            <w:vAlign w:val="bottom"/>
            <w:shd w:val="clear" w:color="auto" w:fill="CCEEFF"/>
          </w:tcPr>
          <w:p>
            <w:pPr>
              <w:ind w:left="700"/>
              <w:spacing w:after="0" w:line="216" w:lineRule="exact"/>
              <w:rPr>
                <w:sz w:val="20"/>
                <w:szCs w:val="20"/>
                <w:color w:val="auto"/>
              </w:rPr>
            </w:pPr>
            <w:r>
              <w:rPr>
                <w:rFonts w:ascii="Arial" w:cs="Arial" w:eastAsia="Arial" w:hAnsi="Arial"/>
                <w:sz w:val="17"/>
                <w:szCs w:val="17"/>
                <w:color w:val="auto"/>
              </w:rPr>
              <w:t>133-137 Calea Floreasca,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District</w:t>
            </w:r>
          </w:p>
        </w:tc>
        <w:tc>
          <w:tcPr>
            <w:tcW w:w="4200" w:type="dxa"/>
            <w:vAlign w:val="bottom"/>
            <w:shd w:val="clear" w:color="auto" w:fill="CCEEFF"/>
          </w:tcPr>
          <w:p>
            <w:pPr>
              <w:spacing w:after="0"/>
              <w:rPr>
                <w:sz w:val="18"/>
                <w:szCs w:val="18"/>
                <w:color w:val="auto"/>
              </w:rPr>
            </w:pPr>
          </w:p>
        </w:tc>
      </w:tr>
      <w:tr>
        <w:trPr>
          <w:trHeight w:val="215"/>
        </w:trPr>
        <w:tc>
          <w:tcPr>
            <w:tcW w:w="3080" w:type="dxa"/>
            <w:vAlign w:val="bottom"/>
            <w:shd w:val="clear" w:color="auto" w:fill="CCEEFF"/>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Bucharest</w:t>
            </w:r>
          </w:p>
        </w:tc>
        <w:tc>
          <w:tcPr>
            <w:tcW w:w="4200" w:type="dxa"/>
            <w:vAlign w:val="bottom"/>
            <w:shd w:val="clear" w:color="auto" w:fill="CCEEFF"/>
          </w:tcPr>
          <w:p>
            <w:pPr>
              <w:spacing w:after="0"/>
              <w:rPr>
                <w:sz w:val="18"/>
                <w:szCs w:val="18"/>
                <w:color w:val="auto"/>
              </w:rPr>
            </w:pPr>
          </w:p>
        </w:tc>
      </w:tr>
      <w:tr>
        <w:trPr>
          <w:trHeight w:val="229"/>
        </w:trPr>
        <w:tc>
          <w:tcPr>
            <w:tcW w:w="3080" w:type="dxa"/>
            <w:vAlign w:val="bottom"/>
            <w:shd w:val="clear" w:color="auto" w:fill="CCEEFF"/>
          </w:tcPr>
          <w:p>
            <w:pPr>
              <w:spacing w:after="0"/>
              <w:rPr>
                <w:sz w:val="19"/>
                <w:szCs w:val="19"/>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Romania</w:t>
            </w:r>
          </w:p>
        </w:tc>
        <w:tc>
          <w:tcPr>
            <w:tcW w:w="4200" w:type="dxa"/>
            <w:vAlign w:val="bottom"/>
            <w:shd w:val="clear" w:color="auto" w:fill="CCEEFF"/>
          </w:tcPr>
          <w:p>
            <w:pPr>
              <w:spacing w:after="0"/>
              <w:rPr>
                <w:sz w:val="19"/>
                <w:szCs w:val="19"/>
                <w:color w:val="auto"/>
              </w:rPr>
            </w:pPr>
          </w:p>
        </w:tc>
      </w:tr>
      <w:tr>
        <w:trPr>
          <w:trHeight w:val="605"/>
        </w:trPr>
        <w:tc>
          <w:tcPr>
            <w:tcW w:w="3080" w:type="dxa"/>
            <w:vAlign w:val="bottom"/>
          </w:tcPr>
          <w:p>
            <w:pPr>
              <w:spacing w:after="0"/>
              <w:rPr>
                <w:sz w:val="24"/>
                <w:szCs w:val="24"/>
                <w:color w:val="auto"/>
              </w:rPr>
            </w:pPr>
          </w:p>
        </w:tc>
        <w:tc>
          <w:tcPr>
            <w:tcW w:w="4140" w:type="dxa"/>
            <w:vAlign w:val="bottom"/>
          </w:tcPr>
          <w:p>
            <w:pPr>
              <w:ind w:left="2500"/>
              <w:spacing w:after="0"/>
              <w:rPr>
                <w:sz w:val="20"/>
                <w:szCs w:val="20"/>
                <w:color w:val="auto"/>
              </w:rPr>
            </w:pPr>
            <w:r>
              <w:rPr>
                <w:rFonts w:ascii="Arial" w:cs="Arial" w:eastAsia="Arial" w:hAnsi="Arial"/>
                <w:sz w:val="18"/>
                <w:szCs w:val="18"/>
                <w:color w:val="auto"/>
              </w:rPr>
              <w:t>119</w:t>
            </w:r>
          </w:p>
        </w:tc>
        <w:tc>
          <w:tcPr>
            <w:tcW w:w="4200" w:type="dxa"/>
            <w:vAlign w:val="bottom"/>
          </w:tcPr>
          <w:p>
            <w:pPr>
              <w:spacing w:after="0"/>
              <w:rPr>
                <w:sz w:val="24"/>
                <w:szCs w:val="24"/>
                <w:color w:val="auto"/>
              </w:rPr>
            </w:pPr>
          </w:p>
        </w:tc>
      </w:tr>
      <w:tr>
        <w:trPr>
          <w:trHeight w:val="117"/>
        </w:trPr>
        <w:tc>
          <w:tcPr>
            <w:tcW w:w="308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w w:val="99"/>
              </w:rPr>
              <w:t xml:space="preserve">31. Subsidiary Undertakings </w:t>
            </w:r>
            <w:r>
              <w:rPr>
                <w:rFonts w:ascii="Arial" w:cs="Arial" w:eastAsia="Arial" w:hAnsi="Arial"/>
                <w:sz w:val="18"/>
                <w:szCs w:val="18"/>
                <w:i w:val="1"/>
                <w:iCs w:val="1"/>
                <w:color w:val="auto"/>
                <w:w w:val="99"/>
              </w:rPr>
              <w:t>(</w:t>
            </w:r>
            <w:r>
              <w:rPr>
                <w:rFonts w:ascii="Arial" w:cs="Arial" w:eastAsia="Arial" w:hAnsi="Arial"/>
                <w:sz w:val="18"/>
                <w:szCs w:val="18"/>
                <w:b w:val="1"/>
                <w:bCs w:val="1"/>
                <w:i w:val="1"/>
                <w:iCs w:val="1"/>
                <w:color w:val="auto"/>
                <w:w w:val="99"/>
              </w:rPr>
              <w:t>continued</w:t>
            </w:r>
            <w:r>
              <w:rPr>
                <w:rFonts w:ascii="Arial" w:cs="Arial" w:eastAsia="Arial" w:hAnsi="Arial"/>
                <w:sz w:val="18"/>
                <w:szCs w:val="18"/>
                <w:i w:val="1"/>
                <w:iCs w:val="1"/>
                <w:color w:val="auto"/>
                <w:w w:val="99"/>
              </w:rPr>
              <w:t>)</w:t>
            </w:r>
          </w:p>
        </w:tc>
        <w:tc>
          <w:tcPr>
            <w:tcW w:w="37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42"/>
        </w:trPr>
        <w:tc>
          <w:tcPr>
            <w:tcW w:w="3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2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9"/>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37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Registered Office</w:t>
            </w:r>
          </w:p>
        </w:tc>
        <w:tc>
          <w:tcPr>
            <w:tcW w:w="420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group</w:t>
            </w: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 EOOD</w:t>
            </w:r>
          </w:p>
        </w:tc>
        <w:tc>
          <w:tcPr>
            <w:tcW w:w="3780" w:type="dxa"/>
            <w:vAlign w:val="bottom"/>
            <w:shd w:val="clear" w:color="auto" w:fill="CCEEFF"/>
          </w:tcPr>
          <w:p>
            <w:pPr>
              <w:ind w:left="340"/>
              <w:spacing w:after="0" w:line="201" w:lineRule="exact"/>
              <w:rPr>
                <w:sz w:val="20"/>
                <w:szCs w:val="20"/>
                <w:color w:val="auto"/>
              </w:rPr>
            </w:pPr>
            <w:r>
              <w:rPr>
                <w:rFonts w:ascii="Arial" w:cs="Arial" w:eastAsia="Arial" w:hAnsi="Arial"/>
                <w:sz w:val="17"/>
                <w:szCs w:val="17"/>
                <w:color w:val="auto"/>
              </w:rPr>
              <w:t>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Saborna Str.</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2a, Sredets Municipality</w:t>
            </w:r>
          </w:p>
        </w:tc>
        <w:tc>
          <w:tcPr>
            <w:tcW w:w="420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Sofia</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Bulgaria</w:t>
            </w:r>
          </w:p>
        </w:tc>
        <w:tc>
          <w:tcPr>
            <w:tcW w:w="420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Research d.o.o</w:t>
            </w:r>
          </w:p>
        </w:tc>
        <w:tc>
          <w:tcPr>
            <w:tcW w:w="3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Radnička cesta 80</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Zagreb</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Croatia</w:t>
            </w:r>
          </w:p>
        </w:tc>
        <w:tc>
          <w:tcPr>
            <w:tcW w:w="420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 LLC</w:t>
            </w:r>
          </w:p>
        </w:tc>
        <w:tc>
          <w:tcPr>
            <w:tcW w:w="378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Bulevar Zorana Djindjica 64a</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11070 Belgrade</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Serbia</w:t>
            </w:r>
          </w:p>
        </w:tc>
        <w:tc>
          <w:tcPr>
            <w:tcW w:w="420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 LLC</w:t>
            </w:r>
          </w:p>
        </w:tc>
        <w:tc>
          <w:tcPr>
            <w:tcW w:w="3780" w:type="dxa"/>
            <w:vAlign w:val="bottom"/>
            <w:shd w:val="clear" w:color="auto" w:fill="CCEEFF"/>
          </w:tcPr>
          <w:p>
            <w:pPr>
              <w:ind w:left="340"/>
              <w:spacing w:after="0" w:line="201" w:lineRule="exact"/>
              <w:rPr>
                <w:sz w:val="20"/>
                <w:szCs w:val="20"/>
                <w:color w:val="auto"/>
              </w:rPr>
            </w:pPr>
            <w:r>
              <w:rPr>
                <w:rFonts w:ascii="Arial" w:cs="Arial" w:eastAsia="Arial" w:hAnsi="Arial"/>
                <w:sz w:val="17"/>
                <w:szCs w:val="17"/>
                <w:color w:val="auto"/>
              </w:rPr>
              <w:t>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 Poleva, 24</w:t>
            </w:r>
          </w:p>
        </w:tc>
        <w:tc>
          <w:tcPr>
            <w:tcW w:w="420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Kiev</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Ukraine, 03056</w:t>
            </w:r>
          </w:p>
        </w:tc>
        <w:tc>
          <w:tcPr>
            <w:tcW w:w="420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Holdings</w:t>
            </w:r>
          </w:p>
        </w:tc>
        <w:tc>
          <w:tcPr>
            <w:tcW w:w="3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South County Business Park Leopardstown</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Dublin 18</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Republic of Ireland</w:t>
            </w:r>
          </w:p>
        </w:tc>
        <w:tc>
          <w:tcPr>
            <w:tcW w:w="420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Holdings Clinical</w:t>
            </w:r>
          </w:p>
        </w:tc>
        <w:tc>
          <w:tcPr>
            <w:tcW w:w="3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South County Business Park Leopardstown</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Research International Limited</w:t>
            </w: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Dublin 18</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Republic of Ireland</w:t>
            </w:r>
          </w:p>
        </w:tc>
        <w:tc>
          <w:tcPr>
            <w:tcW w:w="420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 S.R.O</w:t>
            </w:r>
          </w:p>
        </w:tc>
        <w:tc>
          <w:tcPr>
            <w:tcW w:w="3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V parku 2335/20,</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 Code 148 00</w:t>
            </w:r>
          </w:p>
        </w:tc>
        <w:tc>
          <w:tcPr>
            <w:tcW w:w="420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Prague 4</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Czech Republic</w:t>
            </w:r>
          </w:p>
        </w:tc>
        <w:tc>
          <w:tcPr>
            <w:tcW w:w="420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7405, Transcanada Highway</w:t>
            </w:r>
          </w:p>
        </w:tc>
        <w:tc>
          <w:tcPr>
            <w:tcW w:w="42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(Canada) Inc.</w:t>
            </w: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Suite 300</w:t>
            </w:r>
          </w:p>
        </w:tc>
        <w:tc>
          <w:tcPr>
            <w:tcW w:w="420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St.Laurent</w:t>
            </w:r>
          </w:p>
        </w:tc>
        <w:tc>
          <w:tcPr>
            <w:tcW w:w="420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Quebec (H4T 1Z2)</w:t>
            </w:r>
          </w:p>
        </w:tc>
        <w:tc>
          <w:tcPr>
            <w:tcW w:w="420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4200" w:type="dxa"/>
            <w:vAlign w:val="bottom"/>
            <w:shd w:val="clear" w:color="auto" w:fill="CCEEFF"/>
          </w:tcPr>
          <w:p>
            <w:pPr>
              <w:spacing w:after="0"/>
              <w:rPr>
                <w:sz w:val="19"/>
                <w:szCs w:val="19"/>
                <w:color w:val="auto"/>
              </w:rPr>
            </w:pPr>
          </w:p>
        </w:tc>
      </w:tr>
      <w:tr>
        <w:trPr>
          <w:trHeight w:val="416"/>
        </w:trPr>
        <w:tc>
          <w:tcPr>
            <w:tcW w:w="3440" w:type="dxa"/>
            <w:vAlign w:val="bottom"/>
          </w:tcPr>
          <w:p>
            <w:pPr>
              <w:spacing w:after="0"/>
              <w:rPr>
                <w:sz w:val="20"/>
                <w:szCs w:val="20"/>
                <w:color w:val="auto"/>
              </w:rPr>
            </w:pPr>
            <w:r>
              <w:rPr>
                <w:rFonts w:ascii="Arial" w:cs="Arial" w:eastAsia="Arial" w:hAnsi="Arial"/>
                <w:sz w:val="18"/>
                <w:szCs w:val="18"/>
                <w:color w:val="auto"/>
              </w:rPr>
              <w:t>ICON Clinical Research</w:t>
            </w:r>
          </w:p>
        </w:tc>
        <w:tc>
          <w:tcPr>
            <w:tcW w:w="3780" w:type="dxa"/>
            <w:vAlign w:val="bottom"/>
          </w:tcPr>
          <w:p>
            <w:pPr>
              <w:ind w:left="340"/>
              <w:spacing w:after="0"/>
              <w:rPr>
                <w:sz w:val="20"/>
                <w:szCs w:val="20"/>
                <w:color w:val="auto"/>
              </w:rPr>
            </w:pPr>
            <w:r>
              <w:rPr>
                <w:rFonts w:ascii="Arial" w:cs="Arial" w:eastAsia="Arial" w:hAnsi="Arial"/>
                <w:sz w:val="18"/>
                <w:szCs w:val="18"/>
                <w:color w:val="auto"/>
              </w:rPr>
              <w:t>Level 2, Suite 201</w:t>
            </w:r>
          </w:p>
        </w:tc>
        <w:tc>
          <w:tcPr>
            <w:tcW w:w="4200" w:type="dxa"/>
            <w:vAlign w:val="bottom"/>
          </w:tcPr>
          <w:p>
            <w:pPr>
              <w:ind w:left="320"/>
              <w:spacing w:after="0"/>
              <w:rPr>
                <w:sz w:val="20"/>
                <w:szCs w:val="20"/>
                <w:color w:val="auto"/>
              </w:rPr>
            </w:pPr>
            <w:r>
              <w:rPr>
                <w:rFonts w:ascii="Arial" w:cs="Arial" w:eastAsia="Arial" w:hAnsi="Arial"/>
                <w:sz w:val="18"/>
                <w:szCs w:val="18"/>
                <w:color w:val="auto"/>
              </w:rPr>
              <w:t>100%*</w:t>
            </w: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Pty Limited</w:t>
            </w:r>
          </w:p>
        </w:tc>
        <w:tc>
          <w:tcPr>
            <w:tcW w:w="3780" w:type="dxa"/>
            <w:vAlign w:val="bottom"/>
          </w:tcPr>
          <w:p>
            <w:pPr>
              <w:ind w:left="340"/>
              <w:spacing w:after="0"/>
              <w:rPr>
                <w:sz w:val="20"/>
                <w:szCs w:val="20"/>
                <w:color w:val="auto"/>
              </w:rPr>
            </w:pPr>
            <w:r>
              <w:rPr>
                <w:rFonts w:ascii="Arial" w:cs="Arial" w:eastAsia="Arial" w:hAnsi="Arial"/>
                <w:sz w:val="18"/>
                <w:szCs w:val="18"/>
                <w:color w:val="auto"/>
              </w:rPr>
              <w:t>2-4 Lyon Park Road</w:t>
            </w:r>
          </w:p>
        </w:tc>
        <w:tc>
          <w:tcPr>
            <w:tcW w:w="4200" w:type="dxa"/>
            <w:vAlign w:val="bottom"/>
          </w:tcPr>
          <w:p>
            <w:pPr>
              <w:spacing w:after="0"/>
              <w:rPr>
                <w:sz w:val="18"/>
                <w:szCs w:val="18"/>
                <w:color w:val="auto"/>
              </w:rPr>
            </w:pPr>
          </w:p>
        </w:tc>
      </w:tr>
      <w:tr>
        <w:trPr>
          <w:trHeight w:val="215"/>
        </w:trPr>
        <w:tc>
          <w:tcPr>
            <w:tcW w:w="344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North Ryde</w:t>
            </w:r>
          </w:p>
        </w:tc>
        <w:tc>
          <w:tcPr>
            <w:tcW w:w="420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Sydney</w:t>
            </w:r>
          </w:p>
        </w:tc>
        <w:tc>
          <w:tcPr>
            <w:tcW w:w="4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7255" cy="8197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7255" cy="819785"/>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8"/>
          <w:szCs w:val="18"/>
          <w:color w:val="auto"/>
        </w:rPr>
        <w:t>N.S.W. 2113</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Australia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w w:val="99"/>
              </w:rPr>
              <w:t xml:space="preserve">31. Subsidiary Undertakings </w:t>
            </w:r>
            <w:r>
              <w:rPr>
                <w:rFonts w:ascii="Arial" w:cs="Arial" w:eastAsia="Arial" w:hAnsi="Arial"/>
                <w:sz w:val="18"/>
                <w:szCs w:val="18"/>
                <w:i w:val="1"/>
                <w:iCs w:val="1"/>
                <w:color w:val="auto"/>
                <w:w w:val="99"/>
              </w:rPr>
              <w:t>(</w:t>
            </w:r>
            <w:r>
              <w:rPr>
                <w:rFonts w:ascii="Arial" w:cs="Arial" w:eastAsia="Arial" w:hAnsi="Arial"/>
                <w:sz w:val="18"/>
                <w:szCs w:val="18"/>
                <w:b w:val="1"/>
                <w:bCs w:val="1"/>
                <w:i w:val="1"/>
                <w:iCs w:val="1"/>
                <w:color w:val="auto"/>
                <w:w w:val="99"/>
              </w:rPr>
              <w:t>continued</w:t>
            </w:r>
            <w:r>
              <w:rPr>
                <w:rFonts w:ascii="Arial" w:cs="Arial" w:eastAsia="Arial" w:hAnsi="Arial"/>
                <w:sz w:val="18"/>
                <w:szCs w:val="18"/>
                <w:i w:val="1"/>
                <w:iCs w:val="1"/>
                <w:color w:val="auto"/>
                <w:w w:val="99"/>
              </w:rPr>
              <w:t>)</w:t>
            </w:r>
          </w:p>
        </w:tc>
        <w:tc>
          <w:tcPr>
            <w:tcW w:w="39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42"/>
        </w:trPr>
        <w:tc>
          <w:tcPr>
            <w:tcW w:w="34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9"/>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39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Registered Office</w:t>
            </w:r>
          </w:p>
        </w:tc>
        <w:tc>
          <w:tcPr>
            <w:tcW w:w="40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group</w:t>
            </w: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Plaza Level, AXA Centre</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(New Zealand) Limited</w:t>
            </w: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 Shortland Street</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Auckland 1010,</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Zealand</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Japan K.K.</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MD Kanda Building 6F-7F</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Kanda-Mitoshirocho</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Chiyoda-ku</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Tokyo, 101-0053</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Raffles Place, #20-05</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Pte Limited</w:t>
            </w: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Clifford Centre</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Singapore 048621</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18th Floor, Capital Tower</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Korea Yuhan Hoesa</w:t>
            </w: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736-1, YeokSam-Dong</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KangNam-Gu</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Seoul, Korea 135-983</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RMZ Millennia Business Park</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India Private Limited</w:t>
            </w: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Building 3A, 2nd Floor</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143 Dr. M G R Road</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Kandhanchavady</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Chennai - 600 096</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Tamil Nadu</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India</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Av. Fondo de la Legua 936/54</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w:t>
            </w: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Edificio Lomas de San Isidro Plaza1 Martinez</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Buenos Aires (B1640ED0)</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Argentina</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Pesquisas</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Avenida Paulista</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Clinicas LTDA</w:t>
            </w: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 2300</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Andar Pilotis-sal 03100-300</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Bela Vista</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Sao Paulo</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 Brazil</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Barranca del Muerto 329 3rd Floor</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Mexico S.A. de CV</w:t>
            </w: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 San José Insurgentes</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03900 México D.F.</w:t>
            </w:r>
          </w:p>
        </w:tc>
        <w:tc>
          <w:tcPr>
            <w:tcW w:w="40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Chile Limitada</w:t>
            </w:r>
          </w:p>
        </w:tc>
        <w:tc>
          <w:tcPr>
            <w:tcW w:w="3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Huerfanos 770</w:t>
            </w:r>
          </w:p>
        </w:tc>
        <w:tc>
          <w:tcPr>
            <w:tcW w:w="4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piso 4</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oficina 402,</w:t>
            </w:r>
          </w:p>
        </w:tc>
        <w:tc>
          <w:tcPr>
            <w:tcW w:w="40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Santiago,</w:t>
            </w:r>
          </w:p>
        </w:tc>
        <w:tc>
          <w:tcPr>
            <w:tcW w:w="40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Chile</w:t>
            </w:r>
          </w:p>
        </w:tc>
        <w:tc>
          <w:tcPr>
            <w:tcW w:w="4080" w:type="dxa"/>
            <w:vAlign w:val="bottom"/>
            <w:shd w:val="clear" w:color="auto" w:fill="CCEEFF"/>
          </w:tcPr>
          <w:p>
            <w:pPr>
              <w:spacing w:after="0"/>
              <w:rPr>
                <w:sz w:val="19"/>
                <w:szCs w:val="19"/>
                <w:color w:val="auto"/>
              </w:rPr>
            </w:pPr>
          </w:p>
        </w:tc>
      </w:tr>
      <w:tr>
        <w:trPr>
          <w:trHeight w:val="578"/>
        </w:trPr>
        <w:tc>
          <w:tcPr>
            <w:tcW w:w="3440" w:type="dxa"/>
            <w:vAlign w:val="bottom"/>
          </w:tcPr>
          <w:p>
            <w:pPr>
              <w:spacing w:after="0"/>
              <w:rPr>
                <w:sz w:val="24"/>
                <w:szCs w:val="24"/>
                <w:color w:val="auto"/>
              </w:rPr>
            </w:pPr>
          </w:p>
        </w:tc>
        <w:tc>
          <w:tcPr>
            <w:tcW w:w="3900" w:type="dxa"/>
            <w:vAlign w:val="bottom"/>
          </w:tcPr>
          <w:p>
            <w:pPr>
              <w:ind w:left="2140"/>
              <w:spacing w:after="0"/>
              <w:rPr>
                <w:sz w:val="20"/>
                <w:szCs w:val="20"/>
                <w:color w:val="auto"/>
              </w:rPr>
            </w:pPr>
            <w:r>
              <w:rPr>
                <w:rFonts w:ascii="Arial" w:cs="Arial" w:eastAsia="Arial" w:hAnsi="Arial"/>
                <w:sz w:val="18"/>
                <w:szCs w:val="18"/>
                <w:color w:val="auto"/>
              </w:rPr>
              <w:t>121</w:t>
            </w:r>
          </w:p>
        </w:tc>
        <w:tc>
          <w:tcPr>
            <w:tcW w:w="4080" w:type="dxa"/>
            <w:vAlign w:val="bottom"/>
          </w:tcPr>
          <w:p>
            <w:pPr>
              <w:spacing w:after="0"/>
              <w:rPr>
                <w:sz w:val="24"/>
                <w:szCs w:val="24"/>
                <w:color w:val="auto"/>
              </w:rPr>
            </w:pPr>
          </w:p>
        </w:tc>
      </w:tr>
      <w:tr>
        <w:trPr>
          <w:trHeight w:val="117"/>
        </w:trPr>
        <w:tc>
          <w:tcPr>
            <w:tcW w:w="34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w w:val="99"/>
              </w:rPr>
              <w:t xml:space="preserve">31. Subsidiary Undertakings </w:t>
            </w:r>
            <w:r>
              <w:rPr>
                <w:rFonts w:ascii="Arial" w:cs="Arial" w:eastAsia="Arial" w:hAnsi="Arial"/>
                <w:sz w:val="18"/>
                <w:szCs w:val="18"/>
                <w:b w:val="1"/>
                <w:bCs w:val="1"/>
                <w:i w:val="1"/>
                <w:iCs w:val="1"/>
                <w:color w:val="auto"/>
                <w:w w:val="99"/>
              </w:rPr>
              <w:t>(continued)</w:t>
            </w:r>
          </w:p>
        </w:tc>
        <w:tc>
          <w:tcPr>
            <w:tcW w:w="326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42"/>
        </w:trPr>
        <w:tc>
          <w:tcPr>
            <w:tcW w:w="34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72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9"/>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32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Registered Office</w:t>
            </w:r>
          </w:p>
        </w:tc>
        <w:tc>
          <w:tcPr>
            <w:tcW w:w="472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group</w:t>
            </w: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Edificio Real Seis</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Peru SA</w:t>
            </w: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 Victor A. Belaunde 147</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Via Principal 140-Piso</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Ofs 713 y 715</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Isidro-Lima 27</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Peru</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Development</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Skelton House, 1</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Solutions Limited</w:t>
            </w: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Manchester Science Park</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Lloyd Street North</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Manchester M15 6SH</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England</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Global Inc.</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 Grand Central Tower</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140 East 45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10017 NY</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U.S.A</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BV</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Handelsweg 53</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1181 ZA Amstelveen</w:t>
            </w:r>
          </w:p>
        </w:tc>
        <w:tc>
          <w:tcPr>
            <w:tcW w:w="4720" w:type="dxa"/>
            <w:vAlign w:val="bottom"/>
            <w:shd w:val="clear" w:color="auto" w:fill="CCEEFF"/>
          </w:tcPr>
          <w:p>
            <w:pPr>
              <w:spacing w:after="0"/>
              <w:rPr>
                <w:sz w:val="18"/>
                <w:szCs w:val="18"/>
                <w:color w:val="auto"/>
              </w:rPr>
            </w:pPr>
          </w:p>
        </w:tc>
      </w:tr>
      <w:tr>
        <w:trPr>
          <w:trHeight w:val="230"/>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Netherlands</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Development</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7740 Milestone Parkway,</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Solutions, Inc.</w:t>
            </w: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Suite 150</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Hanover, MD 21076</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U.S.A</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Central</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123 Smith Street</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Laboratories, Inc.</w:t>
            </w: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Farmingdale</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 11735</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U.S.A</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Beacon Bioscience, Inc.</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4259 W. Swamp Road</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Suite 410</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Doylestown, PA 18901-1033</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U.S.A</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Healthcare Discoveries Inc</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8307 Gault Lane</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Antonio</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TX 78209</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U.S.A</w:t>
            </w:r>
          </w:p>
        </w:tc>
        <w:tc>
          <w:tcPr>
            <w:tcW w:w="472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Prevalere Life Sciences Inc</w:t>
            </w:r>
          </w:p>
        </w:tc>
        <w:tc>
          <w:tcPr>
            <w:tcW w:w="3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8282 Halsey Road</w:t>
            </w:r>
          </w:p>
        </w:tc>
        <w:tc>
          <w:tcPr>
            <w:tcW w:w="472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Whitsboro</w:t>
            </w:r>
          </w:p>
        </w:tc>
        <w:tc>
          <w:tcPr>
            <w:tcW w:w="472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NY 13492</w:t>
            </w:r>
          </w:p>
        </w:tc>
        <w:tc>
          <w:tcPr>
            <w:tcW w:w="472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U.S.A</w:t>
            </w:r>
          </w:p>
        </w:tc>
        <w:tc>
          <w:tcPr>
            <w:tcW w:w="4720" w:type="dxa"/>
            <w:vAlign w:val="bottom"/>
            <w:shd w:val="clear" w:color="auto" w:fill="CCEEFF"/>
          </w:tcPr>
          <w:p>
            <w:pPr>
              <w:spacing w:after="0"/>
              <w:rPr>
                <w:sz w:val="19"/>
                <w:szCs w:val="19"/>
                <w:color w:val="auto"/>
              </w:rPr>
            </w:pPr>
          </w:p>
        </w:tc>
      </w:tr>
      <w:tr>
        <w:trPr>
          <w:trHeight w:val="605"/>
        </w:trPr>
        <w:tc>
          <w:tcPr>
            <w:tcW w:w="3440" w:type="dxa"/>
            <w:vAlign w:val="bottom"/>
          </w:tcPr>
          <w:p>
            <w:pPr>
              <w:spacing w:after="0"/>
              <w:rPr>
                <w:sz w:val="24"/>
                <w:szCs w:val="24"/>
                <w:color w:val="auto"/>
              </w:rPr>
            </w:pPr>
          </w:p>
        </w:tc>
        <w:tc>
          <w:tcPr>
            <w:tcW w:w="3260" w:type="dxa"/>
            <w:vAlign w:val="bottom"/>
          </w:tcPr>
          <w:p>
            <w:pPr>
              <w:ind w:left="2140"/>
              <w:spacing w:after="0"/>
              <w:rPr>
                <w:sz w:val="20"/>
                <w:szCs w:val="20"/>
                <w:color w:val="auto"/>
              </w:rPr>
            </w:pPr>
            <w:r>
              <w:rPr>
                <w:rFonts w:ascii="Arial" w:cs="Arial" w:eastAsia="Arial" w:hAnsi="Arial"/>
                <w:sz w:val="18"/>
                <w:szCs w:val="18"/>
                <w:color w:val="auto"/>
              </w:rPr>
              <w:t>122</w:t>
            </w:r>
          </w:p>
        </w:tc>
        <w:tc>
          <w:tcPr>
            <w:tcW w:w="4720" w:type="dxa"/>
            <w:vAlign w:val="bottom"/>
          </w:tcPr>
          <w:p>
            <w:pPr>
              <w:spacing w:after="0"/>
              <w:rPr>
                <w:sz w:val="24"/>
                <w:szCs w:val="24"/>
                <w:color w:val="auto"/>
              </w:rPr>
            </w:pPr>
          </w:p>
        </w:tc>
      </w:tr>
      <w:tr>
        <w:trPr>
          <w:trHeight w:val="117"/>
        </w:trPr>
        <w:tc>
          <w:tcPr>
            <w:tcW w:w="344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b w:val="1"/>
                <w:bCs w:val="1"/>
                <w:i w:val="1"/>
                <w:iCs w:val="1"/>
                <w:color w:val="auto"/>
              </w:rPr>
              <w:t>(continued)</w:t>
            </w:r>
          </w:p>
        </w:tc>
        <w:tc>
          <w:tcPr>
            <w:tcW w:w="36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42"/>
        </w:trPr>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1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9"/>
        </w:trPr>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36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Registered Office</w:t>
            </w:r>
          </w:p>
        </w:tc>
        <w:tc>
          <w:tcPr>
            <w:tcW w:w="410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group</w:t>
            </w: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Medical Imaging AG</w:t>
            </w:r>
          </w:p>
        </w:tc>
        <w:tc>
          <w:tcPr>
            <w:tcW w:w="3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Zeltweg 46</w:t>
            </w:r>
          </w:p>
        </w:tc>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8032 Zurich</w:t>
            </w:r>
          </w:p>
        </w:tc>
        <w:tc>
          <w:tcPr>
            <w:tcW w:w="4100" w:type="dxa"/>
            <w:vAlign w:val="bottom"/>
            <w:shd w:val="clear" w:color="auto" w:fill="CCEEFF"/>
          </w:tcPr>
          <w:p>
            <w:pPr>
              <w:spacing w:after="0"/>
              <w:rPr>
                <w:sz w:val="18"/>
                <w:szCs w:val="18"/>
                <w:color w:val="auto"/>
              </w:rPr>
            </w:pPr>
          </w:p>
        </w:tc>
      </w:tr>
      <w:tr>
        <w:trPr>
          <w:trHeight w:val="230"/>
        </w:trPr>
        <w:tc>
          <w:tcPr>
            <w:tcW w:w="3660" w:type="dxa"/>
            <w:vAlign w:val="bottom"/>
            <w:shd w:val="clear" w:color="auto" w:fill="CCEEFF"/>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Switzerland</w:t>
            </w:r>
          </w:p>
        </w:tc>
        <w:tc>
          <w:tcPr>
            <w:tcW w:w="4100" w:type="dxa"/>
            <w:vAlign w:val="bottom"/>
            <w:shd w:val="clear" w:color="auto" w:fill="CCEEFF"/>
          </w:tcPr>
          <w:p>
            <w:pPr>
              <w:spacing w:after="0"/>
              <w:rPr>
                <w:sz w:val="19"/>
                <w:szCs w:val="19"/>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r>
      <w:tr>
        <w:trPr>
          <w:trHeight w:val="215"/>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 (Beijing) Co. Limited</w:t>
            </w:r>
          </w:p>
        </w:tc>
        <w:tc>
          <w:tcPr>
            <w:tcW w:w="3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Suite 1008, North Building,</w:t>
            </w:r>
          </w:p>
        </w:tc>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Junefield Plaza,</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6 Xuabwumenwai Ave,</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Beijing,</w:t>
            </w:r>
          </w:p>
        </w:tc>
        <w:tc>
          <w:tcPr>
            <w:tcW w:w="4100" w:type="dxa"/>
            <w:vAlign w:val="bottom"/>
            <w:shd w:val="clear" w:color="auto" w:fill="CCEEFF"/>
          </w:tcPr>
          <w:p>
            <w:pPr>
              <w:spacing w:after="0"/>
              <w:rPr>
                <w:sz w:val="18"/>
                <w:szCs w:val="18"/>
                <w:color w:val="auto"/>
              </w:rPr>
            </w:pPr>
          </w:p>
        </w:tc>
      </w:tr>
      <w:tr>
        <w:trPr>
          <w:trHeight w:val="229"/>
        </w:trPr>
        <w:tc>
          <w:tcPr>
            <w:tcW w:w="3660" w:type="dxa"/>
            <w:vAlign w:val="bottom"/>
            <w:shd w:val="clear" w:color="auto" w:fill="CCEEFF"/>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 100052</w:t>
            </w:r>
          </w:p>
        </w:tc>
        <w:tc>
          <w:tcPr>
            <w:tcW w:w="4100" w:type="dxa"/>
            <w:vAlign w:val="bottom"/>
            <w:shd w:val="clear" w:color="auto" w:fill="CCEEFF"/>
          </w:tcPr>
          <w:p>
            <w:pPr>
              <w:spacing w:after="0"/>
              <w:rPr>
                <w:sz w:val="19"/>
                <w:szCs w:val="19"/>
                <w:color w:val="auto"/>
              </w:rPr>
            </w:pPr>
          </w:p>
        </w:tc>
      </w:tr>
      <w:tr>
        <w:trPr>
          <w:trHeight w:val="215"/>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ICON Clnical Research Services Philippines Inc.</w:t>
            </w:r>
          </w:p>
        </w:tc>
        <w:tc>
          <w:tcPr>
            <w:tcW w:w="3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28 Floor, Tower 2</w:t>
            </w:r>
          </w:p>
        </w:tc>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Enterprise Center</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6766 Ayala Ave</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Corner Paseo de Roxas</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Makati City 1226</w:t>
            </w:r>
          </w:p>
        </w:tc>
        <w:tc>
          <w:tcPr>
            <w:tcW w:w="4100" w:type="dxa"/>
            <w:vAlign w:val="bottom"/>
            <w:shd w:val="clear" w:color="auto" w:fill="CCEEFF"/>
          </w:tcPr>
          <w:p>
            <w:pPr>
              <w:spacing w:after="0"/>
              <w:rPr>
                <w:sz w:val="18"/>
                <w:szCs w:val="18"/>
                <w:color w:val="auto"/>
              </w:rPr>
            </w:pPr>
          </w:p>
        </w:tc>
      </w:tr>
      <w:tr>
        <w:trPr>
          <w:trHeight w:val="229"/>
        </w:trPr>
        <w:tc>
          <w:tcPr>
            <w:tcW w:w="3660" w:type="dxa"/>
            <w:vAlign w:val="bottom"/>
            <w:shd w:val="clear" w:color="auto" w:fill="CCEEFF"/>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Philippines</w:t>
            </w:r>
          </w:p>
        </w:tc>
        <w:tc>
          <w:tcPr>
            <w:tcW w:w="4100" w:type="dxa"/>
            <w:vAlign w:val="bottom"/>
            <w:shd w:val="clear" w:color="auto" w:fill="CCEEFF"/>
          </w:tcPr>
          <w:p>
            <w:pPr>
              <w:spacing w:after="0"/>
              <w:rPr>
                <w:sz w:val="19"/>
                <w:szCs w:val="19"/>
                <w:color w:val="auto"/>
              </w:rPr>
            </w:pPr>
          </w:p>
        </w:tc>
      </w:tr>
      <w:tr>
        <w:trPr>
          <w:trHeight w:val="215"/>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Oxford Outcomes Limited</w:t>
            </w:r>
          </w:p>
        </w:tc>
        <w:tc>
          <w:tcPr>
            <w:tcW w:w="3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Seacourt Tower</w:t>
            </w:r>
          </w:p>
        </w:tc>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West Way</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Oxford</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OX2 OJJ</w:t>
            </w:r>
          </w:p>
        </w:tc>
        <w:tc>
          <w:tcPr>
            <w:tcW w:w="4100" w:type="dxa"/>
            <w:vAlign w:val="bottom"/>
            <w:shd w:val="clear" w:color="auto" w:fill="CCEEFF"/>
          </w:tcPr>
          <w:p>
            <w:pPr>
              <w:spacing w:after="0"/>
              <w:rPr>
                <w:sz w:val="18"/>
                <w:szCs w:val="18"/>
                <w:color w:val="auto"/>
              </w:rPr>
            </w:pPr>
          </w:p>
        </w:tc>
      </w:tr>
      <w:tr>
        <w:trPr>
          <w:trHeight w:val="229"/>
        </w:trPr>
        <w:tc>
          <w:tcPr>
            <w:tcW w:w="3660" w:type="dxa"/>
            <w:vAlign w:val="bottom"/>
            <w:shd w:val="clear" w:color="auto" w:fill="CCEEFF"/>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UK</w:t>
            </w:r>
          </w:p>
        </w:tc>
        <w:tc>
          <w:tcPr>
            <w:tcW w:w="4100" w:type="dxa"/>
            <w:vAlign w:val="bottom"/>
            <w:shd w:val="clear" w:color="auto" w:fill="CCEEFF"/>
          </w:tcPr>
          <w:p>
            <w:pPr>
              <w:spacing w:after="0"/>
              <w:rPr>
                <w:sz w:val="19"/>
                <w:szCs w:val="19"/>
                <w:color w:val="auto"/>
              </w:rPr>
            </w:pPr>
          </w:p>
        </w:tc>
      </w:tr>
      <w:tr>
        <w:trPr>
          <w:trHeight w:val="215"/>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Oxford Outcomes Inc.</w:t>
            </w:r>
          </w:p>
        </w:tc>
        <w:tc>
          <w:tcPr>
            <w:tcW w:w="3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7315 Wisconsin Avenue, Suite 250, Bethesda,</w:t>
            </w:r>
          </w:p>
        </w:tc>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MD 20814</w:t>
            </w:r>
          </w:p>
        </w:tc>
        <w:tc>
          <w:tcPr>
            <w:tcW w:w="4100" w:type="dxa"/>
            <w:vAlign w:val="bottom"/>
            <w:shd w:val="clear" w:color="auto" w:fill="CCEEFF"/>
          </w:tcPr>
          <w:p>
            <w:pPr>
              <w:spacing w:after="0"/>
              <w:rPr>
                <w:sz w:val="18"/>
                <w:szCs w:val="18"/>
                <w:color w:val="auto"/>
              </w:rPr>
            </w:pPr>
          </w:p>
        </w:tc>
      </w:tr>
      <w:tr>
        <w:trPr>
          <w:trHeight w:val="229"/>
        </w:trPr>
        <w:tc>
          <w:tcPr>
            <w:tcW w:w="3660" w:type="dxa"/>
            <w:vAlign w:val="bottom"/>
            <w:shd w:val="clear" w:color="auto" w:fill="CCEEFF"/>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U.S.A</w:t>
            </w:r>
          </w:p>
        </w:tc>
        <w:tc>
          <w:tcPr>
            <w:tcW w:w="4100" w:type="dxa"/>
            <w:vAlign w:val="bottom"/>
            <w:shd w:val="clear" w:color="auto" w:fill="CCEEFF"/>
          </w:tcPr>
          <w:p>
            <w:pPr>
              <w:spacing w:after="0"/>
              <w:rPr>
                <w:sz w:val="19"/>
                <w:szCs w:val="19"/>
                <w:color w:val="auto"/>
              </w:rPr>
            </w:pPr>
          </w:p>
        </w:tc>
      </w:tr>
      <w:tr>
        <w:trPr>
          <w:trHeight w:val="215"/>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Oxford Outcomes (Canada) Ltd</w:t>
            </w:r>
          </w:p>
        </w:tc>
        <w:tc>
          <w:tcPr>
            <w:tcW w:w="3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Suite 450, 688 W. Hastings Street, Vancouver,</w:t>
            </w:r>
          </w:p>
        </w:tc>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British Columbia,</w:t>
            </w:r>
          </w:p>
        </w:tc>
        <w:tc>
          <w:tcPr>
            <w:tcW w:w="4100" w:type="dxa"/>
            <w:vAlign w:val="bottom"/>
            <w:shd w:val="clear" w:color="auto" w:fill="CCEEFF"/>
          </w:tcPr>
          <w:p>
            <w:pPr>
              <w:spacing w:after="0"/>
              <w:rPr>
                <w:sz w:val="18"/>
                <w:szCs w:val="18"/>
                <w:color w:val="auto"/>
              </w:rPr>
            </w:pPr>
          </w:p>
        </w:tc>
      </w:tr>
      <w:tr>
        <w:trPr>
          <w:trHeight w:val="229"/>
        </w:trPr>
        <w:tc>
          <w:tcPr>
            <w:tcW w:w="3660" w:type="dxa"/>
            <w:vAlign w:val="bottom"/>
            <w:shd w:val="clear" w:color="auto" w:fill="CCEEFF"/>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4100" w:type="dxa"/>
            <w:vAlign w:val="bottom"/>
            <w:shd w:val="clear" w:color="auto" w:fill="CCEEFF"/>
          </w:tcPr>
          <w:p>
            <w:pPr>
              <w:spacing w:after="0"/>
              <w:rPr>
                <w:sz w:val="19"/>
                <w:szCs w:val="19"/>
                <w:color w:val="auto"/>
              </w:rPr>
            </w:pPr>
          </w:p>
        </w:tc>
      </w:tr>
      <w:tr>
        <w:trPr>
          <w:trHeight w:val="215"/>
        </w:trPr>
        <w:tc>
          <w:tcPr>
            <w:tcW w:w="3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1"/>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Firecrest Clinical Limited</w:t>
            </w:r>
          </w:p>
        </w:tc>
        <w:tc>
          <w:tcPr>
            <w:tcW w:w="36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Unit 1 Mary Rosse Centre,</w:t>
            </w:r>
          </w:p>
        </w:tc>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Holland Road,</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National Technology Park,</w:t>
            </w:r>
          </w:p>
        </w:tc>
        <w:tc>
          <w:tcPr>
            <w:tcW w:w="4100" w:type="dxa"/>
            <w:vAlign w:val="bottom"/>
            <w:shd w:val="clear" w:color="auto" w:fill="CCEEFF"/>
          </w:tcPr>
          <w:p>
            <w:pPr>
              <w:spacing w:after="0"/>
              <w:rPr>
                <w:sz w:val="18"/>
                <w:szCs w:val="18"/>
                <w:color w:val="auto"/>
              </w:rPr>
            </w:pPr>
          </w:p>
        </w:tc>
      </w:tr>
      <w:tr>
        <w:trPr>
          <w:trHeight w:val="215"/>
        </w:trPr>
        <w:tc>
          <w:tcPr>
            <w:tcW w:w="3660" w:type="dxa"/>
            <w:vAlign w:val="bottom"/>
            <w:shd w:val="clear" w:color="auto" w:fill="CCEEFF"/>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Limerick,</w:t>
            </w:r>
          </w:p>
        </w:tc>
        <w:tc>
          <w:tcPr>
            <w:tcW w:w="4100" w:type="dxa"/>
            <w:vAlign w:val="bottom"/>
            <w:shd w:val="clear" w:color="auto" w:fill="CCEEFF"/>
          </w:tcPr>
          <w:p>
            <w:pPr>
              <w:spacing w:after="0"/>
              <w:rPr>
                <w:sz w:val="18"/>
                <w:szCs w:val="18"/>
                <w:color w:val="auto"/>
              </w:rPr>
            </w:pPr>
          </w:p>
        </w:tc>
      </w:tr>
      <w:tr>
        <w:trPr>
          <w:trHeight w:val="229"/>
        </w:trPr>
        <w:tc>
          <w:tcPr>
            <w:tcW w:w="3660" w:type="dxa"/>
            <w:vAlign w:val="bottom"/>
            <w:shd w:val="clear" w:color="auto" w:fill="CCEEFF"/>
          </w:tcPr>
          <w:p>
            <w:pPr>
              <w:spacing w:after="0"/>
              <w:rPr>
                <w:sz w:val="19"/>
                <w:szCs w:val="19"/>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Republic of Ireland</w:t>
            </w:r>
          </w:p>
        </w:tc>
        <w:tc>
          <w:tcPr>
            <w:tcW w:w="4100" w:type="dxa"/>
            <w:vAlign w:val="bottom"/>
            <w:shd w:val="clear" w:color="auto" w:fill="CCEEFF"/>
          </w:tcPr>
          <w:p>
            <w:pPr>
              <w:spacing w:after="0"/>
              <w:rPr>
                <w:sz w:val="19"/>
                <w:szCs w:val="19"/>
                <w:color w:val="auto"/>
              </w:rPr>
            </w:pPr>
          </w:p>
        </w:tc>
      </w:tr>
      <w:tr>
        <w:trPr>
          <w:trHeight w:val="416"/>
        </w:trPr>
        <w:tc>
          <w:tcPr>
            <w:tcW w:w="3660" w:type="dxa"/>
            <w:vAlign w:val="bottom"/>
          </w:tcPr>
          <w:p>
            <w:pPr>
              <w:spacing w:after="0"/>
              <w:rPr>
                <w:sz w:val="20"/>
                <w:szCs w:val="20"/>
                <w:color w:val="auto"/>
              </w:rPr>
            </w:pPr>
            <w:r>
              <w:rPr>
                <w:rFonts w:ascii="Arial" w:cs="Arial" w:eastAsia="Arial" w:hAnsi="Arial"/>
                <w:sz w:val="18"/>
                <w:szCs w:val="18"/>
                <w:color w:val="auto"/>
              </w:rPr>
              <w:t>ICON Clinical Research Hong Kong Limited</w:t>
            </w:r>
          </w:p>
        </w:tc>
        <w:tc>
          <w:tcPr>
            <w:tcW w:w="3660" w:type="dxa"/>
            <w:vAlign w:val="bottom"/>
          </w:tcPr>
          <w:p>
            <w:pPr>
              <w:ind w:left="120"/>
              <w:spacing w:after="0"/>
              <w:rPr>
                <w:sz w:val="20"/>
                <w:szCs w:val="20"/>
                <w:color w:val="auto"/>
              </w:rPr>
            </w:pPr>
            <w:r>
              <w:rPr>
                <w:rFonts w:ascii="Arial" w:cs="Arial" w:eastAsia="Arial" w:hAnsi="Arial"/>
                <w:sz w:val="18"/>
                <w:szCs w:val="18"/>
                <w:color w:val="auto"/>
              </w:rPr>
              <w:t>Suite 503</w:t>
            </w:r>
          </w:p>
        </w:tc>
        <w:tc>
          <w:tcPr>
            <w:tcW w:w="4100" w:type="dxa"/>
            <w:vAlign w:val="bottom"/>
          </w:tcPr>
          <w:p>
            <w:pPr>
              <w:ind w:left="220"/>
              <w:spacing w:after="0"/>
              <w:rPr>
                <w:sz w:val="20"/>
                <w:szCs w:val="20"/>
                <w:color w:val="auto"/>
              </w:rPr>
            </w:pPr>
            <w:r>
              <w:rPr>
                <w:rFonts w:ascii="Arial" w:cs="Arial" w:eastAsia="Arial" w:hAnsi="Arial"/>
                <w:sz w:val="18"/>
                <w:szCs w:val="18"/>
                <w:color w:val="auto"/>
              </w:rPr>
              <w:t>100%</w:t>
            </w:r>
          </w:p>
        </w:tc>
      </w:tr>
      <w:tr>
        <w:trPr>
          <w:trHeight w:val="230"/>
        </w:trPr>
        <w:tc>
          <w:tcPr>
            <w:tcW w:w="366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5/F Chinachem Exchange Square</w:t>
            </w:r>
          </w:p>
        </w:tc>
        <w:tc>
          <w:tcPr>
            <w:tcW w:w="4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7255" cy="8197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7255" cy="819785"/>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8"/>
          <w:szCs w:val="18"/>
          <w:color w:val="auto"/>
        </w:rPr>
        <w:t>1 Hoi Wan Street</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Quarry Bay</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Hong Kong</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China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w w:val="99"/>
              </w:rPr>
              <w:t xml:space="preserve">31. Subsidiary Undertakings </w:t>
            </w:r>
            <w:r>
              <w:rPr>
                <w:rFonts w:ascii="Arial" w:cs="Arial" w:eastAsia="Arial" w:hAnsi="Arial"/>
                <w:sz w:val="18"/>
                <w:szCs w:val="18"/>
                <w:b w:val="1"/>
                <w:bCs w:val="1"/>
                <w:i w:val="1"/>
                <w:iCs w:val="1"/>
                <w:color w:val="auto"/>
                <w:w w:val="99"/>
              </w:rPr>
              <w:t>(continued)</w:t>
            </w:r>
          </w:p>
        </w:tc>
        <w:tc>
          <w:tcPr>
            <w:tcW w:w="34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42"/>
        </w:trPr>
        <w:tc>
          <w:tcPr>
            <w:tcW w:w="3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58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9"/>
        </w:trPr>
        <w:tc>
          <w:tcPr>
            <w:tcW w:w="344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34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Registered Office</w:t>
            </w:r>
          </w:p>
        </w:tc>
        <w:tc>
          <w:tcPr>
            <w:tcW w:w="4580" w:type="dxa"/>
            <w:vAlign w:val="bottom"/>
          </w:tcPr>
          <w:p>
            <w:pPr>
              <w:ind w:left="700"/>
              <w:spacing w:after="0"/>
              <w:rPr>
                <w:sz w:val="20"/>
                <w:szCs w:val="20"/>
                <w:color w:val="auto"/>
              </w:rPr>
            </w:pPr>
            <w:r>
              <w:rPr>
                <w:rFonts w:ascii="Arial" w:cs="Arial" w:eastAsia="Arial" w:hAnsi="Arial"/>
                <w:sz w:val="18"/>
                <w:szCs w:val="18"/>
                <w:b w:val="1"/>
                <w:bCs w:val="1"/>
                <w:i w:val="1"/>
                <w:iCs w:val="1"/>
                <w:color w:val="auto"/>
              </w:rPr>
              <w:t>group</w:t>
            </w: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Research spzoo</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Al. Jerozolimskie 56C</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00-803</w:t>
            </w:r>
          </w:p>
        </w:tc>
        <w:tc>
          <w:tcPr>
            <w:tcW w:w="45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Warsaw</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Poland</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Insourcing BV</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Handelsweg 53</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1181 ZA Amstelveen</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Netherlands</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Germany GMBH</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An der Welle 4</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60422 Frankfurt</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Germany</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UK Limited</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Concept house 6</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Stoneycroft Rise Chandlers Ford</w:t>
            </w:r>
          </w:p>
        </w:tc>
        <w:tc>
          <w:tcPr>
            <w:tcW w:w="45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Eastleigh</w:t>
            </w:r>
          </w:p>
        </w:tc>
        <w:tc>
          <w:tcPr>
            <w:tcW w:w="45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Hampshire SO53 3LD</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UK</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Poland sp.zoo</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ul. Grojecka 5</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Warsaw</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Poland 02-019</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Nordic Countries A/S</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Tuborg Boulevard 12</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2900 Hellerup</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Denmark</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Sweden AB</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Solna Stranvag 78</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17154 Solna</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Sweden</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Finland OY</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7"/>
                <w:szCs w:val="17"/>
                <w:color w:val="auto"/>
              </w:rPr>
              <w:t>Mannerheimintie 12B 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FIN-00100 Helsinki</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Finland</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Switzerland GMBH</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Steinengraben 40</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c/0 Experfina AG</w:t>
            </w:r>
          </w:p>
        </w:tc>
        <w:tc>
          <w:tcPr>
            <w:tcW w:w="4580" w:type="dxa"/>
            <w:vAlign w:val="bottom"/>
            <w:shd w:val="clear" w:color="auto" w:fill="CCEEFF"/>
          </w:tcPr>
          <w:p>
            <w:pPr>
              <w:spacing w:after="0"/>
              <w:rPr>
                <w:sz w:val="18"/>
                <w:szCs w:val="18"/>
                <w:color w:val="auto"/>
              </w:rPr>
            </w:pP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CH-4002 Basel</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Switzerland</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Belgium NV</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Pegasuslaan 5</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1831 Diegem</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Belgium</w:t>
            </w:r>
          </w:p>
        </w:tc>
        <w:tc>
          <w:tcPr>
            <w:tcW w:w="4580" w:type="dxa"/>
            <w:vAlign w:val="bottom"/>
            <w:shd w:val="clear" w:color="auto" w:fill="CCEEFF"/>
          </w:tcPr>
          <w:p>
            <w:pPr>
              <w:spacing w:after="0"/>
              <w:rPr>
                <w:sz w:val="19"/>
                <w:szCs w:val="19"/>
                <w:color w:val="auto"/>
              </w:rPr>
            </w:pPr>
          </w:p>
        </w:tc>
      </w:tr>
      <w:tr>
        <w:trPr>
          <w:trHeight w:val="215"/>
        </w:trPr>
        <w:tc>
          <w:tcPr>
            <w:tcW w:w="3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01"/>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Italy</w:t>
            </w:r>
          </w:p>
        </w:tc>
        <w:tc>
          <w:tcPr>
            <w:tcW w:w="3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Via Washington n.70</w:t>
            </w:r>
          </w:p>
        </w:tc>
        <w:tc>
          <w:tcPr>
            <w:tcW w:w="45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440" w:type="dxa"/>
            <w:vAlign w:val="bottom"/>
            <w:shd w:val="clear" w:color="auto" w:fill="CCEEFF"/>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Milan</w:t>
            </w:r>
          </w:p>
        </w:tc>
        <w:tc>
          <w:tcPr>
            <w:tcW w:w="4580" w:type="dxa"/>
            <w:vAlign w:val="bottom"/>
            <w:shd w:val="clear" w:color="auto" w:fill="CCEEFF"/>
          </w:tcPr>
          <w:p>
            <w:pPr>
              <w:spacing w:after="0"/>
              <w:rPr>
                <w:sz w:val="18"/>
                <w:szCs w:val="18"/>
                <w:color w:val="auto"/>
              </w:rPr>
            </w:pPr>
          </w:p>
        </w:tc>
      </w:tr>
      <w:tr>
        <w:trPr>
          <w:trHeight w:val="229"/>
        </w:trPr>
        <w:tc>
          <w:tcPr>
            <w:tcW w:w="3440" w:type="dxa"/>
            <w:vAlign w:val="bottom"/>
            <w:shd w:val="clear" w:color="auto" w:fill="CCEEFF"/>
          </w:tcPr>
          <w:p>
            <w:pPr>
              <w:spacing w:after="0"/>
              <w:rPr>
                <w:sz w:val="19"/>
                <w:szCs w:val="19"/>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Italy</w:t>
            </w:r>
          </w:p>
        </w:tc>
        <w:tc>
          <w:tcPr>
            <w:tcW w:w="4580" w:type="dxa"/>
            <w:vAlign w:val="bottom"/>
            <w:shd w:val="clear" w:color="auto" w:fill="CCEEFF"/>
          </w:tcPr>
          <w:p>
            <w:pPr>
              <w:spacing w:after="0"/>
              <w:rPr>
                <w:sz w:val="19"/>
                <w:szCs w:val="19"/>
                <w:color w:val="auto"/>
              </w:rPr>
            </w:pPr>
          </w:p>
        </w:tc>
      </w:tr>
      <w:tr>
        <w:trPr>
          <w:trHeight w:val="820"/>
        </w:trPr>
        <w:tc>
          <w:tcPr>
            <w:tcW w:w="3440" w:type="dxa"/>
            <w:vAlign w:val="bottom"/>
          </w:tcPr>
          <w:p>
            <w:pPr>
              <w:spacing w:after="0"/>
              <w:rPr>
                <w:sz w:val="24"/>
                <w:szCs w:val="24"/>
                <w:color w:val="auto"/>
              </w:rPr>
            </w:pPr>
          </w:p>
        </w:tc>
        <w:tc>
          <w:tcPr>
            <w:tcW w:w="3400" w:type="dxa"/>
            <w:vAlign w:val="bottom"/>
          </w:tcPr>
          <w:p>
            <w:pPr>
              <w:ind w:left="2140"/>
              <w:spacing w:after="0"/>
              <w:rPr>
                <w:sz w:val="20"/>
                <w:szCs w:val="20"/>
                <w:color w:val="auto"/>
              </w:rPr>
            </w:pPr>
            <w:r>
              <w:rPr>
                <w:rFonts w:ascii="Arial" w:cs="Arial" w:eastAsia="Arial" w:hAnsi="Arial"/>
                <w:sz w:val="18"/>
                <w:szCs w:val="18"/>
                <w:color w:val="auto"/>
              </w:rPr>
              <w:t>124</w:t>
            </w:r>
          </w:p>
        </w:tc>
        <w:tc>
          <w:tcPr>
            <w:tcW w:w="4580" w:type="dxa"/>
            <w:vAlign w:val="bottom"/>
          </w:tcPr>
          <w:p>
            <w:pPr>
              <w:spacing w:after="0"/>
              <w:rPr>
                <w:sz w:val="24"/>
                <w:szCs w:val="24"/>
                <w:color w:val="auto"/>
              </w:rPr>
            </w:pPr>
          </w:p>
        </w:tc>
      </w:tr>
      <w:tr>
        <w:trPr>
          <w:trHeight w:val="117"/>
        </w:trPr>
        <w:tc>
          <w:tcPr>
            <w:tcW w:w="344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 xml:space="preserve">31. Subsidiary Undertakings </w:t>
            </w:r>
            <w:r>
              <w:rPr>
                <w:rFonts w:ascii="Arial" w:cs="Arial" w:eastAsia="Arial" w:hAnsi="Arial"/>
                <w:sz w:val="18"/>
                <w:szCs w:val="18"/>
                <w:b w:val="1"/>
                <w:bCs w:val="1"/>
                <w:i w:val="1"/>
                <w:iCs w:val="1"/>
                <w:color w:val="auto"/>
              </w:rPr>
              <w:t>(continued)</w:t>
            </w:r>
          </w:p>
        </w:tc>
        <w:tc>
          <w:tcPr>
            <w:tcW w:w="398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42"/>
        </w:trPr>
        <w:tc>
          <w:tcPr>
            <w:tcW w:w="35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Proportion held by</w:t>
            </w:r>
          </w:p>
        </w:tc>
      </w:tr>
      <w:tr>
        <w:trPr>
          <w:trHeight w:val="229"/>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Name</w:t>
            </w:r>
          </w:p>
        </w:tc>
        <w:tc>
          <w:tcPr>
            <w:tcW w:w="39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Registered Office</w:t>
            </w:r>
          </w:p>
        </w:tc>
        <w:tc>
          <w:tcPr>
            <w:tcW w:w="3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group</w:t>
            </w: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Investments Ltd (Jersey)</w:t>
            </w:r>
          </w:p>
        </w:tc>
        <w:tc>
          <w:tcPr>
            <w:tcW w:w="3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PO Box 76</w:t>
            </w: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Kleinwort Benson House</w:t>
            </w:r>
          </w:p>
        </w:tc>
        <w:tc>
          <w:tcPr>
            <w:tcW w:w="3900" w:type="dxa"/>
            <w:vAlign w:val="bottom"/>
            <w:shd w:val="clear" w:color="auto" w:fill="CCEEFF"/>
          </w:tcPr>
          <w:p>
            <w:pPr>
              <w:spacing w:after="0"/>
              <w:rPr>
                <w:sz w:val="18"/>
                <w:szCs w:val="18"/>
                <w:color w:val="auto"/>
              </w:rPr>
            </w:pP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Wests Centre</w:t>
            </w:r>
          </w:p>
        </w:tc>
        <w:tc>
          <w:tcPr>
            <w:tcW w:w="3900" w:type="dxa"/>
            <w:vAlign w:val="bottom"/>
            <w:shd w:val="clear" w:color="auto" w:fill="CCEEFF"/>
          </w:tcPr>
          <w:p>
            <w:pPr>
              <w:spacing w:after="0"/>
              <w:rPr>
                <w:sz w:val="18"/>
                <w:szCs w:val="18"/>
                <w:color w:val="auto"/>
              </w:rPr>
            </w:pP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 Helier</w:t>
            </w:r>
          </w:p>
        </w:tc>
        <w:tc>
          <w:tcPr>
            <w:tcW w:w="3900" w:type="dxa"/>
            <w:vAlign w:val="bottom"/>
            <w:shd w:val="clear" w:color="auto" w:fill="CCEEFF"/>
          </w:tcPr>
          <w:p>
            <w:pPr>
              <w:spacing w:after="0"/>
              <w:rPr>
                <w:sz w:val="18"/>
                <w:szCs w:val="18"/>
                <w:color w:val="auto"/>
              </w:rPr>
            </w:pP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JE4 8PQ,</w:t>
            </w:r>
          </w:p>
        </w:tc>
        <w:tc>
          <w:tcPr>
            <w:tcW w:w="3900" w:type="dxa"/>
            <w:vAlign w:val="bottom"/>
            <w:shd w:val="clear" w:color="auto" w:fill="CCEEFF"/>
          </w:tcPr>
          <w:p>
            <w:pPr>
              <w:spacing w:after="0"/>
              <w:rPr>
                <w:sz w:val="18"/>
                <w:szCs w:val="18"/>
                <w:color w:val="auto"/>
              </w:rPr>
            </w:pPr>
          </w:p>
        </w:tc>
      </w:tr>
      <w:tr>
        <w:trPr>
          <w:trHeight w:val="229"/>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Jersey</w:t>
            </w:r>
          </w:p>
        </w:tc>
        <w:tc>
          <w:tcPr>
            <w:tcW w:w="3900" w:type="dxa"/>
            <w:vAlign w:val="bottom"/>
            <w:shd w:val="clear" w:color="auto" w:fill="CCEEFF"/>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Clinical Property Development Limited</w:t>
            </w:r>
          </w:p>
        </w:tc>
        <w:tc>
          <w:tcPr>
            <w:tcW w:w="3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South County Business Park Leopardstown</w:t>
            </w: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Dublin 18</w:t>
            </w:r>
          </w:p>
        </w:tc>
        <w:tc>
          <w:tcPr>
            <w:tcW w:w="3900" w:type="dxa"/>
            <w:vAlign w:val="bottom"/>
            <w:shd w:val="clear" w:color="auto" w:fill="CCEEFF"/>
          </w:tcPr>
          <w:p>
            <w:pPr>
              <w:spacing w:after="0"/>
              <w:rPr>
                <w:sz w:val="18"/>
                <w:szCs w:val="18"/>
                <w:color w:val="auto"/>
              </w:rPr>
            </w:pPr>
          </w:p>
        </w:tc>
      </w:tr>
      <w:tr>
        <w:trPr>
          <w:trHeight w:val="229"/>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Republic of Ireland</w:t>
            </w:r>
          </w:p>
        </w:tc>
        <w:tc>
          <w:tcPr>
            <w:tcW w:w="3900" w:type="dxa"/>
            <w:vAlign w:val="bottom"/>
            <w:shd w:val="clear" w:color="auto" w:fill="CCEEFF"/>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Icon Clinical Research Property Development</w:t>
            </w:r>
          </w:p>
        </w:tc>
        <w:tc>
          <w:tcPr>
            <w:tcW w:w="3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South County Business Park Leopardstown</w:t>
            </w: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Dublin 18</w:t>
            </w:r>
          </w:p>
        </w:tc>
        <w:tc>
          <w:tcPr>
            <w:tcW w:w="3900" w:type="dxa"/>
            <w:vAlign w:val="bottom"/>
            <w:shd w:val="clear" w:color="auto" w:fill="CCEEFF"/>
          </w:tcPr>
          <w:p>
            <w:pPr>
              <w:spacing w:after="0"/>
              <w:rPr>
                <w:sz w:val="18"/>
                <w:szCs w:val="18"/>
                <w:color w:val="auto"/>
              </w:rPr>
            </w:pPr>
          </w:p>
        </w:tc>
      </w:tr>
      <w:tr>
        <w:trPr>
          <w:trHeight w:val="229"/>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Republic of Ireland</w:t>
            </w:r>
          </w:p>
        </w:tc>
        <w:tc>
          <w:tcPr>
            <w:tcW w:w="3900" w:type="dxa"/>
            <w:vAlign w:val="bottom"/>
            <w:shd w:val="clear" w:color="auto" w:fill="CCEEFF"/>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DOCS International France SAS</w:t>
            </w:r>
          </w:p>
        </w:tc>
        <w:tc>
          <w:tcPr>
            <w:tcW w:w="3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20, Rue Troyon</w:t>
            </w: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Sevres</w:t>
            </w:r>
          </w:p>
        </w:tc>
        <w:tc>
          <w:tcPr>
            <w:tcW w:w="3900" w:type="dxa"/>
            <w:vAlign w:val="bottom"/>
            <w:shd w:val="clear" w:color="auto" w:fill="CCEEFF"/>
          </w:tcPr>
          <w:p>
            <w:pPr>
              <w:spacing w:after="0"/>
              <w:rPr>
                <w:sz w:val="18"/>
                <w:szCs w:val="18"/>
                <w:color w:val="auto"/>
              </w:rPr>
            </w:pPr>
          </w:p>
        </w:tc>
      </w:tr>
      <w:tr>
        <w:trPr>
          <w:trHeight w:val="229"/>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France, 92310</w:t>
            </w:r>
          </w:p>
        </w:tc>
        <w:tc>
          <w:tcPr>
            <w:tcW w:w="3900" w:type="dxa"/>
            <w:vAlign w:val="bottom"/>
            <w:shd w:val="clear" w:color="auto" w:fill="CCEEFF"/>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ICON Luxembourg</w:t>
            </w:r>
          </w:p>
        </w:tc>
        <w:tc>
          <w:tcPr>
            <w:tcW w:w="3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2, Millewee</w:t>
            </w: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L-7257 Walferdange</w:t>
            </w:r>
          </w:p>
        </w:tc>
        <w:tc>
          <w:tcPr>
            <w:tcW w:w="3900" w:type="dxa"/>
            <w:vAlign w:val="bottom"/>
            <w:shd w:val="clear" w:color="auto" w:fill="CCEEFF"/>
          </w:tcPr>
          <w:p>
            <w:pPr>
              <w:spacing w:after="0"/>
              <w:rPr>
                <w:sz w:val="18"/>
                <w:szCs w:val="18"/>
                <w:color w:val="auto"/>
              </w:rPr>
            </w:pPr>
          </w:p>
        </w:tc>
      </w:tr>
      <w:tr>
        <w:trPr>
          <w:trHeight w:val="229"/>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Luxembourg</w:t>
            </w:r>
          </w:p>
        </w:tc>
        <w:tc>
          <w:tcPr>
            <w:tcW w:w="3900" w:type="dxa"/>
            <w:vAlign w:val="bottom"/>
            <w:shd w:val="clear" w:color="auto" w:fill="CCEEFF"/>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PriceSpective LLC</w:t>
            </w:r>
          </w:p>
        </w:tc>
        <w:tc>
          <w:tcPr>
            <w:tcW w:w="3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Pricespective LLC</w:t>
            </w: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460 Norristown Rd, Suite 350</w:t>
            </w:r>
          </w:p>
        </w:tc>
        <w:tc>
          <w:tcPr>
            <w:tcW w:w="3900" w:type="dxa"/>
            <w:vAlign w:val="bottom"/>
            <w:shd w:val="clear" w:color="auto" w:fill="CCEEFF"/>
          </w:tcPr>
          <w:p>
            <w:pPr>
              <w:spacing w:after="0"/>
              <w:rPr>
                <w:sz w:val="18"/>
                <w:szCs w:val="18"/>
                <w:color w:val="auto"/>
              </w:rPr>
            </w:pP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Blue Bell, PA 19422</w:t>
            </w:r>
          </w:p>
        </w:tc>
        <w:tc>
          <w:tcPr>
            <w:tcW w:w="3900" w:type="dxa"/>
            <w:vAlign w:val="bottom"/>
            <w:shd w:val="clear" w:color="auto" w:fill="CCEEFF"/>
          </w:tcPr>
          <w:p>
            <w:pPr>
              <w:spacing w:after="0"/>
              <w:rPr>
                <w:sz w:val="18"/>
                <w:szCs w:val="18"/>
                <w:color w:val="auto"/>
              </w:rPr>
            </w:pPr>
          </w:p>
        </w:tc>
      </w:tr>
      <w:tr>
        <w:trPr>
          <w:trHeight w:val="229"/>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U.S.A</w:t>
            </w:r>
          </w:p>
        </w:tc>
        <w:tc>
          <w:tcPr>
            <w:tcW w:w="3900" w:type="dxa"/>
            <w:vAlign w:val="bottom"/>
            <w:shd w:val="clear" w:color="auto" w:fill="CCEEFF"/>
          </w:tcPr>
          <w:p>
            <w:pPr>
              <w:spacing w:after="0"/>
              <w:rPr>
                <w:sz w:val="19"/>
                <w:szCs w:val="19"/>
                <w:color w:val="auto"/>
              </w:rPr>
            </w:pPr>
          </w:p>
        </w:tc>
      </w:tr>
      <w:tr>
        <w:trPr>
          <w:trHeight w:val="215"/>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201"/>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PriceSpective Limited</w:t>
            </w:r>
          </w:p>
        </w:tc>
        <w:tc>
          <w:tcPr>
            <w:tcW w:w="39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Pricespective Limited</w:t>
            </w:r>
          </w:p>
        </w:tc>
        <w:tc>
          <w:tcPr>
            <w:tcW w:w="3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w:t>
            </w: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22 Tudor Street</w:t>
            </w:r>
          </w:p>
        </w:tc>
        <w:tc>
          <w:tcPr>
            <w:tcW w:w="3900" w:type="dxa"/>
            <w:vAlign w:val="bottom"/>
            <w:shd w:val="clear" w:color="auto" w:fill="CCEEFF"/>
          </w:tcPr>
          <w:p>
            <w:pPr>
              <w:spacing w:after="0"/>
              <w:rPr>
                <w:sz w:val="18"/>
                <w:szCs w:val="18"/>
                <w:color w:val="auto"/>
              </w:rPr>
            </w:pP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London</w:t>
            </w:r>
          </w:p>
        </w:tc>
        <w:tc>
          <w:tcPr>
            <w:tcW w:w="3900" w:type="dxa"/>
            <w:vAlign w:val="bottom"/>
            <w:shd w:val="clear" w:color="auto" w:fill="CCEEFF"/>
          </w:tcPr>
          <w:p>
            <w:pPr>
              <w:spacing w:after="0"/>
              <w:rPr>
                <w:sz w:val="18"/>
                <w:szCs w:val="18"/>
                <w:color w:val="auto"/>
              </w:rPr>
            </w:pP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EC4Y 0AY</w:t>
            </w:r>
          </w:p>
        </w:tc>
        <w:tc>
          <w:tcPr>
            <w:tcW w:w="3900" w:type="dxa"/>
            <w:vAlign w:val="bottom"/>
            <w:shd w:val="clear" w:color="auto" w:fill="CCEEFF"/>
          </w:tcPr>
          <w:p>
            <w:pPr>
              <w:spacing w:after="0"/>
              <w:rPr>
                <w:sz w:val="18"/>
                <w:szCs w:val="18"/>
                <w:color w:val="auto"/>
              </w:rPr>
            </w:pPr>
          </w:p>
        </w:tc>
      </w:tr>
      <w:tr>
        <w:trPr>
          <w:trHeight w:val="230"/>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UK</w:t>
            </w:r>
          </w:p>
        </w:tc>
        <w:tc>
          <w:tcPr>
            <w:tcW w:w="3900" w:type="dxa"/>
            <w:vAlign w:val="bottom"/>
            <w:shd w:val="clear" w:color="auto" w:fill="CCEEFF"/>
          </w:tcPr>
          <w:p>
            <w:pPr>
              <w:spacing w:after="0"/>
              <w:rPr>
                <w:sz w:val="19"/>
                <w:szCs w:val="19"/>
                <w:color w:val="auto"/>
              </w:rPr>
            </w:pPr>
          </w:p>
        </w:tc>
      </w:tr>
      <w:tr>
        <w:trPr>
          <w:trHeight w:val="215"/>
        </w:trPr>
        <w:tc>
          <w:tcPr>
            <w:tcW w:w="354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r>
      <w:tr>
        <w:trPr>
          <w:trHeight w:val="416"/>
        </w:trPr>
        <w:tc>
          <w:tcPr>
            <w:tcW w:w="3540" w:type="dxa"/>
            <w:vAlign w:val="bottom"/>
          </w:tcPr>
          <w:p>
            <w:pPr>
              <w:spacing w:after="0"/>
              <w:rPr>
                <w:sz w:val="20"/>
                <w:szCs w:val="20"/>
                <w:color w:val="auto"/>
              </w:rPr>
            </w:pPr>
            <w:r>
              <w:rPr>
                <w:rFonts w:ascii="Arial" w:cs="Arial" w:eastAsia="Arial" w:hAnsi="Arial"/>
                <w:sz w:val="18"/>
                <w:szCs w:val="18"/>
                <w:color w:val="auto"/>
              </w:rPr>
              <w:t>Beijing Wits Medical Consulting Co. Limited</w:t>
            </w:r>
          </w:p>
        </w:tc>
        <w:tc>
          <w:tcPr>
            <w:tcW w:w="3980" w:type="dxa"/>
            <w:vAlign w:val="bottom"/>
          </w:tcPr>
          <w:p>
            <w:pPr>
              <w:ind w:left="240"/>
              <w:spacing w:after="0"/>
              <w:rPr>
                <w:sz w:val="20"/>
                <w:szCs w:val="20"/>
                <w:color w:val="auto"/>
              </w:rPr>
            </w:pPr>
            <w:r>
              <w:rPr>
                <w:rFonts w:ascii="Arial" w:cs="Arial" w:eastAsia="Arial" w:hAnsi="Arial"/>
                <w:sz w:val="18"/>
                <w:szCs w:val="18"/>
                <w:color w:val="auto"/>
              </w:rPr>
              <w:t>Beijing Witts</w:t>
            </w:r>
          </w:p>
        </w:tc>
        <w:tc>
          <w:tcPr>
            <w:tcW w:w="3900" w:type="dxa"/>
            <w:vAlign w:val="bottom"/>
          </w:tcPr>
          <w:p>
            <w:pPr>
              <w:ind w:left="20"/>
              <w:spacing w:after="0"/>
              <w:rPr>
                <w:sz w:val="20"/>
                <w:szCs w:val="20"/>
                <w:color w:val="auto"/>
              </w:rPr>
            </w:pPr>
            <w:r>
              <w:rPr>
                <w:rFonts w:ascii="Arial" w:cs="Arial" w:eastAsia="Arial" w:hAnsi="Arial"/>
                <w:sz w:val="18"/>
                <w:szCs w:val="18"/>
                <w:color w:val="auto"/>
              </w:rPr>
              <w:t>100%</w:t>
            </w:r>
          </w:p>
        </w:tc>
      </w:tr>
      <w:tr>
        <w:trPr>
          <w:trHeight w:val="215"/>
        </w:trPr>
        <w:tc>
          <w:tcPr>
            <w:tcW w:w="354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Room 1502-05, Tower B,</w:t>
            </w:r>
          </w:p>
        </w:tc>
        <w:tc>
          <w:tcPr>
            <w:tcW w:w="3900" w:type="dxa"/>
            <w:vAlign w:val="bottom"/>
          </w:tcPr>
          <w:p>
            <w:pPr>
              <w:spacing w:after="0"/>
              <w:rPr>
                <w:sz w:val="18"/>
                <w:szCs w:val="18"/>
                <w:color w:val="auto"/>
              </w:rPr>
            </w:pPr>
          </w:p>
        </w:tc>
      </w:tr>
      <w:tr>
        <w:trPr>
          <w:trHeight w:val="215"/>
        </w:trPr>
        <w:tc>
          <w:tcPr>
            <w:tcW w:w="354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w w:val="92"/>
              </w:rPr>
              <w:t>Global Trade Center, No. 36 East Third Ring North</w:t>
            </w:r>
          </w:p>
        </w:tc>
        <w:tc>
          <w:tcPr>
            <w:tcW w:w="3900" w:type="dxa"/>
            <w:vAlign w:val="bottom"/>
          </w:tcPr>
          <w:p>
            <w:pPr>
              <w:spacing w:after="0"/>
              <w:rPr>
                <w:sz w:val="18"/>
                <w:szCs w:val="18"/>
                <w:color w:val="auto"/>
              </w:rPr>
            </w:pPr>
          </w:p>
        </w:tc>
      </w:tr>
      <w:tr>
        <w:trPr>
          <w:trHeight w:val="230"/>
        </w:trPr>
        <w:tc>
          <w:tcPr>
            <w:tcW w:w="354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Road</w:t>
            </w:r>
          </w:p>
        </w:tc>
        <w:tc>
          <w:tcPr>
            <w:tcW w:w="3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7255" cy="10928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7255" cy="1092835"/>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8"/>
          <w:szCs w:val="18"/>
          <w:color w:val="auto"/>
        </w:rPr>
        <w:t>Dongcheng District,</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Beijing, 100013</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China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held directly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 xml:space="preserve">Notes to Consolidated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Approval of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approved these financial statements on 30 April 2012.</w:t>
      </w:r>
    </w:p>
    <w:p>
      <w:pPr>
        <w:spacing w:after="0" w:line="200" w:lineRule="exact"/>
        <w:rPr>
          <w:sz w:val="20"/>
          <w:szCs w:val="20"/>
          <w:color w:val="auto"/>
        </w:rPr>
      </w:pPr>
    </w:p>
    <w:p>
      <w:pPr>
        <w:spacing w:after="0" w:line="20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488" w:right="1440"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Company Statement of Financial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5000" w:type="dxa"/>
            <w:vAlign w:val="bottom"/>
          </w:tcPr>
          <w:p>
            <w:pPr>
              <w:jc w:val="right"/>
              <w:ind w:right="210"/>
              <w:spacing w:after="0"/>
              <w:rPr>
                <w:sz w:val="20"/>
                <w:szCs w:val="20"/>
                <w:color w:val="auto"/>
              </w:rPr>
            </w:pPr>
            <w:r>
              <w:rPr>
                <w:rFonts w:ascii="Arial" w:cs="Arial" w:eastAsia="Arial" w:hAnsi="Arial"/>
                <w:sz w:val="18"/>
                <w:szCs w:val="18"/>
                <w:b w:val="1"/>
                <w:bCs w:val="1"/>
                <w:i w:val="1"/>
                <w:iCs w:val="1"/>
                <w:color w:val="auto"/>
              </w:rPr>
              <w:t>Note</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5000" w:type="dxa"/>
            <w:vAlign w:val="bottom"/>
          </w:tcPr>
          <w:p>
            <w:pPr>
              <w:spacing w:after="0"/>
              <w:rPr>
                <w:sz w:val="20"/>
                <w:szCs w:val="20"/>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3440" w:type="dxa"/>
            <w:vAlign w:val="bottom"/>
            <w:vMerge w:val="continue"/>
          </w:tcPr>
          <w:p>
            <w:pPr>
              <w:spacing w:after="0"/>
              <w:rPr>
                <w:sz w:val="18"/>
                <w:szCs w:val="18"/>
                <w:color w:val="auto"/>
              </w:rPr>
            </w:pPr>
          </w:p>
        </w:tc>
        <w:tc>
          <w:tcPr>
            <w:tcW w:w="5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000" w:type="dxa"/>
            <w:vAlign w:val="bottom"/>
          </w:tcPr>
          <w:p>
            <w:pPr>
              <w:jc w:val="right"/>
              <w:ind w:right="210"/>
              <w:spacing w:after="0"/>
              <w:rPr>
                <w:sz w:val="20"/>
                <w:szCs w:val="20"/>
                <w:color w:val="auto"/>
              </w:rPr>
            </w:pPr>
            <w:r>
              <w:rPr>
                <w:rFonts w:ascii="Arial" w:cs="Arial" w:eastAsia="Arial" w:hAnsi="Arial"/>
                <w:sz w:val="18"/>
                <w:szCs w:val="18"/>
                <w:i w:val="1"/>
                <w:iCs w:val="1"/>
                <w:color w:val="auto"/>
              </w:rPr>
              <w:t>1</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1,472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0" w:type="dxa"/>
            <w:vAlign w:val="bottom"/>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2</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690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5000" w:type="dxa"/>
            <w:vAlign w:val="bottom"/>
          </w:tcPr>
          <w:p>
            <w:pPr>
              <w:jc w:val="right"/>
              <w:ind w:right="210"/>
              <w:spacing w:after="0"/>
              <w:rPr>
                <w:sz w:val="20"/>
                <w:szCs w:val="20"/>
                <w:color w:val="auto"/>
              </w:rPr>
            </w:pPr>
            <w:r>
              <w:rPr>
                <w:rFonts w:ascii="Arial" w:cs="Arial" w:eastAsia="Arial" w:hAnsi="Arial"/>
                <w:sz w:val="18"/>
                <w:szCs w:val="18"/>
                <w:i w:val="1"/>
                <w:iCs w:val="1"/>
                <w:color w:val="auto"/>
              </w:rPr>
              <w:t>3</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305,164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336,136</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50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4</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666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5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307,992</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339,391</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000" w:type="dxa"/>
            <w:vAlign w:val="bottom"/>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5</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3,446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Amounts due from subsidiary undertakings</w:t>
            </w:r>
          </w:p>
        </w:tc>
        <w:tc>
          <w:tcPr>
            <w:tcW w:w="500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82,529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taxes receivable</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133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5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3,729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0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89,837</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397,829</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345,050</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Share capital</w:t>
            </w:r>
          </w:p>
        </w:tc>
        <w:tc>
          <w:tcPr>
            <w:tcW w:w="500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5,055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160,090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155,537</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Capital redemption reserve</w:t>
            </w:r>
          </w:p>
        </w:tc>
        <w:tc>
          <w:tcPr>
            <w:tcW w:w="500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44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reserve</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38,170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30,900</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Other reserves</w:t>
            </w:r>
          </w:p>
        </w:tc>
        <w:tc>
          <w:tcPr>
            <w:tcW w:w="500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6,071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Functional currency translation reserve</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(7,738)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5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186,461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124,867</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Attributable to equity holders</w:t>
            </w:r>
          </w:p>
        </w:tc>
        <w:tc>
          <w:tcPr>
            <w:tcW w:w="50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388,153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336,435</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50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388,153</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336,435</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0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438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5000" w:type="dxa"/>
            <w:vAlign w:val="bottom"/>
          </w:tcPr>
          <w:p>
            <w:pPr>
              <w:jc w:val="right"/>
              <w:ind w:right="210"/>
              <w:spacing w:after="0"/>
              <w:rPr>
                <w:sz w:val="20"/>
                <w:szCs w:val="20"/>
                <w:color w:val="auto"/>
              </w:rPr>
            </w:pPr>
            <w:r>
              <w:rPr>
                <w:rFonts w:ascii="Arial" w:cs="Arial" w:eastAsia="Arial" w:hAnsi="Arial"/>
                <w:sz w:val="18"/>
                <w:szCs w:val="18"/>
                <w:i w:val="1"/>
                <w:iCs w:val="1"/>
                <w:color w:val="auto"/>
              </w:rPr>
              <w:t>6</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9,238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taxes payable</w:t>
            </w:r>
          </w:p>
        </w:tc>
        <w:tc>
          <w:tcPr>
            <w:tcW w:w="50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5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9,676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19"/>
                <w:szCs w:val="19"/>
                <w:color w:val="auto"/>
              </w:rPr>
            </w:pPr>
          </w:p>
        </w:tc>
        <w:tc>
          <w:tcPr>
            <w:tcW w:w="50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5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9,676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8,615</w:t>
            </w:r>
          </w:p>
        </w:tc>
        <w:tc>
          <w:tcPr>
            <w:tcW w:w="0" w:type="dxa"/>
            <w:vAlign w:val="bottom"/>
          </w:tcPr>
          <w:p>
            <w:pPr>
              <w:spacing w:after="0"/>
              <w:rPr>
                <w:sz w:val="1"/>
                <w:szCs w:val="1"/>
                <w:color w:val="auto"/>
              </w:rPr>
            </w:pPr>
          </w:p>
        </w:tc>
      </w:tr>
      <w:tr>
        <w:trPr>
          <w:trHeight w:val="222"/>
        </w:trPr>
        <w:tc>
          <w:tcPr>
            <w:tcW w:w="3440" w:type="dxa"/>
            <w:vAlign w:val="bottom"/>
            <w:tcBorders>
              <w:bottom w:val="single" w:sz="8" w:color="auto"/>
            </w:tcBorders>
            <w:shd w:val="clear" w:color="auto" w:fill="CCEEFF"/>
          </w:tcPr>
          <w:p>
            <w:pPr>
              <w:spacing w:after="0"/>
              <w:rPr>
                <w:sz w:val="19"/>
                <w:szCs w:val="19"/>
                <w:color w:val="auto"/>
              </w:rPr>
            </w:pPr>
          </w:p>
        </w:tc>
        <w:tc>
          <w:tcPr>
            <w:tcW w:w="50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and liabilities</w:t>
            </w:r>
          </w:p>
        </w:tc>
        <w:tc>
          <w:tcPr>
            <w:tcW w:w="50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397,829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345,050</w:t>
            </w: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344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5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440" w:type="dxa"/>
            <w:vAlign w:val="bottom"/>
          </w:tcPr>
          <w:p>
            <w:pPr>
              <w:spacing w:after="0"/>
              <w:rPr>
                <w:sz w:val="20"/>
                <w:szCs w:val="20"/>
                <w:color w:val="auto"/>
              </w:rPr>
            </w:pPr>
            <w:r>
              <w:rPr>
                <w:rFonts w:ascii="Arial" w:cs="Arial" w:eastAsia="Arial" w:hAnsi="Arial"/>
                <w:sz w:val="18"/>
                <w:szCs w:val="18"/>
                <w:color w:val="auto"/>
              </w:rPr>
              <w:t>Dr. Bruce Given</w:t>
            </w:r>
          </w:p>
        </w:tc>
        <w:tc>
          <w:tcPr>
            <w:tcW w:w="5000" w:type="dxa"/>
            <w:vAlign w:val="bottom"/>
          </w:tcPr>
          <w:p>
            <w:pPr>
              <w:ind w:left="340"/>
              <w:spacing w:after="0"/>
              <w:rPr>
                <w:sz w:val="20"/>
                <w:szCs w:val="20"/>
                <w:color w:val="auto"/>
              </w:rPr>
            </w:pPr>
            <w:r>
              <w:rPr>
                <w:rFonts w:ascii="Arial" w:cs="Arial" w:eastAsia="Arial" w:hAnsi="Arial"/>
                <w:sz w:val="18"/>
                <w:szCs w:val="18"/>
                <w:color w:val="auto"/>
              </w:rPr>
              <w:t>Ciaran Murray</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5000" w:type="dxa"/>
            <w:vAlign w:val="bottom"/>
          </w:tcPr>
          <w:p>
            <w:pPr>
              <w:ind w:left="340"/>
              <w:spacing w:after="0"/>
              <w:rPr>
                <w:sz w:val="20"/>
                <w:szCs w:val="20"/>
                <w:color w:val="auto"/>
              </w:rPr>
            </w:pPr>
            <w:r>
              <w:rPr>
                <w:rFonts w:ascii="Arial" w:cs="Arial" w:eastAsia="Arial" w:hAnsi="Arial"/>
                <w:sz w:val="18"/>
                <w:szCs w:val="18"/>
                <w:i w:val="1"/>
                <w:iCs w:val="1"/>
                <w:color w:val="auto"/>
              </w:rPr>
              <w:t>Director</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7"/>
        </w:trPr>
        <w:tc>
          <w:tcPr>
            <w:tcW w:w="3440" w:type="dxa"/>
            <w:vAlign w:val="bottom"/>
          </w:tcPr>
          <w:p>
            <w:pPr>
              <w:spacing w:after="0"/>
              <w:rPr>
                <w:sz w:val="24"/>
                <w:szCs w:val="24"/>
                <w:color w:val="auto"/>
              </w:rPr>
            </w:pPr>
          </w:p>
        </w:tc>
        <w:tc>
          <w:tcPr>
            <w:tcW w:w="5000" w:type="dxa"/>
            <w:vAlign w:val="bottom"/>
          </w:tcPr>
          <w:p>
            <w:pPr>
              <w:jc w:val="right"/>
              <w:ind w:right="2510"/>
              <w:spacing w:after="0"/>
              <w:rPr>
                <w:sz w:val="20"/>
                <w:szCs w:val="20"/>
                <w:color w:val="auto"/>
              </w:rPr>
            </w:pPr>
            <w:r>
              <w:rPr>
                <w:rFonts w:ascii="Arial" w:cs="Arial" w:eastAsia="Arial" w:hAnsi="Arial"/>
                <w:sz w:val="18"/>
                <w:szCs w:val="18"/>
                <w:color w:val="auto"/>
              </w:rPr>
              <w:t>127</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40" w:type="dxa"/>
            <w:vAlign w:val="bottom"/>
            <w:tcBorders>
              <w:bottom w:val="single" w:sz="8" w:color="808080"/>
            </w:tcBorders>
          </w:tcPr>
          <w:p>
            <w:pPr>
              <w:spacing w:after="0"/>
              <w:rPr>
                <w:sz w:val="10"/>
                <w:szCs w:val="10"/>
                <w:color w:val="auto"/>
              </w:rPr>
            </w:pPr>
          </w:p>
        </w:tc>
        <w:tc>
          <w:tcPr>
            <w:tcW w:w="50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Company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Capital</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Based</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28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Redemption</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Payment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Currency</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Retained</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5"/>
        </w:trPr>
        <w:tc>
          <w:tcPr>
            <w:tcW w:w="28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of shares</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Capital</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Premium</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Reserve</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Reserves</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Earnings</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r>
      <w:tr>
        <w:trPr>
          <w:trHeight w:val="240"/>
        </w:trPr>
        <w:tc>
          <w:tcPr>
            <w:tcW w:w="2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$’000</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437"/>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2011</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60,247,092</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5,063</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155,537</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30,900</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6,071</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13,997</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124,867</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336,435</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b w:val="1"/>
                <w:bCs w:val="1"/>
                <w:color w:val="auto"/>
                <w:w w:val="92"/>
              </w:rPr>
              <w:t>Total comprehensive income for the</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288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68,418</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68,418</w:t>
            </w:r>
          </w:p>
        </w:tc>
      </w:tr>
      <w:tr>
        <w:trPr>
          <w:trHeight w:val="215"/>
        </w:trPr>
        <w:tc>
          <w:tcPr>
            <w:tcW w:w="288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r>
      <w:tr>
        <w:trPr>
          <w:trHeight w:val="437"/>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(21,735)</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(21,735)</w:t>
            </w:r>
          </w:p>
        </w:tc>
      </w:tr>
      <w:tr>
        <w:trPr>
          <w:trHeight w:val="4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comprehensive income for the</w:t>
            </w:r>
          </w:p>
        </w:tc>
        <w:tc>
          <w:tcPr>
            <w:tcW w:w="1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6"/>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year</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(21,735)</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68,418</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46,683</w:t>
            </w:r>
          </w:p>
        </w:tc>
      </w:tr>
      <w:tr>
        <w:trPr>
          <w:trHeight w:val="197"/>
        </w:trPr>
        <w:tc>
          <w:tcPr>
            <w:tcW w:w="2880" w:type="dxa"/>
            <w:vAlign w:val="bottom"/>
          </w:tcPr>
          <w:p>
            <w:pPr>
              <w:spacing w:after="0" w:line="197" w:lineRule="exact"/>
              <w:rPr>
                <w:sz w:val="20"/>
                <w:szCs w:val="20"/>
                <w:color w:val="auto"/>
              </w:rPr>
            </w:pPr>
            <w:r>
              <w:rPr>
                <w:rFonts w:ascii="Arial" w:cs="Arial" w:eastAsia="Arial" w:hAnsi="Arial"/>
                <w:sz w:val="18"/>
                <w:szCs w:val="18"/>
                <w:b w:val="1"/>
                <w:bCs w:val="1"/>
                <w:color w:val="auto"/>
                <w:w w:val="92"/>
              </w:rPr>
              <w:t>Transactions with owners, recorded</w:t>
            </w: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2880" w:type="dxa"/>
            <w:vAlign w:val="bottom"/>
          </w:tcPr>
          <w:p>
            <w:pPr>
              <w:spacing w:after="0"/>
              <w:rPr>
                <w:sz w:val="20"/>
                <w:szCs w:val="20"/>
                <w:color w:val="auto"/>
              </w:rPr>
            </w:pPr>
            <w:r>
              <w:rPr>
                <w:rFonts w:ascii="Arial" w:cs="Arial" w:eastAsia="Arial" w:hAnsi="Arial"/>
                <w:sz w:val="18"/>
                <w:szCs w:val="18"/>
                <w:b w:val="1"/>
                <w:bCs w:val="1"/>
                <w:color w:val="auto"/>
              </w:rPr>
              <w:t>directly in equity</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9,564</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9,564</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430,340</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4,629</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4,665</w:t>
            </w:r>
          </w:p>
        </w:tc>
      </w:tr>
      <w:tr>
        <w:trPr>
          <w:trHeight w:val="201"/>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Issue of shares arising from issue of</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 units</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3,768</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Share issue costs</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5"/>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(545,597)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1"/>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 of exercised and expired</w:t>
            </w:r>
          </w:p>
        </w:tc>
        <w:tc>
          <w:tcPr>
            <w:tcW w:w="1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share based awards</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2,294</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16"/>
        </w:trPr>
        <w:tc>
          <w:tcPr>
            <w:tcW w:w="2880" w:type="dxa"/>
            <w:vAlign w:val="bottom"/>
          </w:tcPr>
          <w:p>
            <w:pPr>
              <w:spacing w:after="0"/>
              <w:rPr>
                <w:sz w:val="20"/>
                <w:szCs w:val="20"/>
                <w:color w:val="auto"/>
              </w:rPr>
            </w:pPr>
            <w:r>
              <w:rPr>
                <w:rFonts w:ascii="Arial" w:cs="Arial" w:eastAsia="Arial" w:hAnsi="Arial"/>
                <w:sz w:val="18"/>
                <w:szCs w:val="18"/>
                <w:color w:val="auto"/>
              </w:rPr>
              <w:t>Total contributions by and</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distributions to owners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(111,489)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4,553</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7,270</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(6,824)</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5,035</w:t>
            </w:r>
          </w:p>
        </w:tc>
      </w:tr>
      <w:tr>
        <w:trPr>
          <w:trHeight w:val="437"/>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transactions with owners</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(111,489)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4,553</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7,270</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(6,824)</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5,035</w:t>
            </w:r>
          </w:p>
        </w:tc>
      </w:tr>
      <w:tr>
        <w:trPr>
          <w:trHeight w:val="43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31 December 2011</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60,135,603</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5,055</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160,090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38,170</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(7,738)</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186,461</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388,153</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jc w:val="both"/>
        <w:spacing w:after="0" w:line="259" w:lineRule="auto"/>
        <w:rPr>
          <w:sz w:val="20"/>
          <w:szCs w:val="20"/>
          <w:color w:val="auto"/>
        </w:rPr>
      </w:pPr>
      <w:r>
        <w:rPr>
          <w:rFonts w:ascii="Arial" w:cs="Arial" w:eastAsia="Arial" w:hAnsi="Arial"/>
          <w:sz w:val="18"/>
          <w:szCs w:val="18"/>
          <w:i w:val="1"/>
          <w:iCs w:val="1"/>
          <w:color w:val="auto"/>
        </w:rPr>
        <w:t>As permitted by section 148(8) of the Companies Act 1963, the Company has not presented a Company income statement. The profit for the 2011 financial year retained by the Company amounted to $68,418,000 (2010: profit $1,956,000).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Company Statement of Changes in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3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Based</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39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Payment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Currency</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Retained</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15"/>
        </w:trPr>
        <w:tc>
          <w:tcPr>
            <w:tcW w:w="39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of shares</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Capital</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Premium</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Reserves</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Reserve</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Earnings</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w:t>
            </w:r>
          </w:p>
        </w:tc>
      </w:tr>
      <w:tr>
        <w:trPr>
          <w:trHeight w:val="240"/>
        </w:trPr>
        <w:tc>
          <w:tcPr>
            <w:tcW w:w="3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$’000</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$’000</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437"/>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1 January 2010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59,007,565</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4,965</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142,518</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29,919</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6,071</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32,521</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116,509</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332,503</w:t>
            </w:r>
          </w:p>
        </w:tc>
      </w:tr>
      <w:tr>
        <w:trPr>
          <w:trHeight w:val="215"/>
        </w:trPr>
        <w:tc>
          <w:tcPr>
            <w:tcW w:w="392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1,956</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r>
      <w:tr>
        <w:trPr>
          <w:trHeight w:val="215"/>
        </w:trPr>
        <w:tc>
          <w:tcPr>
            <w:tcW w:w="39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43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(18,524)</w:t>
            </w:r>
          </w:p>
        </w:tc>
      </w:tr>
      <w:tr>
        <w:trPr>
          <w:trHeight w:val="437"/>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 for the year</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1,956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(16,568)</w:t>
            </w:r>
          </w:p>
        </w:tc>
      </w:tr>
      <w:tr>
        <w:trPr>
          <w:trHeight w:val="197"/>
        </w:trPr>
        <w:tc>
          <w:tcPr>
            <w:tcW w:w="3920" w:type="dxa"/>
            <w:vAlign w:val="bottom"/>
          </w:tcPr>
          <w:p>
            <w:pPr>
              <w:spacing w:after="0" w:line="197" w:lineRule="exact"/>
              <w:rPr>
                <w:sz w:val="20"/>
                <w:szCs w:val="20"/>
                <w:color w:val="auto"/>
              </w:rPr>
            </w:pPr>
            <w:r>
              <w:rPr>
                <w:rFonts w:ascii="Arial" w:cs="Arial" w:eastAsia="Arial" w:hAnsi="Arial"/>
                <w:sz w:val="18"/>
                <w:szCs w:val="18"/>
                <w:b w:val="1"/>
                <w:bCs w:val="1"/>
                <w:color w:val="auto"/>
                <w:w w:val="97"/>
              </w:rPr>
              <w:t>Transactions with owners, recorded directly in</w:t>
            </w: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3"/>
        </w:trPr>
        <w:tc>
          <w:tcPr>
            <w:tcW w:w="39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7,383</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7,383</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1,237,015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13,070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13,168</w:t>
            </w:r>
          </w:p>
        </w:tc>
      </w:tr>
      <w:tr>
        <w:trPr>
          <w:trHeight w:val="201"/>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Issue of shares arising from issue of restricted share</w:t>
            </w:r>
          </w:p>
        </w:tc>
        <w:tc>
          <w:tcPr>
            <w:tcW w:w="1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2,512</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Share issue costs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1"/>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Transfer of exercised and expired share based</w:t>
            </w:r>
          </w:p>
        </w:tc>
        <w:tc>
          <w:tcPr>
            <w:tcW w:w="1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6"/>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awards</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6,402</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37"/>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Total contributions by and distributions to owners</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1,239,527</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13,019</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981</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6,402</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20,500</w:t>
            </w:r>
          </w:p>
        </w:tc>
      </w:tr>
      <w:tr>
        <w:trPr>
          <w:trHeight w:val="437"/>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transactions with owners</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1,239,527</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13,019</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981</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6,402</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20,500</w:t>
            </w:r>
          </w:p>
        </w:tc>
      </w:tr>
      <w:tr>
        <w:trPr>
          <w:trHeight w:val="4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31 December 2010</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60,247,092</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5,063</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155,537</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30,900</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6,071</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13,997</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124,867</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336,435</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jc w:val="both"/>
        <w:spacing w:after="0" w:line="259" w:lineRule="auto"/>
        <w:rPr>
          <w:sz w:val="20"/>
          <w:szCs w:val="20"/>
          <w:color w:val="auto"/>
        </w:rPr>
      </w:pPr>
      <w:r>
        <w:rPr>
          <w:rFonts w:ascii="Arial" w:cs="Arial" w:eastAsia="Arial" w:hAnsi="Arial"/>
          <w:sz w:val="18"/>
          <w:szCs w:val="18"/>
          <w:i w:val="1"/>
          <w:iCs w:val="1"/>
          <w:color w:val="auto"/>
        </w:rPr>
        <w:t>As permitted by section 148(8) of the Companies Act 1963, the Company has not presented a Company income statement. The profit for the 2010 financial year retained by the Company amounted to $1,956,000 (2009: loss of $2,426,000).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Company Statement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220" w:type="dxa"/>
            <w:vAlign w:val="bottom"/>
          </w:tcPr>
          <w:p>
            <w:pPr>
              <w:jc w:val="right"/>
              <w:ind w:right="210"/>
              <w:spacing w:after="0"/>
              <w:rPr>
                <w:sz w:val="20"/>
                <w:szCs w:val="20"/>
                <w:color w:val="auto"/>
              </w:rPr>
            </w:pPr>
            <w:r>
              <w:rPr>
                <w:rFonts w:ascii="Arial" w:cs="Arial" w:eastAsia="Arial" w:hAnsi="Arial"/>
                <w:sz w:val="18"/>
                <w:szCs w:val="18"/>
                <w:b w:val="1"/>
                <w:bCs w:val="1"/>
                <w:i w:val="1"/>
                <w:iCs w:val="1"/>
                <w:color w:val="auto"/>
              </w:rPr>
              <w:t>Note</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5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year</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68,418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r>
      <w:tr>
        <w:trPr>
          <w:trHeight w:val="197"/>
        </w:trPr>
        <w:tc>
          <w:tcPr>
            <w:tcW w:w="5220" w:type="dxa"/>
            <w:vAlign w:val="bottom"/>
          </w:tcPr>
          <w:p>
            <w:pPr>
              <w:spacing w:after="0" w:line="197" w:lineRule="exact"/>
              <w:rPr>
                <w:sz w:val="20"/>
                <w:szCs w:val="20"/>
                <w:color w:val="auto"/>
              </w:rPr>
            </w:pPr>
            <w:r>
              <w:rPr>
                <w:rFonts w:ascii="Arial" w:cs="Arial" w:eastAsia="Arial" w:hAnsi="Arial"/>
                <w:sz w:val="18"/>
                <w:szCs w:val="18"/>
                <w:b w:val="1"/>
                <w:bCs w:val="1"/>
                <w:color w:val="auto"/>
                <w:w w:val="94"/>
              </w:rPr>
              <w:t>Adjustments to reconcile net income to net cash generated from</w:t>
            </w:r>
          </w:p>
        </w:tc>
        <w:tc>
          <w:tcPr>
            <w:tcW w:w="3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3"/>
        </w:trPr>
        <w:tc>
          <w:tcPr>
            <w:tcW w:w="52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3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fixed asset</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Depreciation</w:t>
            </w:r>
          </w:p>
        </w:tc>
        <w:tc>
          <w:tcPr>
            <w:tcW w:w="3220" w:type="dxa"/>
            <w:vAlign w:val="bottom"/>
          </w:tcPr>
          <w:p>
            <w:pPr>
              <w:jc w:val="right"/>
              <w:ind w:right="210"/>
              <w:spacing w:after="0"/>
              <w:rPr>
                <w:sz w:val="20"/>
                <w:szCs w:val="20"/>
                <w:color w:val="auto"/>
              </w:rPr>
            </w:pPr>
            <w:r>
              <w:rPr>
                <w:rFonts w:ascii="Arial" w:cs="Arial" w:eastAsia="Arial" w:hAnsi="Arial"/>
                <w:sz w:val="18"/>
                <w:szCs w:val="18"/>
                <w:i w:val="1"/>
                <w:iCs w:val="1"/>
                <w:color w:val="auto"/>
              </w:rPr>
              <w:t>1</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535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2</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Share based payment</w:t>
            </w:r>
          </w:p>
        </w:tc>
        <w:tc>
          <w:tcPr>
            <w:tcW w:w="322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2,145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1,247</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on intercompany loans</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i w:val="1"/>
                <w:iCs w:val="1"/>
                <w:color w:val="auto"/>
              </w:rPr>
              <w:t>3</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(2,770)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Financing expense</w:t>
            </w:r>
          </w:p>
        </w:tc>
        <w:tc>
          <w:tcPr>
            <w:tcW w:w="322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818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1,057</w:t>
            </w:r>
          </w:p>
        </w:tc>
      </w:tr>
      <w:tr>
        <w:trPr>
          <w:trHeight w:val="222"/>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838</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3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70,172</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3,071</w:t>
            </w:r>
          </w:p>
        </w:tc>
      </w:tr>
      <w:tr>
        <w:trPr>
          <w:trHeight w:val="215"/>
        </w:trPr>
        <w:tc>
          <w:tcPr>
            <w:tcW w:w="52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(Increase)/decrease in other current assets</w:t>
            </w:r>
          </w:p>
        </w:tc>
        <w:tc>
          <w:tcPr>
            <w:tcW w:w="3220" w:type="dxa"/>
            <w:vAlign w:val="bottom"/>
          </w:tcPr>
          <w:p>
            <w:pPr>
              <w:spacing w:after="0"/>
              <w:rPr>
                <w:sz w:val="18"/>
                <w:szCs w:val="18"/>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(1,168)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and accrued and other liabilities</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1,250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16,062</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Increase in income taxes payable</w:t>
            </w:r>
          </w:p>
        </w:tc>
        <w:tc>
          <w:tcPr>
            <w:tcW w:w="3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72</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22"/>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operations</w:t>
            </w:r>
          </w:p>
        </w:tc>
        <w:tc>
          <w:tcPr>
            <w:tcW w:w="3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70,326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19,760</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Interest paid</w:t>
            </w:r>
          </w:p>
        </w:tc>
        <w:tc>
          <w:tcPr>
            <w:tcW w:w="3220" w:type="dxa"/>
            <w:vAlign w:val="bottom"/>
          </w:tcPr>
          <w:p>
            <w:pPr>
              <w:spacing w:after="0"/>
              <w:rPr>
                <w:sz w:val="18"/>
                <w:szCs w:val="18"/>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(388)</w:t>
            </w:r>
          </w:p>
        </w:tc>
        <w:tc>
          <w:tcPr>
            <w:tcW w:w="134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22"/>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3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(715)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3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69,223</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18,438</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Purchase of computer software</w:t>
            </w:r>
          </w:p>
        </w:tc>
        <w:tc>
          <w:tcPr>
            <w:tcW w:w="3220" w:type="dxa"/>
            <w:vAlign w:val="bottom"/>
          </w:tcPr>
          <w:p>
            <w:pPr>
              <w:spacing w:after="0"/>
              <w:rPr>
                <w:sz w:val="18"/>
                <w:szCs w:val="18"/>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(566)</w:t>
            </w:r>
          </w:p>
        </w:tc>
        <w:tc>
          <w:tcPr>
            <w:tcW w:w="134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2"/>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3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(844)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Increase in amounts due from subsidiary undertakings</w:t>
            </w:r>
          </w:p>
        </w:tc>
        <w:tc>
          <w:tcPr>
            <w:tcW w:w="3220" w:type="dxa"/>
            <w:vAlign w:val="bottom"/>
          </w:tcPr>
          <w:p>
            <w:pPr>
              <w:spacing w:after="0"/>
              <w:rPr>
                <w:sz w:val="18"/>
                <w:szCs w:val="18"/>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(62,380)</w:t>
            </w:r>
          </w:p>
        </w:tc>
        <w:tc>
          <w:tcPr>
            <w:tcW w:w="1340" w:type="dxa"/>
            <w:vAlign w:val="bottom"/>
          </w:tcPr>
          <w:p>
            <w:pPr>
              <w:jc w:val="right"/>
              <w:spacing w:after="0"/>
              <w:rPr>
                <w:sz w:val="20"/>
                <w:szCs w:val="20"/>
                <w:color w:val="auto"/>
              </w:rPr>
            </w:pPr>
            <w:r>
              <w:rPr>
                <w:rFonts w:ascii="Arial" w:cs="Arial" w:eastAsia="Arial" w:hAnsi="Arial"/>
                <w:sz w:val="18"/>
                <w:szCs w:val="18"/>
                <w:color w:val="auto"/>
              </w:rPr>
              <w:t>(29,203)</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4,665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13,168</w:t>
            </w: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Share issuance costs</w:t>
            </w:r>
          </w:p>
        </w:tc>
        <w:tc>
          <w:tcPr>
            <w:tcW w:w="3220" w:type="dxa"/>
            <w:vAlign w:val="bottom"/>
          </w:tcPr>
          <w:p>
            <w:pPr>
              <w:spacing w:after="0"/>
              <w:rPr>
                <w:sz w:val="18"/>
                <w:szCs w:val="18"/>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(76)</w:t>
            </w: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(9,005)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repurchase costs</w:t>
            </w:r>
          </w:p>
        </w:tc>
        <w:tc>
          <w:tcPr>
            <w:tcW w:w="3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(113)</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(66,909)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1,470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1,403</w:t>
            </w: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3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2"/>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start of year</w:t>
            </w:r>
          </w:p>
        </w:tc>
        <w:tc>
          <w:tcPr>
            <w:tcW w:w="3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2,314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1,031</w:t>
            </w:r>
          </w:p>
        </w:tc>
      </w:tr>
      <w:tr>
        <w:trPr>
          <w:trHeight w:val="255"/>
        </w:trPr>
        <w:tc>
          <w:tcPr>
            <w:tcW w:w="5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2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3,729</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2,314</w:t>
            </w:r>
          </w:p>
        </w:tc>
      </w:tr>
      <w:tr>
        <w:trPr>
          <w:trHeight w:val="814"/>
        </w:trPr>
        <w:tc>
          <w:tcPr>
            <w:tcW w:w="5220" w:type="dxa"/>
            <w:vAlign w:val="bottom"/>
          </w:tcPr>
          <w:p>
            <w:pPr>
              <w:spacing w:after="0"/>
              <w:rPr>
                <w:sz w:val="24"/>
                <w:szCs w:val="24"/>
                <w:color w:val="auto"/>
              </w:rPr>
            </w:pPr>
          </w:p>
        </w:tc>
        <w:tc>
          <w:tcPr>
            <w:tcW w:w="3220" w:type="dxa"/>
            <w:vAlign w:val="bottom"/>
          </w:tcPr>
          <w:p>
            <w:pPr>
              <w:jc w:val="right"/>
              <w:ind w:right="2510"/>
              <w:spacing w:after="0"/>
              <w:rPr>
                <w:sz w:val="20"/>
                <w:szCs w:val="20"/>
                <w:color w:val="auto"/>
              </w:rPr>
            </w:pPr>
            <w:r>
              <w:rPr>
                <w:rFonts w:ascii="Arial" w:cs="Arial" w:eastAsia="Arial" w:hAnsi="Arial"/>
                <w:sz w:val="18"/>
                <w:szCs w:val="18"/>
                <w:color w:val="auto"/>
              </w:rPr>
              <w:t>130</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7"/>
        </w:trPr>
        <w:tc>
          <w:tcPr>
            <w:tcW w:w="522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Notes to Company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1. Property, plant and equipment</w:t>
            </w:r>
          </w:p>
        </w:tc>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Office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Leasehold</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Computer</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furniture &amp;</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improvements</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equipment</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fixtures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402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2011</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682</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1,339</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1,606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Additions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281</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27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movement</w:t>
            </w:r>
          </w:p>
        </w:tc>
        <w:tc>
          <w:tcPr>
            <w:tcW w:w="2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(54)</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(75)</w:t>
            </w:r>
          </w:p>
        </w:tc>
        <w:tc>
          <w:tcPr>
            <w:tcW w:w="18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(98)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630</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1,545</w:t>
            </w:r>
          </w:p>
        </w:tc>
        <w:tc>
          <w:tcPr>
            <w:tcW w:w="18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1,535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3,710</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At 1 January 2011</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235</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986</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583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140</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211</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movement</w:t>
            </w:r>
          </w:p>
        </w:tc>
        <w:tc>
          <w:tcPr>
            <w:tcW w:w="2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w:t>
            </w: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359</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1,147</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732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2,238</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line="197" w:lineRule="exact"/>
              <w:rPr>
                <w:sz w:val="20"/>
                <w:szCs w:val="20"/>
                <w:color w:val="auto"/>
              </w:rPr>
            </w:pPr>
            <w:r>
              <w:rPr>
                <w:rFonts w:ascii="Arial" w:cs="Arial" w:eastAsia="Arial" w:hAnsi="Arial"/>
                <w:sz w:val="18"/>
                <w:szCs w:val="18"/>
                <w:b w:val="1"/>
                <w:bCs w:val="1"/>
                <w:color w:val="auto"/>
              </w:rPr>
              <w:t>Net book value</w:t>
            </w:r>
          </w:p>
        </w:tc>
        <w:tc>
          <w:tcPr>
            <w:tcW w:w="2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271</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398</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803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1,472</w:t>
            </w: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2010</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447</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353</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1,023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Office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Leasehold</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Computer</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furniture &amp;</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18"/>
                <w:szCs w:val="18"/>
                <w:color w:val="auto"/>
              </w:rPr>
            </w:pP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improvements</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equipment</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fixtures</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$’000</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$’000</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$’000</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402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528</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1,204</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1,406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Additions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183</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203</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287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movement</w:t>
            </w:r>
          </w:p>
        </w:tc>
        <w:tc>
          <w:tcPr>
            <w:tcW w:w="2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(29)</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(68)</w:t>
            </w: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(75)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2010</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682</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1,339</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1,606</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3,627</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777</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Charge for the year</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251</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173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Eliminated on disposals</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movement</w:t>
            </w:r>
          </w:p>
        </w:tc>
        <w:tc>
          <w:tcPr>
            <w:tcW w:w="2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w:t>
            </w: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2010</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235</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986</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583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1,804</w:t>
            </w: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line="197" w:lineRule="exact"/>
              <w:rPr>
                <w:sz w:val="20"/>
                <w:szCs w:val="20"/>
                <w:color w:val="auto"/>
              </w:rPr>
            </w:pPr>
            <w:r>
              <w:rPr>
                <w:rFonts w:ascii="Arial" w:cs="Arial" w:eastAsia="Arial" w:hAnsi="Arial"/>
                <w:sz w:val="18"/>
                <w:szCs w:val="18"/>
                <w:b w:val="1"/>
                <w:bCs w:val="1"/>
                <w:color w:val="auto"/>
              </w:rPr>
              <w:t>Net book value</w:t>
            </w:r>
          </w:p>
        </w:tc>
        <w:tc>
          <w:tcPr>
            <w:tcW w:w="2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2010</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447</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353</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1,023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2009</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386</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427</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968</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4020" w:type="dxa"/>
            <w:vAlign w:val="bottom"/>
          </w:tcPr>
          <w:p>
            <w:pPr>
              <w:spacing w:after="0"/>
              <w:rPr>
                <w:sz w:val="24"/>
                <w:szCs w:val="24"/>
                <w:color w:val="auto"/>
              </w:rPr>
            </w:pPr>
          </w:p>
        </w:tc>
        <w:tc>
          <w:tcPr>
            <w:tcW w:w="2960" w:type="dxa"/>
            <w:vAlign w:val="bottom"/>
          </w:tcPr>
          <w:p>
            <w:pPr>
              <w:jc w:val="right"/>
              <w:ind w:right="1050"/>
              <w:spacing w:after="0"/>
              <w:rPr>
                <w:sz w:val="20"/>
                <w:szCs w:val="20"/>
                <w:color w:val="auto"/>
              </w:rPr>
            </w:pPr>
            <w:r>
              <w:rPr>
                <w:rFonts w:ascii="Arial" w:cs="Arial" w:eastAsia="Arial" w:hAnsi="Arial"/>
                <w:sz w:val="18"/>
                <w:szCs w:val="18"/>
                <w:color w:val="auto"/>
              </w:rPr>
              <w:t>131</w:t>
            </w: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Notes to Company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2. Intangible assets</w:t>
            </w:r>
          </w:p>
        </w:tc>
        <w:tc>
          <w:tcPr>
            <w:tcW w:w="7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3840" w:type="dxa"/>
            <w:vAlign w:val="bottom"/>
          </w:tcPr>
          <w:p>
            <w:pPr>
              <w:spacing w:after="0"/>
              <w:rPr>
                <w:sz w:val="24"/>
                <w:szCs w:val="24"/>
                <w:color w:val="auto"/>
              </w:rPr>
            </w:pPr>
          </w:p>
        </w:tc>
        <w:tc>
          <w:tcPr>
            <w:tcW w:w="7580" w:type="dxa"/>
            <w:vAlign w:val="bottom"/>
          </w:tcPr>
          <w:p>
            <w:pPr>
              <w:jc w:val="right"/>
              <w:ind w:right="10"/>
              <w:spacing w:after="0"/>
              <w:rPr>
                <w:sz w:val="20"/>
                <w:szCs w:val="20"/>
                <w:color w:val="auto"/>
              </w:rPr>
            </w:pPr>
            <w:r>
              <w:rPr>
                <w:rFonts w:ascii="Arial" w:cs="Arial" w:eastAsia="Arial" w:hAnsi="Arial"/>
                <w:sz w:val="18"/>
                <w:szCs w:val="18"/>
                <w:b w:val="1"/>
                <w:bCs w:val="1"/>
                <w:color w:val="auto"/>
              </w:rPr>
              <w:t>Computer</w:t>
            </w:r>
          </w:p>
        </w:tc>
        <w:tc>
          <w:tcPr>
            <w:tcW w:w="0" w:type="dxa"/>
            <w:vAlign w:val="bottom"/>
          </w:tcPr>
          <w:p>
            <w:pPr>
              <w:spacing w:after="0"/>
              <w:rPr>
                <w:sz w:val="1"/>
                <w:szCs w:val="1"/>
                <w:color w:val="auto"/>
              </w:rPr>
            </w:pPr>
          </w:p>
        </w:tc>
      </w:tr>
      <w:tr>
        <w:trPr>
          <w:trHeight w:val="215"/>
        </w:trPr>
        <w:tc>
          <w:tcPr>
            <w:tcW w:w="3840" w:type="dxa"/>
            <w:vAlign w:val="bottom"/>
          </w:tcPr>
          <w:p>
            <w:pPr>
              <w:spacing w:after="0"/>
              <w:rPr>
                <w:sz w:val="18"/>
                <w:szCs w:val="18"/>
                <w:color w:val="auto"/>
              </w:rPr>
            </w:pPr>
          </w:p>
        </w:tc>
        <w:tc>
          <w:tcPr>
            <w:tcW w:w="7580" w:type="dxa"/>
            <w:vAlign w:val="bottom"/>
          </w:tcPr>
          <w:p>
            <w:pPr>
              <w:jc w:val="right"/>
              <w:ind w:right="10"/>
              <w:spacing w:after="0"/>
              <w:rPr>
                <w:sz w:val="20"/>
                <w:szCs w:val="20"/>
                <w:color w:val="auto"/>
              </w:rPr>
            </w:pPr>
            <w:r>
              <w:rPr>
                <w:rFonts w:ascii="Arial" w:cs="Arial" w:eastAsia="Arial" w:hAnsi="Arial"/>
                <w:sz w:val="18"/>
                <w:szCs w:val="18"/>
                <w:b w:val="1"/>
                <w:bCs w:val="1"/>
                <w:color w:val="auto"/>
              </w:rPr>
              <w:t>Software</w:t>
            </w:r>
          </w:p>
        </w:tc>
        <w:tc>
          <w:tcPr>
            <w:tcW w:w="0" w:type="dxa"/>
            <w:vAlign w:val="bottom"/>
          </w:tcPr>
          <w:p>
            <w:pPr>
              <w:spacing w:after="0"/>
              <w:rPr>
                <w:sz w:val="1"/>
                <w:szCs w:val="1"/>
                <w:color w:val="auto"/>
              </w:rPr>
            </w:pPr>
          </w:p>
        </w:tc>
      </w:tr>
      <w:tr>
        <w:trPr>
          <w:trHeight w:val="234"/>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758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3840" w:type="dxa"/>
            <w:vAlign w:val="bottom"/>
            <w:vMerge w:val="continue"/>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Additions</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7"/>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2010</w:t>
            </w:r>
          </w:p>
        </w:tc>
        <w:tc>
          <w:tcPr>
            <w:tcW w:w="7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Additions</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7"/>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2011</w:t>
            </w:r>
          </w:p>
        </w:tc>
        <w:tc>
          <w:tcPr>
            <w:tcW w:w="7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1,027</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b w:val="1"/>
                <w:bCs w:val="1"/>
                <w:color w:val="auto"/>
              </w:rPr>
              <w:t>Amortisation</w:t>
            </w: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7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7"/>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2010</w:t>
            </w:r>
          </w:p>
        </w:tc>
        <w:tc>
          <w:tcPr>
            <w:tcW w:w="7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Arising during the year</w:t>
            </w:r>
          </w:p>
        </w:tc>
        <w:tc>
          <w:tcPr>
            <w:tcW w:w="75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7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0"/>
        </w:trPr>
        <w:tc>
          <w:tcPr>
            <w:tcW w:w="3840" w:type="dxa"/>
            <w:vAlign w:val="bottom"/>
          </w:tcPr>
          <w:p>
            <w:pPr>
              <w:spacing w:after="0"/>
              <w:rPr>
                <w:sz w:val="20"/>
                <w:szCs w:val="20"/>
                <w:color w:val="auto"/>
              </w:rPr>
            </w:pPr>
            <w:r>
              <w:rPr>
                <w:rFonts w:ascii="Arial" w:cs="Arial" w:eastAsia="Arial" w:hAnsi="Arial"/>
                <w:sz w:val="18"/>
                <w:szCs w:val="18"/>
                <w:b w:val="1"/>
                <w:bCs w:val="1"/>
                <w:color w:val="auto"/>
              </w:rPr>
              <w:t>At 31 December 2011</w:t>
            </w:r>
          </w:p>
        </w:tc>
        <w:tc>
          <w:tcPr>
            <w:tcW w:w="7580" w:type="dxa"/>
            <w:vAlign w:val="bottom"/>
          </w:tcPr>
          <w:p>
            <w:pPr>
              <w:jc w:val="right"/>
              <w:ind w:right="10"/>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7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690</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31 December 2010</w:t>
            </w:r>
          </w:p>
        </w:tc>
        <w:tc>
          <w:tcPr>
            <w:tcW w:w="7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814"/>
        </w:trPr>
        <w:tc>
          <w:tcPr>
            <w:tcW w:w="3840" w:type="dxa"/>
            <w:vAlign w:val="bottom"/>
          </w:tcPr>
          <w:p>
            <w:pPr>
              <w:spacing w:after="0"/>
              <w:rPr>
                <w:sz w:val="24"/>
                <w:szCs w:val="24"/>
                <w:color w:val="auto"/>
              </w:rPr>
            </w:pPr>
          </w:p>
        </w:tc>
        <w:tc>
          <w:tcPr>
            <w:tcW w:w="7580" w:type="dxa"/>
            <w:vAlign w:val="bottom"/>
          </w:tcPr>
          <w:p>
            <w:pPr>
              <w:jc w:val="right"/>
              <w:ind w:right="549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17"/>
        </w:trPr>
        <w:tc>
          <w:tcPr>
            <w:tcW w:w="3840" w:type="dxa"/>
            <w:vAlign w:val="bottom"/>
            <w:tcBorders>
              <w:bottom w:val="single" w:sz="8" w:color="808080"/>
            </w:tcBorders>
          </w:tcPr>
          <w:p>
            <w:pPr>
              <w:spacing w:after="0"/>
              <w:rPr>
                <w:sz w:val="10"/>
                <w:szCs w:val="10"/>
                <w:color w:val="auto"/>
              </w:rPr>
            </w:pPr>
          </w:p>
        </w:tc>
        <w:tc>
          <w:tcPr>
            <w:tcW w:w="7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subsidiaries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Long Term</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3360" w:type="dxa"/>
            <w:vAlign w:val="bottom"/>
          </w:tcPr>
          <w:p>
            <w:pPr>
              <w:jc w:val="right"/>
              <w:ind w:right="210"/>
              <w:spacing w:after="0"/>
              <w:rPr>
                <w:sz w:val="20"/>
                <w:szCs w:val="20"/>
                <w:color w:val="auto"/>
              </w:rPr>
            </w:pPr>
            <w:r>
              <w:rPr>
                <w:rFonts w:ascii="Arial" w:cs="Arial" w:eastAsia="Arial" w:hAnsi="Arial"/>
                <w:sz w:val="18"/>
                <w:szCs w:val="18"/>
                <w:b w:val="1"/>
                <w:bCs w:val="1"/>
                <w:color w:val="auto"/>
              </w:rPr>
              <w:t>Investment in</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Advances to</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3360" w:type="dxa"/>
            <w:vAlign w:val="bottom"/>
          </w:tcPr>
          <w:p>
            <w:pPr>
              <w:jc w:val="right"/>
              <w:ind w:right="210"/>
              <w:spacing w:after="0"/>
              <w:rPr>
                <w:sz w:val="20"/>
                <w:szCs w:val="20"/>
                <w:color w:val="auto"/>
              </w:rPr>
            </w:pPr>
            <w:r>
              <w:rPr>
                <w:rFonts w:ascii="Arial" w:cs="Arial" w:eastAsia="Arial" w:hAnsi="Arial"/>
                <w:sz w:val="18"/>
                <w:szCs w:val="18"/>
                <w:b w:val="1"/>
                <w:bCs w:val="1"/>
                <w:color w:val="auto"/>
              </w:rPr>
              <w:t>Subsidiary</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Subsidiary</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3360" w:type="dxa"/>
            <w:vAlign w:val="bottom"/>
          </w:tcPr>
          <w:p>
            <w:pPr>
              <w:jc w:val="right"/>
              <w:ind w:right="210"/>
              <w:spacing w:after="0"/>
              <w:rPr>
                <w:sz w:val="20"/>
                <w:szCs w:val="20"/>
                <w:color w:val="auto"/>
              </w:rPr>
            </w:pPr>
            <w:r>
              <w:rPr>
                <w:rFonts w:ascii="Arial" w:cs="Arial" w:eastAsia="Arial" w:hAnsi="Arial"/>
                <w:sz w:val="18"/>
                <w:szCs w:val="18"/>
                <w:b w:val="1"/>
                <w:bCs w:val="1"/>
                <w:color w:val="auto"/>
              </w:rPr>
              <w:t>Undertakings</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Undertakings</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Cost</w:t>
            </w:r>
          </w:p>
        </w:tc>
        <w:tc>
          <w:tcPr>
            <w:tcW w:w="336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508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3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275,964</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75,226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351,190</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Imputed interest on long term intercompany loans</w:t>
            </w:r>
          </w:p>
        </w:tc>
        <w:tc>
          <w:tcPr>
            <w:tcW w:w="33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2,518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(6,101)</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Share based payment</w:t>
            </w:r>
          </w:p>
        </w:tc>
        <w:tc>
          <w:tcPr>
            <w:tcW w:w="3360" w:type="dxa"/>
            <w:vAlign w:val="bottom"/>
          </w:tcPr>
          <w:p>
            <w:pPr>
              <w:jc w:val="right"/>
              <w:ind w:right="210"/>
              <w:spacing w:after="0"/>
              <w:rPr>
                <w:sz w:val="20"/>
                <w:szCs w:val="20"/>
                <w:color w:val="auto"/>
              </w:rPr>
            </w:pPr>
            <w:r>
              <w:rPr>
                <w:rFonts w:ascii="Arial" w:cs="Arial" w:eastAsia="Arial" w:hAnsi="Arial"/>
                <w:sz w:val="18"/>
                <w:szCs w:val="18"/>
                <w:color w:val="auto"/>
              </w:rPr>
              <w:t>6,136</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(15,220)</w:t>
            </w:r>
          </w:p>
        </w:tc>
        <w:tc>
          <w:tcPr>
            <w:tcW w:w="16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(2,387)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(17,607)</w:t>
            </w:r>
          </w:p>
        </w:tc>
        <w:tc>
          <w:tcPr>
            <w:tcW w:w="0" w:type="dxa"/>
            <w:vAlign w:val="bottom"/>
          </w:tcPr>
          <w:p>
            <w:pPr>
              <w:spacing w:after="0"/>
              <w:rPr>
                <w:sz w:val="1"/>
                <w:szCs w:val="1"/>
                <w:color w:val="auto"/>
              </w:rPr>
            </w:pPr>
          </w:p>
        </w:tc>
      </w:tr>
      <w:tr>
        <w:trPr>
          <w:trHeight w:val="437"/>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2010</w:t>
            </w:r>
          </w:p>
        </w:tc>
        <w:tc>
          <w:tcPr>
            <w:tcW w:w="3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260,779</w:t>
            </w: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75,357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336,136</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Imputed interest on long term intercompany loans</w:t>
            </w:r>
          </w:p>
        </w:tc>
        <w:tc>
          <w:tcPr>
            <w:tcW w:w="3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2,770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Additions</w:t>
            </w:r>
          </w:p>
        </w:tc>
        <w:tc>
          <w:tcPr>
            <w:tcW w:w="3360" w:type="dxa"/>
            <w:vAlign w:val="bottom"/>
          </w:tcPr>
          <w:p>
            <w:pPr>
              <w:jc w:val="right"/>
              <w:ind w:right="210"/>
              <w:spacing w:after="0"/>
              <w:rPr>
                <w:sz w:val="20"/>
                <w:szCs w:val="20"/>
                <w:color w:val="auto"/>
              </w:rPr>
            </w:pPr>
            <w:r>
              <w:rPr>
                <w:rFonts w:ascii="Arial" w:cs="Arial" w:eastAsia="Arial" w:hAnsi="Arial"/>
                <w:sz w:val="18"/>
                <w:szCs w:val="18"/>
                <w:color w:val="auto"/>
              </w:rPr>
              <w:t>452</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(30,885)</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(30,885)</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Impairment</w:t>
            </w:r>
          </w:p>
        </w:tc>
        <w:tc>
          <w:tcPr>
            <w:tcW w:w="3360" w:type="dxa"/>
            <w:vAlign w:val="bottom"/>
          </w:tcPr>
          <w:p>
            <w:pPr>
              <w:jc w:val="right"/>
              <w:ind w:right="150"/>
              <w:spacing w:after="0"/>
              <w:rPr>
                <w:sz w:val="20"/>
                <w:szCs w:val="20"/>
                <w:color w:val="auto"/>
              </w:rPr>
            </w:pPr>
            <w:r>
              <w:rPr>
                <w:rFonts w:ascii="Arial" w:cs="Arial" w:eastAsia="Arial" w:hAnsi="Arial"/>
                <w:sz w:val="18"/>
                <w:szCs w:val="18"/>
                <w:color w:val="auto"/>
              </w:rPr>
              <w:t>(391)</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3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7,420</w:t>
            </w: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7,420</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3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(5,356)</w:t>
            </w: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(4,982)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(10,338)</w:t>
            </w:r>
          </w:p>
        </w:tc>
        <w:tc>
          <w:tcPr>
            <w:tcW w:w="0" w:type="dxa"/>
            <w:vAlign w:val="bottom"/>
          </w:tcPr>
          <w:p>
            <w:pPr>
              <w:spacing w:after="0"/>
              <w:rPr>
                <w:sz w:val="1"/>
                <w:szCs w:val="1"/>
                <w:color w:val="auto"/>
              </w:rPr>
            </w:pPr>
          </w:p>
        </w:tc>
      </w:tr>
      <w:tr>
        <w:trPr>
          <w:trHeight w:val="470"/>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2011</w:t>
            </w:r>
          </w:p>
        </w:tc>
        <w:tc>
          <w:tcPr>
            <w:tcW w:w="3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232,019</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73,145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305,164</w:t>
            </w:r>
          </w:p>
        </w:tc>
        <w:tc>
          <w:tcPr>
            <w:tcW w:w="0" w:type="dxa"/>
            <w:vAlign w:val="bottom"/>
          </w:tcPr>
          <w:p>
            <w:pPr>
              <w:spacing w:after="0"/>
              <w:rPr>
                <w:sz w:val="1"/>
                <w:szCs w:val="1"/>
                <w:color w:val="auto"/>
              </w:rPr>
            </w:pPr>
          </w:p>
        </w:tc>
      </w:tr>
      <w:tr>
        <w:trPr>
          <w:trHeight w:val="666"/>
        </w:trPr>
        <w:tc>
          <w:tcPr>
            <w:tcW w:w="5080" w:type="dxa"/>
            <w:vAlign w:val="bottom"/>
          </w:tcPr>
          <w:p>
            <w:pPr>
              <w:spacing w:after="0"/>
              <w:rPr>
                <w:sz w:val="20"/>
                <w:szCs w:val="20"/>
                <w:color w:val="auto"/>
              </w:rPr>
            </w:pPr>
            <w:r>
              <w:rPr>
                <w:rFonts w:ascii="Arial" w:cs="Arial" w:eastAsia="Arial" w:hAnsi="Arial"/>
                <w:sz w:val="18"/>
                <w:szCs w:val="18"/>
                <w:b w:val="1"/>
                <w:bCs w:val="1"/>
                <w:color w:val="auto"/>
              </w:rPr>
              <w:t>4. Deferred taxation</w:t>
            </w:r>
          </w:p>
        </w:tc>
        <w:tc>
          <w:tcPr>
            <w:tcW w:w="3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080" w:type="dxa"/>
            <w:vAlign w:val="bottom"/>
          </w:tcPr>
          <w:p>
            <w:pPr>
              <w:spacing w:after="0"/>
              <w:rPr>
                <w:sz w:val="20"/>
                <w:szCs w:val="20"/>
                <w:color w:val="auto"/>
              </w:rPr>
            </w:pPr>
            <w:r>
              <w:rPr>
                <w:rFonts w:ascii="Arial" w:cs="Arial" w:eastAsia="Arial" w:hAnsi="Arial"/>
                <w:sz w:val="18"/>
                <w:szCs w:val="18"/>
                <w:color w:val="auto"/>
                <w:w w:val="98"/>
              </w:rPr>
              <w:t>The net deferred tax asset at 31 December 2011 was as follows:</w:t>
            </w:r>
          </w:p>
        </w:tc>
        <w:tc>
          <w:tcPr>
            <w:tcW w:w="3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3360" w:type="dxa"/>
            <w:vAlign w:val="bottom"/>
          </w:tcPr>
          <w:p>
            <w:pPr>
              <w:spacing w:after="0"/>
              <w:rPr>
                <w:sz w:val="20"/>
                <w:szCs w:val="20"/>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508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360" w:type="dxa"/>
            <w:vAlign w:val="bottom"/>
          </w:tcPr>
          <w:p>
            <w:pPr>
              <w:spacing w:after="0"/>
              <w:rPr>
                <w:sz w:val="18"/>
                <w:szCs w:val="18"/>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3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Loans to subsidiaries</w:t>
            </w:r>
          </w:p>
        </w:tc>
        <w:tc>
          <w:tcPr>
            <w:tcW w:w="3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477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assets</w:t>
            </w:r>
          </w:p>
        </w:tc>
        <w:tc>
          <w:tcPr>
            <w:tcW w:w="3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694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3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expenses and payments on account</w:t>
            </w:r>
          </w:p>
        </w:tc>
        <w:tc>
          <w:tcPr>
            <w:tcW w:w="3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taxation liabilities</w:t>
            </w:r>
          </w:p>
        </w:tc>
        <w:tc>
          <w:tcPr>
            <w:tcW w:w="3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deferred taxation asset</w:t>
            </w:r>
          </w:p>
        </w:tc>
        <w:tc>
          <w:tcPr>
            <w:tcW w:w="3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666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9"/>
        </w:trPr>
        <w:tc>
          <w:tcPr>
            <w:tcW w:w="5080" w:type="dxa"/>
            <w:vAlign w:val="bottom"/>
          </w:tcPr>
          <w:p>
            <w:pPr>
              <w:spacing w:after="0"/>
              <w:rPr>
                <w:sz w:val="24"/>
                <w:szCs w:val="24"/>
                <w:color w:val="auto"/>
              </w:rPr>
            </w:pPr>
          </w:p>
        </w:tc>
        <w:tc>
          <w:tcPr>
            <w:tcW w:w="3360" w:type="dxa"/>
            <w:vAlign w:val="bottom"/>
          </w:tcPr>
          <w:p>
            <w:pPr>
              <w:jc w:val="right"/>
              <w:ind w:right="2510"/>
              <w:spacing w:after="0"/>
              <w:rPr>
                <w:sz w:val="20"/>
                <w:szCs w:val="20"/>
                <w:color w:val="auto"/>
              </w:rPr>
            </w:pPr>
            <w:r>
              <w:rPr>
                <w:rFonts w:ascii="Arial" w:cs="Arial" w:eastAsia="Arial" w:hAnsi="Arial"/>
                <w:sz w:val="18"/>
                <w:szCs w:val="18"/>
                <w:color w:val="auto"/>
              </w:rPr>
              <w:t>133</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Deferred taxation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continued</w:t>
      </w:r>
      <w:r>
        <w:rPr>
          <w:rFonts w:ascii="Arial" w:cs="Arial" w:eastAsia="Arial" w:hAnsi="Arial"/>
          <w:sz w:val="18"/>
          <w:szCs w:val="18"/>
          <w:i w:val="1"/>
          <w:i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2011 and year ended 31 December 2010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16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1 January</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Recognised in</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Income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34"/>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526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245</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18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payments</w:t>
            </w:r>
          </w:p>
        </w:tc>
        <w:tc>
          <w:tcPr>
            <w:tcW w:w="3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Loans to subsidiaries</w:t>
            </w:r>
          </w:p>
        </w:tc>
        <w:tc>
          <w:tcPr>
            <w:tcW w:w="3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808</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(331)</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assets</w:t>
            </w:r>
          </w:p>
        </w:tc>
        <w:tc>
          <w:tcPr>
            <w:tcW w:w="3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1,086</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(392)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694</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b w:val="1"/>
                <w:bCs w:val="1"/>
                <w:color w:val="auto"/>
              </w:rPr>
              <w:t>Deferred taxation liabilities</w:t>
            </w:r>
          </w:p>
        </w:tc>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expenses and payments on account</w:t>
            </w:r>
          </w:p>
        </w:tc>
        <w:tc>
          <w:tcPr>
            <w:tcW w:w="3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3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deferred taxation asset</w:t>
            </w:r>
          </w:p>
        </w:tc>
        <w:tc>
          <w:tcPr>
            <w:tcW w:w="3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1,071</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(405)</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666</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4"/>
                <w:szCs w:val="24"/>
                <w:color w:val="auto"/>
              </w:rPr>
            </w:pP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16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1 January</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Recognised in</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31 December</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Income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4"/>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Deferred taxation assets</w:t>
            </w:r>
          </w:p>
        </w:tc>
        <w:tc>
          <w:tcPr>
            <w:tcW w:w="318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$’000</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526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18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1,126</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(318)</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assets</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1,375</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(289)</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1,086</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taxation liabilities</w:t>
            </w:r>
          </w:p>
        </w:tc>
        <w:tc>
          <w:tcPr>
            <w:tcW w:w="3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18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3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1,333</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(262)</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1,071</w:t>
            </w:r>
          </w:p>
        </w:tc>
        <w:tc>
          <w:tcPr>
            <w:tcW w:w="0" w:type="dxa"/>
            <w:vAlign w:val="bottom"/>
          </w:tcPr>
          <w:p>
            <w:pPr>
              <w:spacing w:after="0"/>
              <w:rPr>
                <w:sz w:val="1"/>
                <w:szCs w:val="1"/>
                <w:color w:val="auto"/>
              </w:rPr>
            </w:pPr>
          </w:p>
        </w:tc>
      </w:tr>
    </w:tbl>
    <w:p>
      <w:pPr>
        <w:jc w:val="both"/>
        <w:spacing w:after="0" w:line="259" w:lineRule="auto"/>
        <w:rPr>
          <w:sz w:val="20"/>
          <w:szCs w:val="20"/>
          <w:color w:val="auto"/>
        </w:rPr>
      </w:pPr>
      <w:r>
        <w:rPr>
          <w:rFonts w:ascii="Arial" w:cs="Arial" w:eastAsia="Arial" w:hAnsi="Arial"/>
          <w:sz w:val="18"/>
          <w:szCs w:val="18"/>
          <w:color w:val="auto"/>
        </w:rPr>
        <w:t>At 31 December 2011 and 31 December 2010 the Company had no operating loss carry forwards for income tax purposes and there were no deferred tax assets that have not been recognised</w:t>
      </w:r>
      <w:r>
        <w:rPr>
          <w:rFonts w:ascii="Arial" w:cs="Arial" w:eastAsia="Arial" w:hAnsi="Arial"/>
          <w:sz w:val="18"/>
          <w:szCs w:val="18"/>
          <w:b w:val="1"/>
          <w:bCs w:val="1"/>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current assets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842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1,993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2"/>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receivables</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1,453</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3,446</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8420" w:type="dxa"/>
            <w:vAlign w:val="bottom"/>
          </w:tcPr>
          <w:p>
            <w:pPr>
              <w:spacing w:after="0"/>
              <w:rPr>
                <w:sz w:val="20"/>
                <w:szCs w:val="20"/>
                <w:color w:val="auto"/>
              </w:rPr>
            </w:pPr>
            <w:r>
              <w:rPr>
                <w:rFonts w:ascii="Arial" w:cs="Arial" w:eastAsia="Arial" w:hAnsi="Arial"/>
                <w:sz w:val="18"/>
                <w:szCs w:val="18"/>
                <w:b w:val="1"/>
                <w:bCs w:val="1"/>
                <w:color w:val="auto"/>
              </w:rPr>
              <w:t>6. Accrued and other liabilities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420" w:type="dxa"/>
            <w:vAlign w:val="bottom"/>
          </w:tcPr>
          <w:p>
            <w:pPr>
              <w:spacing w:after="0"/>
              <w:rPr>
                <w:sz w:val="24"/>
                <w:szCs w:val="24"/>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842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Accruals and other liabilities</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9,238</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9,238</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451"/>
        </w:trPr>
        <w:tc>
          <w:tcPr>
            <w:tcW w:w="8420" w:type="dxa"/>
            <w:vAlign w:val="bottom"/>
          </w:tcPr>
          <w:p>
            <w:pPr>
              <w:spacing w:after="0"/>
              <w:rPr>
                <w:sz w:val="20"/>
                <w:szCs w:val="20"/>
                <w:color w:val="auto"/>
              </w:rPr>
            </w:pPr>
            <w:r>
              <w:rPr>
                <w:rFonts w:ascii="Arial" w:cs="Arial" w:eastAsia="Arial" w:hAnsi="Arial"/>
                <w:sz w:val="18"/>
                <w:szCs w:val="18"/>
                <w:b w:val="1"/>
                <w:bCs w:val="1"/>
                <w:color w:val="auto"/>
              </w:rPr>
              <w:t>7. Payroll and related benefits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8420" w:type="dxa"/>
            <w:vAlign w:val="bottom"/>
          </w:tcPr>
          <w:p>
            <w:pPr>
              <w:spacing w:after="0"/>
              <w:rPr>
                <w:sz w:val="20"/>
                <w:szCs w:val="20"/>
                <w:color w:val="auto"/>
              </w:rPr>
            </w:pPr>
            <w:r>
              <w:rPr>
                <w:rFonts w:ascii="Arial" w:cs="Arial" w:eastAsia="Arial" w:hAnsi="Arial"/>
                <w:sz w:val="18"/>
                <w:szCs w:val="18"/>
                <w:color w:val="auto"/>
                <w:w w:val="93"/>
              </w:rPr>
              <w:t>The aggregate payroll costs of employees of the Company for the year ended 31 December 2011 was as follows: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420" w:type="dxa"/>
            <w:vAlign w:val="bottom"/>
          </w:tcPr>
          <w:p>
            <w:pPr>
              <w:spacing w:after="0"/>
              <w:rPr>
                <w:sz w:val="24"/>
                <w:szCs w:val="24"/>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31 December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18"/>
                <w:szCs w:val="18"/>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842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28,819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24,797</w:t>
            </w:r>
          </w:p>
        </w:tc>
        <w:tc>
          <w:tcPr>
            <w:tcW w:w="0" w:type="dxa"/>
            <w:vAlign w:val="bottom"/>
          </w:tcPr>
          <w:p>
            <w:pPr>
              <w:spacing w:after="0"/>
              <w:rPr>
                <w:sz w:val="1"/>
                <w:szCs w:val="1"/>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Social welfare costs</w:t>
            </w:r>
          </w:p>
        </w:tc>
        <w:tc>
          <w:tcPr>
            <w:tcW w:w="1620" w:type="dxa"/>
            <w:vAlign w:val="bottom"/>
          </w:tcPr>
          <w:p>
            <w:pPr>
              <w:jc w:val="right"/>
              <w:ind w:right="210"/>
              <w:spacing w:after="0"/>
              <w:rPr>
                <w:sz w:val="20"/>
                <w:szCs w:val="20"/>
                <w:color w:val="auto"/>
              </w:rPr>
            </w:pPr>
            <w:r>
              <w:rPr>
                <w:rFonts w:ascii="Arial" w:cs="Arial" w:eastAsia="Arial" w:hAnsi="Arial"/>
                <w:sz w:val="18"/>
                <w:szCs w:val="18"/>
                <w:b w:val="1"/>
                <w:bCs w:val="1"/>
                <w:color w:val="auto"/>
              </w:rPr>
              <w:t>5,374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Pension costs for defined contribution pension schemes</w:t>
            </w:r>
          </w:p>
        </w:tc>
        <w:tc>
          <w:tcPr>
            <w:tcW w:w="16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1,179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22"/>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based payment</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2,145</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37,517</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32,928</w:t>
            </w:r>
          </w:p>
        </w:tc>
        <w:tc>
          <w:tcPr>
            <w:tcW w:w="0" w:type="dxa"/>
            <w:vAlign w:val="bottom"/>
          </w:tcPr>
          <w:p>
            <w:pPr>
              <w:spacing w:after="0"/>
              <w:rPr>
                <w:sz w:val="1"/>
                <w:szCs w:val="1"/>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Certain employees of the Company are eligible to participate in a defined contribution plan (the "plan"). Participants in the Plan may elect to defer a portion of their pre-tax earnings into a pension plan, which is run by an independent party. The Company matches each participant's contributions typically at 6% of the participant's annual compensation. The Company also makes contributions for Directors and Executive officers at rates ranging from 10% to 15% of the individual’s basic salary. Contributions to this plan are recorded as a remuneration expense in the Company Income Statement. Contributions for the year ended 31 December 2011 and the year ended 31 December 2010 were $1,179,000 and $2,045,000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Payroll and related benefits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average number of employees, including executive Directors, employed by the Company for the year ending 31 December 2011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2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20"/>
                <w:szCs w:val="20"/>
                <w:color w:val="auto"/>
              </w:rPr>
            </w:pPr>
            <w:r>
              <w:rPr>
                <w:rFonts w:ascii="Arial" w:cs="Arial" w:eastAsia="Arial" w:hAnsi="Arial"/>
                <w:sz w:val="18"/>
                <w:szCs w:val="18"/>
                <w:color w:val="auto"/>
              </w:rPr>
              <w:t>Administration</w:t>
            </w: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99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2"/>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356</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458</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451"/>
        </w:trPr>
        <w:tc>
          <w:tcPr>
            <w:tcW w:w="7920" w:type="dxa"/>
            <w:vAlign w:val="bottom"/>
          </w:tcPr>
          <w:p>
            <w:pPr>
              <w:spacing w:after="0"/>
              <w:rPr>
                <w:sz w:val="20"/>
                <w:szCs w:val="20"/>
                <w:color w:val="auto"/>
              </w:rPr>
            </w:pPr>
            <w:r>
              <w:rPr>
                <w:rFonts w:ascii="Arial" w:cs="Arial" w:eastAsia="Arial" w:hAnsi="Arial"/>
                <w:sz w:val="18"/>
                <w:szCs w:val="18"/>
                <w:b w:val="1"/>
                <w:bCs w:val="1"/>
                <w:color w:val="auto"/>
              </w:rPr>
              <w:t>8. Related parties</w:t>
            </w:r>
          </w:p>
        </w:tc>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20" w:type="dxa"/>
            <w:vAlign w:val="bottom"/>
          </w:tcPr>
          <w:p>
            <w:pPr>
              <w:spacing w:after="0"/>
              <w:rPr>
                <w:sz w:val="20"/>
                <w:szCs w:val="20"/>
                <w:color w:val="auto"/>
              </w:rPr>
            </w:pPr>
            <w:r>
              <w:rPr>
                <w:rFonts w:ascii="Arial" w:cs="Arial" w:eastAsia="Arial" w:hAnsi="Arial"/>
                <w:sz w:val="18"/>
                <w:szCs w:val="18"/>
                <w:color w:val="auto"/>
              </w:rPr>
              <w:t>The Company entered into the following transactions with subsidiary companies during the period:</w:t>
            </w:r>
          </w:p>
        </w:tc>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920" w:type="dxa"/>
            <w:vAlign w:val="bottom"/>
          </w:tcPr>
          <w:p>
            <w:pPr>
              <w:spacing w:after="0"/>
              <w:rPr>
                <w:sz w:val="24"/>
                <w:szCs w:val="24"/>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4"/>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Income Statement</w:t>
            </w: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79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Expenses recharged to subsidiary companies</w:t>
            </w:r>
          </w:p>
        </w:tc>
        <w:tc>
          <w:tcPr>
            <w:tcW w:w="2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22,454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22"/>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Imputed interest charged to subsidiary companies</w:t>
            </w:r>
          </w:p>
        </w:tc>
        <w:tc>
          <w:tcPr>
            <w:tcW w:w="2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2,770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5"/>
        </w:trPr>
        <w:tc>
          <w:tcPr>
            <w:tcW w:w="79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25,224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7920" w:type="dxa"/>
            <w:vAlign w:val="bottom"/>
          </w:tcPr>
          <w:p>
            <w:pPr>
              <w:spacing w:after="0"/>
              <w:rPr>
                <w:sz w:val="20"/>
                <w:szCs w:val="20"/>
                <w:color w:val="auto"/>
              </w:rPr>
            </w:pPr>
            <w:r>
              <w:rPr>
                <w:rFonts w:ascii="Arial" w:cs="Arial" w:eastAsia="Arial" w:hAnsi="Arial"/>
                <w:sz w:val="18"/>
                <w:szCs w:val="18"/>
                <w:b w:val="1"/>
                <w:bCs w:val="1"/>
                <w:color w:val="auto"/>
              </w:rPr>
              <w:t>Cash Flow Statement</w:t>
            </w:r>
          </w:p>
        </w:tc>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intercompany debtor</w:t>
            </w:r>
          </w:p>
        </w:tc>
        <w:tc>
          <w:tcPr>
            <w:tcW w:w="2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(62,380)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(29,203)</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(62,380)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(29,203)</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Directors and Executive Officers of the Parent Company are the same as those for the Group. For information on transactions with Directors and Executive Officers see note 29 to the Group financial statements, and for information on Directors’ remuneration see note 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commitments or contingencies at 31 December 2011 (2010: $nil).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 is exposed to various financial risks in the normal course of the business. The Company’s financial instruments typically comprise, cash, bank borrowings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5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22.</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i w:val="1"/>
                <w:iCs w:val="1"/>
                <w:color w:val="auto"/>
              </w:rPr>
              <w:t>At 31 December 2011</w:t>
            </w:r>
          </w:p>
        </w:tc>
        <w:tc>
          <w:tcPr>
            <w:tcW w:w="1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8"/>
        </w:trPr>
        <w:tc>
          <w:tcPr>
            <w:tcW w:w="2920" w:type="dxa"/>
            <w:vAlign w:val="bottom"/>
          </w:tcPr>
          <w:p>
            <w:pPr>
              <w:spacing w:after="0"/>
              <w:rPr>
                <w:sz w:val="24"/>
                <w:szCs w:val="24"/>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Carrying</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Contractual</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6 mths</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6 to12</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 to 2</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 to 5</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r>
      <w:tr>
        <w:trPr>
          <w:trHeight w:val="215"/>
        </w:trPr>
        <w:tc>
          <w:tcPr>
            <w:tcW w:w="2920" w:type="dxa"/>
            <w:vAlign w:val="bottom"/>
          </w:tcPr>
          <w:p>
            <w:pPr>
              <w:spacing w:after="0"/>
              <w:rPr>
                <w:sz w:val="18"/>
                <w:szCs w:val="18"/>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Cashflows</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or less</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mths</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years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r>
      <w:tr>
        <w:trPr>
          <w:trHeight w:val="234"/>
        </w:trPr>
        <w:tc>
          <w:tcPr>
            <w:tcW w:w="2920" w:type="dxa"/>
            <w:vAlign w:val="bottom"/>
          </w:tcPr>
          <w:p>
            <w:pPr>
              <w:spacing w:after="0"/>
              <w:rPr>
                <w:sz w:val="20"/>
                <w:szCs w:val="20"/>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(438)</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(438)</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Accruals and other liabilities</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(9,238)</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(9,238)</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(9,238)</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9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2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(9,676)</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(9,676)</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(9,676)</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51"/>
        </w:trPr>
        <w:tc>
          <w:tcPr>
            <w:tcW w:w="2920" w:type="dxa"/>
            <w:vAlign w:val="bottom"/>
          </w:tcPr>
          <w:p>
            <w:pPr>
              <w:spacing w:after="0"/>
              <w:rPr>
                <w:sz w:val="20"/>
                <w:szCs w:val="20"/>
                <w:color w:val="auto"/>
              </w:rPr>
            </w:pPr>
            <w:r>
              <w:rPr>
                <w:rFonts w:ascii="Arial" w:cs="Arial" w:eastAsia="Arial" w:hAnsi="Arial"/>
                <w:sz w:val="18"/>
                <w:szCs w:val="18"/>
                <w:i w:val="1"/>
                <w:iCs w:val="1"/>
                <w:color w:val="auto"/>
              </w:rPr>
              <w:t>At 31 December 2010</w:t>
            </w: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8"/>
        </w:trPr>
        <w:tc>
          <w:tcPr>
            <w:tcW w:w="2920" w:type="dxa"/>
            <w:vAlign w:val="bottom"/>
          </w:tcPr>
          <w:p>
            <w:pPr>
              <w:spacing w:after="0"/>
              <w:rPr>
                <w:sz w:val="24"/>
                <w:szCs w:val="24"/>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Carrying</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Contractual</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6 mths</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6 to12</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1 to 2</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 to 5</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More than</w:t>
            </w:r>
          </w:p>
        </w:tc>
      </w:tr>
      <w:tr>
        <w:trPr>
          <w:trHeight w:val="215"/>
        </w:trPr>
        <w:tc>
          <w:tcPr>
            <w:tcW w:w="2920" w:type="dxa"/>
            <w:vAlign w:val="bottom"/>
          </w:tcPr>
          <w:p>
            <w:pPr>
              <w:spacing w:after="0"/>
              <w:rPr>
                <w:sz w:val="18"/>
                <w:szCs w:val="18"/>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Cashflows</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or less</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mths</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years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 years</w:t>
            </w:r>
          </w:p>
        </w:tc>
      </w:tr>
      <w:tr>
        <w:trPr>
          <w:trHeight w:val="234"/>
        </w:trPr>
        <w:tc>
          <w:tcPr>
            <w:tcW w:w="2920" w:type="dxa"/>
            <w:vAlign w:val="bottom"/>
          </w:tcPr>
          <w:p>
            <w:pPr>
              <w:spacing w:after="0"/>
              <w:rPr>
                <w:sz w:val="20"/>
                <w:szCs w:val="20"/>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$’000</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15"/>
        </w:trPr>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(168)</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(168)</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Accruals and other liabilities</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(8,386)</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(8,386)</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(8,386)</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29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2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(8,554)</w:t>
            </w: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(8,554)</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(8,554)</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the functional currency of the Company is Euro, the Company reports its results in U.S. dollars. As a consequence, the results, when translated into U.S. dollars, could be affected by fluctuations in exchange rates against the U.S. dollar. At 31 December 2011 (2010: $nil) the Company had $ nil US dollar denominated bank loans.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Financial instruments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 At 31 December 2011, the Company did not have any borrowings drawn down.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w:t>
      </w:r>
    </w:p>
    <w:p>
      <w:pPr>
        <w:spacing w:after="0" w:line="25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223" w:lineRule="exact"/>
        <w:rPr>
          <w:sz w:val="20"/>
          <w:szCs w:val="20"/>
          <w:color w:val="auto"/>
        </w:rPr>
      </w:pPr>
    </w:p>
    <w:p>
      <w:pPr>
        <w:jc w:val="both"/>
        <w:ind w:left="1240" w:right="20" w:hanging="1236"/>
        <w:spacing w:after="0" w:line="262" w:lineRule="auto"/>
        <w:tabs>
          <w:tab w:leader="none" w:pos="12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2" w:lineRule="exact"/>
        <w:rPr>
          <w:sz w:val="20"/>
          <w:szCs w:val="20"/>
          <w:color w:val="auto"/>
        </w:rPr>
      </w:pPr>
    </w:p>
    <w:p>
      <w:pPr>
        <w:jc w:val="both"/>
        <w:ind w:left="1240" w:hanging="1236"/>
        <w:spacing w:after="0" w:line="275" w:lineRule="auto"/>
        <w:tabs>
          <w:tab w:leader="none" w:pos="12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generally unobservable and typically reflect management’s estimates of assumptions that market participants would use in pricing the asset or liability.</w:t>
      </w:r>
    </w:p>
    <w:p>
      <w:pPr>
        <w:spacing w:after="0" w:line="19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fair value of the Company’s financial assets and liabilities, together with the carrying amounts, which are shown in the Statement of Financial Position,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4320" w:type="dxa"/>
            <w:vAlign w:val="bottom"/>
          </w:tcPr>
          <w:p>
            <w:pPr>
              <w:spacing w:after="0"/>
              <w:rPr>
                <w:sz w:val="18"/>
                <w:szCs w:val="18"/>
                <w:color w:val="auto"/>
              </w:rPr>
            </w:pP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2010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15"/>
        </w:trPr>
        <w:tc>
          <w:tcPr>
            <w:tcW w:w="4320" w:type="dxa"/>
            <w:vAlign w:val="bottom"/>
          </w:tcPr>
          <w:p>
            <w:pPr>
              <w:spacing w:after="0"/>
              <w:rPr>
                <w:sz w:val="18"/>
                <w:szCs w:val="18"/>
                <w:color w:val="auto"/>
              </w:rPr>
            </w:pP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Carrying</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Carrying</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Fair</w:t>
            </w:r>
          </w:p>
        </w:tc>
      </w:tr>
      <w:tr>
        <w:trPr>
          <w:trHeight w:val="215"/>
        </w:trPr>
        <w:tc>
          <w:tcPr>
            <w:tcW w:w="4320" w:type="dxa"/>
            <w:vAlign w:val="bottom"/>
          </w:tcPr>
          <w:p>
            <w:pPr>
              <w:spacing w:after="0"/>
              <w:rPr>
                <w:sz w:val="18"/>
                <w:szCs w:val="18"/>
                <w:color w:val="auto"/>
              </w:rPr>
            </w:pP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Value</w:t>
            </w:r>
          </w:p>
        </w:tc>
      </w:tr>
      <w:tr>
        <w:trPr>
          <w:trHeight w:val="234"/>
        </w:trPr>
        <w:tc>
          <w:tcPr>
            <w:tcW w:w="4320" w:type="dxa"/>
            <w:vAlign w:val="bottom"/>
          </w:tcPr>
          <w:p>
            <w:pPr>
              <w:spacing w:after="0"/>
              <w:rPr>
                <w:sz w:val="20"/>
                <w:szCs w:val="20"/>
                <w:color w:val="auto"/>
              </w:rPr>
            </w:pP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4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73,145</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73,002</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75,357</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73,823</w:t>
            </w: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Amounts due from subsidiary undertakings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82,529</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82,529</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785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3,729</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3,729</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2,314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2,314</w:t>
            </w:r>
          </w:p>
        </w:tc>
      </w:tr>
      <w:tr>
        <w:trPr>
          <w:trHeight w:val="222"/>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3,446</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3,446</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2,560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2,560</w:t>
            </w:r>
          </w:p>
        </w:tc>
      </w:tr>
      <w:tr>
        <w:trPr>
          <w:trHeight w:val="215"/>
        </w:trPr>
        <w:tc>
          <w:tcPr>
            <w:tcW w:w="43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43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162,849</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162,706</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81,016</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79,482</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43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tcPr>
          <w:p>
            <w:pPr>
              <w:jc w:val="right"/>
              <w:ind w:right="190"/>
              <w:spacing w:after="0"/>
              <w:rPr>
                <w:sz w:val="20"/>
                <w:szCs w:val="20"/>
                <w:color w:val="auto"/>
              </w:rPr>
            </w:pPr>
            <w:r>
              <w:rPr>
                <w:rFonts w:ascii="Arial" w:cs="Arial" w:eastAsia="Arial" w:hAnsi="Arial"/>
                <w:sz w:val="18"/>
                <w:szCs w:val="18"/>
                <w:b w:val="1"/>
                <w:bCs w:val="1"/>
                <w:color w:val="auto"/>
              </w:rPr>
              <w:t>(438)</w:t>
            </w: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rPr>
              <w:t>(438)</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(168)</w:t>
            </w: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2"/>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Accruals and other liabilities</w:t>
            </w:r>
          </w:p>
        </w:tc>
        <w:tc>
          <w:tcPr>
            <w:tcW w:w="2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(9,238)</w:t>
            </w: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(9,238)</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(8,386)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w:t>
            </w:r>
          </w:p>
        </w:tc>
      </w:tr>
      <w:tr>
        <w:trPr>
          <w:trHeight w:val="215"/>
        </w:trPr>
        <w:tc>
          <w:tcPr>
            <w:tcW w:w="43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4320" w:type="dxa"/>
            <w:vAlign w:val="bottom"/>
            <w:tcBorders>
              <w:bottom w:val="single" w:sz="8" w:color="auto"/>
            </w:tcBorders>
            <w:shd w:val="clear" w:color="auto" w:fill="CCEEFF"/>
          </w:tcPr>
          <w:p>
            <w:pPr>
              <w:spacing w:after="0"/>
              <w:rPr>
                <w:sz w:val="22"/>
                <w:szCs w:val="22"/>
                <w:color w:val="auto"/>
              </w:rPr>
            </w:pPr>
          </w:p>
        </w:tc>
        <w:tc>
          <w:tcPr>
            <w:tcW w:w="2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(9,676)</w:t>
            </w: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(9,676)</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(8,554)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w:t>
            </w:r>
          </w:p>
        </w:tc>
      </w:tr>
      <w:tr>
        <w:trPr>
          <w:trHeight w:val="599"/>
        </w:trPr>
        <w:tc>
          <w:tcPr>
            <w:tcW w:w="4320" w:type="dxa"/>
            <w:vAlign w:val="bottom"/>
          </w:tcPr>
          <w:p>
            <w:pPr>
              <w:spacing w:after="0"/>
              <w:rPr>
                <w:sz w:val="24"/>
                <w:szCs w:val="24"/>
                <w:color w:val="auto"/>
              </w:rPr>
            </w:pPr>
          </w:p>
        </w:tc>
        <w:tc>
          <w:tcPr>
            <w:tcW w:w="2560" w:type="dxa"/>
            <w:vAlign w:val="bottom"/>
          </w:tcPr>
          <w:p>
            <w:pPr>
              <w:jc w:val="right"/>
              <w:ind w:right="950"/>
              <w:spacing w:after="0"/>
              <w:rPr>
                <w:sz w:val="20"/>
                <w:szCs w:val="20"/>
                <w:color w:val="auto"/>
              </w:rPr>
            </w:pPr>
            <w:r>
              <w:rPr>
                <w:rFonts w:ascii="Arial" w:cs="Arial" w:eastAsia="Arial" w:hAnsi="Arial"/>
                <w:sz w:val="18"/>
                <w:szCs w:val="18"/>
                <w:color w:val="auto"/>
              </w:rPr>
              <w:t>138</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7"/>
        </w:trPr>
        <w:tc>
          <w:tcPr>
            <w:tcW w:w="432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 xml:space="preserve">Notes to Company Financial Statements </w:t>
      </w:r>
      <w:r>
        <w:rPr>
          <w:rFonts w:ascii="Arial" w:cs="Arial" w:eastAsia="Arial" w:hAnsi="Arial"/>
          <w:sz w:val="18"/>
          <w:szCs w:val="18"/>
          <w:i w:val="1"/>
          <w:iCs w:val="1"/>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Financial instruments </w:t>
      </w:r>
      <w:r>
        <w:rPr>
          <w:rFonts w:ascii="Arial" w:cs="Arial" w:eastAsia="Arial" w:hAnsi="Arial"/>
          <w:sz w:val="18"/>
          <w:szCs w:val="18"/>
          <w:b w:val="1"/>
          <w:bCs w:val="1"/>
          <w:i w:val="1"/>
          <w:iCs w:val="1"/>
          <w:color w:val="auto"/>
        </w:rPr>
        <w:t>(continued)</w:t>
      </w:r>
    </w:p>
    <w:p>
      <w:pPr>
        <w:spacing w:after="0" w:line="254"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The carrying values of cash and cash equivalents, other current assets, accounts payable, amounts due from subsidiary undertakings and accruals and other liabilities are carried at amortised cost and assumed to be approximate to their fair values due to the short term nature of these balances.</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fair value of loans to subsidiaries for disclosure purposes is calculated based on the present value of future principal and interest cash flows, discounted at the market rate of interest at the reporting date. They are measured on the basis of level two inputs.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Approval of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approved the Company financial statements on 30 April 2012.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Reconciliation from IFRS to US Accounting Policies</w:t>
      </w:r>
    </w:p>
    <w:p>
      <w:pPr>
        <w:spacing w:after="0" w:line="25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financial statements of the Group set out on pages 41 to 139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Group’s financial statements are as follows:</w:t>
      </w:r>
    </w:p>
    <w:p>
      <w:pPr>
        <w:spacing w:after="0" w:line="18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Financial statement format</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format of the financial statements and certain note disclosures differ under U.S. GAAP from those under EU IFRS. The Group prepared a U.S. Securities and Exchange Commission Form 20-F Report which was made available to all shareholders in March 2012. The financial statements included in such Form 20-F are prepared in accordance with U.S. GAAP.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Merger with PRAI</w:t>
      </w: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Group accounts for business combinations under EU IFRS in accordance with the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 permitted by IFRS 1 </w:t>
      </w:r>
      <w:r>
        <w:rPr>
          <w:rFonts w:ascii="Arial" w:cs="Arial" w:eastAsia="Arial" w:hAnsi="Arial"/>
          <w:sz w:val="17"/>
          <w:szCs w:val="17"/>
          <w:i w:val="1"/>
          <w:iCs w:val="1"/>
          <w:color w:val="auto"/>
        </w:rPr>
        <w:t>First Time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Adoption of International Financial Reporting Standards </w:t>
      </w:r>
      <w:r>
        <w:rPr>
          <w:rFonts w:ascii="Arial" w:cs="Arial" w:eastAsia="Arial" w:hAnsi="Arial"/>
          <w:sz w:val="17"/>
          <w:szCs w:val="17"/>
          <w:color w:val="auto"/>
        </w:rPr>
        <w:t>the Group has only restated business combinations from 1 June 2001 onwards.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prior to this date have not been restated. In addition, goodwill has no longer been 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20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Group’s historic US GAAP financial statements have been restated to reflect the combined results of ICON and PRAI;</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the merger were expensed for U.S. GAAP purposes and included in the cost of acquisition for IFRS;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goodwill arising on IFRS has been amortised over its expected useful life up to 31 May 2001. No goodwill arose on the merger under U.S. GAAP;</w:t>
      </w:r>
    </w:p>
    <w:p>
      <w:pPr>
        <w:spacing w:after="0" w:line="19" w:lineRule="exact"/>
        <w:rPr>
          <w:rFonts w:ascii="Arial" w:cs="Arial" w:eastAsia="Arial" w:hAnsi="Arial"/>
          <w:sz w:val="17"/>
          <w:szCs w:val="17"/>
          <w:color w:val="auto"/>
        </w:rPr>
      </w:pPr>
    </w:p>
    <w:p>
      <w:pPr>
        <w:ind w:left="340" w:hanging="332"/>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tax charge arising on the conversion of PRAI from an S-Corporation to a C-Corporation is treated as a pre acquisition charge under IFRS.</w:t>
      </w:r>
    </w:p>
    <w:p>
      <w:pPr>
        <w:spacing w:after="0" w:line="243"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 expense</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IFRS requires that the fair value of share based payments be expensed to the income statement over the period the related services are received, with a corresponding increase in equity. In the year ending 31 December 2009, the Group has accounted for share based payments under U.S. GAAP in accordance with </w:t>
      </w:r>
      <w:r>
        <w:rPr>
          <w:rFonts w:ascii="Arial" w:cs="Arial" w:eastAsia="Arial" w:hAnsi="Arial"/>
          <w:sz w:val="17"/>
          <w:szCs w:val="17"/>
          <w:i w:val="1"/>
          <w:iCs w:val="1"/>
          <w:color w:val="auto"/>
        </w:rPr>
        <w:t>FASB ASC 718, Compensation – Stock Compensation</w:t>
      </w:r>
      <w:r>
        <w:rPr>
          <w:rFonts w:ascii="Arial" w:cs="Arial" w:eastAsia="Arial" w:hAnsi="Arial"/>
          <w:sz w:val="17"/>
          <w:szCs w:val="17"/>
          <w:color w:val="auto"/>
        </w:rPr>
        <w:t>, which also requires that the fair value of share based payments be expensed to the income statement over the period the related services are received, with a corresponding increase in equity. 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this model is not the preferred model to be used and as such the binomial model is used.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 xml:space="preserve">Reconciliation from IFRS to US Accounting Principles </w:t>
      </w:r>
      <w:r>
        <w:rPr>
          <w:rFonts w:ascii="Arial" w:cs="Arial" w:eastAsia="Arial" w:hAnsi="Arial"/>
          <w:sz w:val="18"/>
          <w:szCs w:val="18"/>
          <w:i w:val="1"/>
          <w:iCs w:val="1"/>
          <w:color w:val="auto"/>
        </w:rPr>
        <w:t>(continued)</w:t>
      </w:r>
    </w:p>
    <w:p>
      <w:pPr>
        <w:spacing w:after="0" w:line="2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Deferred tax assets</w:t>
      </w: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IFRS requires that the fair value of share based payments, including share options issued to employees, is expensed to the income statement over the period the related services are received, with a corresponding increase in equity. Under U.S. tax law the Group receives a tax deduction when U.S. employee share options are exercised. This deduction is measured as the intrinsic value of the share options at the date the options are exercised. Therefore, the tax deduction generally arises in different amounts and in different periods from compensation cost recognised in the financial statements.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Under US GAAP, FASB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Group has recognised a deferred tax asset for the cumulative amount of compensation cost recognised in the financial statements for options that will result in a future tax deduction. A similar deferred tax asset is also recognised under IFRS for options that will result in a future tax deduction, however, under IAS 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if the tax deduction available in future periods is not known at the end of the period it is estimated based on information available at the end of the period. As the tax deduction is dependent upon the Group’s share price at the exercise date, the measurement of the deductible temporary difference is based on the Group’s share price at the end of the period. Where the amount of the estimated future tax deduction exceeds the amount of the related cumulative remuneration expense, the deferred tax associated with the excess is recognised directly in equity.</w:t>
      </w:r>
    </w:p>
    <w:p>
      <w:pPr>
        <w:spacing w:after="0" w:line="185"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Forward-looking statements</w:t>
      </w:r>
    </w:p>
    <w:p>
      <w:pPr>
        <w:spacing w:after="0" w:line="2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us is based only on information currently available as at the time of publication of this report. Forward-looking statements are subject to the occurrence of many events outside of ICON’s control and are subject to various risk factors that would cause our results to differ materially from those expressed in any forward-looking statement. These risk factors described in Appendix A on pages to 144 to 151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 xml:space="preserve">Reconciliation from IFRS to US Accounting Principles </w:t>
      </w:r>
      <w:r>
        <w:rPr>
          <w:rFonts w:ascii="Arial" w:cs="Arial" w:eastAsia="Arial" w:hAnsi="Arial"/>
          <w:sz w:val="18"/>
          <w:szCs w:val="18"/>
          <w:i w:val="1"/>
          <w:iCs w:val="1"/>
          <w:color w:val="auto"/>
        </w:rPr>
        <w:t>(continued)</w:t>
      </w:r>
    </w:p>
    <w:p>
      <w:pPr>
        <w:spacing w:after="0" w:line="25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following is a summary of the material adjustments to profit for the financial year and shareholders’ equity, which would be required, had the financial statements been prepared in accordance with U.S. GAAP.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Effect on profit for the financial year</w:t>
            </w:r>
          </w:p>
        </w:tc>
        <w:tc>
          <w:tcPr>
            <w:tcW w:w="27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8"/>
        </w:trPr>
        <w:tc>
          <w:tcPr>
            <w:tcW w:w="7300" w:type="dxa"/>
            <w:vAlign w:val="bottom"/>
          </w:tcPr>
          <w:p>
            <w:pPr>
              <w:spacing w:after="0"/>
              <w:rPr>
                <w:sz w:val="24"/>
                <w:szCs w:val="24"/>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 ended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Year ended</w:t>
            </w:r>
          </w:p>
        </w:tc>
      </w:tr>
      <w:tr>
        <w:trPr>
          <w:trHeight w:val="215"/>
        </w:trPr>
        <w:tc>
          <w:tcPr>
            <w:tcW w:w="7300" w:type="dxa"/>
            <w:vAlign w:val="bottom"/>
          </w:tcPr>
          <w:p>
            <w:pPr>
              <w:spacing w:after="0"/>
              <w:rPr>
                <w:sz w:val="18"/>
                <w:szCs w:val="18"/>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7300" w:type="dxa"/>
            <w:vAlign w:val="bottom"/>
          </w:tcPr>
          <w:p>
            <w:pPr>
              <w:spacing w:after="0"/>
              <w:rPr>
                <w:sz w:val="18"/>
                <w:szCs w:val="18"/>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3"/>
        </w:trPr>
        <w:tc>
          <w:tcPr>
            <w:tcW w:w="7300" w:type="dxa"/>
            <w:vAlign w:val="bottom"/>
          </w:tcPr>
          <w:p>
            <w:pPr>
              <w:spacing w:after="0"/>
              <w:rPr>
                <w:sz w:val="20"/>
                <w:szCs w:val="20"/>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financial year attributable to equity holders as stated under IFRS</w:t>
            </w:r>
          </w:p>
        </w:tc>
        <w:tc>
          <w:tcPr>
            <w:tcW w:w="27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19,230</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86,172</w:t>
            </w:r>
          </w:p>
        </w:tc>
      </w:tr>
      <w:tr>
        <w:trPr>
          <w:trHeight w:val="215"/>
        </w:trPr>
        <w:tc>
          <w:tcPr>
            <w:tcW w:w="7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300" w:type="dxa"/>
            <w:vAlign w:val="bottom"/>
          </w:tcPr>
          <w:p>
            <w:pPr>
              <w:spacing w:after="0"/>
              <w:rPr>
                <w:sz w:val="20"/>
                <w:szCs w:val="20"/>
                <w:color w:val="auto"/>
              </w:rPr>
            </w:pPr>
            <w:r>
              <w:rPr>
                <w:rFonts w:ascii="Arial" w:cs="Arial" w:eastAsia="Arial" w:hAnsi="Arial"/>
                <w:sz w:val="18"/>
                <w:szCs w:val="18"/>
                <w:color w:val="auto"/>
              </w:rPr>
              <w:t>Share based payment expense under IFRS</w:t>
            </w: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9,564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7,383</w:t>
            </w: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expense under U.S. GAAP</w:t>
            </w:r>
          </w:p>
        </w:tc>
        <w:tc>
          <w:tcPr>
            <w:tcW w:w="27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(9,355)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r>
      <w:tr>
        <w:trPr>
          <w:trHeight w:val="222"/>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adjustments on share based payments</w:t>
            </w:r>
          </w:p>
        </w:tc>
        <w:tc>
          <w:tcPr>
            <w:tcW w:w="2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3,441</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r>
      <w:tr>
        <w:trPr>
          <w:trHeight w:val="215"/>
        </w:trPr>
        <w:tc>
          <w:tcPr>
            <w:tcW w:w="73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as stated under U.S. GAAP</w:t>
            </w:r>
          </w:p>
        </w:tc>
        <w:tc>
          <w:tcPr>
            <w:tcW w:w="2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22,880</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87,071</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9"/>
        </w:trPr>
        <w:tc>
          <w:tcPr>
            <w:tcW w:w="73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2"/>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earnings per Ordinary Share under U.S. GAAP</w:t>
            </w:r>
          </w:p>
        </w:tc>
        <w:tc>
          <w:tcPr>
            <w:tcW w:w="2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$0.38</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15"/>
        </w:trPr>
        <w:tc>
          <w:tcPr>
            <w:tcW w:w="73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earnings per Ordinary Share under U.S. GAAP</w:t>
            </w:r>
          </w:p>
        </w:tc>
        <w:tc>
          <w:tcPr>
            <w:tcW w:w="2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$0.37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51"/>
        </w:trPr>
        <w:tc>
          <w:tcPr>
            <w:tcW w:w="7300" w:type="dxa"/>
            <w:vAlign w:val="bottom"/>
          </w:tcPr>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Effect on shareholders’ equity</w:t>
            </w:r>
          </w:p>
        </w:tc>
        <w:tc>
          <w:tcPr>
            <w:tcW w:w="2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8"/>
        </w:trPr>
        <w:tc>
          <w:tcPr>
            <w:tcW w:w="7300" w:type="dxa"/>
            <w:vAlign w:val="bottom"/>
          </w:tcPr>
          <w:p>
            <w:pPr>
              <w:spacing w:after="0"/>
              <w:rPr>
                <w:sz w:val="24"/>
                <w:szCs w:val="24"/>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7300" w:type="dxa"/>
            <w:vAlign w:val="bottom"/>
          </w:tcPr>
          <w:p>
            <w:pPr>
              <w:spacing w:after="0"/>
              <w:rPr>
                <w:sz w:val="18"/>
                <w:szCs w:val="18"/>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7300" w:type="dxa"/>
            <w:vAlign w:val="bottom"/>
          </w:tcPr>
          <w:p>
            <w:pPr>
              <w:spacing w:after="0"/>
              <w:rPr>
                <w:sz w:val="20"/>
                <w:szCs w:val="20"/>
                <w:color w:val="auto"/>
              </w:rPr>
            </w:pP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7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as stated under IFRS</w:t>
            </w:r>
          </w:p>
        </w:tc>
        <w:tc>
          <w:tcPr>
            <w:tcW w:w="27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691,848</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683,745</w:t>
            </w:r>
          </w:p>
        </w:tc>
      </w:tr>
      <w:tr>
        <w:trPr>
          <w:trHeight w:val="215"/>
        </w:trPr>
        <w:tc>
          <w:tcPr>
            <w:tcW w:w="7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300" w:type="dxa"/>
            <w:vAlign w:val="bottom"/>
          </w:tcPr>
          <w:p>
            <w:pPr>
              <w:spacing w:after="0"/>
              <w:rPr>
                <w:sz w:val="20"/>
                <w:szCs w:val="20"/>
                <w:color w:val="auto"/>
              </w:rPr>
            </w:pPr>
            <w:r>
              <w:rPr>
                <w:rFonts w:ascii="Arial" w:cs="Arial" w:eastAsia="Arial" w:hAnsi="Arial"/>
                <w:sz w:val="18"/>
                <w:szCs w:val="18"/>
                <w:color w:val="auto"/>
              </w:rPr>
              <w:t>Goodwill arising on merger with PRAI</w:t>
            </w:r>
          </w:p>
        </w:tc>
        <w:tc>
          <w:tcPr>
            <w:tcW w:w="2780" w:type="dxa"/>
            <w:vAlign w:val="bottom"/>
          </w:tcPr>
          <w:p>
            <w:pPr>
              <w:jc w:val="right"/>
              <w:ind w:right="190"/>
              <w:spacing w:after="0"/>
              <w:rPr>
                <w:sz w:val="20"/>
                <w:szCs w:val="20"/>
                <w:color w:val="auto"/>
              </w:rPr>
            </w:pPr>
            <w:r>
              <w:rPr>
                <w:rFonts w:ascii="Arial" w:cs="Arial" w:eastAsia="Arial" w:hAnsi="Arial"/>
                <w:sz w:val="18"/>
                <w:szCs w:val="18"/>
                <w:b w:val="1"/>
                <w:bCs w:val="1"/>
                <w:color w:val="auto"/>
              </w:rPr>
              <w:t>(15,010)</w:t>
            </w:r>
          </w:p>
        </w:tc>
        <w:tc>
          <w:tcPr>
            <w:tcW w:w="1340" w:type="dxa"/>
            <w:vAlign w:val="bottom"/>
          </w:tcPr>
          <w:p>
            <w:pPr>
              <w:jc w:val="right"/>
              <w:spacing w:after="0"/>
              <w:rPr>
                <w:sz w:val="20"/>
                <w:szCs w:val="20"/>
                <w:color w:val="auto"/>
              </w:rPr>
            </w:pPr>
            <w:r>
              <w:rPr>
                <w:rFonts w:ascii="Arial" w:cs="Arial" w:eastAsia="Arial" w:hAnsi="Arial"/>
                <w:sz w:val="18"/>
                <w:szCs w:val="18"/>
                <w:color w:val="auto"/>
              </w:rPr>
              <w:t>(15,010)</w:t>
            </w:r>
          </w:p>
        </w:tc>
      </w:tr>
      <w:tr>
        <w:trPr>
          <w:trHeight w:val="215"/>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goodwill arising on merger with PRAI</w:t>
            </w:r>
          </w:p>
        </w:tc>
        <w:tc>
          <w:tcPr>
            <w:tcW w:w="27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1,001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r>
      <w:tr>
        <w:trPr>
          <w:trHeight w:val="222"/>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adjustments on share based payments</w:t>
            </w:r>
          </w:p>
        </w:tc>
        <w:tc>
          <w:tcPr>
            <w:tcW w:w="2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3,705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r>
      <w:tr>
        <w:trPr>
          <w:trHeight w:val="215"/>
        </w:trPr>
        <w:tc>
          <w:tcPr>
            <w:tcW w:w="73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Shareholders’ equity as stated under U.S. GAAP</w:t>
            </w:r>
          </w:p>
        </w:tc>
        <w:tc>
          <w:tcPr>
            <w:tcW w:w="2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681,544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669,999</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99"/>
        </w:trPr>
        <w:tc>
          <w:tcPr>
            <w:tcW w:w="7300" w:type="dxa"/>
            <w:vAlign w:val="bottom"/>
          </w:tcPr>
          <w:p>
            <w:pPr>
              <w:ind w:left="5580"/>
              <w:spacing w:after="0"/>
              <w:rPr>
                <w:sz w:val="20"/>
                <w:szCs w:val="20"/>
                <w:color w:val="auto"/>
              </w:rPr>
            </w:pPr>
            <w:r>
              <w:rPr>
                <w:rFonts w:ascii="Arial" w:cs="Arial" w:eastAsia="Arial" w:hAnsi="Arial"/>
                <w:sz w:val="18"/>
                <w:szCs w:val="18"/>
                <w:color w:val="auto"/>
              </w:rPr>
              <w:t>142</w:t>
            </w:r>
          </w:p>
        </w:tc>
        <w:tc>
          <w:tcPr>
            <w:tcW w:w="2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7"/>
        </w:trPr>
        <w:tc>
          <w:tcPr>
            <w:tcW w:w="730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9"/>
              </w:rPr>
              <w:t xml:space="preserve">Reconciliation from IFRS to US Accounting Principles </w:t>
            </w:r>
            <w:r>
              <w:rPr>
                <w:rFonts w:ascii="Arial" w:cs="Arial" w:eastAsia="Arial" w:hAnsi="Arial"/>
                <w:sz w:val="18"/>
                <w:szCs w:val="18"/>
                <w:i w:val="1"/>
                <w:iCs w:val="1"/>
                <w:color w:val="auto"/>
                <w:w w:val="99"/>
              </w:rPr>
              <w:t>(continued)</w:t>
            </w:r>
          </w:p>
        </w:tc>
        <w:tc>
          <w:tcPr>
            <w:tcW w:w="48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7"/>
        </w:trPr>
        <w:tc>
          <w:tcPr>
            <w:tcW w:w="5200" w:type="dxa"/>
            <w:vAlign w:val="bottom"/>
          </w:tcPr>
          <w:p>
            <w:pPr>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Effect on total assets</w:t>
            </w:r>
          </w:p>
        </w:tc>
        <w:tc>
          <w:tcPr>
            <w:tcW w:w="4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8"/>
        </w:trPr>
        <w:tc>
          <w:tcPr>
            <w:tcW w:w="5200" w:type="dxa"/>
            <w:vAlign w:val="bottom"/>
          </w:tcPr>
          <w:p>
            <w:pPr>
              <w:spacing w:after="0"/>
              <w:rPr>
                <w:sz w:val="24"/>
                <w:szCs w:val="24"/>
                <w:color w:val="auto"/>
              </w:rPr>
            </w:pPr>
          </w:p>
        </w:tc>
        <w:tc>
          <w:tcPr>
            <w:tcW w:w="488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200" w:type="dxa"/>
            <w:vAlign w:val="bottom"/>
          </w:tcPr>
          <w:p>
            <w:pPr>
              <w:spacing w:after="0"/>
              <w:rPr>
                <w:sz w:val="18"/>
                <w:szCs w:val="18"/>
                <w:color w:val="auto"/>
              </w:rPr>
            </w:pPr>
          </w:p>
        </w:tc>
        <w:tc>
          <w:tcPr>
            <w:tcW w:w="4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200" w:type="dxa"/>
            <w:vAlign w:val="bottom"/>
          </w:tcPr>
          <w:p>
            <w:pPr>
              <w:spacing w:after="0"/>
              <w:rPr>
                <w:sz w:val="20"/>
                <w:szCs w:val="20"/>
                <w:color w:val="auto"/>
              </w:rPr>
            </w:pPr>
          </w:p>
        </w:tc>
        <w:tc>
          <w:tcPr>
            <w:tcW w:w="48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stated under IFRS</w:t>
            </w:r>
          </w:p>
        </w:tc>
        <w:tc>
          <w:tcPr>
            <w:tcW w:w="48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1,029,352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949,761</w:t>
            </w:r>
          </w:p>
        </w:tc>
      </w:tr>
      <w:tr>
        <w:trPr>
          <w:trHeight w:val="215"/>
        </w:trPr>
        <w:tc>
          <w:tcPr>
            <w:tcW w:w="5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4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Goodwill arising on merger with PRAI</w:t>
            </w:r>
          </w:p>
        </w:tc>
        <w:tc>
          <w:tcPr>
            <w:tcW w:w="4880" w:type="dxa"/>
            <w:vAlign w:val="bottom"/>
          </w:tcPr>
          <w:p>
            <w:pPr>
              <w:jc w:val="right"/>
              <w:ind w:right="190"/>
              <w:spacing w:after="0"/>
              <w:rPr>
                <w:sz w:val="20"/>
                <w:szCs w:val="20"/>
                <w:color w:val="auto"/>
              </w:rPr>
            </w:pPr>
            <w:r>
              <w:rPr>
                <w:rFonts w:ascii="Arial" w:cs="Arial" w:eastAsia="Arial" w:hAnsi="Arial"/>
                <w:sz w:val="18"/>
                <w:szCs w:val="18"/>
                <w:b w:val="1"/>
                <w:bCs w:val="1"/>
                <w:color w:val="auto"/>
              </w:rPr>
              <w:t>(15,010)</w:t>
            </w:r>
          </w:p>
        </w:tc>
        <w:tc>
          <w:tcPr>
            <w:tcW w:w="1340" w:type="dxa"/>
            <w:vAlign w:val="bottom"/>
          </w:tcPr>
          <w:p>
            <w:pPr>
              <w:jc w:val="right"/>
              <w:spacing w:after="0"/>
              <w:rPr>
                <w:sz w:val="20"/>
                <w:szCs w:val="20"/>
                <w:color w:val="auto"/>
              </w:rPr>
            </w:pPr>
            <w:r>
              <w:rPr>
                <w:rFonts w:ascii="Arial" w:cs="Arial" w:eastAsia="Arial" w:hAnsi="Arial"/>
                <w:sz w:val="18"/>
                <w:szCs w:val="18"/>
                <w:color w:val="auto"/>
              </w:rPr>
              <w:t>(15,010)</w:t>
            </w: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goodwill arising on merger with PRAI</w:t>
            </w:r>
          </w:p>
        </w:tc>
        <w:tc>
          <w:tcPr>
            <w:tcW w:w="48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1,001</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Deferred tax adjustments on share based payments</w:t>
            </w:r>
          </w:p>
        </w:tc>
        <w:tc>
          <w:tcPr>
            <w:tcW w:w="4880" w:type="dxa"/>
            <w:vAlign w:val="bottom"/>
          </w:tcPr>
          <w:p>
            <w:pPr>
              <w:jc w:val="right"/>
              <w:ind w:right="250"/>
              <w:spacing w:after="0"/>
              <w:rPr>
                <w:sz w:val="20"/>
                <w:szCs w:val="20"/>
                <w:color w:val="auto"/>
              </w:rPr>
            </w:pPr>
            <w:r>
              <w:rPr>
                <w:rFonts w:ascii="Arial" w:cs="Arial" w:eastAsia="Arial" w:hAnsi="Arial"/>
                <w:sz w:val="18"/>
                <w:szCs w:val="18"/>
                <w:b w:val="1"/>
                <w:bCs w:val="1"/>
                <w:color w:val="auto"/>
              </w:rPr>
              <w:t>3,705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22"/>
        </w:trPr>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Offset between deferred tax assets and liabilities</w:t>
            </w:r>
          </w:p>
        </w:tc>
        <w:tc>
          <w:tcPr>
            <w:tcW w:w="4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16,419</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13,523</w:t>
            </w:r>
          </w:p>
        </w:tc>
      </w:tr>
      <w:tr>
        <w:trPr>
          <w:trHeight w:val="215"/>
        </w:trPr>
        <w:tc>
          <w:tcPr>
            <w:tcW w:w="5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 as stated under U.S. GAAP</w:t>
            </w:r>
          </w:p>
        </w:tc>
        <w:tc>
          <w:tcPr>
            <w:tcW w:w="4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1,035,467</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949,538</w:t>
            </w:r>
          </w:p>
        </w:tc>
      </w:tr>
      <w:tr>
        <w:trPr>
          <w:trHeight w:val="451"/>
        </w:trPr>
        <w:tc>
          <w:tcPr>
            <w:tcW w:w="5200" w:type="dxa"/>
            <w:vAlign w:val="bottom"/>
          </w:tcPr>
          <w:p>
            <w:pP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Effect on total liabilities</w:t>
            </w:r>
          </w:p>
        </w:tc>
        <w:tc>
          <w:tcPr>
            <w:tcW w:w="48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8"/>
        </w:trPr>
        <w:tc>
          <w:tcPr>
            <w:tcW w:w="5200" w:type="dxa"/>
            <w:vAlign w:val="bottom"/>
          </w:tcPr>
          <w:p>
            <w:pPr>
              <w:spacing w:after="0"/>
              <w:rPr>
                <w:sz w:val="24"/>
                <w:szCs w:val="24"/>
                <w:color w:val="auto"/>
              </w:rPr>
            </w:pPr>
          </w:p>
        </w:tc>
        <w:tc>
          <w:tcPr>
            <w:tcW w:w="4880" w:type="dxa"/>
            <w:vAlign w:val="bottom"/>
          </w:tcPr>
          <w:p>
            <w:pPr>
              <w:jc w:val="right"/>
              <w:ind w:right="250"/>
              <w:spacing w:after="0"/>
              <w:rPr>
                <w:sz w:val="20"/>
                <w:szCs w:val="20"/>
                <w:color w:val="auto"/>
              </w:rPr>
            </w:pPr>
            <w:r>
              <w:rPr>
                <w:rFonts w:ascii="Arial" w:cs="Arial" w:eastAsia="Arial" w:hAnsi="Arial"/>
                <w:sz w:val="18"/>
                <w:szCs w:val="18"/>
                <w:b w:val="1"/>
                <w:bCs w:val="1"/>
                <w:color w:val="auto"/>
              </w:rPr>
              <w:t>31 December</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 December</w:t>
            </w:r>
          </w:p>
        </w:tc>
      </w:tr>
      <w:tr>
        <w:trPr>
          <w:trHeight w:val="215"/>
        </w:trPr>
        <w:tc>
          <w:tcPr>
            <w:tcW w:w="5200" w:type="dxa"/>
            <w:vAlign w:val="bottom"/>
          </w:tcPr>
          <w:p>
            <w:pPr>
              <w:spacing w:after="0"/>
              <w:rPr>
                <w:sz w:val="18"/>
                <w:szCs w:val="18"/>
                <w:color w:val="auto"/>
              </w:rPr>
            </w:pPr>
          </w:p>
        </w:tc>
        <w:tc>
          <w:tcPr>
            <w:tcW w:w="4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34"/>
        </w:trPr>
        <w:tc>
          <w:tcPr>
            <w:tcW w:w="5200" w:type="dxa"/>
            <w:vAlign w:val="bottom"/>
          </w:tcPr>
          <w:p>
            <w:pPr>
              <w:spacing w:after="0"/>
              <w:rPr>
                <w:sz w:val="20"/>
                <w:szCs w:val="20"/>
                <w:color w:val="auto"/>
              </w:rPr>
            </w:pPr>
          </w:p>
        </w:tc>
        <w:tc>
          <w:tcPr>
            <w:tcW w:w="4880" w:type="dxa"/>
            <w:vAlign w:val="bottom"/>
          </w:tcPr>
          <w:p>
            <w:pPr>
              <w:jc w:val="right"/>
              <w:ind w:right="250"/>
              <w:spacing w:after="0"/>
              <w:rPr>
                <w:sz w:val="20"/>
                <w:szCs w:val="20"/>
                <w:color w:val="auto"/>
              </w:rPr>
            </w:pPr>
            <w:r>
              <w:rPr>
                <w:rFonts w:ascii="Arial" w:cs="Arial" w:eastAsia="Arial" w:hAnsi="Arial"/>
                <w:sz w:val="18"/>
                <w:szCs w:val="18"/>
                <w:b w:val="1"/>
                <w:bCs w:val="1"/>
                <w:color w:val="auto"/>
              </w:rPr>
              <w:t>$’000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$’000</w:t>
            </w:r>
          </w:p>
        </w:tc>
      </w:tr>
      <w:tr>
        <w:trPr>
          <w:trHeight w:val="215"/>
        </w:trPr>
        <w:tc>
          <w:tcPr>
            <w:tcW w:w="5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 stated under IFRS</w:t>
            </w:r>
          </w:p>
        </w:tc>
        <w:tc>
          <w:tcPr>
            <w:tcW w:w="48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337,504</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266,016</w:t>
            </w:r>
          </w:p>
        </w:tc>
      </w:tr>
      <w:tr>
        <w:trPr>
          <w:trHeight w:val="215"/>
        </w:trPr>
        <w:tc>
          <w:tcPr>
            <w:tcW w:w="5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4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2"/>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Offset between deferred tax assets and liabilities</w:t>
            </w:r>
          </w:p>
        </w:tc>
        <w:tc>
          <w:tcPr>
            <w:tcW w:w="4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16,419</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13,523</w:t>
            </w:r>
          </w:p>
        </w:tc>
      </w:tr>
      <w:tr>
        <w:trPr>
          <w:trHeight w:val="215"/>
        </w:trPr>
        <w:tc>
          <w:tcPr>
            <w:tcW w:w="52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as stated under U.S. GAAP</w:t>
            </w:r>
          </w:p>
        </w:tc>
        <w:tc>
          <w:tcPr>
            <w:tcW w:w="4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353,923</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279,539</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99"/>
        </w:trPr>
        <w:tc>
          <w:tcPr>
            <w:tcW w:w="5200" w:type="dxa"/>
            <w:vAlign w:val="bottom"/>
          </w:tcPr>
          <w:p>
            <w:pPr>
              <w:spacing w:after="0"/>
              <w:rPr>
                <w:sz w:val="24"/>
                <w:szCs w:val="24"/>
                <w:color w:val="auto"/>
              </w:rPr>
            </w:pPr>
          </w:p>
        </w:tc>
        <w:tc>
          <w:tcPr>
            <w:tcW w:w="4880" w:type="dxa"/>
            <w:vAlign w:val="bottom"/>
          </w:tcPr>
          <w:p>
            <w:pPr>
              <w:jc w:val="right"/>
              <w:ind w:right="4150"/>
              <w:spacing w:after="0"/>
              <w:rPr>
                <w:sz w:val="20"/>
                <w:szCs w:val="20"/>
                <w:color w:val="auto"/>
              </w:rPr>
            </w:pPr>
            <w:r>
              <w:rPr>
                <w:rFonts w:ascii="Arial" w:cs="Arial" w:eastAsia="Arial" w:hAnsi="Arial"/>
                <w:sz w:val="18"/>
                <w:szCs w:val="18"/>
                <w:color w:val="auto"/>
              </w:rPr>
              <w:t>143</w:t>
            </w:r>
          </w:p>
        </w:tc>
        <w:tc>
          <w:tcPr>
            <w:tcW w:w="1340" w:type="dxa"/>
            <w:vAlign w:val="bottom"/>
          </w:tcPr>
          <w:p>
            <w:pPr>
              <w:spacing w:after="0"/>
              <w:rPr>
                <w:sz w:val="24"/>
                <w:szCs w:val="24"/>
                <w:color w:val="auto"/>
              </w:rPr>
            </w:pPr>
          </w:p>
        </w:tc>
      </w:tr>
      <w:tr>
        <w:trPr>
          <w:trHeight w:val="117"/>
        </w:trPr>
        <w:tc>
          <w:tcPr>
            <w:tcW w:w="520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Appendix A: Risk Factors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business and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clients and a loss of or significant decrease in business from them or one or more of them could affect our business.</w:t>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the past and may in the future derive a significant portion of our net revenue from a relatively limited number of major projects or clients. During the years ended 31 December 2011, 31 December 2010 and 31 December 2009, 37%, 33% and 27% respectively of our net revenues were derived from our top five clients. During the year ended 31 December 2011 13% of our net revenues were derived from one client, with no other client contributing more than 10% of net revenues during this period. During the years ended 31 December 2010 and 31 December 2009 no one client contributed more than 10% of net revenues. The loss of, or a significant decrease in business from one or more of these key clients could have a material adverse impact on our results of operations.</w:t>
      </w:r>
    </w:p>
    <w:p>
      <w:pPr>
        <w:spacing w:after="0" w:line="218"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Arial" w:cs="Arial" w:eastAsia="Arial" w:hAnsi="Arial"/>
          <w:sz w:val="17"/>
          <w:szCs w:val="17"/>
          <w:color w:val="auto"/>
        </w:rPr>
        <w:t>.</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contracts are long-term fixed fee contracts. Revenues on these contracts are agreed in the contract between the Group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Group regularly reviews the estimated hours on each contract to determine if the budget accurately reflects the agreed tasks to be performed taking into account the state of progress at the time of review. The Group further ensures that changes in scope are appropriately monitored and change orders for additional revenue are promptly negotiated for additional work as necessary. If we were to fail to recognise and negotiate change orders for changes in the resources required or the scope of the work to be performed the Group could lose money if the costs of performance of these contracts exceeded their fixed fees.</w:t>
      </w:r>
    </w:p>
    <w:p>
      <w:pPr>
        <w:spacing w:after="0" w:line="20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our clients discontinue using our services, or cancel or discontinue projects, our revenue will be adversely affected and/or we may not receive their business in the future or may not be able to attract new clients.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209" w:lineRule="exact"/>
        <w:rPr>
          <w:sz w:val="20"/>
          <w:szCs w:val="20"/>
          <w:color w:val="auto"/>
        </w:rPr>
      </w:pPr>
    </w:p>
    <w:p>
      <w:pPr>
        <w:ind w:left="700" w:hanging="34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23" w:lineRule="exact"/>
        <w:rPr>
          <w:rFonts w:ascii="Arial" w:cs="Arial" w:eastAsia="Arial" w:hAnsi="Arial"/>
          <w:sz w:val="18"/>
          <w:szCs w:val="18"/>
          <w:color w:val="auto"/>
        </w:rPr>
      </w:pPr>
    </w:p>
    <w:p>
      <w:pPr>
        <w:ind w:left="700" w:hanging="34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23" w:lineRule="exact"/>
        <w:rPr>
          <w:rFonts w:ascii="Arial" w:cs="Arial" w:eastAsia="Arial" w:hAnsi="Arial"/>
          <w:sz w:val="18"/>
          <w:szCs w:val="18"/>
          <w:color w:val="auto"/>
        </w:rPr>
      </w:pPr>
    </w:p>
    <w:p>
      <w:pPr>
        <w:ind w:left="700" w:hanging="34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 or viable;</w:t>
      </w:r>
    </w:p>
    <w:p>
      <w:pPr>
        <w:spacing w:after="0" w:line="223" w:lineRule="exact"/>
        <w:rPr>
          <w:rFonts w:ascii="Arial" w:cs="Arial" w:eastAsia="Arial" w:hAnsi="Arial"/>
          <w:sz w:val="18"/>
          <w:szCs w:val="18"/>
          <w:color w:val="auto"/>
        </w:rPr>
      </w:pPr>
    </w:p>
    <w:p>
      <w:pPr>
        <w:ind w:left="700" w:hanging="34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enrollment or investigator recruitment; or</w:t>
      </w:r>
    </w:p>
    <w:p>
      <w:pPr>
        <w:spacing w:after="0" w:line="223" w:lineRule="exact"/>
        <w:rPr>
          <w:rFonts w:ascii="Arial" w:cs="Arial" w:eastAsia="Arial" w:hAnsi="Arial"/>
          <w:sz w:val="18"/>
          <w:szCs w:val="18"/>
          <w:color w:val="auto"/>
        </w:rPr>
      </w:pPr>
    </w:p>
    <w:p>
      <w:pPr>
        <w:ind w:left="700" w:hanging="34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If we lose clients, we may not be able to attract new ones, and if we lose individual projects, we may not be able to replace them.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or retain qualified staff, our performance may suffer.</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future success and ability to continue and expand operations depend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Although we have not had any significant difficulty attracting or retaining qualified staff in the past, there is no guarantee that we will be able to continue to attract a sufficient number and calibre of clinical research professionals at an acceptable cost.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perform clinical trials is dependant upon our ability to recruit suitable willing investigators and patients.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contract with physicians located in hospitals, clinics or other such sites, who serve as investigators in conducting clinical trials to test new drugs on their patients. Investigators supervise administration of the study drug to patients during the course of the clinical trial.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patient enrolment or investigator recruitment may result in the termination or delay of a study which could have a material adverse impact on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information technology. If our systems fail or are unreliable our operations may be adversely impacted.</w:t>
      </w:r>
    </w:p>
    <w:p>
      <w:pPr>
        <w:spacing w:after="0" w:line="25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Group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natural or man-made disasters, terrorist attacks, computer viruses or hackers, power loss, or other computer systems, Internet telecommunications or data network failures. Any such interruption could adversely affect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in the future, which may lead to disruptions to our ongoing business.</w:t>
      </w:r>
    </w:p>
    <w:p>
      <w:pPr>
        <w:spacing w:after="0" w:line="25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have made a number of acquisitions and will continue to review new acquisition opportunities. If we are unable to successfully integrate an acquired group or business, the acquisition could lead to disruptions to our business. The success of an acquisition will depend upon, among other things, our ability to:</w:t>
      </w:r>
    </w:p>
    <w:p>
      <w:pPr>
        <w:spacing w:after="0" w:line="151" w:lineRule="exact"/>
        <w:rPr>
          <w:sz w:val="20"/>
          <w:szCs w:val="20"/>
          <w:color w:val="auto"/>
        </w:rPr>
      </w:pPr>
    </w:p>
    <w:p>
      <w:pPr>
        <w:ind w:left="1140" w:hanging="1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group or business;</w:t>
      </w:r>
    </w:p>
    <w:p>
      <w:pPr>
        <w:spacing w:after="0" w:line="250" w:lineRule="exact"/>
        <w:rPr>
          <w:rFonts w:ascii="Arial" w:cs="Arial" w:eastAsia="Arial" w:hAnsi="Arial"/>
          <w:sz w:val="18"/>
          <w:szCs w:val="18"/>
          <w:color w:val="auto"/>
        </w:rPr>
      </w:pPr>
    </w:p>
    <w:p>
      <w:pPr>
        <w:ind w:left="1140" w:hanging="1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50" w:lineRule="exact"/>
        <w:rPr>
          <w:rFonts w:ascii="Arial" w:cs="Arial" w:eastAsia="Arial" w:hAnsi="Arial"/>
          <w:sz w:val="18"/>
          <w:szCs w:val="18"/>
          <w:color w:val="auto"/>
        </w:rPr>
      </w:pPr>
    </w:p>
    <w:p>
      <w:pPr>
        <w:ind w:left="1140" w:hanging="1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50" w:lineRule="exact"/>
        <w:rPr>
          <w:rFonts w:ascii="Arial" w:cs="Arial" w:eastAsia="Arial" w:hAnsi="Arial"/>
          <w:sz w:val="18"/>
          <w:szCs w:val="18"/>
          <w:color w:val="auto"/>
        </w:rPr>
      </w:pPr>
    </w:p>
    <w:p>
      <w:pPr>
        <w:ind w:left="1140" w:hanging="1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50" w:lineRule="exact"/>
        <w:rPr>
          <w:rFonts w:ascii="Arial" w:cs="Arial" w:eastAsia="Arial" w:hAnsi="Arial"/>
          <w:sz w:val="18"/>
          <w:szCs w:val="18"/>
          <w:color w:val="auto"/>
        </w:rPr>
      </w:pPr>
    </w:p>
    <w:p>
      <w:pPr>
        <w:ind w:left="1140" w:hanging="137"/>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minimise the diversion of management's attention from other business concerns.</w:t>
      </w:r>
    </w:p>
    <w:p>
      <w:pPr>
        <w:spacing w:after="0" w:line="25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the event that the operations of an acquired group or business do not meet our performance expectations, we may have to restructure the acquired group or business or write-off the value of some or all of the assets of the acquired group or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impacted by a disruption to travel systems.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Many of our operations rely on the availability of air or other transportation for the distribution of clinical trial materials, study samples and personnel. A disruption to the air travel system or other travel systems could materially impact our operations. While we have developed contingency plans to minimise the impact of such events, a disruption to the availability of air transportation or other travel systems could have a material adverse impact on our activities and results of operations.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rely on our interactive voice response systems to provide accurate information regarding the randomisation of patients and the dosage required for patients enrolled in the trials.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develop and maintain computer run interactive voice response systems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invalidation of the trial, liability claims against the Group or all three.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control measures to mitigate the risk of a serious adverse event resulting from healthy volunteer Phase I trials.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 healthy volunteer Phase I trials including first-into-man trials. Due to the experimental nature of these studies, serious adverse events may arise. We mitigate such events by following Good Clinical Practice and ensuring appropriately trained and experienced clinical physicians are managing these trials and that internal Standard Operating Procedures and client protocols are rigorously adhered to. We also ensure that a signed contract is in place with the client in advance of clinical dosing with appropriate indemnifications and insurance coverage. We maintain our own no-faults clinical trial insurance. Following our internal review and submission, an Independent Ethics committee approves the study protocol and appropriate approval is obtained from the relevant regulatory body.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Industry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the continued outsourcing of research and development by the pharmaceutical, biotechnology and medical device industries.</w:t>
      </w:r>
    </w:p>
    <w:p>
      <w:pPr>
        <w:spacing w:after="0" w:line="2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utilise our services. In addition, if governmental regulations were changed, it could affect the ability of our clients to operate profitably, which may lead to a decrease in research spending and therefore this could have a material adverse effect on our business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Large pharmaceutical companies are increasingly consolidating their vendor base and entering strategic partnership arrangements with a limited number of outsource providers.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This has generally been positive for CRO’s as it has resulted in increased outsourcing by these companies. However, in an effort to drive further efficiencies in their development processes, large pharmaceutical companies in particular are increasingly looking to consolidate the number of outsource providers with which they engage, with many entering strategic partnership arrangements with a limited number of outsource providers. While we believe this trend will benefit large CRO’s with global capabilities and expertise such as ICON, and may also lead to increased outsourcing spend,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Financial Results and Financial Position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dependent upon a number of factors and can fluctuate from quarter to quarter.</w:t>
      </w:r>
    </w:p>
    <w:p>
      <w:pPr>
        <w:spacing w:after="0" w:line="25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results of operations in any quarter can fluctuate depending upon, among other things, the number and scope of ongoing client projects, the commencement, postponement, variation and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underutilisation during one part of a fiscal period by augmenting revenues during another part of that period. We believe that operating results for any particular quarter are not necessarily a meaningful indication of future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exchange rate fluctuations could adversely affect our results of operations.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This risk is partially mitigated by clauses in certain of our contracts which allow for price renegotiation with clients if changes in the relative value of those currencies exceed predetermined tolerances.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from quarter-to-quarter, which may affect our results of operations.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quarterly effective tax rate has depended and will continue to depend on the geographic distribution of our revenue and earnings amongst the multiple tax jurisdictions in which we operate and the tax law in those jurisdictions. Changes in the geographic mix of our results of operations amongst these jurisdictions may have a significant impact on our effective tax rate from quarter to quarter. In addition, as we operate in multiple tax jurisdictions, we may be subject to audits in certain jurisdictions. These audits may involve complex issues which could require an extended period of time for resolution. While we believe that adequate provisions for income taxes have been made in our financial statements, the resolution of audit issues may lead to differences which could have a significant impact on our effective tax rate.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revenue and the rate of conversion may slow.</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backlog at any date is not necessarily a meaningful predictor of future results, due to the potential for the cancellation or delay of projects underlying the backlog. No assurances can be given that we will be able to realise this backlog as net revenue. A failure to realise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21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i w:val="1"/>
          <w:iCs w:val="1"/>
          <w:color w:val="auto"/>
        </w:rPr>
        <w:t>Significant changes from our estimates of contingent consideration payable on acquisitions could have a serious adverse impact on our results of operations.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made a number of acquisitions in the past and will continue to review new acquisition opportunities. The cost of many of these acquisitions includes a portion which is contingent upon certain future events, such as the achievement of a particular revenue or earnings target. Where an acquisition agreement provides for such additional consideration, the amount of the estimated additional consideration is recognised on the acquisition date at fair value.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statement of operations or other comprehensive income depending on whether the asset or liability is considered a financial instrument. Significant estimates and judgements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adverse impact on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 is exposed to various risks in relation to our cash and cash equivalents and current asset investments.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Group’s treasury function actively manages our available cash resources and invests significant cash balances in various financial institutions to try to ensure optimum returns for our surplus cash balances. These balances are classified as cash and cash equivalents or current asset investments depending on the maturity of the related investment. Cash and cash equivalents comprise cash and highly liquid investments with maturities of three months or less. Current asset investments comprise highly liquid investments with maturities of greater than three months and minimum “A” rated fixed and floating rate securities.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principal sovereign risk relates to investments in U.S. Treasury funds), and other factors.</w:t>
      </w:r>
    </w:p>
    <w:p>
      <w:pPr>
        <w:spacing w:after="0" w:line="20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manage risks in relation to these balances through ongoing monitoring of the composition of the balances and ensuring that funds are invested in accordance with strict risk management policies and controls as specified by the Group’s Board of Directors.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Although we have not recognised any significant losses to date on our cash and cash equivalents or current asset investments, any significant declines in their market values could have a material adverse affect on our financial position and operating results.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Political, Legal or Regulatory Environment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opportunities as a result of health care reform and the expansion of managed care organisations.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healthcare reform proposals, the expansion of managed care organisations in the healthcare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business as a result of changes in the regulatory environment.</w:t>
      </w:r>
    </w:p>
    <w:p>
      <w:pPr>
        <w:spacing w:after="0" w:line="250"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5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19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 some or all of:</w:t>
      </w:r>
    </w:p>
    <w:p>
      <w:pPr>
        <w:spacing w:after="0" w:line="147" w:lineRule="exact"/>
        <w:rPr>
          <w:sz w:val="20"/>
          <w:szCs w:val="20"/>
          <w:color w:val="auto"/>
        </w:rPr>
      </w:pPr>
    </w:p>
    <w:p>
      <w:pPr>
        <w:ind w:left="1060" w:hanging="528"/>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termination of any research;</w:t>
      </w:r>
    </w:p>
    <w:p>
      <w:pPr>
        <w:spacing w:after="0" w:line="223" w:lineRule="exact"/>
        <w:rPr>
          <w:rFonts w:ascii="Arial" w:cs="Arial" w:eastAsia="Arial" w:hAnsi="Arial"/>
          <w:sz w:val="18"/>
          <w:szCs w:val="18"/>
          <w:color w:val="auto"/>
        </w:rPr>
      </w:pPr>
    </w:p>
    <w:p>
      <w:pPr>
        <w:ind w:left="1060" w:hanging="528"/>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disqualification of data;</w:t>
      </w:r>
    </w:p>
    <w:p>
      <w:pPr>
        <w:spacing w:after="0" w:line="223" w:lineRule="exact"/>
        <w:rPr>
          <w:rFonts w:ascii="Arial" w:cs="Arial" w:eastAsia="Arial" w:hAnsi="Arial"/>
          <w:sz w:val="18"/>
          <w:szCs w:val="18"/>
          <w:color w:val="auto"/>
        </w:rPr>
      </w:pPr>
    </w:p>
    <w:p>
      <w:pPr>
        <w:ind w:left="1060" w:hanging="528"/>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denial of the right to conduct business;</w:t>
      </w:r>
    </w:p>
    <w:p>
      <w:pPr>
        <w:spacing w:after="0" w:line="223" w:lineRule="exact"/>
        <w:rPr>
          <w:rFonts w:ascii="Arial" w:cs="Arial" w:eastAsia="Arial" w:hAnsi="Arial"/>
          <w:sz w:val="18"/>
          <w:szCs w:val="18"/>
          <w:color w:val="auto"/>
        </w:rPr>
      </w:pPr>
    </w:p>
    <w:p>
      <w:pPr>
        <w:ind w:left="1060" w:hanging="528"/>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criminal penalties;</w:t>
      </w:r>
    </w:p>
    <w:p>
      <w:pPr>
        <w:spacing w:after="0" w:line="223" w:lineRule="exact"/>
        <w:rPr>
          <w:rFonts w:ascii="Arial" w:cs="Arial" w:eastAsia="Arial" w:hAnsi="Arial"/>
          <w:sz w:val="18"/>
          <w:szCs w:val="18"/>
          <w:color w:val="auto"/>
        </w:rPr>
      </w:pPr>
    </w:p>
    <w:p>
      <w:pPr>
        <w:ind w:left="1060" w:hanging="528"/>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23" w:lineRule="exact"/>
        <w:rPr>
          <w:rFonts w:ascii="Arial" w:cs="Arial" w:eastAsia="Arial" w:hAnsi="Arial"/>
          <w:sz w:val="18"/>
          <w:szCs w:val="18"/>
          <w:color w:val="auto"/>
        </w:rPr>
      </w:pPr>
    </w:p>
    <w:p>
      <w:pPr>
        <w:ind w:left="1060" w:hanging="528"/>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of clients and/or business; and</w:t>
      </w:r>
    </w:p>
    <w:p>
      <w:pPr>
        <w:spacing w:after="0" w:line="223" w:lineRule="exact"/>
        <w:rPr>
          <w:rFonts w:ascii="Arial" w:cs="Arial" w:eastAsia="Arial" w:hAnsi="Arial"/>
          <w:sz w:val="18"/>
          <w:szCs w:val="18"/>
          <w:color w:val="auto"/>
        </w:rPr>
      </w:pPr>
    </w:p>
    <w:p>
      <w:pPr>
        <w:ind w:left="1060" w:hanging="528"/>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from clients and resulting material penalties, damages and costs.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claims brought against us could result in payment of substantial damages to plaintiffs and decrease our profitability.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Claims</w:t>
      </w:r>
    </w:p>
    <w:p>
      <w:pPr>
        <w:spacing w:after="0" w:line="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breach the terms of an agreement with a client, this could result in claims against us for substantial damages which could have a material adverse effect on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relating to Investigators</w:t>
      </w:r>
    </w:p>
    <w:p>
      <w:pPr>
        <w:spacing w:after="0" w:line="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from Clients</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Indemnifications provided by our clients against the risk of liability for personal injury to or death of the patients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what we believe is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 Also, the insurance policies contain exclusions which mean that the policy will not respond or provide cover in certain circumstances.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to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been subject to any liability claims that are expected to have a material effect on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and legal risks associated with our international operations.</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nationalisation of private assets and the imposition of exchange controls.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Appendix A: Risk Factors </w:t>
      </w:r>
      <w:r>
        <w:rPr>
          <w:rFonts w:ascii="Arial" w:cs="Arial" w:eastAsia="Arial" w:hAnsi="Arial"/>
          <w:sz w:val="18"/>
          <w:szCs w:val="18"/>
          <w:i w:val="1"/>
          <w:iCs w:val="1"/>
          <w:color w:val="auto"/>
        </w:rPr>
        <w:t>(continued)</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Finally, we operate in some countries where national laws may require not only accurate books and records, but also sufficient controls, policies and processes to ensure business is conducted without the influence of bribery and corruption. Given the high level of complexity of some of these laws there is a risk that some provisions may inadvertently be breached, for example through negligent behaviour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materialise, our results of operations and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Our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the market price of our common stock could lead to losses by investors.</w:t>
      </w: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sectPr>
      <w:pgSz w:w="11900" w:h="16838" w:orient="portrait"/>
      <w:cols w:equalWidth="0" w:num="1">
        <w:col w:w="11420"/>
      </w:cols>
      <w:pgMar w:left="240" w:top="5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a"/>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lowerRoman"/>
      <w:start w:val="1"/>
    </w:lvl>
    <w:lvl w:ilvl="1">
      <w:lvlJc w:val="left"/>
      <w:lvlText w:val="%2."/>
      <w:numFmt w:val="lowerLetter"/>
      <w:start w:val="1"/>
    </w:lvl>
  </w:abstractNum>
  <w:abstractNum w:abstractNumId="10">
    <w:nsid w:val="71F32454"/>
    <w:multiLevelType w:val="hybridMultilevel"/>
    <w:lvl w:ilvl="0">
      <w:lvlJc w:val="left"/>
      <w:lvlText w:val="(%1)"/>
      <w:numFmt w:val="lowerRoman"/>
      <w:start w:val="2"/>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8"/>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1)"/>
      <w:numFmt w:val="lowerRoman"/>
      <w:start w:val="2"/>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9"/>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2"/>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1)"/>
      <w:numFmt w:val="lowerLetter"/>
      <w:start w:val="3"/>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decimal"/>
      <w:start w:val="29"/>
    </w:lvl>
    <w:lvl w:ilvl="1">
      <w:lvlJc w:val="left"/>
      <w:lvlText w:val="(%2)"/>
      <w:numFmt w:val="lowerRoman"/>
      <w:start w:val="2"/>
    </w:lvl>
  </w:abstractNum>
  <w:abstractNum w:abstractNumId="38">
    <w:nsid w:val="3855585C"/>
    <w:multiLevelType w:val="hybridMultilevel"/>
    <w:lvl w:ilvl="0">
      <w:lvlJc w:val="left"/>
      <w:lvlText w:val="(%1)"/>
      <w:numFmt w:val="lowerRoman"/>
      <w:start w:val="1"/>
    </w:lvl>
  </w:abstractNum>
  <w:abstractNum w:abstractNumId="39">
    <w:nsid w:val="70A64E2A"/>
    <w:multiLevelType w:val="hybridMultilevel"/>
    <w:lvl w:ilvl="0">
      <w:lvlJc w:val="left"/>
      <w:lvlText w:val="(%1)"/>
      <w:numFmt w:val="lowerLetter"/>
      <w:start w:val="3"/>
    </w:lvl>
  </w:abstractNum>
  <w:abstractNum w:abstractNumId="40">
    <w:nsid w:val="6A2342EC"/>
    <w:multiLevelType w:val="hybridMultilevel"/>
    <w:lvl w:ilvl="0">
      <w:lvlJc w:val="left"/>
      <w:lvlText w:val="(%1)"/>
      <w:numFmt w:val="lowerLetter"/>
      <w:start w:val="5"/>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2019-12-09T11:59:09Z</dcterms:created>
  <dcterms:modified xsi:type="dcterms:W3CDTF">2019-12-09T11:59:09Z</dcterms:modified>
</cp:coreProperties>
</file>