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5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4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he Securities Exchange Act of 1934</w:t>
      </w:r>
    </w:p>
    <w:p>
      <w:pPr>
        <w:spacing w:after="0" w:line="200" w:lineRule="exact"/>
        <w:rPr>
          <w:sz w:val="24"/>
          <w:szCs w:val="24"/>
          <w:color w:val="auto"/>
        </w:rPr>
      </w:pPr>
    </w:p>
    <w:p>
      <w:pPr>
        <w:spacing w:after="0" w:line="277"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For the month of March 2025</w:t>
      </w:r>
    </w:p>
    <w:p>
      <w:pPr>
        <w:spacing w:after="0" w:line="200" w:lineRule="exact"/>
        <w:rPr>
          <w:sz w:val="24"/>
          <w:szCs w:val="24"/>
          <w:color w:val="auto"/>
        </w:rPr>
      </w:pPr>
    </w:p>
    <w:p>
      <w:pPr>
        <w:spacing w:after="0" w:line="2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7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333-08704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4480"/>
        <w:spacing w:after="0"/>
        <w:tabs>
          <w:tab w:leader="none" w:pos="6380" w:val="left"/>
        </w:tabs>
        <w:rPr>
          <w:sz w:val="20"/>
          <w:szCs w:val="20"/>
          <w:color w:val="auto"/>
        </w:rPr>
      </w:pPr>
      <w:r>
        <w:rPr>
          <w:rFonts w:ascii="Times New Roman" w:cs="Times New Roman" w:eastAsia="Times New Roman" w:hAnsi="Times New Roman"/>
          <w:sz w:val="18"/>
          <w:szCs w:val="18"/>
          <w:color w:val="auto"/>
        </w:rPr>
        <w:t>Form 20-F 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r>
        <w:rPr>
          <w:sz w:val="20"/>
          <w:szCs w:val="20"/>
          <w:color w:val="auto"/>
        </w:rPr>
        <w:tab/>
      </w:r>
      <w:r>
        <w:rPr>
          <w:rFonts w:ascii="Times New Roman" w:cs="Times New Roman" w:eastAsia="Times New Roman" w:hAnsi="Times New Roman"/>
          <w:sz w:val="17"/>
          <w:szCs w:val="17"/>
          <w:color w:val="auto"/>
        </w:rPr>
        <w:t>Form 40-F ______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4480"/>
        <w:spacing w:after="0"/>
        <w:tabs>
          <w:tab w:leader="none" w:pos="638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4480"/>
        <w:spacing w:after="0"/>
        <w:tabs>
          <w:tab w:leader="none" w:pos="638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ectPr>
          <w:pgSz w:w="11900" w:h="16838" w:orient="portrait"/>
          <w:cols w:equalWidth="0" w:num="1">
            <w:col w:w="10119"/>
          </w:cols>
          <w:pgMar w:left="340" w:top="1440" w:right="1440" w:bottom="1440" w:gutter="0" w:footer="0" w:header="0"/>
        </w:sectPr>
      </w:pPr>
    </w:p>
    <w:bookmarkStart w:id="1" w:name="page2"/>
    <w:bookmarkEnd w:id="1"/>
    <w:p>
      <w:pPr>
        <w:spacing w:after="0" w:line="21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70"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52"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35"/>
          <w:szCs w:val="35"/>
          <w:u w:val="single" w:color="auto"/>
          <w:color w:val="3051F2"/>
          <w:vertAlign w:val="superscript"/>
        </w:rPr>
        <w:t>99.1</w:t>
      </w:r>
      <w:r>
        <w:rPr>
          <w:sz w:val="20"/>
          <w:szCs w:val="20"/>
          <w:color w:val="auto"/>
        </w:rPr>
        <w:tab/>
      </w:r>
      <w:r>
        <w:rPr>
          <w:rFonts w:ascii="Times New Roman" w:cs="Times New Roman" w:eastAsia="Times New Roman" w:hAnsi="Times New Roman"/>
          <w:sz w:val="17"/>
          <w:szCs w:val="17"/>
          <w:u w:val="single" w:color="auto"/>
          <w:color w:val="0000FF"/>
        </w:rPr>
        <w:t>ICON plc Press Release issued March 31, 2025 - ICON plc Schedules First Quarter 2025 Earnings Conference Call</w:t>
      </w:r>
    </w:p>
    <w:p>
      <w:pPr>
        <w:sectPr>
          <w:pgSz w:w="11900" w:h="16838" w:orient="portrait"/>
          <w:cols w:equalWidth="0" w:num="1">
            <w:col w:w="10119"/>
          </w:cols>
          <w:pgMar w:left="340" w:top="1440" w:right="1440" w:bottom="1440" w:gutter="0" w:footer="0" w:header="0"/>
        </w:sectPr>
      </w:pPr>
    </w:p>
    <w:bookmarkStart w:id="2" w:name="page3"/>
    <w:bookmarkEnd w:id="2"/>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ICON plc</w:t>
            </w:r>
          </w:p>
        </w:tc>
      </w:tr>
      <w:tr>
        <w:trPr>
          <w:trHeight w:val="925"/>
        </w:trPr>
        <w:tc>
          <w:tcPr>
            <w:tcW w:w="7460" w:type="dxa"/>
            <w:vAlign w:val="bottom"/>
          </w:tcPr>
          <w:p>
            <w:pPr>
              <w:spacing w:after="0"/>
              <w:rPr>
                <w:sz w:val="24"/>
                <w:szCs w:val="24"/>
                <w:color w:val="auto"/>
              </w:rPr>
            </w:pP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Nigel Clerkin</w:t>
            </w:r>
          </w:p>
        </w:tc>
      </w:tr>
      <w:tr>
        <w:trPr>
          <w:trHeight w:val="225"/>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2025</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Nigel Clerkin</w:t>
            </w:r>
          </w:p>
        </w:tc>
      </w:tr>
      <w:tr>
        <w:trPr>
          <w:trHeight w:val="234"/>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364490</wp:posOffset>
            </wp:positionV>
            <wp:extent cx="1619885"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plc Schedules First Quarter 2025 Earnings Conference Call</w:t>
      </w:r>
    </w:p>
    <w:p>
      <w:pPr>
        <w:spacing w:after="0" w:line="2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Dublin, Ireland, March 31, 2025 </w:t>
      </w:r>
      <w:r>
        <w:rPr>
          <w:rFonts w:ascii="Times New Roman" w:cs="Times New Roman" w:eastAsia="Times New Roman" w:hAnsi="Times New Roman"/>
          <w:sz w:val="18"/>
          <w:szCs w:val="18"/>
          <w:color w:val="auto"/>
        </w:rPr>
        <w:t>– ICON plc,</w:t>
      </w:r>
      <w:r>
        <w:rPr>
          <w:rFonts w:ascii="Times New Roman" w:cs="Times New Roman" w:eastAsia="Times New Roman" w:hAnsi="Times New Roman"/>
          <w:sz w:val="18"/>
          <w:szCs w:val="18"/>
          <w:b w:val="1"/>
          <w:bCs w:val="1"/>
          <w:color w:val="auto"/>
        </w:rPr>
        <w:t xml:space="preserve"> (NASDAQ: ICLR) </w:t>
      </w:r>
      <w:r>
        <w:rPr>
          <w:rFonts w:ascii="Times New Roman" w:cs="Times New Roman" w:eastAsia="Times New Roman" w:hAnsi="Times New Roman"/>
          <w:sz w:val="18"/>
          <w:szCs w:val="18"/>
          <w:color w:val="auto"/>
        </w:rPr>
        <w:t>a world-leading clinical research organisation powered by healthcare intelligence,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announced that it will release its financial results for the first quarter 2025 after the market closes on Wednesday, April 30, 2025. The company will hold a conference call and webcast to discuss its financial results and performance on Thursday, May 1, 2025 at 8:00am ET.</w:t>
      </w:r>
    </w:p>
    <w:p>
      <w:pPr>
        <w:spacing w:after="0" w:line="21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Any changes to these events and links to the live webcasts (where available) will be posted on the Investor section of our website under “Events”. A webcast replay of the conference call will be available approximately one hour following the conclusion of the call.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ICON plc</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ICON plc is a world-leading clinical research organisation powered by healthcare intelligence.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41,900 employees in 106 locations in 55 countries as at December 31, 2024. For further information about ICON, visit: www.iconplc.com.</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Kate Haven Vice President Investor Relations +1888 381 7923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ICON/ICLR-G</w:t>
      </w:r>
    </w:p>
    <w:sectPr>
      <w:pgSz w:w="11900" w:h="16838" w:orient="portrait"/>
      <w:cols w:equalWidth="0" w:num="1">
        <w:col w:w="11240"/>
      </w:cols>
      <w:pgMar w:left="320" w:top="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2025-03-31T05:43:23Z</dcterms:created>
  <dcterms:modified xsi:type="dcterms:W3CDTF">2025-03-31T05:43:23Z</dcterms:modified>
</cp:coreProperties>
</file>