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18"/>
          <w:szCs w:val="18"/>
          <w:b w:val="1"/>
          <w:bCs w:val="1"/>
          <w:color w:val="auto"/>
        </w:rPr>
        <w:t>FORM 6-K</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8"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November, 2012</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460"/>
        <w:spacing w:after="0"/>
        <w:tabs>
          <w:tab w:leader="none" w:pos="662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460"/>
        <w:spacing w:after="0"/>
        <w:tabs>
          <w:tab w:leader="none" w:pos="66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460"/>
        <w:spacing w:after="0"/>
        <w:tabs>
          <w:tab w:leader="none" w:pos="66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460"/>
        <w:spacing w:after="0"/>
        <w:tabs>
          <w:tab w:leader="none" w:pos="66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29"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2012 we had approximately 9,280 employees, in 82 locations in 40 countries. During the nine months ended September 30, 2012, we derived approximately 43.1%, 44.7% and 12.2% of our net revenue in the United States, Europe and Rest of World, respectively.</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February 28, 2012 the Company acquired 100% of the common stock of PriceSpective LLC (“PriceSpective”), a global leader in value strategy consulting. Headquartered in Philadelphia, and with offices in London, Los Angeles, San Diego, Raleigh and Boston, PriceSpective is a premier consultancy that has a strong reputation for excellence in strategic pricing, market access, HEOR, due diligence support and payer engagement services. Since PriceSpective’s inception in 2003, it has developed strategies for dozens of new product launches, and hundreds of development and in-market products, across 40+ disease areas </w:t>
      </w:r>
      <w:r>
        <w:rPr>
          <w:rFonts w:ascii="Arial" w:cs="Arial" w:eastAsia="Arial" w:hAnsi="Arial"/>
          <w:sz w:val="18"/>
          <w:szCs w:val="18"/>
          <w:i w:val="1"/>
          <w:iCs w:val="1"/>
          <w:color w:val="auto"/>
        </w:rPr>
        <w:t>(see note 3 Business Combinations for further information).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February 15, 2012 the Company acquired 100% of the common stock of BeijingWits Medical Limited (“BeijingWits Medical”), a leading Chinese CRO, with over 100 highly qualified and experienced professionals in Beijing, Shanghai, Chengdu, Guangzhou, Wuhan and Hong Kong </w:t>
      </w:r>
      <w:r>
        <w:rPr>
          <w:rFonts w:ascii="Arial" w:cs="Arial" w:eastAsia="Arial" w:hAnsi="Arial"/>
          <w:sz w:val="18"/>
          <w:szCs w:val="18"/>
          <w:i w:val="1"/>
          <w:iCs w:val="1"/>
          <w:color w:val="auto"/>
        </w:rPr>
        <w:t>(see note 3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for further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October 27, 2011 the Company announced its intention to commence a share repurchase program of up to $50 million. The Company has subsequently entered into a number of share repurchase plans to effect this program. As at September 30, 2012 1,283,938 ordinary shares have been repurchased by the Company for a total consideration of $24.6 million. </w:t>
      </w:r>
      <w:r>
        <w:rPr>
          <w:rFonts w:ascii="Arial" w:cs="Arial" w:eastAsia="Arial" w:hAnsi="Arial"/>
          <w:sz w:val="18"/>
          <w:szCs w:val="18"/>
          <w:i w:val="1"/>
          <w:iCs w:val="1"/>
          <w:color w:val="auto"/>
        </w:rPr>
        <w:t>(See note 8 Share Capital for further information</w:t>
      </w:r>
      <w:r>
        <w:rPr>
          <w:rFonts w:ascii="Arial" w:cs="Arial" w:eastAsia="Arial" w:hAnsi="Arial"/>
          <w:sz w:val="18"/>
          <w:szCs w:val="18"/>
          <w:color w:val="auto"/>
        </w:rPr>
        <w: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SEPTEMBER 30, 2012 AND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(Unaudited)</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September 30,</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r>
      <w:tr>
        <w:trPr>
          <w:trHeight w:val="220"/>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19"/>
                <w:szCs w:val="19"/>
                <w:color w:val="auto"/>
              </w:rPr>
            </w:pPr>
          </w:p>
        </w:tc>
        <w:tc>
          <w:tcPr>
            <w:tcW w:w="288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20" w:type="dxa"/>
            <w:vAlign w:val="bottom"/>
          </w:tcPr>
          <w:p>
            <w:pPr>
              <w:spacing w:after="0"/>
              <w:rPr>
                <w:sz w:val="20"/>
                <w:szCs w:val="20"/>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119,371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119,237</w:t>
            </w: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Short term investments - available for sale</w:t>
            </w:r>
          </w:p>
        </w:tc>
        <w:tc>
          <w:tcPr>
            <w:tcW w:w="1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60,542</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54,940</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231,097</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201,338</w:t>
            </w: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Unbilled revenue</w:t>
            </w:r>
          </w:p>
        </w:tc>
        <w:tc>
          <w:tcPr>
            <w:tcW w:w="1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114,356</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126,850</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receivables</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13,133</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13,788</w:t>
            </w: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Deferred tax asset</w:t>
            </w:r>
          </w:p>
        </w:tc>
        <w:tc>
          <w:tcPr>
            <w:tcW w:w="1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23,128</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14,662</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Prepayments and other current assets</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23,256</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21,424</w:t>
            </w:r>
          </w:p>
        </w:tc>
      </w:tr>
      <w:tr>
        <w:trPr>
          <w:trHeight w:val="223"/>
        </w:trPr>
        <w:tc>
          <w:tcPr>
            <w:tcW w:w="20" w:type="dxa"/>
            <w:vAlign w:val="bottom"/>
          </w:tcPr>
          <w:p>
            <w:pPr>
              <w:spacing w:after="0"/>
              <w:rPr>
                <w:sz w:val="19"/>
                <w:szCs w:val="19"/>
                <w:color w:val="auto"/>
              </w:rPr>
            </w:pPr>
          </w:p>
        </w:tc>
        <w:tc>
          <w:tcPr>
            <w:tcW w:w="7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Income taxes receivable</w:t>
            </w:r>
          </w:p>
        </w:tc>
        <w:tc>
          <w:tcPr>
            <w:tcW w:w="1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8,537</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8,183</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593,420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560,422</w:t>
            </w: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Other Assets:</w:t>
            </w: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165,081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168,461</w:t>
            </w: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325,264</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253,393</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other assets</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5,155</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4,583</w:t>
            </w: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Non-current income taxes receivable</w:t>
            </w:r>
          </w:p>
        </w:tc>
        <w:tc>
          <w:tcPr>
            <w:tcW w:w="1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13,694</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10,272</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deferred tax asset</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10,205</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10,076</w:t>
            </w:r>
          </w:p>
        </w:tc>
      </w:tr>
      <w:tr>
        <w:trPr>
          <w:trHeight w:val="223"/>
        </w:trPr>
        <w:tc>
          <w:tcPr>
            <w:tcW w:w="20" w:type="dxa"/>
            <w:vAlign w:val="bottom"/>
          </w:tcPr>
          <w:p>
            <w:pPr>
              <w:spacing w:after="0"/>
              <w:rPr>
                <w:sz w:val="19"/>
                <w:szCs w:val="19"/>
                <w:color w:val="auto"/>
              </w:rPr>
            </w:pPr>
          </w:p>
        </w:tc>
        <w:tc>
          <w:tcPr>
            <w:tcW w:w="7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Intangible assets</w:t>
            </w:r>
          </w:p>
        </w:tc>
        <w:tc>
          <w:tcPr>
            <w:tcW w:w="1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22,410</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28,260</w:t>
            </w:r>
          </w:p>
        </w:tc>
      </w:tr>
      <w:tr>
        <w:trPr>
          <w:trHeight w:val="257"/>
        </w:trPr>
        <w:tc>
          <w:tcPr>
            <w:tcW w:w="20" w:type="dxa"/>
            <w:vAlign w:val="bottom"/>
          </w:tcPr>
          <w:p>
            <w:pPr>
              <w:spacing w:after="0"/>
              <w:rPr>
                <w:sz w:val="22"/>
                <w:szCs w:val="22"/>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1,135,229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1,035,467</w:t>
            </w: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9,326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5,340</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account</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185,835</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150,792</w:t>
            </w: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182,234</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145,963</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liability</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1,428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r>
      <w:tr>
        <w:trPr>
          <w:trHeight w:val="223"/>
        </w:trPr>
        <w:tc>
          <w:tcPr>
            <w:tcW w:w="20" w:type="dxa"/>
            <w:vAlign w:val="bottom"/>
          </w:tcPr>
          <w:p>
            <w:pPr>
              <w:spacing w:after="0"/>
              <w:rPr>
                <w:sz w:val="19"/>
                <w:szCs w:val="19"/>
                <w:color w:val="auto"/>
              </w:rPr>
            </w:pPr>
          </w:p>
        </w:tc>
        <w:tc>
          <w:tcPr>
            <w:tcW w:w="7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Income taxes payable</w:t>
            </w:r>
          </w:p>
        </w:tc>
        <w:tc>
          <w:tcPr>
            <w:tcW w:w="1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5,449</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3,630</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384,272</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306,908</w:t>
            </w: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Other Liabilities:</w:t>
            </w: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other liabilities</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7,739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20,038</w:t>
            </w: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Non-current government grants</w:t>
            </w:r>
          </w:p>
        </w:tc>
        <w:tc>
          <w:tcPr>
            <w:tcW w:w="1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1,457</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1,351</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income taxes payable</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3,401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5,231</w:t>
            </w: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Non-current deferred tax liability</w:t>
            </w:r>
          </w:p>
        </w:tc>
        <w:tc>
          <w:tcPr>
            <w:tcW w:w="1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19,319</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20,395</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59,807,333 shares issued and outstanding at September 30, 2012 and</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60,135,603 shares issued and outstanding at December 31, 2011</w:t>
            </w:r>
          </w:p>
        </w:tc>
        <w:tc>
          <w:tcPr>
            <w:tcW w:w="1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5,031</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5,055</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226,414</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211,549</w:t>
            </w: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Capital redemption reserve</w:t>
            </w:r>
          </w:p>
        </w:tc>
        <w:tc>
          <w:tcPr>
            <w:tcW w:w="1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w:t>
            </w:r>
          </w:p>
        </w:tc>
      </w:tr>
      <w:tr>
        <w:trPr>
          <w:trHeight w:val="223"/>
        </w:trPr>
        <w:tc>
          <w:tcPr>
            <w:tcW w:w="20" w:type="dxa"/>
            <w:vAlign w:val="bottom"/>
          </w:tcPr>
          <w:p>
            <w:pPr>
              <w:spacing w:after="0"/>
              <w:rPr>
                <w:sz w:val="19"/>
                <w:szCs w:val="19"/>
                <w:color w:val="auto"/>
              </w:rPr>
            </w:pPr>
          </w:p>
        </w:tc>
        <w:tc>
          <w:tcPr>
            <w:tcW w:w="7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Retained earnings</w:t>
            </w:r>
          </w:p>
        </w:tc>
        <w:tc>
          <w:tcPr>
            <w:tcW w:w="1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500,220</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481,342</w:t>
            </w:r>
          </w:p>
        </w:tc>
      </w:tr>
      <w:tr>
        <w:trPr>
          <w:trHeight w:val="223"/>
        </w:trPr>
        <w:tc>
          <w:tcPr>
            <w:tcW w:w="20" w:type="dxa"/>
            <w:vAlign w:val="bottom"/>
          </w:tcPr>
          <w:p>
            <w:pPr>
              <w:spacing w:after="0"/>
              <w:rPr>
                <w:sz w:val="19"/>
                <w:szCs w:val="19"/>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719,041</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681,544</w:t>
            </w:r>
          </w:p>
        </w:tc>
      </w:tr>
      <w:tr>
        <w:trPr>
          <w:trHeight w:val="216"/>
        </w:trPr>
        <w:tc>
          <w:tcPr>
            <w:tcW w:w="20" w:type="dxa"/>
            <w:vAlign w:val="bottom"/>
            <w:tcBorders>
              <w:bottom w:val="single" w:sz="8" w:color="auto"/>
            </w:tcBorders>
          </w:tcPr>
          <w:p>
            <w:pPr>
              <w:spacing w:after="0"/>
              <w:rPr>
                <w:sz w:val="18"/>
                <w:szCs w:val="18"/>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1,135,229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1,035,467</w:t>
            </w:r>
          </w:p>
        </w:tc>
      </w:tr>
      <w:tr>
        <w:trPr>
          <w:trHeight w:val="21"/>
        </w:trPr>
        <w:tc>
          <w:tcPr>
            <w:tcW w:w="20" w:type="dxa"/>
            <w:vAlign w:val="bottom"/>
          </w:tcPr>
          <w:p>
            <w:pPr>
              <w:spacing w:after="0" w:line="20" w:lineRule="exact"/>
              <w:rPr>
                <w:sz w:val="1"/>
                <w:szCs w:val="1"/>
                <w:color w:val="auto"/>
              </w:rPr>
            </w:pPr>
          </w:p>
        </w:tc>
        <w:tc>
          <w:tcPr>
            <w:tcW w:w="7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7"/>
              </w:rPr>
              <w:t>ICON plc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17"/>
          </w:tcPr>
          <w:p>
            <w:pPr>
              <w:jc w:val="center"/>
              <w:ind w:left="27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2"/>
          </w:tcPr>
          <w:p>
            <w:pPr>
              <w:jc w:val="center"/>
              <w:ind w:left="1450"/>
              <w:spacing w:after="0"/>
              <w:rPr>
                <w:sz w:val="20"/>
                <w:szCs w:val="20"/>
                <w:color w:val="auto"/>
              </w:rPr>
            </w:pPr>
            <w:r>
              <w:rPr>
                <w:rFonts w:ascii="Arial" w:cs="Arial" w:eastAsia="Arial" w:hAnsi="Arial"/>
                <w:sz w:val="18"/>
                <w:szCs w:val="18"/>
                <w:b w:val="1"/>
                <w:bCs w:val="1"/>
                <w:color w:val="auto"/>
                <w:w w:val="98"/>
              </w:rPr>
              <w:t>FOR THE THREE AND NINE MONTHS ENDED SEPTEMBER 30, 2012 AND SEPTEMBER 30, 2011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980" w:type="dxa"/>
            <w:vAlign w:val="bottom"/>
            <w:gridSpan w:val="7"/>
          </w:tcPr>
          <w:p>
            <w:pPr>
              <w:jc w:val="center"/>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7"/>
          </w:tcPr>
          <w:p>
            <w:pPr>
              <w:spacing w:after="0" w:line="194" w:lineRule="exact"/>
              <w:rPr>
                <w:sz w:val="20"/>
                <w:szCs w:val="20"/>
                <w:color w:val="auto"/>
              </w:rPr>
            </w:pPr>
            <w:r>
              <w:rPr>
                <w:rFonts w:ascii="Arial" w:cs="Arial" w:eastAsia="Arial" w:hAnsi="Arial"/>
                <w:sz w:val="18"/>
                <w:szCs w:val="18"/>
                <w:b w:val="1"/>
                <w:bCs w:val="1"/>
                <w:color w:val="auto"/>
                <w:w w:val="90"/>
              </w:rPr>
              <w:t>Three Months Ended</w:t>
            </w:r>
          </w:p>
        </w:tc>
        <w:tc>
          <w:tcPr>
            <w:tcW w:w="80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40" w:type="dxa"/>
            <w:vAlign w:val="bottom"/>
            <w:gridSpan w:val="10"/>
          </w:tcPr>
          <w:p>
            <w:pPr>
              <w:jc w:val="right"/>
              <w:ind w:right="800"/>
              <w:spacing w:after="0" w:line="194" w:lineRule="exact"/>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60" w:type="dxa"/>
            <w:vAlign w:val="bottom"/>
            <w:gridSpan w:val="18"/>
          </w:tcPr>
          <w:p>
            <w:pPr>
              <w:jc w:val="right"/>
              <w:ind w:right="120"/>
              <w:spacing w:after="0"/>
              <w:rPr>
                <w:sz w:val="20"/>
                <w:szCs w:val="20"/>
                <w:color w:val="auto"/>
              </w:rPr>
            </w:pPr>
            <w:r>
              <w:rPr>
                <w:rFonts w:ascii="Arial" w:cs="Arial" w:eastAsia="Arial" w:hAnsi="Arial"/>
                <w:sz w:val="18"/>
                <w:szCs w:val="18"/>
                <w:b w:val="1"/>
                <w:bCs w:val="1"/>
                <w:color w:val="auto"/>
                <w:w w:val="94"/>
              </w:rPr>
              <w:t>(in thousands except share and per share data)</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revenue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374,965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335,332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1,097,640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958,575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Reimbursable expenses</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(89,463)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(94,560)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(282,798)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(255,461)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Net revenue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8"/>
                <w:szCs w:val="18"/>
                <w:color w:val="auto"/>
              </w:rPr>
              <w:t>285,502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240,772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5"/>
          </w:tcPr>
          <w:p>
            <w:pPr>
              <w:jc w:val="right"/>
              <w:ind w:right="120"/>
              <w:spacing w:after="0"/>
              <w:rPr>
                <w:sz w:val="20"/>
                <w:szCs w:val="20"/>
                <w:color w:val="auto"/>
              </w:rPr>
            </w:pPr>
            <w:r>
              <w:rPr>
                <w:rFonts w:ascii="Arial" w:cs="Arial" w:eastAsia="Arial" w:hAnsi="Arial"/>
                <w:sz w:val="18"/>
                <w:szCs w:val="18"/>
                <w:color w:val="auto"/>
              </w:rPr>
              <w:t>814,842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703,114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Costs and expenses: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costs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183,332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158,343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525,743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453,679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8"/>
                <w:szCs w:val="18"/>
                <w:color w:val="auto"/>
              </w:rPr>
              <w:t>70,690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71,629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5"/>
          </w:tcPr>
          <w:p>
            <w:pPr>
              <w:jc w:val="right"/>
              <w:ind w:right="120"/>
              <w:spacing w:after="0"/>
              <w:rPr>
                <w:sz w:val="20"/>
                <w:szCs w:val="20"/>
                <w:color w:val="auto"/>
              </w:rPr>
            </w:pPr>
            <w:r>
              <w:rPr>
                <w:rFonts w:ascii="Arial" w:cs="Arial" w:eastAsia="Arial" w:hAnsi="Arial"/>
                <w:sz w:val="18"/>
                <w:szCs w:val="18"/>
                <w:color w:val="auto"/>
              </w:rPr>
              <w:t>207,615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188,856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10,601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9,667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32,233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27,969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Restructuring and other non-recurring items</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4,815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5,636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264,623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244,454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771,227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680,321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8"/>
                <w:szCs w:val="18"/>
                <w:color w:val="auto"/>
              </w:rPr>
              <w:t>20,879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(3,682)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5"/>
          </w:tcPr>
          <w:p>
            <w:pPr>
              <w:jc w:val="right"/>
              <w:ind w:right="120"/>
              <w:spacing w:after="0"/>
              <w:rPr>
                <w:sz w:val="20"/>
                <w:szCs w:val="20"/>
                <w:color w:val="auto"/>
              </w:rPr>
            </w:pPr>
            <w:r>
              <w:rPr>
                <w:rFonts w:ascii="Arial" w:cs="Arial" w:eastAsia="Arial" w:hAnsi="Arial"/>
                <w:sz w:val="18"/>
                <w:szCs w:val="18"/>
                <w:color w:val="auto"/>
              </w:rPr>
              <w:t>43,615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22,793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8"/>
                <w:szCs w:val="18"/>
                <w:color w:val="auto"/>
              </w:rPr>
              <w:t>20,627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(3,551)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5"/>
          </w:tcPr>
          <w:p>
            <w:pPr>
              <w:jc w:val="right"/>
              <w:ind w:right="120"/>
              <w:spacing w:after="0"/>
              <w:rPr>
                <w:sz w:val="20"/>
                <w:szCs w:val="20"/>
                <w:color w:val="auto"/>
              </w:rPr>
            </w:pPr>
            <w:r>
              <w:rPr>
                <w:rFonts w:ascii="Arial" w:cs="Arial" w:eastAsia="Arial" w:hAnsi="Arial"/>
                <w:sz w:val="18"/>
                <w:szCs w:val="18"/>
                <w:color w:val="auto"/>
              </w:rPr>
              <w:t>43,097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23,096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(2,889)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(8,424)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17,738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(2,663)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34,673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18,767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income/(loss) per Ordinary Share:</w:t>
            </w: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0.58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Diluted</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5"/>
          </w:tcPr>
          <w:p>
            <w:pPr>
              <w:jc w:val="right"/>
              <w:ind w:right="120"/>
              <w:spacing w:after="0"/>
              <w:rPr>
                <w:sz w:val="20"/>
                <w:szCs w:val="20"/>
                <w:color w:val="auto"/>
              </w:rPr>
            </w:pPr>
            <w:r>
              <w:rPr>
                <w:rFonts w:ascii="Arial" w:cs="Arial" w:eastAsia="Arial" w:hAnsi="Arial"/>
                <w:sz w:val="18"/>
                <w:szCs w:val="18"/>
                <w:color w:val="auto"/>
              </w:rPr>
              <w:t>0.29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(0.04)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ind w:right="120"/>
              <w:spacing w:after="0"/>
              <w:rPr>
                <w:sz w:val="20"/>
                <w:szCs w:val="20"/>
                <w:color w:val="auto"/>
              </w:rPr>
            </w:pPr>
            <w:r>
              <w:rPr>
                <w:rFonts w:ascii="Arial" w:cs="Arial" w:eastAsia="Arial" w:hAnsi="Arial"/>
                <w:sz w:val="18"/>
                <w:szCs w:val="18"/>
                <w:color w:val="auto"/>
              </w:rPr>
              <w:t>0.57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8"/>
              </w:rPr>
              <w:t>Weighted average number of Ordinary Shares outstanding:</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59,754,010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60,471,985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59,939,570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60,381,814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60,366,137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61,063,020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60,391,199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61,096,464</w:t>
            </w:r>
          </w:p>
        </w:tc>
        <w:tc>
          <w:tcPr>
            <w:tcW w:w="0" w:type="dxa"/>
            <w:vAlign w:val="bottom"/>
          </w:tcPr>
          <w:p>
            <w:pPr>
              <w:spacing w:after="0"/>
              <w:rPr>
                <w:sz w:val="1"/>
                <w:szCs w:val="1"/>
                <w:color w:val="auto"/>
              </w:rPr>
            </w:pPr>
          </w:p>
        </w:tc>
      </w:tr>
      <w:tr>
        <w:trPr>
          <w:trHeight w:val="21"/>
        </w:trPr>
        <w:tc>
          <w:tcPr>
            <w:tcW w:w="5160" w:type="dxa"/>
            <w:vAlign w:val="bottom"/>
            <w:gridSpan w:val="3"/>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280" w:type="dxa"/>
            <w:vAlign w:val="bottom"/>
            <w:gridSpan w:val="16"/>
          </w:tcPr>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7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7"/>
              </w:rPr>
              <w:t>ICON plc</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82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16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7"/>
              </w:rPr>
              <w:t>FOR THE NINE MONTHS ENDED SEPTEMBER 30, 2012 AND SEPTEMBER 30, 2011</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720" w:type="dxa"/>
            <w:vAlign w:val="bottom"/>
          </w:tcPr>
          <w:p>
            <w:pPr>
              <w:jc w:val="center"/>
              <w:ind w:right="1850"/>
              <w:spacing w:after="0"/>
              <w:rPr>
                <w:sz w:val="20"/>
                <w:szCs w:val="20"/>
                <w:color w:val="auto"/>
              </w:rPr>
            </w:pPr>
            <w:r>
              <w:rPr>
                <w:rFonts w:ascii="Arial" w:cs="Arial" w:eastAsia="Arial" w:hAnsi="Arial"/>
                <w:sz w:val="18"/>
                <w:szCs w:val="18"/>
                <w:b w:val="1"/>
                <w:bCs w:val="1"/>
                <w:color w:val="auto"/>
              </w:rPr>
              <w:t>(UNAUDITED)</w:t>
            </w:r>
          </w:p>
        </w:tc>
        <w:tc>
          <w:tcPr>
            <w:tcW w:w="2880" w:type="dxa"/>
            <w:vAlign w:val="bottom"/>
            <w:gridSpan w:val="3"/>
            <w:vMerge w:val="restart"/>
          </w:tcPr>
          <w:p>
            <w:pPr>
              <w:jc w:val="right"/>
              <w:ind w:right="7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September 30,</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34"/>
        </w:trPr>
        <w:tc>
          <w:tcPr>
            <w:tcW w:w="4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720" w:type="dxa"/>
            <w:vAlign w:val="bottom"/>
          </w:tcPr>
          <w:p>
            <w:pPr>
              <w:spacing w:after="0"/>
              <w:rPr>
                <w:sz w:val="20"/>
                <w:szCs w:val="20"/>
                <w:color w:val="auto"/>
              </w:rPr>
            </w:pPr>
          </w:p>
        </w:tc>
        <w:tc>
          <w:tcPr>
            <w:tcW w:w="288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4820" w:type="dxa"/>
            <w:vAlign w:val="bottom"/>
            <w:gridSpan w:val="3"/>
            <w:vMerge w:val="continue"/>
          </w:tcPr>
          <w:p>
            <w:pPr>
              <w:spacing w:after="0"/>
              <w:rPr>
                <w:sz w:val="18"/>
                <w:szCs w:val="18"/>
                <w:color w:val="auto"/>
              </w:rPr>
            </w:pPr>
          </w:p>
        </w:tc>
        <w:tc>
          <w:tcPr>
            <w:tcW w:w="3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34,673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tcPr>
          <w:p>
            <w:pPr>
              <w:spacing w:after="0" w:line="201" w:lineRule="exact"/>
              <w:rPr>
                <w:sz w:val="20"/>
                <w:szCs w:val="20"/>
                <w:color w:val="auto"/>
              </w:rPr>
            </w:pPr>
            <w:r>
              <w:rPr>
                <w:rFonts w:ascii="Arial" w:cs="Arial" w:eastAsia="Arial" w:hAnsi="Arial"/>
                <w:sz w:val="18"/>
                <w:szCs w:val="18"/>
                <w:color w:val="auto"/>
                <w:w w:val="99"/>
              </w:rPr>
              <w:t>Adjustments to reconcile net income to net cash provided by</w:t>
            </w:r>
          </w:p>
        </w:tc>
        <w:tc>
          <w:tcPr>
            <w:tcW w:w="3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3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disposal of property, plant and equipment</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Depreciation expense</w:t>
            </w:r>
          </w:p>
        </w:tc>
        <w:tc>
          <w:tcPr>
            <w:tcW w:w="37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26,146</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6,078</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Amortization of grants</w:t>
            </w:r>
          </w:p>
        </w:tc>
        <w:tc>
          <w:tcPr>
            <w:tcW w:w="37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 compensation expense</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8,834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rPr>
              <w:t>Deferred taxes</w:t>
            </w:r>
          </w:p>
        </w:tc>
        <w:tc>
          <w:tcPr>
            <w:tcW w:w="3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(9,475)</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Increase in accounts receivable</w:t>
            </w:r>
          </w:p>
        </w:tc>
        <w:tc>
          <w:tcPr>
            <w:tcW w:w="37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(27,509)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Decrease/(increase)</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unbilled revenue</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12,698</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w w:val="91"/>
              </w:rPr>
              <w:t>Decrease/(increase)</w:t>
            </w:r>
          </w:p>
        </w:tc>
        <w:tc>
          <w:tcPr>
            <w:tcW w:w="3100" w:type="dxa"/>
            <w:vAlign w:val="bottom"/>
          </w:tcPr>
          <w:p>
            <w:pPr>
              <w:ind w:left="20"/>
              <w:spacing w:after="0"/>
              <w:rPr>
                <w:sz w:val="20"/>
                <w:szCs w:val="20"/>
                <w:color w:val="auto"/>
              </w:rPr>
            </w:pPr>
            <w:r>
              <w:rPr>
                <w:rFonts w:ascii="Arial" w:cs="Arial" w:eastAsia="Arial" w:hAnsi="Arial"/>
                <w:sz w:val="18"/>
                <w:szCs w:val="18"/>
                <w:color w:val="auto"/>
              </w:rPr>
              <w:t>in other receivables</w:t>
            </w:r>
          </w:p>
        </w:tc>
        <w:tc>
          <w:tcPr>
            <w:tcW w:w="37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1,159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Decrease/(increase) in prepayments and other current assets</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Increase in other non current assets</w:t>
            </w:r>
          </w:p>
        </w:tc>
        <w:tc>
          <w:tcPr>
            <w:tcW w:w="37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Increase/(decrease) in payments on account</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35,724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Increase in other current liabilities</w:t>
            </w:r>
          </w:p>
        </w:tc>
        <w:tc>
          <w:tcPr>
            <w:tcW w:w="37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13,220</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Increase/(decrease) in other non current liabilities</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(Increase)/decrease in income taxes receivable</w:t>
            </w:r>
          </w:p>
        </w:tc>
        <w:tc>
          <w:tcPr>
            <w:tcW w:w="37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(4,074)</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Increase/(decrease) in accounts payable</w:t>
            </w:r>
          </w:p>
        </w:tc>
        <w:tc>
          <w:tcPr>
            <w:tcW w:w="37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3,915</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Net cash provided by/(used in) operating activities</w:t>
            </w:r>
          </w:p>
        </w:tc>
        <w:tc>
          <w:tcPr>
            <w:tcW w:w="37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101,473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gridSpan w:val="2"/>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Purchase of subsidiary undertakings</w:t>
            </w:r>
          </w:p>
        </w:tc>
        <w:tc>
          <w:tcPr>
            <w:tcW w:w="37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(68,995)</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acquired with subsidiary undertakings</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2,899</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Purchase of short term investments</w:t>
            </w:r>
          </w:p>
        </w:tc>
        <w:tc>
          <w:tcPr>
            <w:tcW w:w="37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(86,528)</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Sale of short term investments</w:t>
            </w:r>
          </w:p>
        </w:tc>
        <w:tc>
          <w:tcPr>
            <w:tcW w:w="37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81,710</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7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(93,275)</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(118,704)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gridSpan w:val="2"/>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exercise of share options</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5,287</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w w:val="86"/>
              </w:rPr>
              <w:t>Share issuance costs</w:t>
            </w:r>
          </w:p>
        </w:tc>
        <w:tc>
          <w:tcPr>
            <w:tcW w:w="3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benefit from the exercise of share options</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852</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Repurchase of ordinary shares</w:t>
            </w:r>
          </w:p>
        </w:tc>
        <w:tc>
          <w:tcPr>
            <w:tcW w:w="37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(15,605)</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 repurchase costs</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Receipt of government grant</w:t>
            </w:r>
          </w:p>
        </w:tc>
        <w:tc>
          <w:tcPr>
            <w:tcW w:w="37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Drawdown of bank credit lines and loan facilities</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Repayment of bank credit lines and loan facilities</w:t>
            </w:r>
          </w:p>
        </w:tc>
        <w:tc>
          <w:tcPr>
            <w:tcW w:w="3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by)/provided by financing activities</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movements on cash</w:t>
            </w:r>
          </w:p>
        </w:tc>
        <w:tc>
          <w:tcPr>
            <w:tcW w:w="3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1,328</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119,237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255,706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gridSpan w:val="2"/>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119,371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126,787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90"/>
              </w:rPr>
              <w:t>Additional</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w w:val="89"/>
              </w:rPr>
              <w:t>Capital</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Other</w:t>
            </w: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Paid-in</w:t>
            </w:r>
          </w:p>
        </w:tc>
        <w:tc>
          <w:tcPr>
            <w:tcW w:w="140" w:type="dxa"/>
            <w:vAlign w:val="bottom"/>
          </w:tcPr>
          <w:p>
            <w:pPr>
              <w:spacing w:after="0"/>
              <w:rPr>
                <w:sz w:val="17"/>
                <w:szCs w:val="17"/>
                <w:color w:val="auto"/>
              </w:rPr>
            </w:pPr>
          </w:p>
        </w:tc>
        <w:tc>
          <w:tcPr>
            <w:tcW w:w="116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88"/>
              </w:rPr>
              <w:t>Redemption</w:t>
            </w:r>
          </w:p>
        </w:tc>
        <w:tc>
          <w:tcPr>
            <w:tcW w:w="13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7"/>
              </w:rPr>
              <w:t>Comprehensive</w:t>
            </w:r>
          </w:p>
        </w:tc>
        <w:tc>
          <w:tcPr>
            <w:tcW w:w="400" w:type="dxa"/>
            <w:vAlign w:val="bottom"/>
          </w:tcPr>
          <w:p>
            <w:pPr>
              <w:spacing w:after="0"/>
              <w:rPr>
                <w:sz w:val="17"/>
                <w:szCs w:val="17"/>
                <w:color w:val="auto"/>
              </w:rPr>
            </w:pPr>
          </w:p>
        </w:tc>
        <w:tc>
          <w:tcPr>
            <w:tcW w:w="82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6"/>
              </w:rPr>
              <w:t>Retained</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w w:val="88"/>
              </w:rPr>
              <w:t>Amount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w w:val="77"/>
              </w:rPr>
              <w:t>Reserve</w:t>
            </w:r>
          </w:p>
        </w:tc>
        <w:tc>
          <w:tcPr>
            <w:tcW w:w="180" w:type="dxa"/>
            <w:vAlign w:val="bottom"/>
          </w:tcPr>
          <w:p>
            <w:pPr>
              <w:spacing w:after="0"/>
              <w:rPr>
                <w:sz w:val="17"/>
                <w:szCs w:val="17"/>
                <w:color w:val="auto"/>
              </w:rPr>
            </w:pPr>
          </w:p>
        </w:tc>
        <w:tc>
          <w:tcPr>
            <w:tcW w:w="116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Income</w:t>
            </w:r>
          </w:p>
        </w:tc>
        <w:tc>
          <w:tcPr>
            <w:tcW w:w="400" w:type="dxa"/>
            <w:vAlign w:val="bottom"/>
          </w:tcPr>
          <w:p>
            <w:pPr>
              <w:spacing w:after="0"/>
              <w:rPr>
                <w:sz w:val="17"/>
                <w:szCs w:val="17"/>
                <w:color w:val="auto"/>
              </w:rPr>
            </w:pPr>
          </w:p>
        </w:tc>
        <w:tc>
          <w:tcPr>
            <w:tcW w:w="82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Earnings</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12"/>
          </w:tcPr>
          <w:p>
            <w:pPr>
              <w:jc w:val="right"/>
              <w:ind w:right="460"/>
              <w:spacing w:after="0"/>
              <w:rPr>
                <w:sz w:val="20"/>
                <w:szCs w:val="20"/>
                <w:color w:val="auto"/>
              </w:rPr>
            </w:pPr>
            <w:r>
              <w:rPr>
                <w:rFonts w:ascii="Arial" w:cs="Arial" w:eastAsia="Arial" w:hAnsi="Arial"/>
                <w:sz w:val="18"/>
                <w:szCs w:val="18"/>
                <w:b w:val="1"/>
                <w:bCs w:val="1"/>
                <w:color w:val="auto"/>
                <w:w w:val="89"/>
              </w:rPr>
              <w:t>(dollars in thousands, except share data)</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118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60,135,603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right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(16,446)</w:t>
            </w:r>
          </w:p>
        </w:tc>
        <w:tc>
          <w:tcPr>
            <w:tcW w:w="400" w:type="dxa"/>
            <w:vAlign w:val="bottom"/>
            <w:tcBorders>
              <w:bottom w:val="single" w:sz="8" w:color="auto"/>
              <w:right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481,342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681,544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34,673</w:t>
            </w:r>
          </w:p>
        </w:tc>
        <w:tc>
          <w:tcPr>
            <w:tcW w:w="3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Currency impact of long term</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funding</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3,040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 of long</w:t>
            </w: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term funding</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(379)</w:t>
            </w:r>
          </w:p>
        </w:tc>
        <w:tc>
          <w:tcPr>
            <w:tcW w:w="40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Unrealized capital gain -</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6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380" w:type="dxa"/>
            <w:vAlign w:val="bottom"/>
            <w:tcBorders>
              <w:top w:val="single" w:sz="8" w:color="auto"/>
              <w:bottom w:val="single" w:sz="8" w:color="auto"/>
              <w:right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spacing w:after="0"/>
              <w:rPr>
                <w:sz w:val="24"/>
                <w:szCs w:val="24"/>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400" w:type="dxa"/>
            <w:vAlign w:val="bottom"/>
            <w:tcBorders>
              <w:top w:val="single" w:sz="8" w:color="auto"/>
              <w:bottom w:val="single" w:sz="8" w:color="auto"/>
              <w:right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34,673</w:t>
            </w: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38,395</w:t>
            </w:r>
          </w:p>
        </w:tc>
        <w:tc>
          <w:tcPr>
            <w:tcW w:w="0" w:type="dxa"/>
            <w:vAlign w:val="bottom"/>
          </w:tcPr>
          <w:p>
            <w:pPr>
              <w:spacing w:after="0"/>
              <w:rPr>
                <w:sz w:val="1"/>
                <w:szCs w:val="1"/>
                <w:color w:val="auto"/>
              </w:rPr>
            </w:pPr>
          </w:p>
        </w:tc>
      </w:tr>
      <w:tr>
        <w:trPr>
          <w:trHeight w:val="432"/>
        </w:trPr>
        <w:tc>
          <w:tcPr>
            <w:tcW w:w="2660" w:type="dxa"/>
            <w:vAlign w:val="bottom"/>
            <w:gridSpan w:val="2"/>
          </w:tcPr>
          <w:p>
            <w:pPr>
              <w:spacing w:after="0"/>
              <w:rPr>
                <w:sz w:val="20"/>
                <w:szCs w:val="20"/>
                <w:color w:val="auto"/>
              </w:rPr>
            </w:pPr>
            <w:r>
              <w:rPr>
                <w:rFonts w:ascii="Arial" w:cs="Arial" w:eastAsia="Arial" w:hAnsi="Arial"/>
                <w:sz w:val="18"/>
                <w:szCs w:val="18"/>
                <w:color w:val="auto"/>
              </w:rPr>
              <w:t>Exercise of share options</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410,071</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5,255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Issue of ordinary shares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Share issuance costs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 stock compensation</w:t>
            </w: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Share repurchase programme</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(738,341)</w:t>
            </w:r>
          </w:p>
        </w:tc>
        <w:tc>
          <w:tcPr>
            <w:tcW w:w="2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(15,605)</w:t>
            </w:r>
          </w:p>
        </w:tc>
        <w:tc>
          <w:tcPr>
            <w:tcW w:w="3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costs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Tax benefit on exercise of options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852</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Balance at September 30, 2012</w:t>
            </w:r>
          </w:p>
        </w:tc>
        <w:tc>
          <w:tcPr>
            <w:tcW w:w="118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59,807,333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226,414</w:t>
            </w: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right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(12,724)</w:t>
            </w:r>
          </w:p>
        </w:tc>
        <w:tc>
          <w:tcPr>
            <w:tcW w:w="400" w:type="dxa"/>
            <w:vAlign w:val="bottom"/>
            <w:tcBorders>
              <w:bottom w:val="single" w:sz="8" w:color="auto"/>
              <w:right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500,220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719,041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2011. Operating results for the nine months ended September 30, 2012 are not necessarily indicative of the results that may be expected for the fiscal period ending December 31,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3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780" w:type="dxa"/>
            <w:vAlign w:val="bottom"/>
            <w:gridSpan w:val="7"/>
          </w:tcPr>
          <w:p>
            <w:pPr>
              <w:jc w:val="right"/>
              <w:ind w:right="10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3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330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68,521</w:t>
            </w:r>
          </w:p>
        </w:tc>
        <w:tc>
          <w:tcPr>
            <w:tcW w:w="4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3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4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(6,123)</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3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325,264</w:t>
            </w: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253,393</w:t>
            </w:r>
          </w:p>
        </w:tc>
        <w:tc>
          <w:tcPr>
            <w:tcW w:w="0" w:type="dxa"/>
            <w:vAlign w:val="bottom"/>
          </w:tcPr>
          <w:p>
            <w:pPr>
              <w:spacing w:after="0"/>
              <w:rPr>
                <w:sz w:val="1"/>
                <w:szCs w:val="1"/>
                <w:color w:val="auto"/>
              </w:rPr>
            </w:pPr>
          </w:p>
        </w:tc>
      </w:tr>
      <w:tr>
        <w:trPr>
          <w:trHeight w:val="426"/>
        </w:trPr>
        <w:tc>
          <w:tcPr>
            <w:tcW w:w="5340" w:type="dxa"/>
            <w:vAlign w:val="bottom"/>
            <w:gridSpan w:val="2"/>
          </w:tcPr>
          <w:p>
            <w:pPr>
              <w:spacing w:after="0"/>
              <w:rPr>
                <w:sz w:val="20"/>
                <w:szCs w:val="20"/>
                <w:color w:val="auto"/>
              </w:rPr>
            </w:pPr>
            <w:r>
              <w:rPr>
                <w:rFonts w:ascii="Arial" w:cs="Arial" w:eastAsia="Arial" w:hAnsi="Arial"/>
                <w:sz w:val="18"/>
                <w:szCs w:val="18"/>
                <w:color w:val="auto"/>
                <w:w w:val="96"/>
              </w:rPr>
              <w:t>The goodwill balance relates entirely to the clinical research segment</w:t>
            </w:r>
          </w:p>
        </w:tc>
        <w:tc>
          <w:tcPr>
            <w:tcW w:w="3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300" w:type="dxa"/>
            <w:vAlign w:val="bottom"/>
          </w:tcPr>
          <w:p>
            <w:pPr>
              <w:jc w:val="right"/>
              <w:ind w:right="2790"/>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PriceSpective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28, 2012 the Company acquired 100% of the common stock of PriceSpective, a global leader in value strategy consulting, for an initial cash consideration of $37.1 million. Headquartered in Philadelphia, and with offices in London, Los Angeles, San Diego, Raleigh and Boston. PriceSpective is a premier consultancy that has a strong reputation for excellence in strategic pricing, market access, Health Economics and Outcomes Research (“HEOR”), due diligence support and payer engagement services. Since PriceSpective’s inception in 2003, it has developed strategies for dozens of new product launches, and hundreds of development and in-market products, across 40+ disease areas. Further consideration of up to $15.0 million may become payable if certain performance milestones are achieved in respect of periods up to December 2012. On August 13, 2012 the Company paid $5.0 million in relation to performance milestones for the year ended December 31, 2011. At September 30, 2012 the Company has recorded a liability of $10.0 million in respect of the milestones for the year ended December 31,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the Company’s provisional estimates of the fair values of assets acquired and the liabilities assumed:</w:t>
            </w:r>
          </w:p>
        </w:tc>
        <w:tc>
          <w:tcPr>
            <w:tcW w:w="340" w:type="dxa"/>
            <w:vAlign w:val="bottom"/>
          </w:tcPr>
          <w:p>
            <w:pPr>
              <w:spacing w:after="0"/>
              <w:rPr>
                <w:sz w:val="20"/>
                <w:szCs w:val="20"/>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February 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Liabilities included in preliminary purchase price allocation</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37,132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right="40" w:hanging="132"/>
        <w:spacing w:after="0" w:line="277" w:lineRule="auto"/>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strategic pricing, market access, HEOR, due diligence support and payer engagement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BeijingWits Medical</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15, 2012 the Company acquired 100% of the common stock of BeijingWits Medical, a leading Chinese CRO, for an initial cash consideration of $9.0 million. BeijingWits Medical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Company’s service capabilities in the region, BeijingWits Medical will also strengthen the Company’s presence through the addition of over 100 highly qualified and experienced professionals in Beijing, Shanghai, Chengdu, Guangzhou, Wuhan and Hong Kong. Further consideration of up to $7.0 million may become payable if certain performance milestones are achieved in respect of periods up to December 31, 2013. At September 30, 2012 the Company has recorded a liability of $7.0 million in respect of the additional consideration.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978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the Company’s provisional estimates of the fair values of assets acquired and the liabilities assumed:</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February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Non current assets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9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
        </w:trPr>
        <w:tc>
          <w:tcPr>
            <w:tcW w:w="9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Liabilities included in preliminary purchase price allocation</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Goodwill represents the acquisition of an established workforce with experience in clinical trial execution and regulatory processes in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Acquisition of Firecrest Clinical</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July 14, 2011 the Company acquired 100% of the common stock of Firecrest Clinical Limited (“Firecrest”), a market leading provider of technology solutions that boost investigator site performance and study management, for an initial cash consideration of €17.0 million ($24.5 million). Headquartered in Limerick, Ireland, Firecrest Clinical provides a comprehensive site performance management system that is used to improve compliance consistency and execution of activities at investigative sites. Further consideration of up to €33.0 million ($46.8 million) may become payable if certain performance milestones are achieved in respect of periods up to June 30, 2013. At the date of acquisition the Company recorded a liability of €31.3 million ($44.0 million) in relation to these performance milestones. In March 2012 €3.0 million ($4.0million) was paid by the Company in relation to performance milestones for the six months ended June 30, 2011 and in July 2012 a further €10 million ($12.5 million) was paid by the Company in relation to performance milestones for the year ended December 31, 2011, both amounts representing the full amount of additional consideration potentially payable. At September 30, 2012 the Company has recorded a liability of €19.3 million ($25.0 million) in relation to the remaining performance milestones.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agreement also provided for certain working capital targets to be achieved by Firecrest Clinical on completion. In March 2012 the Company paid €0.4 million ($0.5 million) on completion of this review.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t xml:space="preserve">The acquisition of Firecrest Clinical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estimated fair values of the assets acquired and the liabilities assumed: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July 14</w:t>
            </w: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34"/>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 thousands)</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Goodwill*</w:t>
            </w:r>
          </w:p>
        </w:tc>
        <w:tc>
          <w:tcPr>
            <w:tcW w:w="29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48,073</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technology asset</w:t>
            </w:r>
          </w:p>
        </w:tc>
        <w:tc>
          <w:tcPr>
            <w:tcW w:w="2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11,169</w:t>
            </w: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Intangible asset – customer relationships</w:t>
            </w:r>
          </w:p>
        </w:tc>
        <w:tc>
          <w:tcPr>
            <w:tcW w:w="29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5,243</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order backlog</w:t>
            </w:r>
          </w:p>
        </w:tc>
        <w:tc>
          <w:tcPr>
            <w:tcW w:w="2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Intangible asset - trade name</w:t>
            </w:r>
          </w:p>
        </w:tc>
        <w:tc>
          <w:tcPr>
            <w:tcW w:w="29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1,357</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1,965</w:t>
            </w: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 current assets</w:t>
            </w:r>
          </w:p>
        </w:tc>
        <w:tc>
          <w:tcPr>
            <w:tcW w:w="29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3,713</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 liabilities</w:t>
            </w:r>
          </w:p>
        </w:tc>
        <w:tc>
          <w:tcPr>
            <w:tcW w:w="29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(2,521)</w:t>
            </w: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29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(44,028)</w:t>
            </w:r>
          </w:p>
        </w:tc>
      </w:tr>
      <w:tr>
        <w:trPr>
          <w:trHeight w:val="216"/>
        </w:trPr>
        <w:tc>
          <w:tcPr>
            <w:tcW w:w="20" w:type="dxa"/>
            <w:vAlign w:val="bottom"/>
            <w:tcBorders>
              <w:bottom w:val="single" w:sz="8" w:color="auto"/>
            </w:tcBorders>
          </w:tcPr>
          <w:p>
            <w:pPr>
              <w:spacing w:after="0"/>
              <w:rPr>
                <w:sz w:val="18"/>
                <w:szCs w:val="18"/>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24,463</w:t>
            </w:r>
          </w:p>
        </w:tc>
      </w:tr>
      <w:tr>
        <w:trPr>
          <w:trHeight w:val="21"/>
        </w:trPr>
        <w:tc>
          <w:tcPr>
            <w:tcW w:w="20" w:type="dxa"/>
            <w:vAlign w:val="bottom"/>
          </w:tcPr>
          <w:p>
            <w:pPr>
              <w:spacing w:after="0" w:line="20" w:lineRule="exact"/>
              <w:rPr>
                <w:sz w:val="1"/>
                <w:szCs w:val="1"/>
                <w:color w:val="auto"/>
              </w:rPr>
            </w:pPr>
          </w:p>
        </w:tc>
        <w:tc>
          <w:tcPr>
            <w:tcW w:w="71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1"/>
        </w:trPr>
        <w:tc>
          <w:tcPr>
            <w:tcW w:w="7140" w:type="dxa"/>
            <w:vAlign w:val="bottom"/>
            <w:gridSpan w:val="2"/>
          </w:tcPr>
          <w:p>
            <w:pPr>
              <w:spacing w:after="0"/>
              <w:rPr>
                <w:sz w:val="20"/>
                <w:szCs w:val="20"/>
                <w:color w:val="auto"/>
              </w:rPr>
            </w:pPr>
            <w:r>
              <w:rPr>
                <w:rFonts w:ascii="Arial" w:cs="Arial" w:eastAsia="Arial" w:hAnsi="Arial"/>
                <w:sz w:val="18"/>
                <w:szCs w:val="18"/>
                <w:color w:val="auto"/>
              </w:rPr>
              <w:t>Cash consideration</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24,463</w:t>
            </w:r>
          </w:p>
        </w:tc>
      </w:tr>
      <w:tr>
        <w:trPr>
          <w:trHeight w:val="237"/>
        </w:trPr>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Contingent consideration</w:t>
            </w:r>
          </w:p>
        </w:tc>
        <w:tc>
          <w:tcPr>
            <w:tcW w:w="2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44,028</w:t>
            </w:r>
          </w:p>
        </w:tc>
      </w:tr>
      <w:tr>
        <w:trPr>
          <w:trHeight w:val="202"/>
        </w:trPr>
        <w:tc>
          <w:tcPr>
            <w:tcW w:w="7140" w:type="dxa"/>
            <w:vAlign w:val="bottom"/>
            <w:gridSpan w:val="2"/>
          </w:tcPr>
          <w:p>
            <w:pPr>
              <w:spacing w:after="0" w:line="201" w:lineRule="exact"/>
              <w:rPr>
                <w:sz w:val="20"/>
                <w:szCs w:val="20"/>
                <w:color w:val="auto"/>
              </w:rPr>
            </w:pPr>
            <w:r>
              <w:rPr>
                <w:rFonts w:ascii="Arial" w:cs="Arial" w:eastAsia="Arial" w:hAnsi="Arial"/>
                <w:sz w:val="18"/>
                <w:szCs w:val="18"/>
                <w:color w:val="auto"/>
              </w:rPr>
              <w:t>Amount of total consideration</w:t>
            </w:r>
          </w:p>
        </w:tc>
        <w:tc>
          <w:tcPr>
            <w:tcW w:w="2980" w:type="dxa"/>
            <w:vAlign w:val="bottom"/>
          </w:tcPr>
          <w:p>
            <w:pPr>
              <w:spacing w:after="0"/>
              <w:rPr>
                <w:sz w:val="17"/>
                <w:szCs w:val="17"/>
                <w:color w:val="auto"/>
              </w:rPr>
            </w:pPr>
          </w:p>
        </w:tc>
        <w:tc>
          <w:tcPr>
            <w:tcW w:w="13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68,491</w:t>
            </w:r>
          </w:p>
        </w:tc>
      </w:tr>
      <w:tr>
        <w:trPr>
          <w:trHeight w:val="237"/>
        </w:trPr>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Liabilities included in preliminary purchase price allocation</w:t>
            </w:r>
          </w:p>
        </w:tc>
        <w:tc>
          <w:tcPr>
            <w:tcW w:w="2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(44,028)</w:t>
            </w:r>
          </w:p>
        </w:tc>
      </w:tr>
      <w:tr>
        <w:trPr>
          <w:trHeight w:val="216"/>
        </w:trPr>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assets acquired</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24,463</w:t>
            </w:r>
          </w:p>
        </w:tc>
      </w:tr>
      <w:tr>
        <w:trPr>
          <w:trHeight w:val="21"/>
        </w:trPr>
        <w:tc>
          <w:tcPr>
            <w:tcW w:w="20" w:type="dxa"/>
            <w:vAlign w:val="bottom"/>
          </w:tcPr>
          <w:p>
            <w:pPr>
              <w:spacing w:after="0" w:line="20" w:lineRule="exact"/>
              <w:rPr>
                <w:sz w:val="1"/>
                <w:szCs w:val="1"/>
                <w:color w:val="auto"/>
              </w:rPr>
            </w:pPr>
          </w:p>
        </w:tc>
        <w:tc>
          <w:tcPr>
            <w:tcW w:w="71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20" w:hanging="112"/>
        <w:spacing w:after="0" w:line="342" w:lineRule="auto"/>
        <w:tabs>
          <w:tab w:leader="none" w:pos="12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Goodwill represents the cost of an established workforce with experience in the development of site performance and study management systems and process related efficiencies expected to be generated from the use of the Firecrest site performance management system and is not tax deductible.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Acquisition of Oxford Outcomes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14, 2011 the Company acquired approximately 80% of the common stock of Oxford Outcomes Limited (“Oxford Outcomes”), a leading international health outcomes consultancy business, for an initial cash consideration of £17.8 million ($27.6 million). Headquartered in Oxford, United Kingdom, and with offices in the USA and Canada, Oxford Outcomes provides specialist services in the areas of patient reported outcomes (PRO), health economics, epidemiology and translation and linguistic validation. On the same day a put and call option was agreed between the Company and the selling shareholders for the acquisition of the remaining common stock of Oxford Outcomes during the year ended December 31, 2011 for cash consideration of £3.8 million ($6.0 million). This option was exercised in October 2011.</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 consideration of up to £8.0 million ($12.6 million) was potentially payable if certain performance milestones were achieved by Oxford Outcomes in respect of periods up to March 31, 2012; £4.0 million ($6.3 million) in respect of the year ended March 31, 2011 and £4.0 million ($6.3 million) in respect of the year ended March 31, 2012. Performance milestones in respect of both periods have been achieved. £4.0 million ($6.3 million) was paid during the year ended December 31, 2011 in respect of the milestone for the year ended March 31, 2011. A liability of £4.0 million ($6.4 million) has been recorded by the Company at September 30, 2012 in relation to the milestone for the year ended March 31, 2012. A part payment of £2.0 million ($3.3 million) in respect of this milestone was made by the Company in October 2012.</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agreement also provided for certain working capital targets to be achieved by Oxford Outcomes on completion. In May 2011 the Company paid an additional £3.3 million ($5.1 million) in respect of certain elements of this review and in March 2012 paid a further £0.8 million ($1.2 million) on completion of the review.</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 xml:space="preserve">The acquisition of Oxford Outcomes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estimated fair values of the assets acquired and the liabilities assumed: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January 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Goodwill*</w:t>
            </w:r>
          </w:p>
        </w:tc>
        <w:tc>
          <w:tcPr>
            <w:tcW w:w="29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2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29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 current assets</w:t>
            </w:r>
          </w:p>
        </w:tc>
        <w:tc>
          <w:tcPr>
            <w:tcW w:w="29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 liabilities</w:t>
            </w:r>
          </w:p>
        </w:tc>
        <w:tc>
          <w:tcPr>
            <w:tcW w:w="29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29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39,861</w:t>
            </w:r>
          </w:p>
        </w:tc>
        <w:tc>
          <w:tcPr>
            <w:tcW w:w="0" w:type="dxa"/>
            <w:vAlign w:val="bottom"/>
          </w:tcPr>
          <w:p>
            <w:pPr>
              <w:spacing w:after="0"/>
              <w:rPr>
                <w:sz w:val="1"/>
                <w:szCs w:val="1"/>
                <w:color w:val="auto"/>
              </w:rPr>
            </w:pPr>
          </w:p>
        </w:tc>
      </w:tr>
      <w:tr>
        <w:trPr>
          <w:trHeight w:val="21"/>
        </w:trPr>
        <w:tc>
          <w:tcPr>
            <w:tcW w:w="714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29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Put and call option</w:t>
            </w:r>
          </w:p>
        </w:tc>
        <w:tc>
          <w:tcPr>
            <w:tcW w:w="2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2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2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Liabilities included in preliminary purchase price allocation</w:t>
            </w:r>
          </w:p>
        </w:tc>
        <w:tc>
          <w:tcPr>
            <w:tcW w:w="2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hanging="112"/>
        <w:spacing w:after="0" w:line="277" w:lineRule="auto"/>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represents the cost of established workforce with experience in specialist services in the areas of patient reported outcomes (PRO), health economics, epidemiology and translation and linguistic validation and is not tax deductible.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non-recurring items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other non-recurring items recognized comprise: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80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gridSpan w:val="9"/>
          </w:tcPr>
          <w:p>
            <w:pPr>
              <w:jc w:val="center"/>
              <w:ind w:right="8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2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7"/>
              </w:rPr>
              <w:t>September 30,</w:t>
            </w:r>
          </w:p>
        </w:tc>
        <w:tc>
          <w:tcPr>
            <w:tcW w:w="300" w:type="dxa"/>
            <w:vAlign w:val="bottom"/>
          </w:tcPr>
          <w:p>
            <w:pPr>
              <w:spacing w:after="0"/>
              <w:rPr>
                <w:sz w:val="17"/>
                <w:szCs w:val="17"/>
                <w:color w:val="auto"/>
              </w:rPr>
            </w:pPr>
          </w:p>
        </w:tc>
        <w:tc>
          <w:tcPr>
            <w:tcW w:w="132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7"/>
              </w:rPr>
              <w:t>September 30,</w:t>
            </w:r>
          </w:p>
        </w:tc>
        <w:tc>
          <w:tcPr>
            <w:tcW w:w="280" w:type="dxa"/>
            <w:vAlign w:val="bottom"/>
          </w:tcPr>
          <w:p>
            <w:pPr>
              <w:spacing w:after="0"/>
              <w:rPr>
                <w:sz w:val="17"/>
                <w:szCs w:val="17"/>
                <w:color w:val="auto"/>
              </w:rPr>
            </w:pPr>
          </w:p>
        </w:tc>
        <w:tc>
          <w:tcPr>
            <w:tcW w:w="130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17"/>
                <w:szCs w:val="17"/>
                <w:color w:val="auto"/>
              </w:rPr>
            </w:pPr>
          </w:p>
        </w:tc>
        <w:tc>
          <w:tcPr>
            <w:tcW w:w="128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7"/>
                <w:szCs w:val="17"/>
                <w:color w:val="auto"/>
              </w:rPr>
            </w:pPr>
          </w:p>
        </w:tc>
        <w:tc>
          <w:tcPr>
            <w:tcW w:w="12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gridSpan w:val="9"/>
          </w:tcPr>
          <w:p>
            <w:pPr>
              <w:jc w:val="center"/>
              <w:ind w:right="82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9"/>
          </w:tcPr>
          <w:p>
            <w:pPr>
              <w:jc w:val="center"/>
              <w:ind w:right="80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4,815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4,525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non-recurring items</w:t>
            </w:r>
          </w:p>
        </w:tc>
        <w:tc>
          <w:tcPr>
            <w:tcW w:w="1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1,111</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4,815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5,636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Restructuring charges of $4.5 million were recorded during the nine months ended September 30, 2012 (inclusive of the release of $0.1 million relating to the 2011 Restructuring Plans). During the nine months ended September 30,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nine months ended September 30, 2012; $3.4 million in respect of resource rationalizations and $1.2 million in respect of lease termination and exit costs.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Details of the movement in this Restructuring Plan recognized during the nine months ended September 30, 2012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2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Reductions</w:t>
            </w:r>
          </w:p>
        </w:tc>
        <w:tc>
          <w:tcPr>
            <w:tcW w:w="2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Consolidations</w:t>
            </w:r>
          </w:p>
        </w:tc>
        <w:tc>
          <w:tcPr>
            <w:tcW w:w="5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(in thousands)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recognized</w:t>
            </w:r>
          </w:p>
        </w:tc>
        <w:tc>
          <w:tcPr>
            <w:tcW w:w="2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1,250</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 payments</w:t>
            </w:r>
          </w:p>
        </w:tc>
        <w:tc>
          <w:tcPr>
            <w:tcW w:w="2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(2,986)</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(483)</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at September 30, 2012</w:t>
            </w:r>
          </w:p>
        </w:tc>
        <w:tc>
          <w:tcPr>
            <w:tcW w:w="2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767</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680" w:type="dxa"/>
            <w:vAlign w:val="bottom"/>
            <w:gridSpan w:val="2"/>
          </w:tcPr>
          <w:p>
            <w:pPr>
              <w:spacing w:after="0"/>
              <w:rPr>
                <w:sz w:val="20"/>
                <w:szCs w:val="20"/>
                <w:color w:val="auto"/>
              </w:rPr>
            </w:pPr>
            <w:r>
              <w:rPr>
                <w:rFonts w:ascii="Arial" w:cs="Arial" w:eastAsia="Arial" w:hAnsi="Arial"/>
                <w:sz w:val="18"/>
                <w:szCs w:val="18"/>
                <w:i w:val="1"/>
                <w:iCs w:val="1"/>
                <w:color w:val="auto"/>
              </w:rPr>
              <w:t>Prior Period Restructuring Charges</w:t>
            </w: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2011 the Company commenced a review of its operations to improve resource utilization within the business and better align resources to current and future growth opportunities of the business. This review resulted in the adoption of an initial restructuring plan (the “Q1 2011 Plan”), which resulted in the closure of the Company’s facility in Edinburgh, United Kingdom and resource rationalizations in certain of the more mature markets in which it operates. A restructuring charge of $5.0 million was recognized in respect of this plan during the three months ended March 31, 2011, $1.0 million in respect of lease termination and exit costs associated with the closure of the Edinburgh facility and $4.0 million in respect of workforce reductions. $3.5 million of costs recognized under the Q1 2011 Plan related to the clinical research segment, while $1.5 million related to the central laboratory business.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September 30, 2011 the Company implemented a further restructuring plan (the “Q3 2011 Plan”) which resulted in the relocation of the Company’s facility in Maryland, USA; and further resource rationalizations. A restructuring charge of $4.8 million was recognized in respect of this plan during the three months ended September 30, 2011, $0.9 million in respect of lease termination and exit costs associated with the closure of the existing Maryland facility and $3.9 million in respect of workforce reductions. All costs recognized under the Q3 2011 Plan related to the clinical research segment.</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Details of the movement in the 2011 Restructuring Plans recognized during the year ended December 31, 2011 and for the nine months ended September 30, 2012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2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Reductions</w:t>
            </w:r>
          </w:p>
        </w:tc>
        <w:tc>
          <w:tcPr>
            <w:tcW w:w="2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Consolidations</w:t>
            </w:r>
          </w:p>
        </w:tc>
        <w:tc>
          <w:tcPr>
            <w:tcW w:w="5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(in thousands)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Q1 Plan - initial provision recognized</w:t>
            </w:r>
          </w:p>
        </w:tc>
        <w:tc>
          <w:tcPr>
            <w:tcW w:w="2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1,046</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Q3 Plan - initial provision recognized</w:t>
            </w:r>
          </w:p>
        </w:tc>
        <w:tc>
          <w:tcPr>
            <w:tcW w:w="28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3,880</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935</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recognized</w:t>
            </w:r>
          </w:p>
        </w:tc>
        <w:tc>
          <w:tcPr>
            <w:tcW w:w="2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1,981</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8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Property, plant and equipment write-off</w:t>
            </w:r>
          </w:p>
        </w:tc>
        <w:tc>
          <w:tcPr>
            <w:tcW w:w="28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8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439"/>
        </w:trPr>
        <w:tc>
          <w:tcPr>
            <w:tcW w:w="4240" w:type="dxa"/>
            <w:vAlign w:val="bottom"/>
            <w:gridSpan w:val="2"/>
          </w:tcPr>
          <w:p>
            <w:pPr>
              <w:spacing w:after="0"/>
              <w:rPr>
                <w:sz w:val="20"/>
                <w:szCs w:val="20"/>
                <w:color w:val="auto"/>
              </w:rPr>
            </w:pPr>
            <w:r>
              <w:rPr>
                <w:rFonts w:ascii="Arial" w:cs="Arial" w:eastAsia="Arial" w:hAnsi="Arial"/>
                <w:sz w:val="18"/>
                <w:szCs w:val="18"/>
                <w:color w:val="auto"/>
              </w:rPr>
              <w:t>Provision at December 31, 2011</w:t>
            </w:r>
          </w:p>
        </w:tc>
        <w:tc>
          <w:tcPr>
            <w:tcW w:w="2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2,234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1,640</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payments</w:t>
            </w:r>
          </w:p>
        </w:tc>
        <w:tc>
          <w:tcPr>
            <w:tcW w:w="28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(2,123)</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(1,134)</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Amounts released</w:t>
            </w:r>
          </w:p>
        </w:tc>
        <w:tc>
          <w:tcPr>
            <w:tcW w:w="28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Property, plant and equipment write-off</w:t>
            </w:r>
          </w:p>
        </w:tc>
        <w:tc>
          <w:tcPr>
            <w:tcW w:w="28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(263)</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8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Provision at September 30, 2012</w:t>
            </w:r>
          </w:p>
        </w:tc>
        <w:tc>
          <w:tcPr>
            <w:tcW w:w="2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176</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Borders>
              <w:top w:val="single" w:sz="8" w:color="auto"/>
              <w:bottom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20" w:type="dxa"/>
            <w:vAlign w:val="bottom"/>
          </w:tcPr>
          <w:p>
            <w:pPr>
              <w:jc w:val="right"/>
              <w:ind w:right="1170"/>
              <w:spacing w:after="0"/>
              <w:rPr>
                <w:sz w:val="20"/>
                <w:szCs w:val="20"/>
                <w:color w:val="auto"/>
              </w:rPr>
            </w:pPr>
            <w:r>
              <w:rPr>
                <w:rFonts w:ascii="Arial" w:cs="Arial" w:eastAsia="Arial" w:hAnsi="Arial"/>
                <w:sz w:val="18"/>
                <w:szCs w:val="18"/>
                <w:color w:val="auto"/>
              </w:rPr>
              <w:t>12</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Other Non-recurring Items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30, 2011 Mr. Peter Gray, retired as Chief Executive Officer (“CEO”) of the Company, in accordance with the provisions of his service agreement, which was terminable on twelve months notice by either party. On October 1, 2011 Mr. Gray was appointed Vice Chairman of the Board. On June 11, 2012 the Company entered into an agreement with Mr. Gray whereby Mr. Gray’s employment and directorship of ICON plc and other ICON group companies would terminate on July 19, 2012. Under the terms of this agreement Mr. Gray would be entitled to be paid €160,000 ($200,000) in lieu of the balance of his notice period and to receive a discretionary bonus of €194,000 ($243,000) in respect of 2012. In addition, under the agreement Mr. Gray’s unvested share options would vest on the date of termination of his employment. The Company has recognized a share-based compensation charge of $738,000 in respect of these options during the nine months ended September 30, 2012, $620,000 of which was recognized within restructuring and other non-recurring items during the three months ended June 30, 2012.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taxes recognized during the nine months ended September 30, 2012 comprise: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6"/>
          </w:tcPr>
          <w:p>
            <w:pPr>
              <w:jc w:val="right"/>
              <w:spacing w:after="0"/>
              <w:rPr>
                <w:sz w:val="20"/>
                <w:szCs w:val="20"/>
                <w:color w:val="auto"/>
              </w:rPr>
            </w:pPr>
            <w:r>
              <w:rPr>
                <w:rFonts w:ascii="Arial" w:cs="Arial" w:eastAsia="Arial" w:hAnsi="Arial"/>
                <w:sz w:val="18"/>
                <w:szCs w:val="18"/>
                <w:b w:val="1"/>
                <w:bCs w:val="1"/>
                <w:color w:val="auto"/>
                <w:w w:val="90"/>
              </w:rPr>
              <w:t>Three Months Ended</w:t>
            </w:r>
          </w:p>
        </w:tc>
        <w:tc>
          <w:tcPr>
            <w:tcW w:w="82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gridSpan w:val="9"/>
          </w:tcPr>
          <w:p>
            <w:pPr>
              <w:jc w:val="right"/>
              <w:ind w:right="800"/>
              <w:spacing w:after="0"/>
              <w:rPr>
                <w:sz w:val="20"/>
                <w:szCs w:val="20"/>
                <w:color w:val="auto"/>
              </w:rPr>
            </w:pPr>
            <w:r>
              <w:rPr>
                <w:rFonts w:ascii="Arial" w:cs="Arial" w:eastAsia="Arial" w:hAnsi="Arial"/>
                <w:sz w:val="18"/>
                <w:szCs w:val="18"/>
                <w:b w:val="1"/>
                <w:bCs w:val="1"/>
                <w:color w:val="auto"/>
                <w:w w:val="90"/>
              </w:rPr>
              <w:t>Nine Months Ended</w:t>
            </w:r>
          </w:p>
        </w:tc>
      </w:tr>
      <w:tr>
        <w:trPr>
          <w:trHeight w:val="20"/>
        </w:trPr>
        <w:tc>
          <w:tcPr>
            <w:tcW w:w="4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7"/>
              </w:rPr>
              <w:t>September 30,</w:t>
            </w:r>
          </w:p>
        </w:tc>
        <w:tc>
          <w:tcPr>
            <w:tcW w:w="300" w:type="dxa"/>
            <w:vAlign w:val="bottom"/>
          </w:tcPr>
          <w:p>
            <w:pPr>
              <w:spacing w:after="0"/>
              <w:rPr>
                <w:sz w:val="17"/>
                <w:szCs w:val="17"/>
                <w:color w:val="auto"/>
              </w:rPr>
            </w:pPr>
          </w:p>
        </w:tc>
        <w:tc>
          <w:tcPr>
            <w:tcW w:w="134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260" w:type="dxa"/>
            <w:vAlign w:val="bottom"/>
          </w:tcPr>
          <w:p>
            <w:pPr>
              <w:spacing w:after="0"/>
              <w:rPr>
                <w:sz w:val="17"/>
                <w:szCs w:val="17"/>
                <w:color w:val="auto"/>
              </w:rPr>
            </w:pPr>
          </w:p>
        </w:tc>
        <w:tc>
          <w:tcPr>
            <w:tcW w:w="132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w w:val="94"/>
              </w:rPr>
              <w:t>September 30,</w:t>
            </w:r>
          </w:p>
        </w:tc>
        <w:tc>
          <w:tcPr>
            <w:tcW w:w="260" w:type="dxa"/>
            <w:vAlign w:val="bottom"/>
          </w:tcPr>
          <w:p>
            <w:pPr>
              <w:spacing w:after="0"/>
              <w:rPr>
                <w:sz w:val="17"/>
                <w:szCs w:val="17"/>
                <w:color w:val="auto"/>
              </w:rPr>
            </w:pPr>
          </w:p>
        </w:tc>
        <w:tc>
          <w:tcPr>
            <w:tcW w:w="12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4"/>
              </w:rPr>
              <w:t>September 30,</w:t>
            </w:r>
          </w:p>
        </w:tc>
      </w:tr>
      <w:tr>
        <w:trPr>
          <w:trHeight w:val="20"/>
        </w:trPr>
        <w:tc>
          <w:tcPr>
            <w:tcW w:w="4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7"/>
                <w:szCs w:val="17"/>
                <w:color w:val="auto"/>
              </w:rPr>
            </w:pPr>
          </w:p>
        </w:tc>
        <w:tc>
          <w:tcPr>
            <w:tcW w:w="12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4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60" w:type="dxa"/>
            <w:vAlign w:val="bottom"/>
            <w:gridSpan w:val="9"/>
          </w:tcPr>
          <w:p>
            <w:pPr>
              <w:jc w:val="right"/>
              <w:ind w:right="108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9"/>
          </w:tcPr>
          <w:p>
            <w:pPr>
              <w:jc w:val="right"/>
              <w:ind w:right="1000"/>
              <w:spacing w:after="0"/>
              <w:rPr>
                <w:sz w:val="20"/>
                <w:szCs w:val="20"/>
                <w:color w:val="auto"/>
              </w:rPr>
            </w:pPr>
            <w:r>
              <w:rPr>
                <w:rFonts w:ascii="Arial" w:cs="Arial" w:eastAsia="Arial" w:hAnsi="Arial"/>
                <w:sz w:val="18"/>
                <w:szCs w:val="18"/>
                <w:b w:val="1"/>
                <w:bCs w:val="1"/>
                <w:color w:val="auto"/>
              </w:rPr>
              <w:t>(In thousands)</w:t>
            </w: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Provision for income taxes before restructuring and other non-</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2,889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9,129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5,559</w:t>
            </w:r>
          </w:p>
        </w:tc>
      </w:tr>
      <w:tr>
        <w:trPr>
          <w:trHeight w:val="223"/>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impact of restructuring and other non-recurring items</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(686)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(705)</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(1,230)</w:t>
            </w:r>
          </w:p>
        </w:tc>
      </w:tr>
      <w:tr>
        <w:trPr>
          <w:trHeight w:val="418"/>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after restructuring and other non-</w:t>
            </w: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tcBorders>
              <w:lef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1"/>
        </w:trPr>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recurring items</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2,889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(888)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8,424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4,329</w:t>
            </w: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at September 30, 2012 the Company maintains a $5.5 million liability (December 31, 2011: $7.7 million) for unrecognized tax benefit, which is comprised of $4.6 million (December 31, 2011: $6.5 million) related to items generating unrecognized tax benefits and $0.9 million (December 31, 2011: $1.2 million) for interest and related penalties to such items. The Company recognizes interest accrued on unrecognized tax benefits as an additional income tax expense.</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2007 through 2011 tax years. The Company does not believe that the outcome of any examination will have a material impact on its financial statements.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Net income per ordinary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92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gridSpan w:val="8"/>
          </w:tcPr>
          <w:p>
            <w:pPr>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Pr>
          <w:p>
            <w:pPr>
              <w:spacing w:after="0"/>
              <w:rPr>
                <w:sz w:val="17"/>
                <w:szCs w:val="17"/>
                <w:color w:val="auto"/>
              </w:rPr>
            </w:pPr>
          </w:p>
        </w:tc>
        <w:tc>
          <w:tcPr>
            <w:tcW w:w="1640" w:type="dxa"/>
            <w:vAlign w:val="bottom"/>
            <w:gridSpan w:val="5"/>
          </w:tcPr>
          <w:p>
            <w:pPr>
              <w:ind w:left="280"/>
              <w:spacing w:after="0" w:line="196" w:lineRule="exact"/>
              <w:rPr>
                <w:sz w:val="20"/>
                <w:szCs w:val="20"/>
                <w:color w:val="auto"/>
              </w:rPr>
            </w:pPr>
            <w:r>
              <w:rPr>
                <w:rFonts w:ascii="Arial" w:cs="Arial" w:eastAsia="Arial" w:hAnsi="Arial"/>
                <w:sz w:val="18"/>
                <w:szCs w:val="18"/>
                <w:b w:val="1"/>
                <w:bCs w:val="1"/>
                <w:color w:val="auto"/>
              </w:rPr>
              <w:t>September 30,</w:t>
            </w:r>
          </w:p>
        </w:tc>
        <w:tc>
          <w:tcPr>
            <w:tcW w:w="1600" w:type="dxa"/>
            <w:vAlign w:val="bottom"/>
            <w:gridSpan w:val="5"/>
          </w:tcPr>
          <w:p>
            <w:pPr>
              <w:ind w:left="260"/>
              <w:spacing w:after="0" w:line="196" w:lineRule="exact"/>
              <w:rPr>
                <w:sz w:val="20"/>
                <w:szCs w:val="20"/>
                <w:color w:val="auto"/>
              </w:rPr>
            </w:pPr>
            <w:r>
              <w:rPr>
                <w:rFonts w:ascii="Arial" w:cs="Arial" w:eastAsia="Arial" w:hAnsi="Arial"/>
                <w:sz w:val="18"/>
                <w:szCs w:val="18"/>
                <w:b w:val="1"/>
                <w:bCs w:val="1"/>
                <w:color w:val="auto"/>
              </w:rPr>
              <w:t>September 30,</w:t>
            </w:r>
          </w:p>
        </w:tc>
        <w:tc>
          <w:tcPr>
            <w:tcW w:w="1580" w:type="dxa"/>
            <w:vAlign w:val="bottom"/>
            <w:gridSpan w:val="5"/>
          </w:tcPr>
          <w:p>
            <w:pPr>
              <w:jc w:val="right"/>
              <w:ind w:right="240"/>
              <w:spacing w:after="0" w:line="196" w:lineRule="exact"/>
              <w:rPr>
                <w:sz w:val="20"/>
                <w:szCs w:val="20"/>
                <w:color w:val="auto"/>
              </w:rPr>
            </w:pPr>
            <w:r>
              <w:rPr>
                <w:rFonts w:ascii="Arial" w:cs="Arial" w:eastAsia="Arial" w:hAnsi="Arial"/>
                <w:sz w:val="18"/>
                <w:szCs w:val="18"/>
                <w:b w:val="1"/>
                <w:bCs w:val="1"/>
                <w:color w:val="auto"/>
              </w:rPr>
              <w:t>September 30,</w:t>
            </w:r>
          </w:p>
        </w:tc>
        <w:tc>
          <w:tcPr>
            <w:tcW w:w="1440" w:type="dxa"/>
            <w:vAlign w:val="bottom"/>
            <w:gridSpan w:val="5"/>
          </w:tcPr>
          <w:p>
            <w:pPr>
              <w:ind w:left="24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restart"/>
          </w:tcPr>
          <w:p>
            <w:pPr>
              <w:spacing w:after="0"/>
              <w:rPr>
                <w:sz w:val="20"/>
                <w:szCs w:val="20"/>
                <w:color w:val="auto"/>
              </w:rPr>
            </w:pPr>
            <w:r>
              <w:rPr>
                <w:rFonts w:ascii="Arial" w:cs="Arial" w:eastAsia="Arial" w:hAnsi="Arial"/>
                <w:sz w:val="18"/>
                <w:szCs w:val="18"/>
                <w:color w:val="auto"/>
                <w:w w:val="96"/>
              </w:rPr>
              <w:t>Weighted average number of ordinary shares outstanding for basic</w:t>
            </w:r>
          </w:p>
        </w:tc>
        <w:tc>
          <w:tcPr>
            <w:tcW w:w="28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4"/>
          </w:tcPr>
          <w:p>
            <w:pPr>
              <w:jc w:val="right"/>
              <w:ind w:right="240"/>
              <w:spacing w:after="0" w:line="196" w:lineRule="exact"/>
              <w:rPr>
                <w:sz w:val="20"/>
                <w:szCs w:val="20"/>
                <w:color w:val="auto"/>
              </w:rPr>
            </w:pPr>
            <w:r>
              <w:rPr>
                <w:rFonts w:ascii="Arial" w:cs="Arial" w:eastAsia="Arial" w:hAnsi="Arial"/>
                <w:sz w:val="18"/>
                <w:szCs w:val="18"/>
                <w:b w:val="1"/>
                <w:bCs w:val="1"/>
                <w:color w:val="auto"/>
              </w:rPr>
              <w:t>2012</w:t>
            </w:r>
          </w:p>
        </w:tc>
        <w:tc>
          <w:tcPr>
            <w:tcW w:w="14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22"/>
        </w:trPr>
        <w:tc>
          <w:tcPr>
            <w:tcW w:w="5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net income per ordinary share</w:t>
            </w:r>
          </w:p>
        </w:tc>
        <w:tc>
          <w:tcPr>
            <w:tcW w:w="1640" w:type="dxa"/>
            <w:vAlign w:val="bottom"/>
            <w:gridSpan w:val="5"/>
          </w:tcPr>
          <w:p>
            <w:pPr>
              <w:jc w:val="right"/>
              <w:ind w:right="260"/>
              <w:spacing w:after="0"/>
              <w:rPr>
                <w:sz w:val="20"/>
                <w:szCs w:val="20"/>
                <w:color w:val="auto"/>
              </w:rPr>
            </w:pPr>
            <w:r>
              <w:rPr>
                <w:rFonts w:ascii="Arial" w:cs="Arial" w:eastAsia="Arial" w:hAnsi="Arial"/>
                <w:sz w:val="18"/>
                <w:szCs w:val="18"/>
                <w:color w:val="auto"/>
              </w:rPr>
              <w:t>59,754,010</w:t>
            </w:r>
          </w:p>
        </w:tc>
        <w:tc>
          <w:tcPr>
            <w:tcW w:w="1600" w:type="dxa"/>
            <w:vAlign w:val="bottom"/>
            <w:gridSpan w:val="5"/>
          </w:tcPr>
          <w:p>
            <w:pPr>
              <w:jc w:val="right"/>
              <w:ind w:right="240"/>
              <w:spacing w:after="0"/>
              <w:rPr>
                <w:sz w:val="20"/>
                <w:szCs w:val="20"/>
                <w:color w:val="auto"/>
              </w:rPr>
            </w:pPr>
            <w:r>
              <w:rPr>
                <w:rFonts w:ascii="Arial" w:cs="Arial" w:eastAsia="Arial" w:hAnsi="Arial"/>
                <w:sz w:val="18"/>
                <w:szCs w:val="18"/>
                <w:color w:val="auto"/>
              </w:rPr>
              <w:t>60,471,985</w:t>
            </w:r>
          </w:p>
        </w:tc>
        <w:tc>
          <w:tcPr>
            <w:tcW w:w="1580" w:type="dxa"/>
            <w:vAlign w:val="bottom"/>
            <w:gridSpan w:val="5"/>
          </w:tcPr>
          <w:p>
            <w:pPr>
              <w:jc w:val="right"/>
              <w:ind w:right="240"/>
              <w:spacing w:after="0"/>
              <w:rPr>
                <w:sz w:val="20"/>
                <w:szCs w:val="20"/>
                <w:color w:val="auto"/>
              </w:rPr>
            </w:pPr>
            <w:r>
              <w:rPr>
                <w:rFonts w:ascii="Arial" w:cs="Arial" w:eastAsia="Arial" w:hAnsi="Arial"/>
                <w:sz w:val="18"/>
                <w:szCs w:val="18"/>
                <w:color w:val="auto"/>
              </w:rPr>
              <w:t>59,939,570</w:t>
            </w:r>
          </w:p>
        </w:tc>
        <w:tc>
          <w:tcPr>
            <w:tcW w:w="1440" w:type="dxa"/>
            <w:vAlign w:val="bottom"/>
            <w:gridSpan w:val="5"/>
          </w:tcPr>
          <w:p>
            <w:pPr>
              <w:jc w:val="right"/>
              <w:ind w:right="100"/>
              <w:spacing w:after="0"/>
              <w:rPr>
                <w:sz w:val="20"/>
                <w:szCs w:val="20"/>
                <w:color w:val="auto"/>
              </w:rPr>
            </w:pPr>
            <w:r>
              <w:rPr>
                <w:rFonts w:ascii="Arial" w:cs="Arial" w:eastAsia="Arial" w:hAnsi="Arial"/>
                <w:sz w:val="18"/>
                <w:szCs w:val="18"/>
                <w:color w:val="auto"/>
              </w:rPr>
              <w:t>60,381,814</w:t>
            </w:r>
          </w:p>
        </w:tc>
        <w:tc>
          <w:tcPr>
            <w:tcW w:w="0" w:type="dxa"/>
            <w:vAlign w:val="bottom"/>
          </w:tcPr>
          <w:p>
            <w:pPr>
              <w:spacing w:after="0"/>
              <w:rPr>
                <w:sz w:val="1"/>
                <w:szCs w:val="1"/>
                <w:color w:val="auto"/>
              </w:rPr>
            </w:pPr>
          </w:p>
        </w:tc>
      </w:tr>
      <w:tr>
        <w:trPr>
          <w:trHeight w:val="439"/>
        </w:trPr>
        <w:tc>
          <w:tcPr>
            <w:tcW w:w="5160" w:type="dxa"/>
            <w:vAlign w:val="bottom"/>
          </w:tcPr>
          <w:p>
            <w:pPr>
              <w:spacing w:after="0"/>
              <w:rPr>
                <w:sz w:val="20"/>
                <w:szCs w:val="20"/>
                <w:color w:val="auto"/>
              </w:rPr>
            </w:pPr>
            <w:r>
              <w:rPr>
                <w:rFonts w:ascii="Arial" w:cs="Arial" w:eastAsia="Arial" w:hAnsi="Arial"/>
                <w:sz w:val="18"/>
                <w:szCs w:val="18"/>
                <w:color w:val="auto"/>
              </w:rPr>
              <w:t>Effect of dilutive share options outstanding</w:t>
            </w:r>
          </w:p>
        </w:tc>
        <w:tc>
          <w:tcPr>
            <w:tcW w:w="16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color w:val="auto"/>
              </w:rPr>
              <w:t>612,127</w:t>
            </w:r>
          </w:p>
        </w:tc>
        <w:tc>
          <w:tcPr>
            <w:tcW w:w="16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591,035</w:t>
            </w:r>
          </w:p>
        </w:tc>
        <w:tc>
          <w:tcPr>
            <w:tcW w:w="15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451,629</w:t>
            </w:r>
          </w:p>
        </w:tc>
        <w:tc>
          <w:tcPr>
            <w:tcW w:w="14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714,650</w:t>
            </w:r>
          </w:p>
        </w:tc>
        <w:tc>
          <w:tcPr>
            <w:tcW w:w="0" w:type="dxa"/>
            <w:vAlign w:val="bottom"/>
          </w:tcPr>
          <w:p>
            <w:pPr>
              <w:spacing w:after="0"/>
              <w:rPr>
                <w:sz w:val="1"/>
                <w:szCs w:val="1"/>
                <w:color w:val="auto"/>
              </w:rPr>
            </w:pP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5"/>
              </w:rPr>
              <w:t>Weighted average number of ordinary shares for diluted net income</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per ordinary share</w:t>
            </w:r>
          </w:p>
        </w:tc>
        <w:tc>
          <w:tcPr>
            <w:tcW w:w="16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color w:val="auto"/>
              </w:rPr>
              <w:t>60,366,137</w:t>
            </w:r>
          </w:p>
        </w:tc>
        <w:tc>
          <w:tcPr>
            <w:tcW w:w="16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61,063,020</w:t>
            </w:r>
          </w:p>
        </w:tc>
        <w:tc>
          <w:tcPr>
            <w:tcW w:w="15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60,391,199</w:t>
            </w:r>
          </w:p>
        </w:tc>
        <w:tc>
          <w:tcPr>
            <w:tcW w:w="14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61,096,464</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may grant options to officers and other employees of the Company or its subsidiaries for the purchase of ordinary shares. Each grant of an option under the 2003 Share Option Plan will be evidenced by a Stock Option Agreement between the employee and the Company. The exercise price will be specified in each Stock Option Agreement.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aggregate of 6.0 million ordinary shares have been reserved under the 2003 Share Option Plan; and, in no event will the number of ordinary shares that may be issued pursuant to options awarded under the 2003 Share Option Plan exceed 10% of the outstanding shares, as defined in the 2003 Share Option Plan, at the time of the grant, unless the Board expressly determines otherwise. Further, the maximum number of ordinary shares with respect to which options may be granted under the 2003 Share Option Plan during any calendar year to any employee shall be 400,000 ordinary shares. No options can be granted after January 17, 2013.</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September 30, 2012 is eight years.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summarizes option activity for the nine months ended September 30,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4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Weighted</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7"/>
              </w:rPr>
              <w:t>Average Exercise</w:t>
            </w:r>
          </w:p>
        </w:tc>
        <w:tc>
          <w:tcPr>
            <w:tcW w:w="4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Average</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4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Fair Value</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 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2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4,902,818</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21.87</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8.61</w:t>
            </w:r>
          </w:p>
        </w:tc>
        <w:tc>
          <w:tcPr>
            <w:tcW w:w="15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829,823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9.56</w:t>
            </w: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Exercised</w:t>
            </w:r>
          </w:p>
        </w:tc>
        <w:tc>
          <w:tcPr>
            <w:tcW w:w="2620" w:type="dxa"/>
            <w:vAlign w:val="bottom"/>
          </w:tcPr>
          <w:p>
            <w:pPr>
              <w:jc w:val="right"/>
              <w:spacing w:after="0"/>
              <w:rPr>
                <w:sz w:val="20"/>
                <w:szCs w:val="20"/>
                <w:color w:val="auto"/>
              </w:rPr>
            </w:pPr>
            <w:r>
              <w:rPr>
                <w:rFonts w:ascii="Arial" w:cs="Arial" w:eastAsia="Arial" w:hAnsi="Arial"/>
                <w:sz w:val="18"/>
                <w:szCs w:val="18"/>
                <w:color w:val="auto"/>
              </w:rPr>
              <w:t>(410,071)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12.76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5.51</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(458,006)</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24.94</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9.67</w:t>
            </w:r>
          </w:p>
        </w:tc>
        <w:tc>
          <w:tcPr>
            <w:tcW w:w="15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September 30, 2012</w:t>
            </w:r>
          </w:p>
        </w:tc>
        <w:tc>
          <w:tcPr>
            <w:tcW w:w="2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4,864,564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22.36</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8.94</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September 30, 2012</w:t>
            </w:r>
          </w:p>
        </w:tc>
        <w:tc>
          <w:tcPr>
            <w:tcW w:w="2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2,708,837</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22.41</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8.80</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granted options with fair values ranging from $3.68 to $13.93 per option or a weighted average fair value of $8.03 per option. The Company issues ordinary shares for all options exercised. The total amount of fully vested share options which remained outstanding at September 30, 2012, was 2,708,837. Fully vested share options at September 30, 2012 have an average remaining contractual term of 3.4 years, an average exercise price of $22.41 and a total intrinsic value of $11.7 million. The total intrinsic value of options exercised during the nine months ended September 30, 2012, was $4.8 million (September 30, 2011: $1.5 million).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60" w:type="dxa"/>
            <w:vAlign w:val="bottom"/>
            <w:gridSpan w:val="4"/>
          </w:tcPr>
          <w:p>
            <w:pPr>
              <w:spacing w:after="0"/>
              <w:rPr>
                <w:sz w:val="20"/>
                <w:szCs w:val="20"/>
                <w:color w:val="auto"/>
              </w:rPr>
            </w:pPr>
            <w:r>
              <w:rPr>
                <w:rFonts w:ascii="Arial" w:cs="Arial" w:eastAsia="Arial" w:hAnsi="Arial"/>
                <w:sz w:val="18"/>
                <w:szCs w:val="18"/>
                <w:color w:val="auto"/>
                <w:w w:val="90"/>
              </w:rPr>
              <w:t>The following table summarizes the movement in non-vested share options for the nine months ended September 30, 2012:</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76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76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6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Weighted</w:t>
            </w: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76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5"/>
              </w:rPr>
              <w:t>Average Exercise</w:t>
            </w: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76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6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2011</w:t>
            </w:r>
          </w:p>
        </w:tc>
        <w:tc>
          <w:tcPr>
            <w:tcW w:w="3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2,534,310</w:t>
            </w:r>
          </w:p>
        </w:tc>
        <w:tc>
          <w:tcPr>
            <w:tcW w:w="6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23.30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829,823</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Vested</w:t>
            </w:r>
          </w:p>
        </w:tc>
        <w:tc>
          <w:tcPr>
            <w:tcW w:w="3760" w:type="dxa"/>
            <w:vAlign w:val="bottom"/>
          </w:tcPr>
          <w:p>
            <w:pPr>
              <w:jc w:val="right"/>
              <w:spacing w:after="0"/>
              <w:rPr>
                <w:sz w:val="20"/>
                <w:szCs w:val="20"/>
                <w:color w:val="auto"/>
              </w:rPr>
            </w:pPr>
            <w:r>
              <w:rPr>
                <w:rFonts w:ascii="Arial" w:cs="Arial" w:eastAsia="Arial" w:hAnsi="Arial"/>
                <w:sz w:val="18"/>
                <w:szCs w:val="18"/>
                <w:color w:val="auto"/>
              </w:rPr>
              <w:t>(935,114)</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24.30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(273,292)</w:t>
            </w:r>
          </w:p>
        </w:tc>
        <w:tc>
          <w:tcPr>
            <w:tcW w:w="6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23.55</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September 30, 2012</w:t>
            </w:r>
          </w:p>
        </w:tc>
        <w:tc>
          <w:tcPr>
            <w:tcW w:w="3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2,155,727</w:t>
            </w:r>
          </w:p>
        </w:tc>
        <w:tc>
          <w:tcPr>
            <w:tcW w:w="6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760" w:type="dxa"/>
            <w:vAlign w:val="bottom"/>
          </w:tcPr>
          <w:p>
            <w:pPr>
              <w:jc w:val="right"/>
              <w:ind w:right="2390"/>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during the period ended September 30, 2012 and September 30, 2011 was calculated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weighted average fair values and assumptions used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8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380" w:type="dxa"/>
            <w:vAlign w:val="bottom"/>
            <w:gridSpan w:val="5"/>
          </w:tcPr>
          <w:p>
            <w:pPr>
              <w:jc w:val="right"/>
              <w:ind w:right="200"/>
              <w:spacing w:after="0" w:line="196" w:lineRule="exact"/>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17"/>
                <w:szCs w:val="17"/>
                <w:color w:val="auto"/>
              </w:rPr>
            </w:pPr>
          </w:p>
        </w:tc>
        <w:tc>
          <w:tcPr>
            <w:tcW w:w="134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385"/>
        </w:trPr>
        <w:tc>
          <w:tcPr>
            <w:tcW w:w="5160" w:type="dxa"/>
            <w:vAlign w:val="bottom"/>
            <w:gridSpan w:val="3"/>
          </w:tcPr>
          <w:p>
            <w:pPr>
              <w:spacing w:after="0"/>
              <w:rPr>
                <w:sz w:val="20"/>
                <w:szCs w:val="20"/>
                <w:color w:val="auto"/>
              </w:rPr>
            </w:pPr>
            <w:r>
              <w:rPr>
                <w:rFonts w:ascii="Arial" w:cs="Arial" w:eastAsia="Arial" w:hAnsi="Arial"/>
                <w:sz w:val="18"/>
                <w:szCs w:val="18"/>
                <w:color w:val="auto"/>
              </w:rPr>
              <w:t>Assumptions:</w:t>
            </w:r>
          </w:p>
        </w:tc>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0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3300" w:type="dxa"/>
            <w:vAlign w:val="bottom"/>
          </w:tcPr>
          <w:p>
            <w:pPr>
              <w:spacing w:after="0"/>
              <w:rPr>
                <w:sz w:val="18"/>
                <w:szCs w:val="18"/>
                <w:color w:val="auto"/>
              </w:rPr>
            </w:pPr>
          </w:p>
        </w:tc>
        <w:tc>
          <w:tcPr>
            <w:tcW w:w="1380" w:type="dxa"/>
            <w:vAlign w:val="bottom"/>
            <w:gridSpan w:val="5"/>
          </w:tcPr>
          <w:p>
            <w:pPr>
              <w:jc w:val="right"/>
              <w:ind w:right="6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34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30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0.69%</w:t>
            </w:r>
          </w:p>
        </w:tc>
        <w:tc>
          <w:tcPr>
            <w:tcW w:w="24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life</w:t>
            </w:r>
          </w:p>
        </w:tc>
        <w:tc>
          <w:tcPr>
            <w:tcW w:w="3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5 years</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Restricted Share Units (“RSU’s”) typically vest over periods ranging from one to three years. The Company issues new ordinary shares on the date of vesting of the RSU.</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awarded RSU’s to certain key executives of the Group. The following table summarizes RSU activity for the nine months ended September 30,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200" w:type="dxa"/>
            <w:vAlign w:val="bottom"/>
          </w:tcPr>
          <w:p>
            <w:pPr>
              <w:jc w:val="right"/>
              <w:ind w:right="50"/>
              <w:spacing w:after="0"/>
              <w:rPr>
                <w:sz w:val="20"/>
                <w:szCs w:val="20"/>
                <w:color w:val="auto"/>
              </w:rPr>
            </w:pPr>
            <w:r>
              <w:rPr>
                <w:rFonts w:ascii="Arial" w:cs="Arial" w:eastAsia="Arial" w:hAnsi="Arial"/>
                <w:sz w:val="18"/>
                <w:szCs w:val="18"/>
                <w:b w:val="1"/>
                <w:bCs w:val="1"/>
                <w:color w:val="auto"/>
              </w:rPr>
              <w:t>RSU Outstanding</w:t>
            </w:r>
          </w:p>
        </w:tc>
        <w:tc>
          <w:tcPr>
            <w:tcW w:w="5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Weighted</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2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5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Average</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2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5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Fair Value</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 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4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365,000</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19.46</w:t>
            </w:r>
          </w:p>
        </w:tc>
        <w:tc>
          <w:tcPr>
            <w:tcW w:w="15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4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244,000</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20.87</w:t>
            </w: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Ordinary shares issued</w:t>
            </w:r>
          </w:p>
        </w:tc>
        <w:tc>
          <w:tcPr>
            <w:tcW w:w="4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4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20.89</w:t>
            </w:r>
          </w:p>
        </w:tc>
        <w:tc>
          <w:tcPr>
            <w:tcW w:w="15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September 30, 2012</w:t>
            </w:r>
          </w:p>
        </w:tc>
        <w:tc>
          <w:tcPr>
            <w:tcW w:w="4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459,000</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19.74</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426"/>
        </w:trPr>
        <w:tc>
          <w:tcPr>
            <w:tcW w:w="8800" w:type="dxa"/>
            <w:vAlign w:val="bottom"/>
            <w:gridSpan w:val="4"/>
          </w:tcPr>
          <w:p>
            <w:pPr>
              <w:spacing w:after="0"/>
              <w:rPr>
                <w:sz w:val="20"/>
                <w:szCs w:val="20"/>
                <w:color w:val="auto"/>
              </w:rPr>
            </w:pPr>
            <w:r>
              <w:rPr>
                <w:rFonts w:ascii="Arial" w:cs="Arial" w:eastAsia="Arial" w:hAnsi="Arial"/>
                <w:sz w:val="18"/>
                <w:szCs w:val="18"/>
                <w:color w:val="auto"/>
                <w:w w:val="93"/>
              </w:rPr>
              <w:t>The fair value of RSU’s vested for the nine months ended September 30, 2012 totaled $0.0 million (2011: $0.1 million).</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200" w:type="dxa"/>
            <w:vAlign w:val="bottom"/>
          </w:tcPr>
          <w:p>
            <w:pPr>
              <w:jc w:val="right"/>
              <w:ind w:right="2390"/>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i w:val="1"/>
                <w:iCs w:val="1"/>
                <w:color w:val="auto"/>
              </w:rPr>
              <w:t>Non-cash stock compensation expense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60" w:type="dxa"/>
            <w:vAlign w:val="bottom"/>
            <w:gridSpan w:val="14"/>
          </w:tcPr>
          <w:p>
            <w:pPr>
              <w:spacing w:after="0"/>
              <w:rPr>
                <w:sz w:val="20"/>
                <w:szCs w:val="20"/>
                <w:color w:val="auto"/>
              </w:rPr>
            </w:pPr>
            <w:r>
              <w:rPr>
                <w:rFonts w:ascii="Arial" w:cs="Arial" w:eastAsia="Arial" w:hAnsi="Arial"/>
                <w:sz w:val="18"/>
                <w:szCs w:val="18"/>
                <w:color w:val="auto"/>
                <w:w w:val="90"/>
              </w:rPr>
              <w:t>Non-cash stock compensation expense for the nine months ended September 30, 2012 has been allocated as follows:</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8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gridSpan w:val="9"/>
          </w:tcPr>
          <w:p>
            <w:pPr>
              <w:jc w:val="center"/>
              <w:ind w:right="800"/>
              <w:spacing w:after="0"/>
              <w:rPr>
                <w:sz w:val="20"/>
                <w:szCs w:val="20"/>
                <w:color w:val="auto"/>
              </w:rPr>
            </w:pPr>
            <w:r>
              <w:rPr>
                <w:rFonts w:ascii="Arial" w:cs="Arial" w:eastAsia="Arial" w:hAnsi="Arial"/>
                <w:sz w:val="18"/>
                <w:szCs w:val="18"/>
                <w:b w:val="1"/>
                <w:bCs w:val="1"/>
                <w:color w:val="auto"/>
                <w:w w:val="91"/>
              </w:rPr>
              <w:t>Nine Months Ended</w:t>
            </w: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7"/>
              </w:rPr>
              <w:t>September 30,</w:t>
            </w:r>
          </w:p>
        </w:tc>
        <w:tc>
          <w:tcPr>
            <w:tcW w:w="300" w:type="dxa"/>
            <w:vAlign w:val="bottom"/>
          </w:tcPr>
          <w:p>
            <w:pPr>
              <w:spacing w:after="0"/>
              <w:rPr>
                <w:sz w:val="17"/>
                <w:szCs w:val="17"/>
                <w:color w:val="auto"/>
              </w:rPr>
            </w:pPr>
          </w:p>
        </w:tc>
        <w:tc>
          <w:tcPr>
            <w:tcW w:w="132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7"/>
              </w:rPr>
              <w:t>September 30,</w:t>
            </w:r>
          </w:p>
        </w:tc>
        <w:tc>
          <w:tcPr>
            <w:tcW w:w="280" w:type="dxa"/>
            <w:vAlign w:val="bottom"/>
          </w:tcPr>
          <w:p>
            <w:pPr>
              <w:spacing w:after="0"/>
              <w:rPr>
                <w:sz w:val="17"/>
                <w:szCs w:val="17"/>
                <w:color w:val="auto"/>
              </w:rPr>
            </w:pPr>
          </w:p>
        </w:tc>
        <w:tc>
          <w:tcPr>
            <w:tcW w:w="130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17"/>
                <w:szCs w:val="17"/>
                <w:color w:val="auto"/>
              </w:rPr>
            </w:pPr>
          </w:p>
        </w:tc>
        <w:tc>
          <w:tcPr>
            <w:tcW w:w="128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7"/>
                <w:szCs w:val="17"/>
                <w:color w:val="auto"/>
              </w:rPr>
            </w:pPr>
          </w:p>
        </w:tc>
        <w:tc>
          <w:tcPr>
            <w:tcW w:w="12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gridSpan w:val="9"/>
          </w:tcPr>
          <w:p>
            <w:pPr>
              <w:jc w:val="center"/>
              <w:ind w:right="80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9"/>
          </w:tcPr>
          <w:p>
            <w:pPr>
              <w:jc w:val="center"/>
              <w:ind w:right="780"/>
              <w:spacing w:after="0"/>
              <w:rPr>
                <w:sz w:val="20"/>
                <w:szCs w:val="20"/>
                <w:color w:val="auto"/>
              </w:rPr>
            </w:pPr>
            <w:r>
              <w:rPr>
                <w:rFonts w:ascii="Arial" w:cs="Arial" w:eastAsia="Arial" w:hAnsi="Arial"/>
                <w:sz w:val="18"/>
                <w:szCs w:val="18"/>
                <w:b w:val="1"/>
                <w:bCs w:val="1"/>
                <w:color w:val="auto"/>
                <w:w w:val="90"/>
              </w:rPr>
              <w:t>(In thousands)</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1,643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4,526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3,502</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1,338</w:t>
            </w:r>
          </w:p>
        </w:tc>
        <w:tc>
          <w:tcPr>
            <w:tcW w:w="300" w:type="dxa"/>
            <w:vAlign w:val="bottom"/>
          </w:tcPr>
          <w:p>
            <w:pPr>
              <w:spacing w:after="0"/>
              <w:rPr>
                <w:sz w:val="18"/>
                <w:szCs w:val="18"/>
                <w:color w:val="auto"/>
              </w:rPr>
            </w:pP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996</w:t>
            </w:r>
          </w:p>
        </w:tc>
        <w:tc>
          <w:tcPr>
            <w:tcW w:w="280" w:type="dxa"/>
            <w:vAlign w:val="bottom"/>
          </w:tcPr>
          <w:p>
            <w:pPr>
              <w:spacing w:after="0"/>
              <w:rPr>
                <w:sz w:val="18"/>
                <w:szCs w:val="18"/>
                <w:color w:val="auto"/>
              </w:rPr>
            </w:pPr>
          </w:p>
        </w:tc>
        <w:tc>
          <w:tcPr>
            <w:tcW w:w="1300" w:type="dxa"/>
            <w:vAlign w:val="bottom"/>
            <w:gridSpan w:val="5"/>
          </w:tcPr>
          <w:p>
            <w:pPr>
              <w:jc w:val="right"/>
              <w:ind w:right="120"/>
              <w:spacing w:after="0"/>
              <w:rPr>
                <w:sz w:val="20"/>
                <w:szCs w:val="20"/>
                <w:color w:val="auto"/>
              </w:rPr>
            </w:pPr>
            <w:r>
              <w:rPr>
                <w:rFonts w:ascii="Arial" w:cs="Arial" w:eastAsia="Arial" w:hAnsi="Arial"/>
                <w:sz w:val="18"/>
                <w:szCs w:val="18"/>
                <w:color w:val="auto"/>
              </w:rPr>
              <w:t>3,688</w:t>
            </w:r>
          </w:p>
        </w:tc>
        <w:tc>
          <w:tcPr>
            <w:tcW w:w="28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2,853</w:t>
            </w: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and other non-recurring items (note 4)</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620</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2,981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2,218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8,834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6,355</w:t>
            </w: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Total non-cash stock compensation expense not yet recognized at September 30, 2012 amounted to $21.2 million. The weighted average period over which this is expected to be recognized is 3.0 years. Total tax benefit recognized in additional paid in capital related to the non-cash compensation expense amounted to $0.9 million for the nine months ended September 30, 2012 (September 30, 2011: $0.5 million).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8. 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27, 2011 the Company announced its intention to commence a share repurchase program of up to $50 million. On November 22, 2011 the Company entered into two separate share repurchase plans of $10 million each, covering the periods November 23, 2011 to December 31, 2011 and January 1, 2012 to February 20, 2012 respectively. On February 21, 2012 the Company entered into a further share repurchase plan of $20 million, covering the period February 22, 2012 to April 22, 2012. On April 27, 2012 the Company entered into a fourth share repurchase plan of up to $20 million, covering the period April 27, 2012 to July 18, 2012. On July 30, 2012 the Company entered into a fifth share repurchase plan of up to $10 million, covering the period July 30, 2012 to October 26, 2012. The Company intends to enter further share repurchase plans to effect the share repurchase program in accordance with Rule 10b-18 and Rule 10b5-1 of the Securities Exchange Act of 1934, the authorization granted at the Company’s annual general meeting, applicable laws and regulations and the Listing Rules of the Irish Stock Exchange.</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repurchase program, a broker will purchase the Company’s American Depositary Shares (“ADSs”) from time to time on the open market or in privately negotiated transactions in accordance with agreed terms and limitations. ADSs purchased will be deposited with the Depositary under the Company’s ADR facility against delivery of the underlying Ordinary Shares, which will be repurchased by the Company on the Irish Stock Exchange in compliance with the Company’s share repurchase authorization and applicable laws and regulations. Separately, Ordinary Shares traded on the Irish Stock Exchange may also be repurchased on behalf of the Company. The program is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are irrevocable and the trading decisions in respect of the repurchase program will be made independently of and uninfluenced by the Company. The Company confirms that on entering the repurchase plans it had no material non-public, price-sensitive or inside information regarding the Company or its securities. Furthermore, the Company will not enter into additional plans whilst in possession of such information.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timing and actual number of shares repurchased will be dependent on market conditions, legal and regulatory requirements and the other terms and limitations contained in the plans. In addition, share repurchases may be suspended or discontinued in certain circumstances in accordance with the agreed terms. Therefore, there can be no assurance as to the timing or number of shares that may be repurchased under the repurchase program. All Ordinary Shares repurchased by the Company will be cancelled.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2012 738,341 ordinary shares were repurchased by the Company for a total consideration of $15.6 million. As at September 30, 2012 1,283,938 ordinary shares have been repurchased by the Company for a total consideration of $24.6 million. All ordinary shares repurchased by the Company were cancelled and the nominal value of these shares transferred to a capital redemption reserve fund as required under Irish Company Law.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9. Business Segment Information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 The Company also provides laboratory services through its central laboratory business, which includes the Company’s central laboratories located in Dublin, New York, India, Singapore and China.</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Company determines and presents operating segments in accordance with FASB ASC 280-10 </w:t>
      </w:r>
      <w:r>
        <w:rPr>
          <w:rFonts w:ascii="Arial" w:cs="Arial" w:eastAsia="Arial" w:hAnsi="Arial"/>
          <w:sz w:val="18"/>
          <w:szCs w:val="18"/>
          <w:i w:val="1"/>
          <w:iCs w:val="1"/>
          <w:color w:val="auto"/>
        </w:rPr>
        <w:t>Disclosures about Segments of an Enterprise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based on the information that is internally provided to the Chief Executive Officer and Chief Financial Officer, who together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chief operating decision maker. The Company has determined that it has two reportable segments, its Clinical Research segment and Central Laboratory segment.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areas of operation outside of Ireland include the United States, United Kingdom, France, Germany, Italy, Spain, The Netherlands, Sweden, Finland, Denmark, Belgium, Switzerland, Poland, Czech Republic, Lithuania, Latvia, Russia, Ukraine, Hungary, Israel, Romania, Canada, Mexico, Brazil, Colombia, Argentina, Chile, Peru, India, China, South Korea, Japan, Thailand, Taiwan, Singapore, The Philippines, Australia, New Zealand, and South Africa.</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Segment information as at September 30, 2012 and December 31, 2011 and for the three and nine months ended September 30, 2012 and September 30, 2011 is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The distribution of net revenue by geographical area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80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gridSpan w:val="9"/>
          </w:tcPr>
          <w:p>
            <w:pPr>
              <w:jc w:val="center"/>
              <w:ind w:right="800"/>
              <w:spacing w:after="0"/>
              <w:rPr>
                <w:sz w:val="20"/>
                <w:szCs w:val="20"/>
                <w:color w:val="auto"/>
              </w:rPr>
            </w:pPr>
            <w:r>
              <w:rPr>
                <w:rFonts w:ascii="Arial" w:cs="Arial" w:eastAsia="Arial" w:hAnsi="Arial"/>
                <w:sz w:val="18"/>
                <w:szCs w:val="18"/>
                <w:b w:val="1"/>
                <w:bCs w:val="1"/>
                <w:color w:val="auto"/>
                <w:w w:val="91"/>
              </w:rPr>
              <w:t>Nine Months Ended</w:t>
            </w:r>
          </w:p>
        </w:tc>
      </w:tr>
      <w:tr>
        <w:trPr>
          <w:trHeight w:val="20"/>
        </w:trPr>
        <w:tc>
          <w:tcPr>
            <w:tcW w:w="3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1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7"/>
              </w:rPr>
              <w:t>September 30,</w:t>
            </w:r>
          </w:p>
        </w:tc>
        <w:tc>
          <w:tcPr>
            <w:tcW w:w="300" w:type="dxa"/>
            <w:vAlign w:val="bottom"/>
          </w:tcPr>
          <w:p>
            <w:pPr>
              <w:spacing w:after="0"/>
              <w:rPr>
                <w:sz w:val="17"/>
                <w:szCs w:val="17"/>
                <w:color w:val="auto"/>
              </w:rPr>
            </w:pPr>
          </w:p>
        </w:tc>
        <w:tc>
          <w:tcPr>
            <w:tcW w:w="132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7"/>
              </w:rPr>
              <w:t>September 30,</w:t>
            </w:r>
          </w:p>
        </w:tc>
        <w:tc>
          <w:tcPr>
            <w:tcW w:w="280" w:type="dxa"/>
            <w:vAlign w:val="bottom"/>
          </w:tcPr>
          <w:p>
            <w:pPr>
              <w:spacing w:after="0"/>
              <w:rPr>
                <w:sz w:val="17"/>
                <w:szCs w:val="17"/>
                <w:color w:val="auto"/>
              </w:rPr>
            </w:pPr>
          </w:p>
        </w:tc>
        <w:tc>
          <w:tcPr>
            <w:tcW w:w="130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17"/>
                <w:szCs w:val="17"/>
                <w:color w:val="auto"/>
              </w:rPr>
            </w:pPr>
          </w:p>
        </w:tc>
        <w:tc>
          <w:tcPr>
            <w:tcW w:w="128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3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1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7"/>
                <w:szCs w:val="17"/>
                <w:color w:val="auto"/>
              </w:rPr>
            </w:pPr>
          </w:p>
        </w:tc>
        <w:tc>
          <w:tcPr>
            <w:tcW w:w="12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3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gridSpan w:val="9"/>
          </w:tcPr>
          <w:p>
            <w:pPr>
              <w:jc w:val="center"/>
              <w:ind w:right="82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9"/>
          </w:tcPr>
          <w:p>
            <w:pPr>
              <w:jc w:val="center"/>
              <w:ind w:right="80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41,129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13,872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110,891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67,305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Rest of Europe</w:t>
            </w:r>
          </w:p>
        </w:tc>
        <w:tc>
          <w:tcPr>
            <w:tcW w:w="2220" w:type="dxa"/>
            <w:vAlign w:val="bottom"/>
          </w:tcPr>
          <w:p>
            <w:pPr>
              <w:spacing w:after="0"/>
              <w:rPr>
                <w:sz w:val="18"/>
                <w:szCs w:val="18"/>
                <w:color w:val="auto"/>
              </w:rPr>
            </w:pP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80,466</w:t>
            </w:r>
          </w:p>
        </w:tc>
        <w:tc>
          <w:tcPr>
            <w:tcW w:w="300" w:type="dxa"/>
            <w:vAlign w:val="bottom"/>
          </w:tcPr>
          <w:p>
            <w:pPr>
              <w:spacing w:after="0"/>
              <w:rPr>
                <w:sz w:val="18"/>
                <w:szCs w:val="18"/>
                <w:color w:val="auto"/>
              </w:rPr>
            </w:pP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91,696</w:t>
            </w:r>
          </w:p>
        </w:tc>
        <w:tc>
          <w:tcPr>
            <w:tcW w:w="280" w:type="dxa"/>
            <w:vAlign w:val="bottom"/>
          </w:tcPr>
          <w:p>
            <w:pPr>
              <w:spacing w:after="0"/>
              <w:rPr>
                <w:sz w:val="18"/>
                <w:szCs w:val="18"/>
                <w:color w:val="auto"/>
              </w:rPr>
            </w:pPr>
          </w:p>
        </w:tc>
        <w:tc>
          <w:tcPr>
            <w:tcW w:w="1300" w:type="dxa"/>
            <w:vAlign w:val="bottom"/>
            <w:gridSpan w:val="5"/>
          </w:tcPr>
          <w:p>
            <w:pPr>
              <w:jc w:val="right"/>
              <w:ind w:right="120"/>
              <w:spacing w:after="0"/>
              <w:rPr>
                <w:sz w:val="20"/>
                <w:szCs w:val="20"/>
                <w:color w:val="auto"/>
              </w:rPr>
            </w:pPr>
            <w:r>
              <w:rPr>
                <w:rFonts w:ascii="Arial" w:cs="Arial" w:eastAsia="Arial" w:hAnsi="Arial"/>
                <w:sz w:val="18"/>
                <w:szCs w:val="18"/>
                <w:color w:val="auto"/>
              </w:rPr>
              <w:t>253,740</w:t>
            </w:r>
          </w:p>
        </w:tc>
        <w:tc>
          <w:tcPr>
            <w:tcW w:w="28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258,641</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129,564</w:t>
            </w:r>
          </w:p>
        </w:tc>
        <w:tc>
          <w:tcPr>
            <w:tcW w:w="3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103,992</w:t>
            </w:r>
          </w:p>
        </w:tc>
        <w:tc>
          <w:tcPr>
            <w:tcW w:w="2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351,548</w:t>
            </w:r>
          </w:p>
        </w:tc>
        <w:tc>
          <w:tcPr>
            <w:tcW w:w="28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290,382</w:t>
            </w:r>
          </w:p>
        </w:tc>
      </w:tr>
      <w:tr>
        <w:trPr>
          <w:trHeight w:val="223"/>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34,343</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31,212</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98,663</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86,786</w:t>
            </w:r>
          </w:p>
        </w:tc>
      </w:tr>
      <w:tr>
        <w:trPr>
          <w:trHeight w:val="473"/>
        </w:trPr>
        <w:tc>
          <w:tcPr>
            <w:tcW w:w="3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285,502</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240,772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814,842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703,114</w:t>
            </w:r>
          </w:p>
        </w:tc>
      </w:tr>
    </w:tbl>
    <w:p>
      <w:pPr>
        <w:ind w:left="720" w:hanging="136"/>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distribution of net revenue by business segment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80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gridSpan w:val="9"/>
          </w:tcPr>
          <w:p>
            <w:pPr>
              <w:jc w:val="center"/>
              <w:ind w:right="800"/>
              <w:spacing w:after="0"/>
              <w:rPr>
                <w:sz w:val="20"/>
                <w:szCs w:val="20"/>
                <w:color w:val="auto"/>
              </w:rPr>
            </w:pPr>
            <w:r>
              <w:rPr>
                <w:rFonts w:ascii="Arial" w:cs="Arial" w:eastAsia="Arial" w:hAnsi="Arial"/>
                <w:sz w:val="18"/>
                <w:szCs w:val="18"/>
                <w:b w:val="1"/>
                <w:bCs w:val="1"/>
                <w:color w:val="auto"/>
                <w:w w:val="91"/>
              </w:rPr>
              <w:t>Nine Months Ended</w:t>
            </w:r>
          </w:p>
        </w:tc>
      </w:tr>
      <w:tr>
        <w:trPr>
          <w:trHeight w:val="20"/>
        </w:trPr>
        <w:tc>
          <w:tcPr>
            <w:tcW w:w="3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2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7"/>
              </w:rPr>
              <w:t>September 30,</w:t>
            </w:r>
          </w:p>
        </w:tc>
        <w:tc>
          <w:tcPr>
            <w:tcW w:w="300" w:type="dxa"/>
            <w:vAlign w:val="bottom"/>
          </w:tcPr>
          <w:p>
            <w:pPr>
              <w:spacing w:after="0"/>
              <w:rPr>
                <w:sz w:val="17"/>
                <w:szCs w:val="17"/>
                <w:color w:val="auto"/>
              </w:rPr>
            </w:pPr>
          </w:p>
        </w:tc>
        <w:tc>
          <w:tcPr>
            <w:tcW w:w="132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7"/>
              </w:rPr>
              <w:t>September 30,</w:t>
            </w:r>
          </w:p>
        </w:tc>
        <w:tc>
          <w:tcPr>
            <w:tcW w:w="280" w:type="dxa"/>
            <w:vAlign w:val="bottom"/>
          </w:tcPr>
          <w:p>
            <w:pPr>
              <w:spacing w:after="0"/>
              <w:rPr>
                <w:sz w:val="17"/>
                <w:szCs w:val="17"/>
                <w:color w:val="auto"/>
              </w:rPr>
            </w:pPr>
          </w:p>
        </w:tc>
        <w:tc>
          <w:tcPr>
            <w:tcW w:w="130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17"/>
                <w:szCs w:val="17"/>
                <w:color w:val="auto"/>
              </w:rPr>
            </w:pPr>
          </w:p>
        </w:tc>
        <w:tc>
          <w:tcPr>
            <w:tcW w:w="128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3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7"/>
                <w:szCs w:val="17"/>
                <w:color w:val="auto"/>
              </w:rPr>
            </w:pPr>
          </w:p>
        </w:tc>
        <w:tc>
          <w:tcPr>
            <w:tcW w:w="12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3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gridSpan w:val="9"/>
          </w:tcPr>
          <w:p>
            <w:pPr>
              <w:jc w:val="center"/>
              <w:ind w:right="82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9"/>
          </w:tcPr>
          <w:p>
            <w:pPr>
              <w:jc w:val="center"/>
              <w:ind w:right="80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261,524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221,226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750,381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650,233</w:t>
            </w:r>
          </w:p>
        </w:tc>
      </w:tr>
      <w:tr>
        <w:trPr>
          <w:trHeight w:val="223"/>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2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23,978</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19,546</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64,461</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52,881</w:t>
            </w:r>
          </w:p>
        </w:tc>
      </w:tr>
      <w:tr>
        <w:trPr>
          <w:trHeight w:val="473"/>
        </w:trPr>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285,502</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240,772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814,842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703,114</w:t>
            </w:r>
          </w:p>
        </w:tc>
      </w:tr>
      <w:tr>
        <w:trPr>
          <w:trHeight w:val="574"/>
        </w:trPr>
        <w:tc>
          <w:tcPr>
            <w:tcW w:w="3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24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 The distribution of income from operations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5"/>
              </w:rPr>
              <w:t>September 30,</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September 30,</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Excluding</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9"/>
              </w:rPr>
              <w:t>Restructuring</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and</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Restructuring</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 non-</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Restructuring</w:t>
            </w: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and other non-</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recurring</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and other non-</w:t>
            </w: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items</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recurring items</w:t>
            </w: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r>
      <w:tr>
        <w:trPr>
          <w:trHeight w:val="234"/>
        </w:trPr>
        <w:tc>
          <w:tcPr>
            <w:tcW w:w="33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5,261</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5,261</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13,956</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13,956</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2,097</w:t>
            </w:r>
          </w:p>
        </w:tc>
      </w:tr>
      <w:tr>
        <w:trPr>
          <w:trHeight w:val="473"/>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20,879</w:t>
            </w:r>
          </w:p>
        </w:tc>
      </w:tr>
      <w:tr>
        <w:trPr>
          <w:trHeight w:val="677"/>
        </w:trPr>
        <w:tc>
          <w:tcPr>
            <w:tcW w:w="3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5"/>
              </w:rPr>
              <w:t>September 30,</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September 30,</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Excluding</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9"/>
              </w:rPr>
              <w:t>Restructuring</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Restructuring</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and</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and</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 non-</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Restructuring</w:t>
            </w: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 non-</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recurring</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and other non-</w:t>
            </w: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items</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recurring items</w:t>
            </w: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r>
      <w:tr>
        <w:trPr>
          <w:trHeight w:val="234"/>
        </w:trPr>
        <w:tc>
          <w:tcPr>
            <w:tcW w:w="33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(17,389)</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(18,868)</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3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7,535</w:t>
            </w:r>
          </w:p>
        </w:tc>
        <w:tc>
          <w:tcPr>
            <w:tcW w:w="2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6,338</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(2,139)</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6,591</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2,257</w:t>
            </w:r>
          </w:p>
        </w:tc>
      </w:tr>
      <w:tr>
        <w:trPr>
          <w:trHeight w:val="473"/>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r>
      <w:tr>
        <w:trPr>
          <w:trHeight w:val="601"/>
        </w:trPr>
        <w:tc>
          <w:tcPr>
            <w:tcW w:w="3360" w:type="dxa"/>
            <w:vAlign w:val="bottom"/>
          </w:tcPr>
          <w:p>
            <w:pPr>
              <w:spacing w:after="0"/>
              <w:rPr>
                <w:sz w:val="24"/>
                <w:szCs w:val="24"/>
                <w:color w:val="auto"/>
              </w:rPr>
            </w:pPr>
          </w:p>
        </w:tc>
        <w:tc>
          <w:tcPr>
            <w:tcW w:w="3580" w:type="dxa"/>
            <w:vAlign w:val="bottom"/>
          </w:tcPr>
          <w:p>
            <w:pPr>
              <w:jc w:val="right"/>
              <w:ind w:right="1050"/>
              <w:spacing w:after="0"/>
              <w:rPr>
                <w:sz w:val="20"/>
                <w:szCs w:val="20"/>
                <w:color w:val="auto"/>
              </w:rPr>
            </w:pPr>
            <w:r>
              <w:rPr>
                <w:rFonts w:ascii="Arial" w:cs="Arial" w:eastAsia="Arial" w:hAnsi="Arial"/>
                <w:sz w:val="18"/>
                <w:szCs w:val="18"/>
                <w:color w:val="auto"/>
              </w:rPr>
              <w:t>21</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8"/>
        </w:trPr>
        <w:tc>
          <w:tcPr>
            <w:tcW w:w="336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September 30,</w:t>
            </w:r>
          </w:p>
        </w:tc>
        <w:tc>
          <w:tcPr>
            <w:tcW w:w="2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September 30,</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Excluding</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Restructuring</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Restructuring</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and</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and</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 non-</w:t>
            </w:r>
          </w:p>
        </w:tc>
        <w:tc>
          <w:tcPr>
            <w:tcW w:w="2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Restructuring</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 non-</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2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and other non-</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c>
          <w:tcPr>
            <w:tcW w:w="2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recurring items</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r>
      <w:tr>
        <w:trPr>
          <w:trHeight w:val="234"/>
        </w:trPr>
        <w:tc>
          <w:tcPr>
            <w:tcW w:w="33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22,229</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21,683</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5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24,875</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22,225</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7,108</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6,743</w:t>
            </w:r>
          </w:p>
        </w:tc>
      </w:tr>
      <w:tr>
        <w:trPr>
          <w:trHeight w:val="473"/>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49,251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43,615</w:t>
            </w:r>
          </w:p>
        </w:tc>
      </w:tr>
      <w:tr>
        <w:trPr>
          <w:trHeight w:val="677"/>
        </w:trPr>
        <w:tc>
          <w:tcPr>
            <w:tcW w:w="3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September 30,</w:t>
            </w:r>
          </w:p>
        </w:tc>
        <w:tc>
          <w:tcPr>
            <w:tcW w:w="2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September 30,</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Excluding</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Restructuring</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Restructuring</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and</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and</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 non-</w:t>
            </w:r>
          </w:p>
        </w:tc>
        <w:tc>
          <w:tcPr>
            <w:tcW w:w="2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Restructuring</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 non-</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2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and other non-</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3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c>
          <w:tcPr>
            <w:tcW w:w="2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recurring items</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r>
      <w:tr>
        <w:trPr>
          <w:trHeight w:val="234"/>
        </w:trPr>
        <w:tc>
          <w:tcPr>
            <w:tcW w:w="33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35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24,376</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21,376</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5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21,621</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16,368</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5,799</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5,799</w:t>
            </w:r>
          </w:p>
        </w:tc>
      </w:tr>
      <w:tr>
        <w:trPr>
          <w:trHeight w:val="473"/>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22,793</w:t>
            </w:r>
          </w:p>
        </w:tc>
      </w:tr>
      <w:tr>
        <w:trPr>
          <w:trHeight w:val="574"/>
        </w:trPr>
        <w:tc>
          <w:tcPr>
            <w:tcW w:w="3360" w:type="dxa"/>
            <w:vAlign w:val="bottom"/>
          </w:tcPr>
          <w:p>
            <w:pPr>
              <w:spacing w:after="0"/>
              <w:rPr>
                <w:sz w:val="24"/>
                <w:szCs w:val="24"/>
                <w:color w:val="auto"/>
              </w:rPr>
            </w:pPr>
          </w:p>
        </w:tc>
        <w:tc>
          <w:tcPr>
            <w:tcW w:w="3580" w:type="dxa"/>
            <w:vAlign w:val="bottom"/>
          </w:tcPr>
          <w:p>
            <w:pPr>
              <w:jc w:val="right"/>
              <w:ind w:right="1050"/>
              <w:spacing w:after="0"/>
              <w:rPr>
                <w:sz w:val="20"/>
                <w:szCs w:val="20"/>
                <w:color w:val="auto"/>
              </w:rPr>
            </w:pPr>
            <w:r>
              <w:rPr>
                <w:rFonts w:ascii="Arial" w:cs="Arial" w:eastAsia="Arial" w:hAnsi="Arial"/>
                <w:sz w:val="18"/>
                <w:szCs w:val="18"/>
                <w:color w:val="auto"/>
              </w:rPr>
              <w:t>22</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8"/>
        </w:trPr>
        <w:tc>
          <w:tcPr>
            <w:tcW w:w="336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d) The distribution of income from operations by business segment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5"/>
              </w:rPr>
              <w:t>September 30,</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September 30,</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2012</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Excluding</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9"/>
              </w:rPr>
              <w:t>Restructuring</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Restructuring</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and</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and</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other non-</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Restructuring</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other non-</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recurring</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and other non-</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items</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recurring items</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items</w:t>
            </w:r>
          </w:p>
        </w:tc>
      </w:tr>
      <w:tr>
        <w:trPr>
          <w:trHeight w:val="234"/>
        </w:trPr>
        <w:tc>
          <w:tcPr>
            <w:tcW w:w="34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19,845</w:t>
            </w:r>
          </w:p>
        </w:tc>
      </w:tr>
      <w:tr>
        <w:trPr>
          <w:trHeight w:val="223"/>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3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r>
      <w:tr>
        <w:trPr>
          <w:trHeight w:val="473"/>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20,879</w:t>
            </w:r>
          </w:p>
        </w:tc>
      </w:tr>
      <w:tr>
        <w:trPr>
          <w:trHeight w:val="677"/>
        </w:trPr>
        <w:tc>
          <w:tcPr>
            <w:tcW w:w="3480" w:type="dxa"/>
            <w:vAlign w:val="bottom"/>
            <w:tcBorders>
              <w:top w:val="single" w:sz="8" w:color="auto"/>
            </w:tcBorders>
          </w:tcPr>
          <w:p>
            <w:pPr>
              <w:spacing w:after="0"/>
              <w:rPr>
                <w:sz w:val="24"/>
                <w:szCs w:val="24"/>
                <w:color w:val="auto"/>
              </w:rPr>
            </w:pPr>
          </w:p>
        </w:tc>
        <w:tc>
          <w:tcPr>
            <w:tcW w:w="34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5"/>
              </w:rPr>
              <w:t>September 30,</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September 30,</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2011</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Excluding</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9"/>
              </w:rPr>
              <w:t>Restructuring</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Restructuring</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and</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and</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other non-</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Restructuring</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other non-</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recurring</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and other non-</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items</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recurring items</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items</w:t>
            </w:r>
          </w:p>
        </w:tc>
      </w:tr>
      <w:tr>
        <w:trPr>
          <w:trHeight w:val="234"/>
        </w:trPr>
        <w:tc>
          <w:tcPr>
            <w:tcW w:w="34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(in thousands)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(3,808)</w:t>
            </w:r>
          </w:p>
        </w:tc>
      </w:tr>
      <w:tr>
        <w:trPr>
          <w:trHeight w:val="223"/>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3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473"/>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(3,682)</w:t>
            </w:r>
          </w:p>
        </w:tc>
      </w:tr>
      <w:tr>
        <w:trPr>
          <w:trHeight w:val="677"/>
        </w:trPr>
        <w:tc>
          <w:tcPr>
            <w:tcW w:w="34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5"/>
              </w:rPr>
              <w:t>September 30,</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September 30,</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2012</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Excluding</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9"/>
              </w:rPr>
              <w:t>Restructuring</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Restructuring</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and</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and</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other non-</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Restructuring</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other non-</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recurring</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and other non-</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3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items</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recurring items</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items</w:t>
            </w:r>
          </w:p>
        </w:tc>
      </w:tr>
      <w:tr>
        <w:trPr>
          <w:trHeight w:val="234"/>
        </w:trPr>
        <w:tc>
          <w:tcPr>
            <w:tcW w:w="34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40,606</w:t>
            </w:r>
          </w:p>
        </w:tc>
      </w:tr>
      <w:tr>
        <w:trPr>
          <w:trHeight w:val="223"/>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3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3,009</w:t>
            </w:r>
          </w:p>
        </w:tc>
      </w:tr>
      <w:tr>
        <w:trPr>
          <w:trHeight w:val="473"/>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43,615</w:t>
            </w:r>
          </w:p>
        </w:tc>
      </w:tr>
      <w:tr>
        <w:trPr>
          <w:trHeight w:val="601"/>
        </w:trPr>
        <w:tc>
          <w:tcPr>
            <w:tcW w:w="3480" w:type="dxa"/>
            <w:vAlign w:val="bottom"/>
          </w:tcPr>
          <w:p>
            <w:pPr>
              <w:spacing w:after="0"/>
              <w:rPr>
                <w:sz w:val="24"/>
                <w:szCs w:val="24"/>
                <w:color w:val="auto"/>
              </w:rPr>
            </w:pPr>
          </w:p>
        </w:tc>
        <w:tc>
          <w:tcPr>
            <w:tcW w:w="3460" w:type="dxa"/>
            <w:vAlign w:val="bottom"/>
          </w:tcPr>
          <w:p>
            <w:pPr>
              <w:jc w:val="right"/>
              <w:ind w:right="1050"/>
              <w:spacing w:after="0"/>
              <w:rPr>
                <w:sz w:val="20"/>
                <w:szCs w:val="20"/>
                <w:color w:val="auto"/>
              </w:rPr>
            </w:pPr>
            <w:r>
              <w:rPr>
                <w:rFonts w:ascii="Arial" w:cs="Arial" w:eastAsia="Arial" w:hAnsi="Arial"/>
                <w:sz w:val="18"/>
                <w:szCs w:val="18"/>
                <w:color w:val="auto"/>
              </w:rPr>
              <w:t>23</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48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d) The distribution of income from operations by business segment was as follows (continued):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Nine months ended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September 30,</w:t>
            </w: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September 30,</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September 30,</w:t>
            </w:r>
          </w:p>
        </w:tc>
      </w:tr>
      <w:tr>
        <w:trPr>
          <w:trHeight w:val="216"/>
        </w:trPr>
        <w:tc>
          <w:tcPr>
            <w:tcW w:w="4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16"/>
        </w:trPr>
        <w:tc>
          <w:tcPr>
            <w:tcW w:w="4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Excluding</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4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Restructuring</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Restructuring</w:t>
            </w:r>
          </w:p>
        </w:tc>
      </w:tr>
      <w:tr>
        <w:trPr>
          <w:trHeight w:val="216"/>
        </w:trPr>
        <w:tc>
          <w:tcPr>
            <w:tcW w:w="4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and</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and</w:t>
            </w:r>
          </w:p>
        </w:tc>
      </w:tr>
      <w:tr>
        <w:trPr>
          <w:trHeight w:val="216"/>
        </w:trPr>
        <w:tc>
          <w:tcPr>
            <w:tcW w:w="4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 non-</w:t>
            </w: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Restructuring</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 non-</w:t>
            </w:r>
          </w:p>
        </w:tc>
      </w:tr>
      <w:tr>
        <w:trPr>
          <w:trHeight w:val="216"/>
        </w:trPr>
        <w:tc>
          <w:tcPr>
            <w:tcW w:w="4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and other non-</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4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recurring items</w:t>
            </w:r>
          </w:p>
        </w:tc>
        <w:tc>
          <w:tcPr>
            <w:tcW w:w="2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r>
      <w:tr>
        <w:trPr>
          <w:trHeight w:val="234"/>
        </w:trPr>
        <w:tc>
          <w:tcPr>
            <w:tcW w:w="40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(in thousands)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26,351</w:t>
            </w:r>
          </w:p>
        </w:tc>
      </w:tr>
      <w:tr>
        <w:trPr>
          <w:trHeight w:val="223"/>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29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w:t>
            </w:r>
          </w:p>
        </w:tc>
      </w:tr>
      <w:tr>
        <w:trPr>
          <w:trHeight w:val="473"/>
        </w:trPr>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32,610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22,793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 The distribution of property, plant and equipment, net,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196"/>
        </w:trPr>
        <w:tc>
          <w:tcPr>
            <w:tcW w:w="3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3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9"/>
          </w:tcPr>
          <w:p>
            <w:pPr>
              <w:jc w:val="center"/>
              <w:ind w:right="84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107,960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109,953</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Rest of Europe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15,344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16,419</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33,086</w:t>
            </w:r>
          </w:p>
        </w:tc>
      </w:tr>
      <w:tr>
        <w:trPr>
          <w:trHeight w:val="223"/>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9,332</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9,003</w:t>
            </w:r>
          </w:p>
        </w:tc>
      </w:tr>
      <w:tr>
        <w:trPr>
          <w:trHeight w:val="473"/>
        </w:trPr>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165,081</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168,461</w:t>
            </w:r>
          </w:p>
        </w:tc>
      </w:tr>
      <w:tr>
        <w:trPr>
          <w:trHeight w:val="453"/>
        </w:trPr>
        <w:tc>
          <w:tcPr>
            <w:tcW w:w="6760" w:type="dxa"/>
            <w:vAlign w:val="bottom"/>
            <w:gridSpan w:val="7"/>
          </w:tcPr>
          <w:p>
            <w:pPr>
              <w:spacing w:after="0"/>
              <w:rPr>
                <w:sz w:val="20"/>
                <w:szCs w:val="20"/>
                <w:color w:val="auto"/>
              </w:rPr>
            </w:pPr>
            <w:r>
              <w:rPr>
                <w:rFonts w:ascii="Arial" w:cs="Arial" w:eastAsia="Arial" w:hAnsi="Arial"/>
                <w:sz w:val="18"/>
                <w:szCs w:val="18"/>
                <w:color w:val="auto"/>
                <w:w w:val="90"/>
              </w:rPr>
              <w:t>f) The distribution of property, plant and equipment, net, by business segment was as follows: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3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196"/>
        </w:trPr>
        <w:tc>
          <w:tcPr>
            <w:tcW w:w="3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3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9"/>
          </w:tcPr>
          <w:p>
            <w:pPr>
              <w:jc w:val="center"/>
              <w:ind w:right="84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147,986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150,169</w:t>
            </w:r>
          </w:p>
        </w:tc>
      </w:tr>
      <w:tr>
        <w:trPr>
          <w:trHeight w:val="223"/>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2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17,095</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18,292</w:t>
            </w:r>
          </w:p>
        </w:tc>
      </w:tr>
      <w:tr>
        <w:trPr>
          <w:trHeight w:val="473"/>
        </w:trPr>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165,081</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168,461</w:t>
            </w:r>
          </w:p>
        </w:tc>
      </w:tr>
      <w:tr>
        <w:trPr>
          <w:trHeight w:val="453"/>
        </w:trPr>
        <w:tc>
          <w:tcPr>
            <w:tcW w:w="6760" w:type="dxa"/>
            <w:vAlign w:val="bottom"/>
            <w:gridSpan w:val="7"/>
          </w:tcPr>
          <w:p>
            <w:pPr>
              <w:spacing w:after="0"/>
              <w:rPr>
                <w:sz w:val="20"/>
                <w:szCs w:val="20"/>
                <w:color w:val="auto"/>
              </w:rPr>
            </w:pPr>
            <w:r>
              <w:rPr>
                <w:rFonts w:ascii="Arial" w:cs="Arial" w:eastAsia="Arial" w:hAnsi="Arial"/>
                <w:sz w:val="18"/>
                <w:szCs w:val="18"/>
                <w:color w:val="auto"/>
                <w:w w:val="95"/>
              </w:rPr>
              <w:t>g) The distribution of depreciation and amortization by geographical area was as follows: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3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78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gridSpan w:val="9"/>
          </w:tcPr>
          <w:p>
            <w:pPr>
              <w:jc w:val="center"/>
              <w:ind w:right="800"/>
              <w:spacing w:after="0"/>
              <w:rPr>
                <w:sz w:val="20"/>
                <w:szCs w:val="20"/>
                <w:color w:val="auto"/>
              </w:rPr>
            </w:pPr>
            <w:r>
              <w:rPr>
                <w:rFonts w:ascii="Arial" w:cs="Arial" w:eastAsia="Arial" w:hAnsi="Arial"/>
                <w:sz w:val="18"/>
                <w:szCs w:val="18"/>
                <w:b w:val="1"/>
                <w:bCs w:val="1"/>
                <w:color w:val="auto"/>
                <w:w w:val="91"/>
              </w:rPr>
              <w:t>Nine Months Ended</w:t>
            </w:r>
          </w:p>
        </w:tc>
      </w:tr>
      <w:tr>
        <w:trPr>
          <w:trHeight w:val="20"/>
        </w:trPr>
        <w:tc>
          <w:tcPr>
            <w:tcW w:w="3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196"/>
        </w:trPr>
        <w:tc>
          <w:tcPr>
            <w:tcW w:w="3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2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7"/>
                <w:szCs w:val="17"/>
                <w:color w:val="auto"/>
              </w:rPr>
            </w:pPr>
          </w:p>
        </w:tc>
        <w:tc>
          <w:tcPr>
            <w:tcW w:w="130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380" w:type="dxa"/>
            <w:vAlign w:val="bottom"/>
          </w:tcPr>
          <w:p>
            <w:pPr>
              <w:spacing w:after="0"/>
              <w:rPr>
                <w:sz w:val="17"/>
                <w:szCs w:val="17"/>
                <w:color w:val="auto"/>
              </w:rPr>
            </w:pPr>
          </w:p>
        </w:tc>
        <w:tc>
          <w:tcPr>
            <w:tcW w:w="122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w w:val="97"/>
              </w:rPr>
              <w:t>September 30,</w:t>
            </w:r>
          </w:p>
        </w:tc>
        <w:tc>
          <w:tcPr>
            <w:tcW w:w="280" w:type="dxa"/>
            <w:vAlign w:val="bottom"/>
          </w:tcPr>
          <w:p>
            <w:pPr>
              <w:spacing w:after="0"/>
              <w:rPr>
                <w:sz w:val="17"/>
                <w:szCs w:val="17"/>
                <w:color w:val="auto"/>
              </w:rPr>
            </w:pPr>
          </w:p>
        </w:tc>
        <w:tc>
          <w:tcPr>
            <w:tcW w:w="12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4"/>
              </w:rPr>
              <w:t>September 30,</w:t>
            </w:r>
          </w:p>
        </w:tc>
      </w:tr>
      <w:tr>
        <w:trPr>
          <w:trHeight w:val="20"/>
        </w:trPr>
        <w:tc>
          <w:tcPr>
            <w:tcW w:w="3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7"/>
                <w:szCs w:val="17"/>
                <w:color w:val="auto"/>
              </w:rPr>
            </w:pPr>
          </w:p>
        </w:tc>
        <w:tc>
          <w:tcPr>
            <w:tcW w:w="12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3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20" w:type="dxa"/>
            <w:vAlign w:val="bottom"/>
            <w:gridSpan w:val="9"/>
          </w:tcPr>
          <w:p>
            <w:pPr>
              <w:jc w:val="center"/>
              <w:ind w:right="80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9"/>
          </w:tcPr>
          <w:p>
            <w:pPr>
              <w:jc w:val="center"/>
              <w:ind w:right="80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4,380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3,628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13,381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9,810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Rest of Europe</w:t>
            </w:r>
          </w:p>
        </w:tc>
        <w:tc>
          <w:tcPr>
            <w:tcW w:w="2100" w:type="dxa"/>
            <w:vAlign w:val="bottom"/>
          </w:tcPr>
          <w:p>
            <w:pPr>
              <w:spacing w:after="0"/>
              <w:rPr>
                <w:sz w:val="18"/>
                <w:szCs w:val="18"/>
                <w:color w:val="auto"/>
              </w:rPr>
            </w:pPr>
          </w:p>
        </w:tc>
        <w:tc>
          <w:tcPr>
            <w:tcW w:w="1420" w:type="dxa"/>
            <w:vAlign w:val="bottom"/>
            <w:gridSpan w:val="5"/>
          </w:tcPr>
          <w:p>
            <w:pPr>
              <w:jc w:val="right"/>
              <w:ind w:right="220"/>
              <w:spacing w:after="0"/>
              <w:rPr>
                <w:sz w:val="20"/>
                <w:szCs w:val="20"/>
                <w:color w:val="auto"/>
              </w:rPr>
            </w:pPr>
            <w:r>
              <w:rPr>
                <w:rFonts w:ascii="Arial" w:cs="Arial" w:eastAsia="Arial" w:hAnsi="Arial"/>
                <w:sz w:val="18"/>
                <w:szCs w:val="18"/>
                <w:color w:val="auto"/>
              </w:rPr>
              <w:t>1,691</w:t>
            </w:r>
          </w:p>
        </w:tc>
        <w:tc>
          <w:tcPr>
            <w:tcW w:w="200" w:type="dxa"/>
            <w:vAlign w:val="bottom"/>
          </w:tcPr>
          <w:p>
            <w:pPr>
              <w:spacing w:after="0"/>
              <w:rPr>
                <w:sz w:val="18"/>
                <w:szCs w:val="18"/>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2,121</w:t>
            </w:r>
          </w:p>
        </w:tc>
        <w:tc>
          <w:tcPr>
            <w:tcW w:w="38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5,430</w:t>
            </w:r>
          </w:p>
        </w:tc>
        <w:tc>
          <w:tcPr>
            <w:tcW w:w="28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5,557</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1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3,631</w:t>
            </w:r>
          </w:p>
        </w:tc>
        <w:tc>
          <w:tcPr>
            <w:tcW w:w="20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2,995</w:t>
            </w:r>
          </w:p>
        </w:tc>
        <w:tc>
          <w:tcPr>
            <w:tcW w:w="3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10,568</w:t>
            </w:r>
          </w:p>
        </w:tc>
        <w:tc>
          <w:tcPr>
            <w:tcW w:w="28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9,463</w:t>
            </w:r>
          </w:p>
        </w:tc>
      </w:tr>
      <w:tr>
        <w:trPr>
          <w:trHeight w:val="223"/>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color w:val="auto"/>
              </w:rPr>
              <w:t>899</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923</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2,854</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3,139</w:t>
            </w:r>
          </w:p>
        </w:tc>
      </w:tr>
      <w:tr>
        <w:trPr>
          <w:trHeight w:val="473"/>
        </w:trPr>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10,601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9,667</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32,233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27,969</w:t>
            </w:r>
          </w:p>
        </w:tc>
      </w:tr>
      <w:tr>
        <w:trPr>
          <w:trHeight w:val="574"/>
        </w:trPr>
        <w:tc>
          <w:tcPr>
            <w:tcW w:w="3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24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h) The distribution of depreciation and amortization by business segment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78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gridSpan w:val="10"/>
          </w:tcPr>
          <w:p>
            <w:pPr>
              <w:jc w:val="center"/>
              <w:ind w:right="800"/>
              <w:spacing w:after="0"/>
              <w:rPr>
                <w:sz w:val="20"/>
                <w:szCs w:val="20"/>
                <w:color w:val="auto"/>
              </w:rPr>
            </w:pPr>
            <w:r>
              <w:rPr>
                <w:rFonts w:ascii="Arial" w:cs="Arial" w:eastAsia="Arial" w:hAnsi="Arial"/>
                <w:sz w:val="18"/>
                <w:szCs w:val="18"/>
                <w:b w:val="1"/>
                <w:bCs w:val="1"/>
                <w:color w:val="auto"/>
                <w:w w:val="91"/>
              </w:rPr>
              <w:t>Nine Months Ended</w:t>
            </w: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7"/>
              </w:rPr>
              <w:t>September 30,</w:t>
            </w:r>
          </w:p>
        </w:tc>
        <w:tc>
          <w:tcPr>
            <w:tcW w:w="300" w:type="dxa"/>
            <w:vAlign w:val="bottom"/>
          </w:tcPr>
          <w:p>
            <w:pPr>
              <w:spacing w:after="0"/>
              <w:rPr>
                <w:sz w:val="17"/>
                <w:szCs w:val="17"/>
                <w:color w:val="auto"/>
              </w:rPr>
            </w:pPr>
          </w:p>
        </w:tc>
        <w:tc>
          <w:tcPr>
            <w:tcW w:w="130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380" w:type="dxa"/>
            <w:vAlign w:val="bottom"/>
          </w:tcPr>
          <w:p>
            <w:pPr>
              <w:spacing w:after="0"/>
              <w:rPr>
                <w:sz w:val="17"/>
                <w:szCs w:val="17"/>
                <w:color w:val="auto"/>
              </w:rPr>
            </w:pPr>
          </w:p>
        </w:tc>
        <w:tc>
          <w:tcPr>
            <w:tcW w:w="122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w w:val="97"/>
              </w:rPr>
              <w:t>September 30,</w:t>
            </w:r>
          </w:p>
        </w:tc>
        <w:tc>
          <w:tcPr>
            <w:tcW w:w="280" w:type="dxa"/>
            <w:vAlign w:val="bottom"/>
          </w:tcPr>
          <w:p>
            <w:pPr>
              <w:spacing w:after="0"/>
              <w:rPr>
                <w:sz w:val="17"/>
                <w:szCs w:val="17"/>
                <w:color w:val="auto"/>
              </w:rPr>
            </w:pPr>
          </w:p>
        </w:tc>
        <w:tc>
          <w:tcPr>
            <w:tcW w:w="128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94"/>
              </w:rPr>
              <w:t>September 30,</w:t>
            </w:r>
          </w:p>
        </w:tc>
      </w:tr>
      <w:tr>
        <w:trPr>
          <w:trHeight w:val="196"/>
        </w:trPr>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20" w:type="dxa"/>
            <w:vAlign w:val="bottom"/>
            <w:gridSpan w:val="9"/>
          </w:tcPr>
          <w:p>
            <w:pPr>
              <w:jc w:val="center"/>
              <w:ind w:right="80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10"/>
          </w:tcPr>
          <w:p>
            <w:pPr>
              <w:jc w:val="center"/>
              <w:ind w:right="80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9,604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8,496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29,506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24,193</w:t>
            </w:r>
          </w:p>
        </w:tc>
      </w:tr>
      <w:tr>
        <w:trPr>
          <w:trHeight w:val="223"/>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997</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1,171</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2,727</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3,776</w:t>
            </w:r>
          </w:p>
        </w:tc>
      </w:tr>
      <w:tr>
        <w:trPr>
          <w:trHeight w:val="473"/>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10,601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9,667</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32,233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27,969</w:t>
            </w:r>
          </w:p>
        </w:tc>
      </w:tr>
      <w:tr>
        <w:trPr>
          <w:trHeight w:val="453"/>
        </w:trPr>
        <w:tc>
          <w:tcPr>
            <w:tcW w:w="5100" w:type="dxa"/>
            <w:vAlign w:val="bottom"/>
          </w:tcPr>
          <w:p>
            <w:pPr>
              <w:spacing w:after="0"/>
              <w:rPr>
                <w:sz w:val="20"/>
                <w:szCs w:val="20"/>
                <w:color w:val="auto"/>
              </w:rPr>
            </w:pPr>
            <w:r>
              <w:rPr>
                <w:rFonts w:ascii="Arial" w:cs="Arial" w:eastAsia="Arial" w:hAnsi="Arial"/>
                <w:sz w:val="18"/>
                <w:szCs w:val="18"/>
                <w:color w:val="auto"/>
                <w:w w:val="91"/>
              </w:rPr>
              <w:t>i) The distribution of total assets by geographical area was as follows: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6"/>
              </w:rPr>
              <w:t>September 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196"/>
        </w:trPr>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10"/>
          </w:tcPr>
          <w:p>
            <w:pPr>
              <w:jc w:val="center"/>
              <w:ind w:right="84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433,171</w:t>
            </w:r>
          </w:p>
        </w:tc>
        <w:tc>
          <w:tcPr>
            <w:tcW w:w="1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414,510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Rest of Europe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237,288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6"/>
          </w:tcPr>
          <w:p>
            <w:pPr>
              <w:jc w:val="right"/>
              <w:ind w:right="100"/>
              <w:spacing w:after="0"/>
              <w:rPr>
                <w:sz w:val="20"/>
                <w:szCs w:val="20"/>
                <w:color w:val="auto"/>
              </w:rPr>
            </w:pPr>
            <w:r>
              <w:rPr>
                <w:rFonts w:ascii="Arial" w:cs="Arial" w:eastAsia="Arial" w:hAnsi="Arial"/>
                <w:sz w:val="18"/>
                <w:szCs w:val="18"/>
                <w:color w:val="auto"/>
              </w:rPr>
              <w:t>216,313</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415,761</w:t>
            </w:r>
          </w:p>
        </w:tc>
        <w:tc>
          <w:tcPr>
            <w:tcW w:w="1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363,527</w:t>
            </w:r>
          </w:p>
        </w:tc>
      </w:tr>
      <w:tr>
        <w:trPr>
          <w:trHeight w:val="223"/>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49,009</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41,117</w:t>
            </w:r>
          </w:p>
        </w:tc>
      </w:tr>
      <w:tr>
        <w:trPr>
          <w:trHeight w:val="473"/>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1,135,229</w:t>
            </w:r>
          </w:p>
        </w:tc>
        <w:tc>
          <w:tcPr>
            <w:tcW w:w="120" w:type="dxa"/>
            <w:vAlign w:val="bottom"/>
            <w:tcBorders>
              <w:left w:val="single" w:sz="8" w:color="CCEEFF"/>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1,035,467</w:t>
            </w:r>
          </w:p>
        </w:tc>
      </w:tr>
      <w:tr>
        <w:trPr>
          <w:trHeight w:val="453"/>
        </w:trPr>
        <w:tc>
          <w:tcPr>
            <w:tcW w:w="5100" w:type="dxa"/>
            <w:vAlign w:val="bottom"/>
          </w:tcPr>
          <w:p>
            <w:pPr>
              <w:spacing w:after="0"/>
              <w:rPr>
                <w:sz w:val="20"/>
                <w:szCs w:val="20"/>
                <w:color w:val="auto"/>
              </w:rPr>
            </w:pPr>
            <w:r>
              <w:rPr>
                <w:rFonts w:ascii="Arial" w:cs="Arial" w:eastAsia="Arial" w:hAnsi="Arial"/>
                <w:sz w:val="18"/>
                <w:szCs w:val="18"/>
                <w:color w:val="auto"/>
                <w:w w:val="91"/>
              </w:rPr>
              <w:t>j) The distribution of total assets by business segment was as follows: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6"/>
              </w:rPr>
              <w:t>September 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196"/>
        </w:trPr>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10"/>
          </w:tcPr>
          <w:p>
            <w:pPr>
              <w:jc w:val="center"/>
              <w:ind w:right="84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1,073,526</w:t>
            </w:r>
          </w:p>
        </w:tc>
        <w:tc>
          <w:tcPr>
            <w:tcW w:w="1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980,283</w:t>
            </w:r>
          </w:p>
        </w:tc>
      </w:tr>
      <w:tr>
        <w:trPr>
          <w:trHeight w:val="223"/>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61,703</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55,184</w:t>
            </w:r>
          </w:p>
        </w:tc>
      </w:tr>
      <w:tr>
        <w:trPr>
          <w:trHeight w:val="473"/>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1,135,229</w:t>
            </w:r>
          </w:p>
        </w:tc>
        <w:tc>
          <w:tcPr>
            <w:tcW w:w="120" w:type="dxa"/>
            <w:vAlign w:val="bottom"/>
            <w:tcBorders>
              <w:left w:val="single" w:sz="8" w:color="CCEEFF"/>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1,035,467</w:t>
            </w:r>
          </w:p>
        </w:tc>
      </w:tr>
      <w:tr>
        <w:trPr>
          <w:trHeight w:val="844"/>
        </w:trPr>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5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2011.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2012, we had approximately 9,280 employees, in 82 locations in 40 countries. During the nine months ended September 30, 2012 we derived approximately 43.1%, 44.7% and 12.2% our net revenue in the United States, Europe and Rest of World, respectively.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 The Company’s results of operations and cash flows are therefore not materially impacted by project cancellations or delays.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September 30, 2012 we had a backlog of approximately $2.7 billion, compared with approximately $2.3 billion at December 31, 2011.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Direct costs consist primarily of compensation, associated fringe benefits and share based compensation expense for project-related employees and other direct project driven costs. Selling, general and administrative expenses comprise primarily of compensation, related fringe benefits and share based compensation expense for non project-related employees, recruitment expenditure, professional service costs, advertising costs and all costs related to facilities and information systems.</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2012 compared with Three Months Ended September 30, 2011</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86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46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9"/>
              </w:rPr>
              <w:t>September 30,</w:t>
            </w:r>
          </w:p>
        </w:tc>
        <w:tc>
          <w:tcPr>
            <w:tcW w:w="14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4"/>
              </w:rPr>
              <w:t>September 30,</w:t>
            </w:r>
          </w:p>
        </w:tc>
        <w:tc>
          <w:tcPr>
            <w:tcW w:w="1460" w:type="dxa"/>
            <w:vAlign w:val="bottom"/>
            <w:gridSpan w:val="2"/>
          </w:tcPr>
          <w:p>
            <w:pPr>
              <w:jc w:val="right"/>
              <w:ind w:right="130"/>
              <w:spacing w:after="0" w:line="198"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 2011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8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Percentage of Net Revenue</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392"/>
        </w:trPr>
        <w:tc>
          <w:tcPr>
            <w:tcW w:w="710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tcPr>
          <w:p>
            <w:pPr>
              <w:jc w:val="right"/>
              <w:spacing w:after="0"/>
              <w:rPr>
                <w:sz w:val="20"/>
                <w:szCs w:val="20"/>
                <w:color w:val="auto"/>
              </w:rPr>
            </w:pPr>
            <w:r>
              <w:rPr>
                <w:rFonts w:ascii="Arial" w:cs="Arial" w:eastAsia="Arial" w:hAnsi="Arial"/>
                <w:sz w:val="18"/>
                <w:szCs w:val="18"/>
                <w:color w:val="auto"/>
              </w:rPr>
              <w:t>24.8%</w:t>
            </w:r>
          </w:p>
        </w:tc>
        <w:tc>
          <w:tcPr>
            <w:tcW w:w="1400" w:type="dxa"/>
            <w:vAlign w:val="bottom"/>
          </w:tcPr>
          <w:p>
            <w:pPr>
              <w:jc w:val="right"/>
              <w:spacing w:after="0"/>
              <w:rPr>
                <w:sz w:val="20"/>
                <w:szCs w:val="20"/>
                <w:color w:val="auto"/>
              </w:rPr>
            </w:pPr>
            <w:r>
              <w:rPr>
                <w:rFonts w:ascii="Arial" w:cs="Arial" w:eastAsia="Arial" w:hAnsi="Arial"/>
                <w:sz w:val="18"/>
                <w:szCs w:val="18"/>
                <w:color w:val="auto"/>
              </w:rPr>
              <w:t>29.7%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432"/>
        </w:trPr>
        <w:tc>
          <w:tcPr>
            <w:tcW w:w="7100" w:type="dxa"/>
            <w:vAlign w:val="bottom"/>
            <w:gridSpan w:val="3"/>
          </w:tcPr>
          <w:p>
            <w:pPr>
              <w:spacing w:after="0"/>
              <w:rPr>
                <w:sz w:val="20"/>
                <w:szCs w:val="20"/>
                <w:color w:val="auto"/>
              </w:rPr>
            </w:pPr>
            <w:r>
              <w:rPr>
                <w:rFonts w:ascii="Arial" w:cs="Arial" w:eastAsia="Arial" w:hAnsi="Arial"/>
                <w:sz w:val="18"/>
                <w:szCs w:val="18"/>
                <w:color w:val="auto"/>
              </w:rPr>
              <w:t>Income from operations (excluding restructuring and other non-recurring items)</w:t>
            </w:r>
          </w:p>
        </w:tc>
        <w:tc>
          <w:tcPr>
            <w:tcW w:w="1460" w:type="dxa"/>
            <w:vAlign w:val="bottom"/>
          </w:tcPr>
          <w:p>
            <w:pPr>
              <w:jc w:val="right"/>
              <w:spacing w:after="0"/>
              <w:rPr>
                <w:sz w:val="20"/>
                <w:szCs w:val="20"/>
                <w:color w:val="auto"/>
              </w:rPr>
            </w:pPr>
            <w:r>
              <w:rPr>
                <w:rFonts w:ascii="Arial" w:cs="Arial" w:eastAsia="Arial" w:hAnsi="Arial"/>
                <w:sz w:val="18"/>
                <w:szCs w:val="18"/>
                <w:color w:val="auto"/>
              </w:rPr>
              <w:t>7.3%</w:t>
            </w: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Restructuring and other non-recurring items</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7100" w:type="dxa"/>
            <w:vAlign w:val="bottom"/>
            <w:gridSpan w:val="3"/>
          </w:tcPr>
          <w:p>
            <w:pPr>
              <w:spacing w:after="0"/>
              <w:rPr>
                <w:sz w:val="20"/>
                <w:szCs w:val="20"/>
                <w:color w:val="auto"/>
              </w:rPr>
            </w:pPr>
            <w:r>
              <w:rPr>
                <w:rFonts w:ascii="Arial" w:cs="Arial" w:eastAsia="Arial" w:hAnsi="Arial"/>
                <w:sz w:val="18"/>
                <w:szCs w:val="18"/>
                <w:color w:val="auto"/>
              </w:rPr>
              <w:t>Income from operations (including restructuring and other non-recurring items )</w:t>
            </w:r>
          </w:p>
        </w:tc>
        <w:tc>
          <w:tcPr>
            <w:tcW w:w="1460" w:type="dxa"/>
            <w:vAlign w:val="bottom"/>
          </w:tcPr>
          <w:p>
            <w:pPr>
              <w:jc w:val="right"/>
              <w:spacing w:after="0"/>
              <w:rPr>
                <w:sz w:val="20"/>
                <w:szCs w:val="20"/>
                <w:color w:val="auto"/>
              </w:rPr>
            </w:pPr>
            <w:r>
              <w:rPr>
                <w:rFonts w:ascii="Arial" w:cs="Arial" w:eastAsia="Arial" w:hAnsi="Arial"/>
                <w:sz w:val="18"/>
                <w:szCs w:val="18"/>
                <w:color w:val="auto"/>
              </w:rPr>
              <w:t>7.3%</w:t>
            </w: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6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7100" w:type="dxa"/>
            <w:vAlign w:val="bottom"/>
            <w:gridSpan w:val="3"/>
          </w:tcPr>
          <w:p>
            <w:pPr>
              <w:jc w:val="right"/>
              <w:ind w:right="1300"/>
              <w:spacing w:after="0"/>
              <w:rPr>
                <w:sz w:val="20"/>
                <w:szCs w:val="20"/>
                <w:color w:val="auto"/>
              </w:rPr>
            </w:pPr>
            <w:r>
              <w:rPr>
                <w:rFonts w:ascii="Arial" w:cs="Arial" w:eastAsia="Arial" w:hAnsi="Arial"/>
                <w:sz w:val="18"/>
                <w:szCs w:val="18"/>
                <w:color w:val="auto"/>
              </w:rPr>
              <w:t>27</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56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Net revenue for the period increased by $44.7 million, or 18.6%, from $240.8 million for the three months ended September 30, 2011 to $285.5 million for the three months ended September 30, 2012. Net revenue in our clinical research segment increased by $40.3 million, or 18.2%, from $221.2 million for the three months ended September 30, 2011 to $261.5 million for the three months ended September 30, 2012. In our central laboratory business, net revenue increased by $4.4 million, or 22.4%, from $19.6 million for the three months ended September 30, 2011 to $24.0 million for the three months ended September 30, 2012. Net revenue derived from the acquisitions of BeijingWits Medical and PriceSpective amounted to $5.3 million for the three months ended September 30, 2012. For the three months ended September 30, 2012 we derived approximately 45.4%, 42.6% and 12.0% of our net revenue in the United States, Europe and Rest of World, respectively.</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revenue in Ireland increased from $13.9 million for the three months ended September 30, 2011 to $41.1 million for the three months ended September 30, 2012. Net revenue in Ireland is principally a function of the Company’s global transfer pricing model. Significant investment in personnel and related infrastructure in the prior period, to support new strategic partnerships and the expansion into new territories, resulted in an increased proportion of the Company’s net revenue being used to support other Group entities and a corresponding reduction in net revenue in Ireland. Increased revenue flows in the current period, driven by this upfront investment, has led to an increase in net revenue in Ireland in the current period.</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Direct costs for the period increased by $25.0 million, or 15.8%, from $158.3 million for the three months ended September 30, 2011 to $183.3 million for the three months ended September 30, 2012. As a percentage of net revenue, direct costs have decreased from 65.8% for the three months ended September 30, 2011 to 64.2% for the three months ended September 30, 2012. Direct costs in our clinical research segment have increased by 13.3% or $19.4 million during the three month period. As a percentage of net revenue direct costs in our clinical research segment have decreased from 65.8% for the three months ended September 30, 2011 to 63.1% for the three months ended September 30, 2012. In our central laboratory business, direct costs have increased by 43.9% or $5.6 million during the period. As a percentage of net revenue direct costs in our central laboratory business have increased from 65.5% for the three months ended September 30, 2011 to 76.8% for the three months ended September 30, 2012. During the period the Company identified certain legacy cost allocation issues related to freight and courier costs in our Central Laboratory business which had incorrectly been allocated to some customers. These amounts, totalling $4 million, were adjusted during the period resulting in an increase in direct costs for the period.</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for the period decreased by $0.9 million, or 1.3%, from $71.9 million for the three months ended September 30, 2011 to $70.7 million for the three months ended September 30, 2012. The decrease in selling, general and administration expenses for the period arose primarily from a decrease in facilities and related costs of $1.7 million offset by an increase in personnel related expenditure of $0.8 million. Selling, general and administrative expenses for the period included a credit of $2 million primarily related to certain US State and Federal government grants and refunds received. As a percentage of net revenue, selling, general and administrative expenses, decreased from 29.7% for the three months ended September 30, 2011 to 24.8% for the three months ended September 30, 2012.</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Depreciation expense for the period was $8.6 million for both the three months ended September 30, 2011 and the three months ended September 30, 2012 and principally arises from an investment in facilities, information systems and equipment to support the Company’s growth. As a percentage of net revenue, depreciation expense decreased from 3.6% of net revenues for the three months ended September 30, 2011 to 3.0% for the three months ended September 30, 2012. Amortization expense for the period increased by $1.0 million, or 100.0%, from $1.0 million for the three months ended September 30, 2011 to $2.0 million for the three months ended September 30, 2012. Amortization expense represents the amortization of intangible assets acquired on business combinations. The increase in the amortization expense in the current period is primarily a result of intangible assets acquired from the acquisitions of Firecrest in July 2011 and the acquisitions of BeijingWits Medical and PriceSpective in February 2012. As a percentage of net revenue, amortization expense increased from 0.4% of net revenues for the three months ended September 30, 2011 to 0.7% of net revenues for the three months ended September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income from operations for the three months ended September 30, 2012 increased by $24.6 million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Operating Income</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Operating Margin*</w:t>
            </w:r>
          </w:p>
        </w:tc>
        <w:tc>
          <w:tcPr>
            <w:tcW w:w="640" w:type="dxa"/>
            <w:vAlign w:val="bottom"/>
            <w:tcBorders>
              <w:bottom w:val="single" w:sz="8" w:color="auto"/>
            </w:tcBorders>
          </w:tcPr>
          <w:p>
            <w:pPr>
              <w:spacing w:after="0"/>
              <w:rPr>
                <w:sz w:val="20"/>
                <w:szCs w:val="20"/>
                <w:color w:val="auto"/>
              </w:rPr>
            </w:pPr>
          </w:p>
        </w:tc>
      </w:tr>
      <w:tr>
        <w:trPr>
          <w:trHeight w:val="223"/>
        </w:trPr>
        <w:tc>
          <w:tcPr>
            <w:tcW w:w="4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1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2012</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2011</w:t>
            </w:r>
          </w:p>
        </w:tc>
      </w:tr>
      <w:tr>
        <w:trPr>
          <w:trHeight w:val="216"/>
        </w:trPr>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19,845</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(3,808)</w:t>
            </w:r>
          </w:p>
        </w:tc>
        <w:tc>
          <w:tcPr>
            <w:tcW w:w="22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1,034</w:t>
            </w: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c>
          <w:tcPr>
            <w:tcW w:w="222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4.2%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473"/>
        </w:trPr>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20,879</w:t>
            </w:r>
          </w:p>
        </w:tc>
        <w:tc>
          <w:tcPr>
            <w:tcW w:w="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(3,682)</w:t>
            </w:r>
          </w:p>
        </w:tc>
        <w:tc>
          <w:tcPr>
            <w:tcW w:w="2220" w:type="dxa"/>
            <w:vAlign w:val="bottom"/>
            <w:tcBorders>
              <w:bottom w:val="single" w:sz="8" w:color="auto"/>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7.3%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426"/>
        </w:trPr>
        <w:tc>
          <w:tcPr>
            <w:tcW w:w="4640" w:type="dxa"/>
            <w:vAlign w:val="bottom"/>
          </w:tcPr>
          <w:p>
            <w:pPr>
              <w:spacing w:after="0"/>
              <w:rPr>
                <w:sz w:val="20"/>
                <w:szCs w:val="20"/>
                <w:color w:val="auto"/>
              </w:rPr>
            </w:pPr>
            <w:r>
              <w:rPr>
                <w:rFonts w:ascii="Arial" w:cs="Arial" w:eastAsia="Arial" w:hAnsi="Arial"/>
                <w:sz w:val="18"/>
                <w:szCs w:val="18"/>
                <w:color w:val="auto"/>
              </w:rPr>
              <w:t>* Operating income as a percentage of net revenue</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81"/>
        </w:trPr>
        <w:tc>
          <w:tcPr>
            <w:tcW w:w="46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8"/>
        </w:trPr>
        <w:tc>
          <w:tcPr>
            <w:tcW w:w="46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Excluding the impact of restructuring and other non-recurring items recognized during the three months ended September 30, 2011, income from operations for the three months ended September 30, 2012 increased by $19.7 million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Operating Income</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Operating Margin*</w:t>
            </w:r>
          </w:p>
        </w:tc>
        <w:tc>
          <w:tcPr>
            <w:tcW w:w="60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1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2012</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19,845</w:t>
            </w:r>
          </w:p>
        </w:tc>
        <w:tc>
          <w:tcPr>
            <w:tcW w:w="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1,007</w:t>
            </w:r>
          </w:p>
        </w:tc>
        <w:tc>
          <w:tcPr>
            <w:tcW w:w="22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20" w:type="dxa"/>
            <w:vAlign w:val="bottom"/>
          </w:tcPr>
          <w:p>
            <w:pPr>
              <w:spacing w:after="0"/>
              <w:rPr>
                <w:sz w:val="19"/>
                <w:szCs w:val="19"/>
                <w:color w:val="auto"/>
              </w:rPr>
            </w:pPr>
          </w:p>
        </w:tc>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1,034</w:t>
            </w: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c>
          <w:tcPr>
            <w:tcW w:w="220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4.2%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473"/>
        </w:trPr>
        <w:tc>
          <w:tcPr>
            <w:tcW w:w="20" w:type="dxa"/>
            <w:vAlign w:val="bottom"/>
          </w:tcPr>
          <w:p>
            <w:pPr>
              <w:spacing w:after="0"/>
              <w:rPr>
                <w:sz w:val="24"/>
                <w:szCs w:val="24"/>
                <w:color w:val="auto"/>
              </w:rPr>
            </w:pPr>
          </w:p>
        </w:tc>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20,879</w:t>
            </w:r>
          </w:p>
        </w:tc>
        <w:tc>
          <w:tcPr>
            <w:tcW w:w="7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1,133</w:t>
            </w:r>
          </w:p>
        </w:tc>
        <w:tc>
          <w:tcPr>
            <w:tcW w:w="2200" w:type="dxa"/>
            <w:vAlign w:val="bottom"/>
            <w:tcBorders>
              <w:bottom w:val="single" w:sz="8" w:color="auto"/>
            </w:tcBorders>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7.3%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4"/>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 Operating income as a percentage of net revenue</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Losses from operations in Ireland decreased from a loss of $18.9 million for the three months ended September 30, 2011, or $17.4 million excluding the impact of restructuring and other non-recurring costs recognized, to a loss of $0.4 million for the three months ended September 30, 2012. Income/ (losses) from operations in Ireland are impacted by the Group’s global transfer pricing model. A significant upfront investment in personnel and related infrastructure in the prior period led to a greater proportion of the Group’s revenue being used to support other Group entities and a corresponding increase in losses from operations in Ireland. Increased revenue flows in the current period, arising from this upfront investment in personnel and related infrastructure, has led to a reduction in losses from operations in the current quarter.</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period increased from $0.2 million for the three months ended September 30, 2011 to $0.5 million for the three months ended September 30, 2012. Interest expense for the three months ended September 30, 2012 includes $0.2 million in respect of non-cash finance charges relating to acquisition contingent consideration. Interest income for the three months ended September 30, 2012 decreased from $0.4 million for the three months ended September 30, 2011 to $0.2 million for the three months ended September 30, 2012.</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Provision for income taxes for the period increased from a net tax credit of $0.9 million for the three months ended September 30, 2011 to $2.9 million for the three months ended September 30, 2012. The Company’s effective tax rate for the three months ended September 30, 2012 was 14.0% compared with 25.0% for the three months ended September 30, 2011 or 15.3% excluding the impact of restructuring and other non-recurring items. The Company’s effective tax rate is principally a function of the distribution of pre-tax profits amongst the territories in which it operates.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Nine Months Ended September 30, 2012 compared with Nine Months Ended September 30, 2011</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80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46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9"/>
              </w:rPr>
              <w:t>September 30,</w:t>
            </w:r>
          </w:p>
        </w:tc>
        <w:tc>
          <w:tcPr>
            <w:tcW w:w="134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4"/>
              </w:rPr>
              <w:t>September 30,</w:t>
            </w:r>
          </w:p>
        </w:tc>
        <w:tc>
          <w:tcPr>
            <w:tcW w:w="1460" w:type="dxa"/>
            <w:vAlign w:val="bottom"/>
            <w:gridSpan w:val="2"/>
          </w:tcPr>
          <w:p>
            <w:pPr>
              <w:jc w:val="right"/>
              <w:ind w:right="130"/>
              <w:spacing w:after="0" w:line="198"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 2011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Percentage of Net Revenue</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392"/>
        </w:trPr>
        <w:tc>
          <w:tcPr>
            <w:tcW w:w="716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tcPr>
          <w:p>
            <w:pPr>
              <w:jc w:val="right"/>
              <w:spacing w:after="0"/>
              <w:rPr>
                <w:sz w:val="20"/>
                <w:szCs w:val="20"/>
                <w:color w:val="auto"/>
              </w:rPr>
            </w:pPr>
            <w:r>
              <w:rPr>
                <w:rFonts w:ascii="Arial" w:cs="Arial" w:eastAsia="Arial" w:hAnsi="Arial"/>
                <w:sz w:val="18"/>
                <w:szCs w:val="18"/>
                <w:color w:val="auto"/>
              </w:rPr>
              <w:t>25.5%</w:t>
            </w:r>
          </w:p>
        </w:tc>
        <w:tc>
          <w:tcPr>
            <w:tcW w:w="1340" w:type="dxa"/>
            <w:vAlign w:val="bottom"/>
          </w:tcPr>
          <w:p>
            <w:pPr>
              <w:jc w:val="right"/>
              <w:spacing w:after="0"/>
              <w:rPr>
                <w:sz w:val="20"/>
                <w:szCs w:val="20"/>
                <w:color w:val="auto"/>
              </w:rPr>
            </w:pPr>
            <w:r>
              <w:rPr>
                <w:rFonts w:ascii="Arial" w:cs="Arial" w:eastAsia="Arial" w:hAnsi="Arial"/>
                <w:sz w:val="18"/>
                <w:szCs w:val="18"/>
                <w:color w:val="auto"/>
              </w:rPr>
              <w:t>26.9%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32"/>
        </w:trPr>
        <w:tc>
          <w:tcPr>
            <w:tcW w:w="7160" w:type="dxa"/>
            <w:vAlign w:val="bottom"/>
            <w:gridSpan w:val="3"/>
          </w:tcPr>
          <w:p>
            <w:pPr>
              <w:spacing w:after="0"/>
              <w:rPr>
                <w:sz w:val="20"/>
                <w:szCs w:val="20"/>
                <w:color w:val="auto"/>
              </w:rPr>
            </w:pPr>
            <w:r>
              <w:rPr>
                <w:rFonts w:ascii="Arial" w:cs="Arial" w:eastAsia="Arial" w:hAnsi="Arial"/>
                <w:sz w:val="18"/>
                <w:szCs w:val="18"/>
                <w:color w:val="auto"/>
              </w:rPr>
              <w:t>Income from operations (excluding restructuring and other non-recurring items )</w:t>
            </w:r>
          </w:p>
        </w:tc>
        <w:tc>
          <w:tcPr>
            <w:tcW w:w="1460" w:type="dxa"/>
            <w:vAlign w:val="bottom"/>
          </w:tcPr>
          <w:p>
            <w:pPr>
              <w:jc w:val="right"/>
              <w:spacing w:after="0"/>
              <w:rPr>
                <w:sz w:val="20"/>
                <w:szCs w:val="20"/>
                <w:color w:val="auto"/>
              </w:rPr>
            </w:pPr>
            <w:r>
              <w:rPr>
                <w:rFonts w:ascii="Arial" w:cs="Arial" w:eastAsia="Arial" w:hAnsi="Arial"/>
                <w:sz w:val="18"/>
                <w:szCs w:val="18"/>
                <w:color w:val="auto"/>
              </w:rPr>
              <w:t>6.0%</w:t>
            </w: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Restructuring and other non-recurring items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432"/>
        </w:trPr>
        <w:tc>
          <w:tcPr>
            <w:tcW w:w="7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Income from operations (including restructuring and other non-recurring items)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 for the period increased by $111.7 million, or 15.9%, from $703.1 million for the nine months ended September 30, 2011 to $814.8 million for the nine months ended September 30, 2012. Net revenue in our clinical research segment increased by $100.1 million, or 15.4%, from $650.2 million for the nine months ended September 30, 2011 to $750.3 million for the nine months ended September 30, 2012. In our central laboratory business, net revenue increased by $11.6 million, or 21.9%, from $52.9 million for the nine months ended September 30, 2011 to $64.5 million for the nine months ended September 30, 2012. Net revenue derived from the acquisitions of Firecrest, BeijingWits Medical and PriceSpective amounted to $25.0 million for the nine months ended September 30, 2012 compared with net revenue derived from the acquisition of Firecrest of $4.1 million during the nine months ended September 30, 2011. For the nine months ended September 30, 2012 we derived approximately 43.1%, 44.7% and 12.2% of our net revenue in the United States, Europe and Rest of World, respectively.</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revenue in Ireland increased from $67.3 million for the nine months ended September 30, 2011 to $110.9 million for the nine months ended September 30, 2012. Net revenue in Ireland is principally a function of the Company’s global transfer pricing model. Significant investment in personnel and related infrastructure in the prior period, to support new strategic partnerships and the expansion into new territories, resulted in an increased proportion of the Company’s net revenue being used to support other Group entities and a corresponding reduction in net revenue in Ireland. Increased revenue flows in the current period, driven by this upfront investment, has led to an increase in net revenue in Ireland in the current period.</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Direct costs for the period increased by $72.0 million, or 15.9%, from $453.7 million for the nine months ended September 30, 2011 to $525.7 million for the nine months ended September 30, 2012. As a percentage of net revenue, direct costs have remained at 64.5% for the nine months ended September 30, 2011 and the nine months ended September 30, 2012. Direct costs in our clinical research segment have increased by 15.6% or $64.9 million during the nine month period. As a percentage of net revenue direct costs in our clinical research segment have increased from 64.1% for the nine months ended September 30, 2011 to 64.2% for the nine months ended September 30, 2012. In our central laboratory business, direct costs have increased by 19.2% or $7.1 million during the period. During the period the Company identified certain legacy cost allocation issues related to freight and courier costs in our Central Laboratory business which had incorrectly been allocated to some customers. These amounts, totalling $4 million, were adjusted during the period resulting in an increase in direct costs for the period. As a percentage of net revenue direct costs in our central laboratory business have decreased from 70.2% for the nine months ended September 30, 2011 to 68.6% for the nine months ended September 30, 2012.</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spacing w:after="0" w:line="255" w:lineRule="auto"/>
        <w:rPr>
          <w:sz w:val="20"/>
          <w:szCs w:val="20"/>
          <w:color w:val="auto"/>
        </w:rPr>
      </w:pPr>
      <w:r>
        <w:rPr>
          <w:rFonts w:ascii="Arial" w:cs="Arial" w:eastAsia="Arial" w:hAnsi="Arial"/>
          <w:sz w:val="18"/>
          <w:szCs w:val="18"/>
          <w:color w:val="auto"/>
        </w:rPr>
        <w:t>Selling, general and administrative expenses for the period increased by $18.7 million, or 9.9%, from $188.9 million for the nine months ended September 30, 2011 to $207.6 million for the nine months ended September 30, 2012. The increase in selling, general and administration expenses for the period arose primarily from an increase in personnel related expenditure of $12.8 million and an increase in other general overhead costs of $5.9 million. Selling, general and administrative expenses for the period included a credit of $2 million primarily related to certain US State and Federal government grants received. As a percentage of net revenue, selling, general and administrative expenses decreased from 26.9% for the nine months ended September 30, 2011 to 25.5% for the nine months ended September 30, 2012.</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Depreciation expense for the period increased by $0.7 million, or 2.7%, from $25.5 million for the nine months ended September 30, 2011 to $26.2 million for the nine months ended September 30, 2012, principally as a result of our continued investment in facilities, information systems and equipment to support the Company’s growth. As a percentage of net revenue, depreciation expense decreased from 3.6% of net revenues for the nine months ended September 30, 2011 to 3.2% for the nine months ended September 30, 2012. Amortization expense for the period increased by $3.5 million, or 140.0%, from $2.5 million for the nine months ended September 30, 2011 to $6.0 million for the nine months ended September 30, 2012. Amortization expense represents the amortization of intangible assets acquired on business combinations. The increase in the amortization expense in the current period is primarily a result of intangible assets acquired from the acquisitions of Firecrest in July 2011 and the acquisitions of BeijingWits Medical and PriceSpective in February 2012. As a percentage of net revenue, amortization expense increased from 0.4% of net revenues for the nine months ended September 30, 2011 to 0.7% of net revenues for the nine months ended September 30, 2012.</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Restructuring and other non-recurring items of $5.6 million were recorded during the nine months ended September 30, 2012 (inclusive of the release of $0.1 million relating to the 2011 Restructuring Plans). During the nine months ended September 30,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nine months ended September 30, 2012; $3.4 million in respect of resource rationalizations and $1.2 million in respect of lease termination and exit costs. The Company also incurred certain other charges in relation to the retirement of Mr. Peter Gray, former Vice Chairman of the Board and former CEO of the Company. A charge of $1.1 million was recognized in respect of this during the nine months ended September 30, 2012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note 4 Restructuring and other non-recurring items for further information).</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March 31, 2011 the Company commenced a review of its operations to improve resource utilization within the business and better align resources to current and future growth opportunities of the business. This review resulted in the adoption of an initial restructuring plan, the closure of the Company’s facility in Edinburgh, United Kingdom and resource rationalizations in certain of the more mature markets in which it operates. A restructuring charge of $5.0 million in respect of this plan was recognized during the three months ended March 31, 2011, $1.0 million in respect of lease termination and exit costs associated with the closure of the Edinburgh facility and $4.0 million in respect of workforce reductions. During the three months ended September 30, 2011 the Company implemented a further restructuring plan which resulted in the relocation of the Company’s facility in Maryland, USA; and further resource rationalizations. A restructuring charge of $4.8 million was recognized during the three months ended September 30, 2011 in respect of this plan, $0.9 million in respect of lease termination and exit costs associated with the closure of the Maryland facility and $3.9 million in respect of workforce reductions.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income from operations for the nine months ended September 30, 2012 increased by $20.8 million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Operating Income</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Operating Margin*</w:t>
            </w:r>
          </w:p>
        </w:tc>
        <w:tc>
          <w:tcPr>
            <w:tcW w:w="64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1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2012</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2011</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40,606</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26,351</w:t>
            </w:r>
          </w:p>
        </w:tc>
        <w:tc>
          <w:tcPr>
            <w:tcW w:w="22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5.4%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3,009</w:t>
            </w: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(3,558)</w:t>
            </w:r>
          </w:p>
        </w:tc>
        <w:tc>
          <w:tcPr>
            <w:tcW w:w="222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4.7%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473"/>
        </w:trPr>
        <w:tc>
          <w:tcPr>
            <w:tcW w:w="20" w:type="dxa"/>
            <w:vAlign w:val="bottom"/>
          </w:tcPr>
          <w:p>
            <w:pPr>
              <w:spacing w:after="0"/>
              <w:rPr>
                <w:sz w:val="24"/>
                <w:szCs w:val="24"/>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43,615</w:t>
            </w:r>
          </w:p>
        </w:tc>
        <w:tc>
          <w:tcPr>
            <w:tcW w:w="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22,793</w:t>
            </w:r>
          </w:p>
        </w:tc>
        <w:tc>
          <w:tcPr>
            <w:tcW w:w="2220" w:type="dxa"/>
            <w:vAlign w:val="bottom"/>
            <w:tcBorders>
              <w:bottom w:val="single" w:sz="8" w:color="auto"/>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5.3%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4"/>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 Operating income as a percentage of net revenue</w:t>
            </w: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661"/>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Excluding the impact of restructuring and other non-recurring items recognized, income from operations for the nine months ended September 30, 2012 increased by $16.6 million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Operating Income</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Operating Margin*</w:t>
            </w:r>
          </w:p>
        </w:tc>
        <w:tc>
          <w:tcPr>
            <w:tcW w:w="64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1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2012</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2011</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46,084</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34,623</w:t>
            </w:r>
          </w:p>
        </w:tc>
        <w:tc>
          <w:tcPr>
            <w:tcW w:w="22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6.1%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20" w:type="dxa"/>
            <w:vAlign w:val="bottom"/>
          </w:tcPr>
          <w:p>
            <w:pPr>
              <w:spacing w:after="0"/>
              <w:rPr>
                <w:sz w:val="19"/>
                <w:szCs w:val="19"/>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3,167</w:t>
            </w: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(2,013)</w:t>
            </w:r>
          </w:p>
        </w:tc>
        <w:tc>
          <w:tcPr>
            <w:tcW w:w="222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4.9%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473"/>
        </w:trPr>
        <w:tc>
          <w:tcPr>
            <w:tcW w:w="20" w:type="dxa"/>
            <w:vAlign w:val="bottom"/>
          </w:tcPr>
          <w:p>
            <w:pPr>
              <w:spacing w:after="0"/>
              <w:rPr>
                <w:sz w:val="24"/>
                <w:szCs w:val="24"/>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49,251</w:t>
            </w:r>
          </w:p>
        </w:tc>
        <w:tc>
          <w:tcPr>
            <w:tcW w:w="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32,610</w:t>
            </w:r>
          </w:p>
        </w:tc>
        <w:tc>
          <w:tcPr>
            <w:tcW w:w="2220" w:type="dxa"/>
            <w:vAlign w:val="bottom"/>
            <w:tcBorders>
              <w:bottom w:val="single" w:sz="8" w:color="auto"/>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6.0%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4"/>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 Operating income as a percentage of net revenue</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Losses from operations in Ireland decreased from a loss of $20.8 million for the nine months ended September 30, 2011, or $19.2 million excluding the impact of restructuring and other non-recurring costs recognized, to a loss of $7.0 million for the nine months ended September 30, 2012, or $5.0 million excluding the impact of restructuring and other non-recurring costs. Income/ (losses) from operations in Ireland are impacted by the Group’s global transfer pricing model. A significant upfront investment in personnel and related infrastructure in the prior period led to a greater proportion of the Group’s revenue being used to support other Group entities and a corresponding increase in losses from operations in Ireland. Increased revenue flows in the current period, arising from this upfront investment in personnel and related infrastructure, has led to a reduction in losses from operations in the current period.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period increased from $0.6 million for the nine months ended September 30, 2011 to $1.5 million for the nine months ended September 30, 2012. Interest expense for the nine months ended September 30, 2012 includes $0.7 million in respect of non-cash finance charges relating to acquisition contingent consideration. Interest income for the period remained at $0.9 million for the nine months ended September 30, 2011 and the nine months ended September 30, 2012.</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 for income taxes for the period increased from $4.3 million for the nine months ended September 30, 2011 to $8.4 million for the nine months ended September 30, 2012. The Company’s effective tax rate for the nine months ended September 30, 2012 was 19.5% compared with 18.7% for the nine months ended September 30, 2011. Excluding the impact of restructuring and other non-recurring items the Company’s effective tax rate was 18.7% for the nine months ended September 30, 2012 compared with 16.9% for the nine months ended September 30, 2011. The Company’s effective tax rate is principally a function of the distribution of pre-tax profits in the territories in which it operates.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and short term investment balances at September 30, 2012 amounted to $179.9 million compared with cash and short term investment balances of $174.1 million at December 31, 2011. The Company’s cash and short term investment balances at September 30, 2012 comprised cash and cash equivalents $119.4 million and short-term investments $60.5 million. The Company’s cash and short-term investment balances at December 31, 2011 comprised cash and cash equivalents $119.2 million and short-term investments $54.9 million.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20, 2011 the Company entered into a three year committed multi currency revolving credit facility for $150.0 million with Citibank, JP Morgan, Ulster Bank, Deutsche Bank and Barclays Bank. Each bank subject to the agreement has committed $30 million to the facility, with equal terms and conditions in place with all institutions. The facility bears interest at LIBOR plus a margin and includes certain composite guarantees, indemnities and pledges in favor of the banks. Amounts available to the Group under the facility amounted to $150.0 million at September 30, 2012 compared with $150.0 million at December 31, 2011.</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cash provided by operating activities was $101.5 million for the nine months ended September 30, 2012 compared with cash used in operating activities of $17.6 million for the nine months ended September 30, 2011. The most significant influence on our operating cash flow is revenue outstanding, which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September 30, 2012 was 38 days compared to 47 days at December 31, 2011. The number of days revenue outstanding at September 30, 2011 was 52 days compared to 37 days at December 31, 2010.</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$93.3 million for the nine months ended September 30, 2012 compared to net cash used in investing activities of $118.7 million for the nine months ended September 30, 2011. Net cash used in the nine months ended September 30, 2012 arose principally from cash paid for acquisitions, capital expenditures and the purchase of short-term investments.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the nine months ended September 30, 2012 the Company completed the acquisitions of BeijingWits Medical and PriceSpective. The Company acquired BeijingWits Medical for an initial cash consideration of $9.0 million, with $0.6 million in cash received on acquisition. The Company acquired PriceSpective for an initial cash consideration of $37.1 million, with $2.3 million cash received on acquisition. A further $5.0 million was also paid during the period in respect of certain performance milestones to PriceSpective. A number of payments were also made by the company during the period in respect of prior year acquisitions, $1.2 million in respect of certain performance milestones and working capital targets for Oxford Outcomes and $17.0 million in respect of certain performance milestones and working capital targets for Firecrest. Additional amounts payable at September 30, 2012 in relation to acquisitions include $0.3 million in respect of Timaq Medical Imaging, $6.4 million in respect of Oxford Outcomes and $42.0 million potentially payable contingent upon the results of acquired businesses; including PriceSpective ($10.0 million); BeijingWits Medical ($7.0 million) and Firecrest ($25.0 million). </w:t>
      </w:r>
      <w:r>
        <w:rPr>
          <w:rFonts w:ascii="Arial" w:cs="Arial" w:eastAsia="Arial" w:hAnsi="Arial"/>
          <w:sz w:val="18"/>
          <w:szCs w:val="18"/>
          <w:i w:val="1"/>
          <w:iCs w:val="1"/>
          <w:color w:val="auto"/>
        </w:rPr>
        <w:t>(See note 3 Business Combinations for further information relating to acquisitions and amounts potentially payable contingent upon the future results of acquired businesses).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t>Capital expenditure for the nine months ended September 30, 2012 amounted to $22.4 million, and comprised mainly of expenditure on global infrastructure and information technology systems to support the Company’s growth. During the nine months ended September 30, 2012 the Company invested a net $4.8 million in short-term investments.</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Net cash used by financing activities during the nine months ended September 30, 2012 amounted to $9.3 million compared with net cash provided by financing activities of $3.4 million for the nine months ended September 30, 2011. Net cash used by financing activities during the nine months ended September 30, 2012 arose primarily from cash paid to repurchase ordinary shares under the Company’s share repurchase program. During the nine months ended September 30, 2012 the Company repurchased 738,341 ordinary shares for a total consideration of $15.6 million. As at September 30, 2012 1,283,938 ordinary shares have been repurchased by the Company for a total consideration of $24.6 million. All ordinary shares repurchased by the Company were cancelled </w:t>
      </w:r>
      <w:r>
        <w:rPr>
          <w:rFonts w:ascii="Arial" w:cs="Arial" w:eastAsia="Arial" w:hAnsi="Arial"/>
          <w:sz w:val="16"/>
          <w:szCs w:val="16"/>
          <w:i w:val="1"/>
          <w:iCs w:val="1"/>
          <w:color w:val="auto"/>
        </w:rPr>
        <w:t>(see note 8 Share Capital for further information).</w:t>
      </w:r>
      <w:r>
        <w:rPr>
          <w:rFonts w:ascii="Arial" w:cs="Arial" w:eastAsia="Arial" w:hAnsi="Arial"/>
          <w:sz w:val="16"/>
          <w:szCs w:val="16"/>
          <w:color w:val="auto"/>
        </w:rPr>
        <w:t xml:space="preserve"> During the nine months ended September 30, 2012 the Company received $5.3 million from the exercise of share options compared to $3.0 million from the exercise of share options during the nine months ended September 30, 2011.</w:t>
      </w:r>
    </w:p>
    <w:p>
      <w:pPr>
        <w:spacing w:after="0" w:line="1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these cash flows, cash and cash equivalents increased by $0.1 million for the nine months ended September 30, 2012 compared to a decrease of $128.9 million for the nine months ended September 30, 2011.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439"/>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70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Date: November 26, 2012</w:t>
            </w:r>
          </w:p>
        </w:tc>
        <w:tc>
          <w:tcPr>
            <w:tcW w:w="570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2019-12-09T13:54:49Z</dcterms:created>
  <dcterms:modified xsi:type="dcterms:W3CDTF">2019-12-09T13:54:49Z</dcterms:modified>
</cp:coreProperties>
</file>