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D.C.20549</w:t>
      </w:r>
    </w:p>
    <w:p>
      <w:pPr>
        <w:spacing w:after="0" w:line="7"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____________</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20-F</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___</w:t>
      </w:r>
      <w:r>
        <w:rPr>
          <w:rFonts w:ascii="Arial" w:cs="Arial" w:eastAsia="Arial" w:hAnsi="Arial"/>
          <w:sz w:val="16"/>
          <w:szCs w:val="16"/>
          <w:b w:val="1"/>
          <w:bCs w:val="1"/>
          <w:color w:val="auto"/>
        </w:rPr>
        <w:t xml:space="preserve"> Registration statement pursuant to Section 12(b) or (g)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_X_</w:t>
      </w:r>
      <w:r>
        <w:rPr>
          <w:rFonts w:ascii="Arial" w:cs="Arial" w:eastAsia="Arial" w:hAnsi="Arial"/>
          <w:sz w:val="17"/>
          <w:szCs w:val="17"/>
          <w:b w:val="1"/>
          <w:bCs w:val="1"/>
          <w:color w:val="auto"/>
        </w:rPr>
        <w:t xml:space="preserve"> Annual report pursuant to Section 13 or 15 (d)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___</w:t>
      </w:r>
      <w:r>
        <w:rPr>
          <w:rFonts w:ascii="Arial" w:cs="Arial" w:eastAsia="Arial" w:hAnsi="Arial"/>
          <w:sz w:val="17"/>
          <w:szCs w:val="17"/>
          <w:b w:val="1"/>
          <w:bCs w:val="1"/>
          <w:color w:val="auto"/>
        </w:rPr>
        <w:t xml:space="preserve"> Transition report pursuant to Section 13 or 15(d) of the Securities Exchange Act of 1934.</w:t>
      </w:r>
    </w:p>
    <w:p>
      <w:pPr>
        <w:spacing w:after="0" w:line="245"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000-29714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1984375</wp:posOffset>
            </wp:positionH>
            <wp:positionV relativeFrom="paragraph">
              <wp:posOffset>89535</wp:posOffset>
            </wp:positionV>
            <wp:extent cx="328866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8665" cy="21590"/>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1984375</wp:posOffset>
            </wp:positionH>
            <wp:positionV relativeFrom="paragraph">
              <wp:posOffset>83820</wp:posOffset>
            </wp:positionV>
            <wp:extent cx="328866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866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(Jurisdiction of Incorporation or Organization)</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COUNTY BUSINESS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u w:val="single" w:color="auto"/>
          <w:color w:val="auto"/>
        </w:rPr>
        <w:t>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Brendan Brennan, CFO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Brendan.Brendan@iconplc.com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011-353-1-291-2000</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u w:val="single" w:color="auto"/>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400"/>
          </w:cols>
          <w:pgMar w:left="240" w:top="215" w:right="259" w:bottom="542" w:gutter="0" w:footer="0" w:header="0"/>
        </w:sectPr>
      </w:pPr>
    </w:p>
    <w:p>
      <w:pPr>
        <w:spacing w:after="0" w:line="238" w:lineRule="exact"/>
        <w:rPr>
          <w:sz w:val="24"/>
          <w:szCs w:val="24"/>
          <w:color w:val="auto"/>
        </w:rPr>
      </w:pPr>
    </w:p>
    <w:p>
      <w:pPr>
        <w:jc w:val="center"/>
        <w:ind w:right="1380"/>
        <w:spacing w:after="0"/>
        <w:rPr>
          <w:sz w:val="20"/>
          <w:szCs w:val="20"/>
          <w:color w:val="auto"/>
        </w:rPr>
      </w:pPr>
      <w:r>
        <w:rPr>
          <w:rFonts w:ascii="Arial" w:cs="Arial" w:eastAsia="Arial" w:hAnsi="Arial"/>
          <w:sz w:val="18"/>
          <w:szCs w:val="18"/>
          <w:i w:val="1"/>
          <w:iCs w:val="1"/>
          <w:color w:val="auto"/>
        </w:rPr>
        <w:t>Title of each class</w:t>
      </w:r>
    </w:p>
    <w:p>
      <w:pPr>
        <w:spacing w:after="0" w:line="23" w:lineRule="exact"/>
        <w:rPr>
          <w:sz w:val="24"/>
          <w:szCs w:val="24"/>
          <w:color w:val="auto"/>
        </w:rPr>
      </w:pPr>
    </w:p>
    <w:p>
      <w:pPr>
        <w:jc w:val="center"/>
        <w:ind w:right="1380"/>
        <w:spacing w:after="0"/>
        <w:rPr>
          <w:sz w:val="20"/>
          <w:szCs w:val="20"/>
          <w:color w:val="auto"/>
        </w:rPr>
      </w:pPr>
      <w:r>
        <w:rPr>
          <w:rFonts w:ascii="Arial" w:cs="Arial" w:eastAsia="Arial" w:hAnsi="Arial"/>
          <w:sz w:val="17"/>
          <w:szCs w:val="17"/>
          <w:b w:val="1"/>
          <w:bCs w:val="1"/>
          <w:color w:val="auto"/>
        </w:rPr>
        <w:t>AMERICAN DEPOSITORY SHARES, REPRESENTING</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ORDINARY SHARES,PAR VALUE €0.06 EACH</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960"/>
        <w:spacing w:after="0"/>
        <w:rPr>
          <w:sz w:val="20"/>
          <w:szCs w:val="20"/>
          <w:color w:val="auto"/>
        </w:rPr>
      </w:pPr>
      <w:r>
        <w:rPr>
          <w:rFonts w:ascii="Arial" w:cs="Arial" w:eastAsia="Arial" w:hAnsi="Arial"/>
          <w:sz w:val="18"/>
          <w:szCs w:val="18"/>
          <w:i w:val="1"/>
          <w:iCs w:val="1"/>
          <w:color w:val="auto"/>
        </w:rPr>
        <w:t>Name of exchange on which registered</w:t>
      </w:r>
    </w:p>
    <w:p>
      <w:pPr>
        <w:spacing w:after="0" w:line="2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NASDAQ GLOBAL SELECT MARKET</w:t>
      </w:r>
    </w:p>
    <w:p>
      <w:pPr>
        <w:spacing w:after="0" w:line="416" w:lineRule="exact"/>
        <w:rPr>
          <w:sz w:val="24"/>
          <w:szCs w:val="24"/>
          <w:color w:val="auto"/>
        </w:rPr>
      </w:pPr>
    </w:p>
    <w:p>
      <w:pPr>
        <w:sectPr>
          <w:pgSz w:w="11900" w:h="16838" w:orient="portrait"/>
          <w:cols w:equalWidth="0" w:num="2">
            <w:col w:w="6540" w:space="720"/>
            <w:col w:w="4140"/>
          </w:cols>
          <w:pgMar w:left="240" w:top="215" w:right="259" w:bottom="542" w:gutter="0" w:footer="0" w:header="0"/>
          <w:type w:val="continuous"/>
        </w:sectPr>
      </w:pP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3" w:lineRule="exact"/>
        <w:rPr>
          <w:sz w:val="24"/>
          <w:szCs w:val="24"/>
          <w:color w:val="auto"/>
        </w:rPr>
      </w:pPr>
    </w:p>
    <w:p>
      <w:pPr>
        <w:ind w:left="5180"/>
        <w:spacing w:after="0"/>
        <w:rPr>
          <w:sz w:val="20"/>
          <w:szCs w:val="20"/>
          <w:color w:val="auto"/>
        </w:rPr>
      </w:pPr>
      <w:r>
        <w:rPr>
          <w:rFonts w:ascii="Arial" w:cs="Arial" w:eastAsia="Arial" w:hAnsi="Arial"/>
          <w:sz w:val="18"/>
          <w:szCs w:val="18"/>
          <w:i w:val="1"/>
          <w:iCs w:val="1"/>
          <w:color w:val="auto"/>
        </w:rPr>
        <w:t>Title of each class</w:t>
      </w:r>
    </w:p>
    <w:p>
      <w:pPr>
        <w:spacing w:after="0" w:line="9"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NONE</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(Title of class)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60,135,603 Ordinary Shares.</w:t>
      </w:r>
    </w:p>
    <w:p>
      <w:pPr>
        <w:spacing w:after="0" w:line="9" w:lineRule="exact"/>
        <w:rPr>
          <w:sz w:val="24"/>
          <w:szCs w:val="24"/>
          <w:color w:val="auto"/>
        </w:rPr>
      </w:pPr>
    </w:p>
    <w:p>
      <w:pPr>
        <w:spacing w:after="0"/>
        <w:tabs>
          <w:tab w:leader="none" w:pos="9420" w:val="left"/>
        </w:tabs>
        <w:rPr>
          <w:sz w:val="20"/>
          <w:szCs w:val="20"/>
          <w:color w:val="auto"/>
        </w:rPr>
      </w:pPr>
      <w:r>
        <w:rPr>
          <w:rFonts w:ascii="Arial" w:cs="Arial" w:eastAsia="Arial" w:hAnsi="Arial"/>
          <w:sz w:val="17"/>
          <w:szCs w:val="17"/>
          <w:color w:val="auto"/>
        </w:rPr>
        <w:t xml:space="preserve">Indicate by check mark if the registrant is a well-known seasoned issuer, as determined in Rule 405 of the Securities Act. Yes </w:t>
      </w:r>
      <w:r>
        <w:rPr>
          <w:rFonts w:ascii="Arial" w:cs="Arial" w:eastAsia="Arial" w:hAnsi="Arial"/>
          <w:sz w:val="17"/>
          <w:szCs w:val="17"/>
          <w:u w:val="single" w:color="auto"/>
          <w:color w:val="auto"/>
        </w:rPr>
        <w:t>X</w:t>
      </w:r>
      <w:r>
        <w:rPr>
          <w:sz w:val="20"/>
          <w:szCs w:val="20"/>
          <w:color w:val="auto"/>
        </w:rPr>
        <w:tab/>
      </w:r>
      <w:r>
        <w:rPr>
          <w:rFonts w:ascii="Arial" w:cs="Arial" w:eastAsia="Arial" w:hAnsi="Arial"/>
          <w:sz w:val="16"/>
          <w:szCs w:val="16"/>
          <w:color w:val="auto"/>
        </w:rPr>
        <w:t>No__</w:t>
      </w:r>
    </w:p>
    <w:p>
      <w:pPr>
        <w:spacing w:after="0" w:line="21" w:lineRule="exact"/>
        <w:rPr>
          <w:sz w:val="24"/>
          <w:szCs w:val="24"/>
          <w:color w:val="auto"/>
        </w:rPr>
      </w:pPr>
    </w:p>
    <w:p>
      <w:pPr>
        <w:ind w:right="460"/>
        <w:spacing w:after="0" w:line="250" w:lineRule="auto"/>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8"/>
          <w:szCs w:val="18"/>
          <w:u w:val="single" w:color="auto"/>
          <w:color w:val="auto"/>
        </w:rPr>
        <w:t>X</w:t>
      </w:r>
    </w:p>
    <w:p>
      <w:pPr>
        <w:spacing w:after="0" w:line="1" w:lineRule="exact"/>
        <w:rPr>
          <w:sz w:val="24"/>
          <w:szCs w:val="24"/>
          <w:color w:val="auto"/>
        </w:rPr>
      </w:pPr>
    </w:p>
    <w:p>
      <w:pPr>
        <w:ind w:right="140"/>
        <w:spacing w:after="0" w:line="28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w:t>
      </w:r>
    </w:p>
    <w:tbl>
      <w:tblPr>
        <w:tblLayout w:type="fixed"/>
        <w:tblInd w:w="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Arial" w:cs="Arial" w:eastAsia="Arial" w:hAnsi="Arial"/>
                <w:sz w:val="18"/>
                <w:szCs w:val="18"/>
                <w:color w:val="auto"/>
                <w:w w:val="91"/>
              </w:rPr>
              <w:t>for the past 90 days: Yes X</w:t>
            </w:r>
          </w:p>
        </w:tc>
        <w:tc>
          <w:tcPr>
            <w:tcW w:w="4460" w:type="dxa"/>
            <w:vAlign w:val="bottom"/>
          </w:tcPr>
          <w:p>
            <w:pPr>
              <w:ind w:left="180"/>
              <w:spacing w:after="0" w:line="177" w:lineRule="exact"/>
              <w:rPr>
                <w:sz w:val="20"/>
                <w:szCs w:val="20"/>
                <w:color w:val="auto"/>
              </w:rPr>
            </w:pPr>
            <w:r>
              <w:rPr>
                <w:rFonts w:ascii="Arial" w:cs="Arial" w:eastAsia="Arial" w:hAnsi="Arial"/>
                <w:sz w:val="18"/>
                <w:szCs w:val="18"/>
                <w:color w:val="auto"/>
              </w:rPr>
              <w:t>No__</w:t>
            </w:r>
          </w:p>
        </w:tc>
        <w:tc>
          <w:tcPr>
            <w:tcW w:w="2940" w:type="dxa"/>
            <w:vAlign w:val="bottom"/>
          </w:tcPr>
          <w:p>
            <w:pPr>
              <w:spacing w:after="0"/>
              <w:rPr>
                <w:sz w:val="15"/>
                <w:szCs w:val="15"/>
                <w:color w:val="auto"/>
              </w:rPr>
            </w:pPr>
          </w:p>
        </w:tc>
      </w:tr>
      <w:tr>
        <w:trPr>
          <w:trHeight w:val="20"/>
        </w:trPr>
        <w:tc>
          <w:tcPr>
            <w:tcW w:w="16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r>
      <w:tr>
        <w:trPr>
          <w:trHeight w:val="222"/>
        </w:trPr>
        <w:tc>
          <w:tcPr>
            <w:tcW w:w="9400" w:type="dxa"/>
            <w:vAlign w:val="bottom"/>
            <w:gridSpan w:val="5"/>
          </w:tcPr>
          <w:p>
            <w:pPr>
              <w:spacing w:after="0"/>
              <w:rPr>
                <w:sz w:val="20"/>
                <w:szCs w:val="20"/>
                <w:color w:val="auto"/>
              </w:rPr>
            </w:pPr>
            <w:r>
              <w:rPr>
                <w:rFonts w:ascii="Arial" w:cs="Arial" w:eastAsia="Arial" w:hAnsi="Arial"/>
                <w:sz w:val="18"/>
                <w:szCs w:val="18"/>
                <w:color w:val="auto"/>
                <w:w w:val="98"/>
              </w:rPr>
              <w:t>Indicate by check mark whether the registrant is a large accelerated filer, an accelerated filer, or a non- accelerated filer.</w:t>
            </w:r>
          </w:p>
        </w:tc>
      </w:tr>
      <w:tr>
        <w:trPr>
          <w:trHeight w:val="190"/>
        </w:trPr>
        <w:tc>
          <w:tcPr>
            <w:tcW w:w="2000" w:type="dxa"/>
            <w:vAlign w:val="bottom"/>
            <w:gridSpan w:val="3"/>
          </w:tcPr>
          <w:p>
            <w:pPr>
              <w:spacing w:after="0" w:line="190" w:lineRule="exact"/>
              <w:rPr>
                <w:sz w:val="20"/>
                <w:szCs w:val="20"/>
                <w:color w:val="auto"/>
              </w:rPr>
            </w:pPr>
            <w:r>
              <w:rPr>
                <w:rFonts w:ascii="Arial" w:cs="Arial" w:eastAsia="Arial" w:hAnsi="Arial"/>
                <w:sz w:val="18"/>
                <w:szCs w:val="18"/>
                <w:color w:val="auto"/>
              </w:rPr>
              <w:t>Large accelerated filer X</w:t>
            </w:r>
          </w:p>
        </w:tc>
        <w:tc>
          <w:tcPr>
            <w:tcW w:w="4460" w:type="dxa"/>
            <w:vAlign w:val="bottom"/>
          </w:tcPr>
          <w:p>
            <w:pPr>
              <w:ind w:left="1840"/>
              <w:spacing w:after="0" w:line="190" w:lineRule="exact"/>
              <w:rPr>
                <w:sz w:val="20"/>
                <w:szCs w:val="20"/>
                <w:color w:val="auto"/>
              </w:rPr>
            </w:pPr>
            <w:r>
              <w:rPr>
                <w:rFonts w:ascii="Arial" w:cs="Arial" w:eastAsia="Arial" w:hAnsi="Arial"/>
                <w:sz w:val="18"/>
                <w:szCs w:val="18"/>
                <w:color w:val="auto"/>
              </w:rPr>
              <w:t>Accelerated filer __</w:t>
            </w:r>
          </w:p>
        </w:tc>
        <w:tc>
          <w:tcPr>
            <w:tcW w:w="2940" w:type="dxa"/>
            <w:vAlign w:val="bottom"/>
          </w:tcPr>
          <w:p>
            <w:pPr>
              <w:ind w:left="1200"/>
              <w:spacing w:after="0" w:line="190" w:lineRule="exact"/>
              <w:rPr>
                <w:sz w:val="20"/>
                <w:szCs w:val="20"/>
                <w:color w:val="auto"/>
              </w:rPr>
            </w:pPr>
            <w:r>
              <w:rPr>
                <w:rFonts w:ascii="Arial" w:cs="Arial" w:eastAsia="Arial" w:hAnsi="Arial"/>
                <w:sz w:val="18"/>
                <w:szCs w:val="18"/>
                <w:color w:val="auto"/>
                <w:w w:val="89"/>
              </w:rPr>
              <w:t>Non-accelerated filer __</w:t>
            </w:r>
          </w:p>
        </w:tc>
      </w:tr>
      <w:tr>
        <w:trPr>
          <w:trHeight w:val="20"/>
        </w:trPr>
        <w:tc>
          <w:tcPr>
            <w:tcW w:w="16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tbl>
      <w:tblPr>
        <w:tblLayout w:type="fixed"/>
        <w:tblInd w:w="0" w:type="dxa"/>
        <w:tblCellMar>
          <w:top w:w="0" w:type="dxa"/>
          <w:left w:w="0" w:type="dxa"/>
          <w:bottom w:w="0" w:type="dxa"/>
          <w:right w:w="0" w:type="dxa"/>
        </w:tblCellMar>
      </w:tblPr>
      <w:tr>
        <w:trPr>
          <w:trHeight w:val="199"/>
        </w:trPr>
        <w:tc>
          <w:tcPr>
            <w:tcW w:w="1040" w:type="dxa"/>
            <w:vAlign w:val="bottom"/>
            <w:gridSpan w:val="2"/>
          </w:tcPr>
          <w:p>
            <w:pPr>
              <w:spacing w:after="0" w:line="199" w:lineRule="exact"/>
              <w:rPr>
                <w:sz w:val="20"/>
                <w:szCs w:val="20"/>
                <w:color w:val="auto"/>
              </w:rPr>
            </w:pPr>
            <w:r>
              <w:rPr>
                <w:rFonts w:ascii="Arial" w:cs="Arial" w:eastAsia="Arial" w:hAnsi="Arial"/>
                <w:sz w:val="18"/>
                <w:szCs w:val="18"/>
                <w:color w:val="auto"/>
                <w:w w:val="95"/>
              </w:rPr>
              <w:t>U.S. GAAP X</w:t>
            </w:r>
          </w:p>
        </w:tc>
        <w:tc>
          <w:tcPr>
            <w:tcW w:w="5860" w:type="dxa"/>
            <w:vAlign w:val="bottom"/>
          </w:tcPr>
          <w:p>
            <w:pPr>
              <w:ind w:left="1260"/>
              <w:spacing w:after="0" w:line="199" w:lineRule="exact"/>
              <w:rPr>
                <w:sz w:val="20"/>
                <w:szCs w:val="20"/>
                <w:color w:val="auto"/>
              </w:rPr>
            </w:pPr>
            <w:r>
              <w:rPr>
                <w:rFonts w:ascii="Arial" w:cs="Arial" w:eastAsia="Arial" w:hAnsi="Arial"/>
                <w:sz w:val="18"/>
                <w:szCs w:val="18"/>
                <w:color w:val="auto"/>
              </w:rPr>
              <w:t>International Financial Reporting Standards as issued __</w:t>
            </w:r>
          </w:p>
        </w:tc>
        <w:tc>
          <w:tcPr>
            <w:tcW w:w="1180" w:type="dxa"/>
            <w:vAlign w:val="bottom"/>
          </w:tcPr>
          <w:p>
            <w:pPr>
              <w:ind w:left="540"/>
              <w:spacing w:after="0" w:line="199" w:lineRule="exact"/>
              <w:rPr>
                <w:sz w:val="20"/>
                <w:szCs w:val="20"/>
                <w:color w:val="auto"/>
              </w:rPr>
            </w:pPr>
            <w:r>
              <w:rPr>
                <w:rFonts w:ascii="Arial" w:cs="Arial" w:eastAsia="Arial" w:hAnsi="Arial"/>
                <w:sz w:val="18"/>
                <w:szCs w:val="18"/>
                <w:color w:val="auto"/>
                <w:w w:val="88"/>
              </w:rPr>
              <w:t>Other __</w:t>
            </w:r>
          </w:p>
        </w:tc>
      </w:tr>
      <w:tr>
        <w:trPr>
          <w:trHeight w:val="237"/>
        </w:trPr>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60" w:type="dxa"/>
            <w:vAlign w:val="bottom"/>
          </w:tcPr>
          <w:p>
            <w:pPr>
              <w:ind w:left="1260"/>
              <w:spacing w:after="0"/>
              <w:rPr>
                <w:sz w:val="20"/>
                <w:szCs w:val="20"/>
                <w:color w:val="auto"/>
              </w:rPr>
            </w:pPr>
            <w:r>
              <w:rPr>
                <w:rFonts w:ascii="Arial" w:cs="Arial" w:eastAsia="Arial" w:hAnsi="Arial"/>
                <w:sz w:val="18"/>
                <w:szCs w:val="18"/>
                <w:color w:val="auto"/>
              </w:rPr>
              <w:t>by the International Accounting Standards Board</w:t>
            </w:r>
          </w:p>
        </w:tc>
        <w:tc>
          <w:tcPr>
            <w:tcW w:w="1180" w:type="dxa"/>
            <w:vAlign w:val="bottom"/>
          </w:tcPr>
          <w:p>
            <w:pPr>
              <w:spacing w:after="0"/>
              <w:rPr>
                <w:sz w:val="20"/>
                <w:szCs w:val="20"/>
                <w:color w:val="auto"/>
              </w:rPr>
            </w:pPr>
          </w:p>
        </w:tc>
      </w:tr>
    </w:tbl>
    <w:p>
      <w:pPr>
        <w:ind w:right="140"/>
        <w:spacing w:after="0" w:line="250"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sz w:val="24"/>
          <w:szCs w:val="24"/>
          <w:color w:val="auto"/>
        </w:rPr>
      </w:pPr>
    </w:p>
    <w:p>
      <w:pPr>
        <w:spacing w:after="0"/>
        <w:tabs>
          <w:tab w:leader="none" w:pos="1072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 Yes __</w:t>
        <w:tab/>
        <w:t xml:space="preserve">No </w:t>
      </w:r>
      <w:r>
        <w:rPr>
          <w:rFonts w:ascii="Arial" w:cs="Arial" w:eastAsia="Arial" w:hAnsi="Arial"/>
          <w:sz w:val="17"/>
          <w:szCs w:val="17"/>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15" w:right="259" w:bottom="542" w:gutter="0" w:footer="0" w:header="0"/>
          <w:type w:val="continuous"/>
        </w:sectPr>
      </w:pPr>
    </w:p>
    <w:bookmarkStart w:id="1" w:name="page2"/>
    <w:bookmarkEnd w:id="1"/>
    <w:p>
      <w:pPr>
        <w:ind w:left="424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7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Page</w:t>
            </w:r>
          </w:p>
        </w:tc>
      </w:tr>
      <w:tr>
        <w:trPr>
          <w:trHeight w:val="412"/>
        </w:trPr>
        <w:tc>
          <w:tcPr>
            <w:tcW w:w="866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General</w:t>
              </w:r>
            </w:hyperlink>
          </w:p>
        </w:tc>
        <w:tc>
          <w:tcPr>
            <w:tcW w:w="24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6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412"/>
        </w:trPr>
        <w:tc>
          <w:tcPr>
            <w:tcW w:w="866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Statement</w:t>
              </w:r>
            </w:hyperlink>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453"/>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5"/>
          </w:tcPr>
          <w:p>
            <w:pPr>
              <w:jc w:val="center"/>
              <w:ind w:right="2860"/>
              <w:spacing w:after="0"/>
              <w:rPr>
                <w:sz w:val="20"/>
                <w:szCs w:val="20"/>
                <w:color w:val="auto"/>
              </w:rPr>
            </w:pPr>
            <w:r>
              <w:rPr>
                <w:rFonts w:ascii="Arial" w:cs="Arial" w:eastAsia="Arial" w:hAnsi="Arial"/>
                <w:sz w:val="18"/>
                <w:szCs w:val="18"/>
                <w:b w:val="1"/>
                <w:bCs w:val="1"/>
                <w:color w:val="auto"/>
                <w:w w:val="98"/>
              </w:rPr>
              <w:t>PART I</w:t>
            </w: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45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 Identity of Directors, Senior Management and Advisors</w:t>
              </w:r>
            </w:hyperlink>
          </w:p>
        </w:tc>
        <w:tc>
          <w:tcPr>
            <w:tcW w:w="4080" w:type="dxa"/>
            <w:vAlign w:val="bottom"/>
            <w:gridSpan w:val="5"/>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34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2. Offer Statistics and Expected Timetable</w:t>
              </w:r>
            </w:hyperlink>
          </w:p>
        </w:tc>
        <w:tc>
          <w:tcPr>
            <w:tcW w:w="5220" w:type="dxa"/>
            <w:vAlign w:val="bottom"/>
            <w:gridSpan w:val="13"/>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3. Key Information</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4. Information on the Company</w:t>
              </w:r>
            </w:hyperlink>
          </w:p>
        </w:tc>
        <w:tc>
          <w:tcPr>
            <w:tcW w:w="6000" w:type="dxa"/>
            <w:vAlign w:val="bottom"/>
            <w:gridSpan w:val="16"/>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4A. Unresolved Staff Comments</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39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5. Operating and Financial Review and Prospects</w:t>
              </w:r>
            </w:hyperlink>
          </w:p>
        </w:tc>
        <w:tc>
          <w:tcPr>
            <w:tcW w:w="4720" w:type="dxa"/>
            <w:vAlign w:val="bottom"/>
            <w:gridSpan w:val="10"/>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6. Directors, Senior Management and Employees</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4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Item 7. Major Shareholders and Related Party Transactions</w:t>
              </w:r>
            </w:hyperlink>
          </w:p>
        </w:tc>
        <w:tc>
          <w:tcPr>
            <w:tcW w:w="4380" w:type="dxa"/>
            <w:vAlign w:val="bottom"/>
            <w:gridSpan w:val="7"/>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1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Item 8. Financial Information</w:t>
              </w:r>
            </w:hyperlink>
          </w:p>
        </w:tc>
        <w:tc>
          <w:tcPr>
            <w:tcW w:w="6500" w:type="dxa"/>
            <w:vAlign w:val="bottom"/>
            <w:gridSpan w:val="20"/>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Item 9. The Offer and Listing</w:t>
              </w:r>
            </w:hyperlink>
          </w:p>
        </w:tc>
        <w:tc>
          <w:tcPr>
            <w:tcW w:w="6520" w:type="dxa"/>
            <w:vAlign w:val="bottom"/>
            <w:gridSpan w:val="21"/>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10. Additional Information</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49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Item 11. Quantitative and Qualitative Disclosures about Market Risk</w:t>
              </w:r>
            </w:hyperlink>
          </w:p>
        </w:tc>
        <w:tc>
          <w:tcPr>
            <w:tcW w:w="3700" w:type="dxa"/>
            <w:vAlign w:val="bottom"/>
            <w:gridSpan w:val="4"/>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12. Description of Securities Other than Equity Securities</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r>
      <w:tr>
        <w:trPr>
          <w:trHeight w:val="453"/>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5"/>
          </w:tcPr>
          <w:p>
            <w:pPr>
              <w:jc w:val="center"/>
              <w:ind w:right="2860"/>
              <w:spacing w:after="0"/>
              <w:rPr>
                <w:sz w:val="20"/>
                <w:szCs w:val="20"/>
                <w:color w:val="auto"/>
              </w:rPr>
            </w:pPr>
            <w:r>
              <w:rPr>
                <w:rFonts w:ascii="Arial" w:cs="Arial" w:eastAsia="Arial" w:hAnsi="Arial"/>
                <w:sz w:val="18"/>
                <w:szCs w:val="18"/>
                <w:b w:val="1"/>
                <w:bCs w:val="1"/>
                <w:color w:val="auto"/>
              </w:rPr>
              <w:t>PART II</w:t>
            </w: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42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Item 13. Defaults, Dividend Arrearages and Delinquencies</w:t>
              </w:r>
            </w:hyperlink>
          </w:p>
        </w:tc>
        <w:tc>
          <w:tcPr>
            <w:tcW w:w="4420" w:type="dxa"/>
            <w:vAlign w:val="bottom"/>
            <w:gridSpan w:val="8"/>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62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Item 14. Material Modifications to the Rights of Security Holders and Use of Proceeds</w:t>
              </w:r>
            </w:hyperlink>
          </w:p>
        </w:tc>
        <w:tc>
          <w:tcPr>
            <w:tcW w:w="2400" w:type="dxa"/>
            <w:vAlign w:val="bottom"/>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15. Controls and Procedures</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4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16. Reserved</w:t>
              </w:r>
            </w:hyperlink>
          </w:p>
        </w:tc>
        <w:tc>
          <w:tcPr>
            <w:tcW w:w="6240" w:type="dxa"/>
            <w:vAlign w:val="bottom"/>
            <w:gridSpan w:val="17"/>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328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Item 16A. Audit Committee Financial Expert</w:t>
              </w:r>
            </w:hyperlink>
          </w:p>
        </w:tc>
        <w:tc>
          <w:tcPr>
            <w:tcW w:w="5380" w:type="dxa"/>
            <w:vAlign w:val="bottom"/>
            <w:gridSpan w:val="14"/>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16B. Code of Ethics</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196"/>
        </w:trPr>
        <w:tc>
          <w:tcPr>
            <w:tcW w:w="36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16C. Principal Accountant Fees and Services</w:t>
              </w:r>
            </w:hyperlink>
          </w:p>
        </w:tc>
        <w:tc>
          <w:tcPr>
            <w:tcW w:w="5020" w:type="dxa"/>
            <w:vAlign w:val="bottom"/>
            <w:gridSpan w:val="12"/>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52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16D. Exemptions from the Listing Standards for Audit Committees</w:t>
              </w:r>
            </w:hyperlink>
          </w:p>
        </w:tc>
        <w:tc>
          <w:tcPr>
            <w:tcW w:w="3420" w:type="dxa"/>
            <w:vAlign w:val="bottom"/>
            <w:gridSpan w:val="3"/>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58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16E. Purchases of Equity Securities by the Issuer and Affiliated Purchasers</w:t>
              </w:r>
            </w:hyperlink>
          </w:p>
        </w:tc>
        <w:tc>
          <w:tcPr>
            <w:tcW w:w="2860" w:type="dxa"/>
            <w:vAlign w:val="bottom"/>
            <w:gridSpan w:val="2"/>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16F. Changes in Registrant’s Certifying Accountant</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16G. Corporate Governance</w:t>
              </w:r>
            </w:hyperlink>
          </w:p>
        </w:tc>
        <w:tc>
          <w:tcPr>
            <w:tcW w:w="4560" w:type="dxa"/>
            <w:vAlign w:val="bottom"/>
            <w:gridSpan w:val="9"/>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453"/>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5"/>
          </w:tcPr>
          <w:p>
            <w:pPr>
              <w:jc w:val="center"/>
              <w:ind w:right="2840"/>
              <w:spacing w:after="0"/>
              <w:rPr>
                <w:sz w:val="20"/>
                <w:szCs w:val="20"/>
                <w:color w:val="auto"/>
              </w:rPr>
            </w:pPr>
            <w:r>
              <w:rPr>
                <w:rFonts w:ascii="Arial" w:cs="Arial" w:eastAsia="Arial" w:hAnsi="Arial"/>
                <w:sz w:val="18"/>
                <w:szCs w:val="18"/>
                <w:b w:val="1"/>
                <w:bCs w:val="1"/>
                <w:color w:val="auto"/>
              </w:rPr>
              <w:t>PART III</w:t>
            </w: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21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17. Financial Statements</w:t>
              </w:r>
            </w:hyperlink>
          </w:p>
        </w:tc>
        <w:tc>
          <w:tcPr>
            <w:tcW w:w="6480" w:type="dxa"/>
            <w:vAlign w:val="bottom"/>
            <w:gridSpan w:val="19"/>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196"/>
        </w:trPr>
        <w:tc>
          <w:tcPr>
            <w:tcW w:w="21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18. Financial Statements</w:t>
              </w:r>
            </w:hyperlink>
          </w:p>
        </w:tc>
        <w:tc>
          <w:tcPr>
            <w:tcW w:w="6500" w:type="dxa"/>
            <w:vAlign w:val="bottom"/>
            <w:gridSpan w:val="20"/>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8660" w:type="dxa"/>
            <w:vAlign w:val="bottom"/>
            <w:gridSpan w:val="2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19. Exhibits</w:t>
              </w:r>
            </w:hyperlink>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679"/>
        </w:trPr>
        <w:tc>
          <w:tcPr>
            <w:tcW w:w="62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seventeen members of the European Union (including the Republic of Ireland, France, Germany, Spain, Italy, Finland and the Netherlands). ICON publishes its consolidated financial statements in U.S. dollars.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and in the “Risk Factors” included on pages 4 to 11. The Company has no obligation under the PSLRA to update any forward looking statements and does not intend to do so.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w w:val="92"/>
              </w:rPr>
              <w:t>(in thousands, except share and per share data)</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1,296,509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1,263,147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1,258,227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1,209,451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 (1)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(350,780)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(363,103)</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(344,203)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945,729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900,044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887,612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865,248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611,923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541,388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507,783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489,238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255,864</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232,688</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230,910</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248,778</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38,682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33,873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32,659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27,728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Non-recurring charges, net (2), (3)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9,817</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916,286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807,949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780,160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765,744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29,443</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92,095</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107,452</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99,504</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(expense) /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28,995</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92,724</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104,674</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98,280</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22,880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87,071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94,299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78,120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Weighted average number</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of ordinary shares outstanding:</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60,379,338</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59,718,934</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58,636,878</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58,245,240</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57,410,544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61,070,686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60,637,103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59,900,504</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60,221,587</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59,495,928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4"/>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119,237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255,706</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144,801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58,378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54,940</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49,227</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42,726</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41,752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253,514</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330,333</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235,906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185,957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193,271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1,035,467</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949,538</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908,398</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867,285</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693,138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105,379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94,829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Long term government grants</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1,351</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20,038</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Ordinary share capital</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5,055</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5,063</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4,965</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4,921</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211,549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196,960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174,188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162,057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143,639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Shareholders’ equity</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681,544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669,999</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572,246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456,366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388,400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386"/>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Reimbursable expenses are comprised of payments to investigators and certain other costs reimbursed by clients under terms specific to each of the Company’s contracts. </w:t>
      </w:r>
      <w:r>
        <w:rPr>
          <w:rFonts w:ascii="Arial" w:cs="Arial" w:eastAsia="Arial" w:hAnsi="Arial"/>
          <w:sz w:val="18"/>
          <w:szCs w:val="18"/>
          <w:i w:val="1"/>
          <w:iCs w:val="1"/>
          <w:color w:val="auto"/>
        </w:rPr>
        <w:t>See Note 2 (d) to the Audited Consolidated Financial Statements.</w:t>
      </w:r>
    </w:p>
    <w:p>
      <w:pPr>
        <w:spacing w:after="0" w:line="197" w:lineRule="exact"/>
        <w:rPr>
          <w:rFonts w:ascii="Arial" w:cs="Arial" w:eastAsia="Arial" w:hAnsi="Arial"/>
          <w:sz w:val="18"/>
          <w:szCs w:val="18"/>
          <w:color w:val="auto"/>
        </w:rPr>
      </w:pPr>
    </w:p>
    <w:p>
      <w:pPr>
        <w:jc w:val="both"/>
        <w:ind w:left="580" w:hanging="386"/>
        <w:spacing w:after="0" w:line="255"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Non-recurring charges, net of $9.8 million were recorded during the year ended December 31, 2011. During 2011 the Company conducted a review of its operations to improve resource utilization within the business and better align resources to current and future growth opportunities. This review resulted in the adoption of an initial restructuring plan, which included the closure of the Company’s facility in Edinburgh, United Kingdom and resource rationalizations in certain of the more mature markets in which it operates. A further restructuring plan was also adopted during 2011 which resulted in the relocation of the Company’s facility in Maryland, USA and further resource rationalizations. </w:t>
      </w:r>
      <w:r>
        <w:rPr>
          <w:rFonts w:ascii="Arial" w:cs="Arial" w:eastAsia="Arial" w:hAnsi="Arial"/>
          <w:sz w:val="18"/>
          <w:szCs w:val="18"/>
          <w:i w:val="1"/>
          <w:iCs w:val="1"/>
          <w:color w:val="auto"/>
        </w:rPr>
        <w:t>See Note 14 to the Audited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p>
    <w:p>
      <w:pPr>
        <w:spacing w:after="0" w:line="220" w:lineRule="exact"/>
        <w:rPr>
          <w:rFonts w:ascii="Arial" w:cs="Arial" w:eastAsia="Arial" w:hAnsi="Arial"/>
          <w:sz w:val="18"/>
          <w:szCs w:val="18"/>
          <w:color w:val="auto"/>
        </w:rPr>
      </w:pPr>
    </w:p>
    <w:p>
      <w:pPr>
        <w:jc w:val="both"/>
        <w:ind w:left="580" w:hanging="386"/>
        <w:spacing w:after="0" w:line="25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Non-recurring charges, net of $8.8 million were recorded during the year ended December 31, 2009. During 2009 the Company conducted a review of its infrastructure to better align its resources with the needs of its clients. This realignment resulted in resource rationalization in certain more mature markets in which the Company operates and the recognition of a restructuring charge of $13.3 million. This was partially offset by research and development incentives of $4.5 million received by the Company in certain European Union jurisdictions in which it operates. </w:t>
      </w:r>
      <w:r>
        <w:rPr>
          <w:rFonts w:ascii="Arial" w:cs="Arial" w:eastAsia="Arial" w:hAnsi="Arial"/>
          <w:sz w:val="18"/>
          <w:szCs w:val="18"/>
          <w:i w:val="1"/>
          <w:iCs w:val="1"/>
          <w:color w:val="auto"/>
        </w:rPr>
        <w:t>See Note 14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Audited Consolidated Financial Statements.</w:t>
      </w:r>
    </w:p>
    <w:p>
      <w:pPr>
        <w:spacing w:after="0" w:line="215" w:lineRule="exact"/>
        <w:rPr>
          <w:rFonts w:ascii="Arial" w:cs="Arial" w:eastAsia="Arial" w:hAnsi="Arial"/>
          <w:sz w:val="18"/>
          <w:szCs w:val="18"/>
          <w:color w:val="auto"/>
        </w:rPr>
      </w:pPr>
    </w:p>
    <w:p>
      <w:pPr>
        <w:ind w:left="580" w:hanging="386"/>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clients and a loss of or significant decrease in business from them or one or more of them could affect our business.</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major projects or clients. During the years ended December 31, 2011, December 31, 2010 and December 31, 2009 37%, 33% and 27% respectively of our net revenues were derived from our top five clients. During the year ended December 31, 2011 13% of our net revenues were derived from one client, with no other client contributing more than 10% of net revenues during this period. During the years ended December 31, 2010 and December 31, 2009 no one client contributed more than 10% of net revenues. The loss of, or a significant decrease in business from one or more of these key clients could have a material adverse impact on our results of operations.</w:t>
      </w:r>
    </w:p>
    <w:p>
      <w:pPr>
        <w:spacing w:after="0" w:line="22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ensures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the Company could lose money if the costs of performance of these contracts exceeded their fixed fees.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208"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future success and ability to continue and expand operations depend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Although we have not had any significant difficulty attracting or retaining qualified staff in the past, there is no guarantee that we will be able to continue to attract a sufficient number and calibre of clinical research professionals at an acceptable cost.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dependant upon our ability to recruit suitable willing investigators and patients.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patient enrolment or investigator recruitment may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Company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successfully integrate an acquired company or business, the acquisition could lead to disruptions to our business. The success of an acquisition will depend upon, among other things, our ability to:</w:t>
      </w:r>
    </w:p>
    <w:p>
      <w:pPr>
        <w:spacing w:after="0" w:line="208" w:lineRule="exact"/>
        <w:rPr>
          <w:sz w:val="20"/>
          <w:szCs w:val="20"/>
          <w:color w:val="auto"/>
        </w:rPr>
      </w:pPr>
    </w:p>
    <w:p>
      <w:pPr>
        <w:ind w:left="1100" w:hanging="34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 or business;</w:t>
      </w:r>
    </w:p>
    <w:p>
      <w:pPr>
        <w:spacing w:after="0" w:line="252" w:lineRule="exact"/>
        <w:rPr>
          <w:rFonts w:ascii="Arial" w:cs="Arial" w:eastAsia="Arial" w:hAnsi="Arial"/>
          <w:sz w:val="18"/>
          <w:szCs w:val="18"/>
          <w:color w:val="auto"/>
        </w:rPr>
      </w:pPr>
    </w:p>
    <w:p>
      <w:pPr>
        <w:ind w:left="1100" w:hanging="34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52" w:lineRule="exact"/>
        <w:rPr>
          <w:rFonts w:ascii="Arial" w:cs="Arial" w:eastAsia="Arial" w:hAnsi="Arial"/>
          <w:sz w:val="18"/>
          <w:szCs w:val="18"/>
          <w:color w:val="auto"/>
        </w:rPr>
      </w:pPr>
    </w:p>
    <w:p>
      <w:pPr>
        <w:ind w:left="1100" w:hanging="34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52" w:lineRule="exact"/>
        <w:rPr>
          <w:rFonts w:ascii="Arial" w:cs="Arial" w:eastAsia="Arial" w:hAnsi="Arial"/>
          <w:sz w:val="18"/>
          <w:szCs w:val="18"/>
          <w:color w:val="auto"/>
        </w:rPr>
      </w:pPr>
    </w:p>
    <w:p>
      <w:pPr>
        <w:ind w:left="1100" w:hanging="34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52" w:lineRule="exact"/>
        <w:rPr>
          <w:rFonts w:ascii="Arial" w:cs="Arial" w:eastAsia="Arial" w:hAnsi="Arial"/>
          <w:sz w:val="18"/>
          <w:szCs w:val="18"/>
          <w:color w:val="auto"/>
        </w:rPr>
      </w:pPr>
    </w:p>
    <w:p>
      <w:pPr>
        <w:ind w:left="1100" w:hanging="34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A disruption to the air travel system or other travel systems could materially impact our operations. While we have developed contingency plans to minimize the impact of such events, a disruption to the availability of air transportation or other travel systems could have a material adverse impact on our activities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liability claims against the Company or all three.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healthy volunteer Phase I trials including first-into-man trials.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relevant regulatory body.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it could affect the ability of our clients to operate profitably, which may lead to a decrease in research spending and therefore this could have a material adverse effect on our business</w:t>
      </w:r>
    </w:p>
    <w:p>
      <w:pPr>
        <w:spacing w:after="0" w:line="2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This has generally been positive for CRO’s as it has resulted in increased outsourcing by these companies. However, in an effort to drive further efficiencies in their development processes, large pharmaceutical companies in particular are increasingly looking to consolidate the number of outsource providers with which they engage, with many entering strategic partnership arrangements with a limited number of outsource providers. While we believe this trend will benefit large CRO’s with global capabilities and expertise such as ICON, and may also lead to increased outsourcing spend,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results of operations in any quarter can fluctuate depending upon, among other things, the number and scope of ongoing client projects, the commencement, postponement, variation and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clients if changes in the relative value of those currencies exceed predetermined tolerances.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affect our results of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revenue, earnings amongst the multiple tax jurisdictions in which we operate and the tax law in those jurisdictions. Changes in the geographic mix of our results of operations amongst these jurisdictions may have a significant impact on our effective tax rate from quarter to quarter. In addition, as we operate in multiple tax jurisdictions, we may be subject to audits in certain jurisdictions. These audits may involve complex issues which could require an extended period of time for resolution. While we believe that adequate provisions for income taxes have been made in our financial statements, the resolution of audit issues may lead to differences which could have a significant impact on our effective tax rate.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backlog at any date is not necessarily a meaningful predictor of future results, due to the potential for the cancellation or delay of projects underlying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660"/>
        <w:spacing w:after="0" w:line="277" w:lineRule="auto"/>
        <w:rPr>
          <w:sz w:val="20"/>
          <w:szCs w:val="20"/>
          <w:color w:val="auto"/>
        </w:rPr>
      </w:pPr>
      <w:r>
        <w:rPr>
          <w:rFonts w:ascii="Arial" w:cs="Arial" w:eastAsia="Arial" w:hAnsi="Arial"/>
          <w:sz w:val="18"/>
          <w:szCs w:val="18"/>
          <w:b w:val="1"/>
          <w:bCs w:val="1"/>
          <w:i w:val="1"/>
          <w:iCs w:val="1"/>
          <w:color w:val="auto"/>
        </w:rPr>
        <w:t>Significant changes from our estimates of contingent consideration payable on acquisitions could have a serious adverse impact on our results of operations.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made a number of acquisitions in the past and will continue to review new acquisition opportunities. The cost of many of these acquisitions includes a portion which is contingent upon certain future events, such as the achievement of a particular revenue or earnings target. Where an acquisition agreement provides for such additional consideration, the amount of the estimated additional consideration is recognised at the acquisition date fair value.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 Significant estimates and judgements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principal sovereign risk relates to investments in U.S. Treasury funds), and other factors.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manage risks in relation to these balances through ongoing monitoring of the composition of the balances and ensuring that funds are invested in accordance with strict risk management policies and controls as specified by the Company’s Board of Directors.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have not recognized any significant losses to date on our cash and cash equivalents or short term investments, any significant declines in their market values could have a material adverse affect on our financial position and operating results.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 some or all of:</w:t>
      </w:r>
    </w:p>
    <w:p>
      <w:pPr>
        <w:spacing w:after="0" w:line="214"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of any research;</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Claims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breach the terms of an agreement with a client, this could result in claims against us for substantial damages which could have a material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Indemnifications provided by our clients against the risk of liability for personal injury to or death of the patients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what we believe is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 Also, the insurance policies contain exclusions which mean that the policy will not respond or provide cover in certain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nationalization of private assets and the imposition of exchange controls.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Finally, we operate in some countries where national laws may require not only accurate books and records, but also sufficient controls, policies and processes to ensure business is conducted without the influence of bribery and corruption. Given the high level of complexity of some of these laws there is a risk that some provisions may inadvertently be breached, for example through negligent behavior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ICON public limited company (“ICON”)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2011, we had 8,470 employees, in 81 locations in 40 countries. During the year ended December 31, 2011, we derived approximately 41.7%, 46.2 % and 12.1% of our net revenue in the United States, Europe and Rest of World, respectively.</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began operations in 1990 and have expanded our business predominately through internal growth, together with a number of strategic acquisitions, to enhance our capabilities and expertise in certain areas of the clinical development process.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28, 2012 the Company acquired 100% of the common stock of PriceSpective LLC (“PriceSpective”), a global leader in value strategy consulting, for an initial cash consideration of $40.0 million. Headquartered in Philadelphia, and with offices in London, Los Angeles, San Diego, Raleigh and Boston, PriceSpective is a premier consultancy that has a strong reputation for excellence in strategic pricing, market access, HEOR, due diligence support and payer engagement services. Since the company’s inception in 2003, PriceSpective has developed strategies for dozens of new product launches, and hundreds of development and in-market products, across 40+ disease areas.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15, 2012 the Company acquired 100% of the common stock of BeijingWits Medical Limited (“BeijingWits”), a leading Chinese CRO, with over 100 highly qualified and experienced professionals in Beijing, Shanghai, Chengdu, Guangzhou, Wuhan and Hong Kong.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2011 we acquired Firecrest Clinical, a market leading provider of technology solutions that boost investigator site performance and study management. Headquartered in Limerick, Ireland, Firecrest Clinical provides a comprehensive site performance management system that is used to improve compliance consistency and execution of activities at investigative sites.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14, 2011 we acquired Oxford Outcomes, a leading international health outcomes consultancy business. Headquartered in Oxford, UK, and with offices in the USA and Canada, Oxford Outcomes provides specialist services in the areas of patient reported outcomes (PRO), health economics, epidemiology and translation and linguistic validation.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are incorporated in Ireland and our principal executive office is located at: South County Business Park, Leopardstown, Dublin 18, Republic of Ireland.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contact telephone number of this office is 353 (1) 291 2000.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post marketing surveillance, regulatory affairs services and central laboratory services. CROs are required to provide these services in accordance with good clinical and laboratory practices, as governed by the applicable regulatory authorities.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and a limited number of medium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with which they deal, with many also seeking to form strategic partnerships with global CRO’s in an effort to drive incremental development efficiencies. We believe that this trend will further concentrate the market share among CROs with a track record of quality, speed, flexibility, responsiveness, global capabilities and overall development experience and expertise.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Preclinical Research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how the drug works, if it is safe, how it is affected by other drugs, where it goes in the body, how long it remains active and how it is broken down and eliminated from the body.</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can be placebo-controlled trials, in which the new drug is compared with a “sugar pill”, or studies comparing the new drug with one or more drugs with established safety and efficacy profiles in the same therapeutic category.</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NDA or BLA Preparation and Submission. </w:t>
      </w:r>
      <w:r>
        <w:rPr>
          <w:rFonts w:ascii="Arial" w:cs="Arial" w:eastAsia="Arial" w:hAnsi="Arial"/>
          <w:sz w:val="17"/>
          <w:szCs w:val="17"/>
          <w:color w:val="auto"/>
        </w:rPr>
        <w:t>Upon completion of Phase III trials, the Sponsor assembles the statistically analyzed data from all phases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into a single large submission along with the Chemistry and Manufacturing and preclinical data and the proposed labeling into the New Drug Application (NDA), or Biologics License Application (BLA) which today comprises, on average, approximately 100,000 pages.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FDA Review &amp; Approval of NDA or BLA (1 to 1.5 years). </w:t>
      </w:r>
      <w:r>
        <w:rPr>
          <w:rFonts w:ascii="Arial" w:cs="Arial" w:eastAsia="Arial" w:hAnsi="Arial"/>
          <w:sz w:val="17"/>
          <w:szCs w:val="17"/>
          <w:color w:val="auto"/>
        </w:rPr>
        <w:t>Data from all phases of development (including a TIND) is scrutinized to confirm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has complied with all applicable regulations and that the drug or biologic is safe and effective for the specific use (or “indication”) under study. The FDA may refuse to accept the NDA or BLA if the Sponsor’s application has certain administrative or content criteria which do meet FDA standards. The FDA may also deny approval of the drug or biologic product if applicable regulatory requirements are not satisfied.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Post-Marketing Surveillance and Phase IV Studies. </w:t>
      </w:r>
      <w:r>
        <w:rPr>
          <w:rFonts w:ascii="Arial" w:cs="Arial" w:eastAsia="Arial" w:hAnsi="Arial"/>
          <w:sz w:val="17"/>
          <w:szCs w:val="17"/>
          <w:color w:val="auto"/>
        </w:rPr>
        <w:t>Federal regulation requires the Sponsor to collect and periodically report to the FDA additional safety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efficacy data on the drug or biologic for as long as the 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2010 was approximately $25.0 billion. We believe that the following trends create further growth opportunities for global CROs, although there is no assurance that growth will materialize.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technologies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This should lead to significant increased activity in both Preclinical and Phase I development and in turn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 Alongside this, the increasing need to access pools of new patients is leading to the conduct of clinical trials in new “emerging regions” such as Eastern Europe, Latin America, Asia-Pacific, South America and India. We believe that having access to both traditional and emerging clinical research markets gives global CROs a competitive advantage.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Emergence of the Biotechnology Sector.</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of Research and Development Activities of the Biotechnology Sector.</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emergence of the Biotechnology sector and the increasing number of highly technical drugs being developed by these companies has resulted in increased funding for research and development in recent years. Much of this funding was aimed at small biotechnology companies who do not derive revenues from the sale of other product lines and are dependent on external funding and investment to support their research activities. The current global downturn has reduced the availability of funding to support research and development activities which may reduce the number of treatments in Phase II-III clinical trials in future years. As many of these companies are dependent on the CRO industry to manage their trials the reduction in funding may impact demand for such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drug companies in particular are actively entering strategic partnerships with a limited number of CRO’s in an effort to drive increased efficiencies. The CRO industry and in particular large CRO’s with global capabilities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wake of a number of high profile recalls of previously approved drugs, regulatory authorities, such as the FDA and the European Medicines Agency,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 Again, this sort of data management and biostatistical activity is well performed by CROs.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vision is to be the global CRO partner of choice for the Biopharma industry by delivering best in class information, solutions and performance in clinical and outcomes research.</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achieved exceptional growth since its foundation in 1990. The impact of the International Conference on Harmonisation, the resulting globalization of clinical research and the acceleration in the understanding of human and molecular biology which has led to many new treatment paths being explored have been key drivers of this growth.</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the increase in development activity in recent years the number of compounds reaching market has declined. This, together with health budget constraints and the current economic and financial environment, are placing increased pressure on revenues and profitability of development companies. This however has been generally positive for CROs, as increased outsourcing has been adopted by these companies as they seek to create greater efficiencies in their development processes, convert previously fixed costs to variable, and accelerate time to market.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consequence of the drive to accelerate time to market will be increased emphasis on early stage development, as companies seek to filter compounds earlier in the development process, thereby lowering attrition rates and development expenditure. Regulatory pressures too will increase the emphasis on late stage (post marketing) surveillance, while increasing requirements to demonstrate the economic value of new compounds, through outcomes and comparative effectiveness research, will most likely be required in order to secure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the increased adoption of outsourcing will be a core strategy of clients in the near term as they respond to the increased pressures on their revenues and profitability. Larger customers in particular are seeking to form strategic partnerships with global CROs in an effort to reduce the number of outsource partners with which they engage and to reduce inefficiencies in their current drug development models.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and operational data with clients will therefore become increasingly important for CROs.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core strategies to achieve these objectives will be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Scale</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Building scale within the organization will be central to achieving our objectives and will be achieved through developing strategic relationships with clients, growing positions in existing and selected new markets, broadening our service offerings and targeted strategic acquisitions as required.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Strategic client relationships will manifest themselves in many different forms. Many of these relationships will require new forms of collaboration across ICON divisions and departments and will therefore require increased flexibility to offer services on both a standalone basis and as part of a fully integrated service model. To support this objective we are developing programs to incorporate expanded relationship management, closer data integration across our service lines and enhanced project management capabilities.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We will also continue to build our positions in emerging markets and have expanded our presence in regions such as Asia Pacific, in particular in China and Japan, as is evident from our recent acquisition of BeijingWits Medical Limited, a leading Chinese CRO. Additionally we are taking steps to address new and emerging markets such as the market for biosimilars and government sponsored research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seek to gain competitive advantage by offering core operational efficiencies to our clients. No single solution exists to drive differentiation in this area; rather we will continue to focus our efforts on driving better project execution; developing processes and systems which can better integrate services. We continually seek to enhance our operating processes and delivery models to ensure we can offer our clients best in class study execution compared to in-house and external alternatives. One core element of this effort is our focus on reducing patient recruitment times through enhanced site and investigator selection based on key performance metrics. We are also working with investigator sites to optimise study conduct and enhance data quality. Our recent acquisition of Firecrest Clinical will support our efforts in this area.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Underpinning all our strategies are our people. The need to grow and retain talent within the organisation is fundamental in enabling us to be the global CRO partner of choice. The Company’s talent review and succession planning processes are core strategies in the achievement of this objective.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Informatics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Developing best in class information to help clients improve the costs and efficiencies associated with drug development will be another key strategy in achieving our objectives. Our new proprietary ICONIK platform, a web-based information platform that enables the management, reporting, analysis and visualization of all data relating to drug development will be a key tool in this regard Firecrest’s comprehensive site performance management system, a web-based solution which enables accurate study information, including protocol information, training manuals and case report forms amongst others, to be rolled out quickly and simultaneously to investigative site will also be a key tool in this regard and will allow site behavior to be tracked to ensure training is understood, procedures are being followed, timelines are met and study parameters are met </w:t>
      </w:r>
      <w:r>
        <w:rPr>
          <w:rFonts w:ascii="Arial" w:cs="Arial" w:eastAsia="Arial" w:hAnsi="Arial"/>
          <w:sz w:val="16"/>
          <w:szCs w:val="16"/>
          <w:i w:val="1"/>
          <w:iCs w:val="1"/>
          <w:color w:val="auto"/>
        </w:rPr>
        <w:t>(see information systems on page 19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Expertise and Intellectual Capital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Increased scientific knowledge and expertise will be important as clients will increasingly look to their partners for advice and guidance on how to identify promising drug candidates earlier in the development process and eliminate others. Having the right blend of scientific and commercial leadership in this area will be of key importance. The Company has made a number of strategic acquisitions in recent years to build scale in our Phase 1 service offering and in parallel develop our scientific base in areas such as special patient populations, biomarkers and large molecule bioanalysis. We continue to build additional expertise in this and other areas (epidemiological, outcomes and regulatory), as is evident from our recent acquisition of Oxford Outcomes, and may make further acquisitions to accelerate growth in this field.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ICON specializes in the strategic development, management and analysis of programs that support Clinical Development - from compound selection to Phase I-IV clinical studies.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core Clinical Research business specializes in the planning, management, execution and analysis of Phase I – IV clinical trials, ranging from small studies to complex, multinational projects. Specific clinical research services offered include:</w:t>
      </w:r>
    </w:p>
    <w:p>
      <w:pPr>
        <w:spacing w:after="0" w:line="197"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23"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IVR (Interactive Voice Response)</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Marker Access and commercialization services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 Staffing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214"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23"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strategic relationships with our clients, we gain repeat business, can leverage a full service portfolio and achieve lateral penetration into other therapeutic indications and adjacent service lines where applicable. Simultaneously, we are actively establishing new client relationships.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information technology strategy is built around ICONIK, a web-based information platform that enables the management, reporting, analysis and visualisation of all data relating to drug development. ICONIK collects, manages and standardises study data from multiple sources, including EDC, patient diaries, central laboratories and imaging, to provide a single view of study information. Based upon ICONIK’s in-built visualisation and audit trail capabilities, sponsors can be assured of the transparency and integrity of all the data within the drug development processes. In addition to managing clinical data, ICONIK collects operational data, such as project management, CTMS and metric information to drive trial efficiency and transparency. Investigator data, such as payments, site details and performance, can also be incorporated. Recognizing that each client has its own requirements and systems, we seek to ensure an entirely flexible approach to client needs. ICONIK can be accessed via a portal that allows clients access to study related information via a secure web based environment.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underlying core technology platforms are built on industry leading, best in class enterprise applications that enable the delivery of our business services in a global environment. The focus is to provide ease of access to study information for our staff and clients globally. Our current information systems are built on open standards and leading commercial business applications from vendors including Microsoft, Oracle, EMC, SAS, Phase Forward and Medidata. IT expenditure is authorized by strict IT governance policies requiring senior level approval of all strategic IT expenditure based on defined, measurable business benefits. All critical business systems are formally delivered following a structured project management and systems delivery lifecycle approach. Critical clinical information systems, which manage clinical data, are validated in accordance with FDA regulations (21 CFR Part 11) and those of other equivalent regulatory bodies throughout the world.</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Clinical Operations, we have deployed a suite of software applications that assist in the management and tracking of our clinical trial activities. These software applications are both internally developed and commercially available applications from leading vendors in the industry. These include a clinical trial management application that tracks all relevant data in a trial and automates all management and reporting processes. In our Data Management function, we have deployed leading clinical data management solutions including Electronic Data Capture (EDC) and Clinical Data Warehouse solutions from leading industry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developed an interactive voice response system (IVR) to increase the efficiency of clinical trials. This system provides features such as centralized patient randomization, drug inventory management, patient diary collection and provides our clients with a fully flexible data retrieval solution which can be utilized via telephone, internet browser or a WAP enabled device. In our central laboratory business, we utilize a comprehensive suite of software, including a laboratory information management system (LIMS), a kit/sample management system and a web interface system to allow clients to review results online.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majority of the Company’s global finance operations utilize Oracle’s eBusiness suite to serve the organization’s financial and project accounting requirements, while Oracle Peoplesoft and Success Factors are used to fulfill our HR people management requirements.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strategy of using technology to enhance our global processes can be seen from our deployment of platforms like ICONIK, iDoc our global SOP Document Management system and our Web-based training delivery solution, iLearn.</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IT systems are operated from two centralized hubs in Dublin, Ireland and Philadelphia, Pennsylvania. Other offices are linked to these hubs through a resilient network managed by Verizon, a tier one global telecommunications provider. This network provides global connectivity for our applications and allows us to collaborate using tools like Sharepoint and eRooms and to communicate easily using Microsoft Lync for desktop video conferencing. Mobile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generally awarded contracts based upon our response to requests for proposals received from companies in the pharmaceutical, biotechnology and medical device industries or work orders received under strategic partnership agreements.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revenues are earned from contracts which are generally either fixed price or units-based, based on certain activities and performance specifications. Payment terms usually provide either for payments based on the achievement of certain identified milestones or units delivered or monthly payments according to a fixed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 but this accounts for a small portion of overall project activities.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terms may range from several weeks to several years depending on the nature of the work to be performed. In most cases, a small portion of the contract fee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or delivery of the database. During the course of the study, the Company will generally incur reimbursable expenses.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negotiation if changes in the relative value of those currencies exceed predetermined tolerances.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Clients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clients included all of the top 20 pharmaceutical companies as ranked by 2010 global revenues. During the year ended December 31, 2011 revenue was earned from over 670 clients.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major projects or clients. During the years ended December 31, 2011, December 31, 2010 and December 31, 2009, 37%, 33% and 27% respectively of our net revenues were derived from our top five clients. During the year ended December 31, 2011 one client contributed 13% of revenue. No one client contributed more than 10% of net revenues during the years ended December 31, 2010 and December 31, 2009. We believe that the importance of certain clients reflects our success in penetrating our client base. The loss of, or a significant decrease in business from one or more of these key clients could result in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2011 we had a backlog of approximately $2.3 billion, compared with approximately $1.9 billion at December 31, 2010.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and a limited number of medium-sized and large CROs with global operations. We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including the ability to recruit suitable investigators and patients, the ability to manage large and complex medical databases, the ability to provide additional drug development consulting services, the ability to integrate and make available clinical and operational data to improve the efficiency of contract research, medical and scientific expertise in specific therapeutic areas and price. We believe that we compete favorably in these areas. Our principal CRO competitors are Covance Inc., PAREXEL International Corporation, Pharmaceutical Product Development Inc. and Quintiles Transnational Corporation. Globalization is driving market share to global CROs while the trend toward CRO industry consolidation has resulted in heightened competition among the larger CROs for clients, skilled employees and acquisition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should be legally accountable for the medical care rendered by third party investigators, it is possible that we could be subject to claims and expenses arising from any professional malpractice of the investigators with whom we contract. We also could be liable for errors and/or omissions in connection with the services we perform and this could result in us being liable to make large payments to sponsor(s) and/or other parties.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asked to act as the legal representative of a client in certain jurisdictions. As we believe that acting as legal representative of clients might expose us to a higher risk of liability, there is an entity within the ICON Group designated to provide this service in relevant jurisdictions subject to certain preconditions being met. The preconditions relate to obtaining protections such as specific insurance and indemnities from the client to cover the nature of the exposure.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further attempt to reduce our risks through seeking contractual indemnification provisions with clients and through insurance maintained by clients, investigators and us. However, the contractual indemnifications from our clients generally do not protect us in certain circumstances or against our own actions such as our negligence or poor performance.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In addition, we also indemnify our clients where our performance does not reach the required contractual standard, such as our negligence or poor performance. We maintain worldwide professional liability insurance and while we believe that our insurance coverage is adequate there can be no assurance that we will continue to be able to maintain such insurance coverage on terms acceptable to us, if at all, or that the policy will respond and provide cover when we want it to. We could be materially adversely affected if we were required to pay damages or bear the costs of defending any claim outside the scope of or in excess of a contractual indemnification provision or beyond the level of insurance coverage or if our insurance cover does not cover the relevant circumstances or in the event that an indemnifying party does not fulfill its indemnification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Regulatory authorities, including the Food and Drug Administration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0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6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59"/>
        </w:trPr>
        <w:tc>
          <w:tcPr>
            <w:tcW w:w="5500" w:type="dxa"/>
            <w:vAlign w:val="bottom"/>
          </w:tcPr>
          <w:p>
            <w:pPr>
              <w:spacing w:after="0"/>
              <w:rPr>
                <w:sz w:val="20"/>
                <w:szCs w:val="20"/>
                <w:color w:val="auto"/>
              </w:rPr>
            </w:pPr>
            <w:r>
              <w:rPr>
                <w:rFonts w:ascii="Arial" w:cs="Arial" w:eastAsia="Arial" w:hAnsi="Arial"/>
                <w:sz w:val="18"/>
                <w:szCs w:val="18"/>
                <w:color w:val="auto"/>
                <w:w w:val="93"/>
              </w:rPr>
              <w:t>Details of the Company’s significant operating subsidiaries are as follows:</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59"/>
        </w:trPr>
        <w:tc>
          <w:tcPr>
            <w:tcW w:w="550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Name</w:t>
            </w:r>
          </w:p>
        </w:tc>
        <w:tc>
          <w:tcPr>
            <w:tcW w:w="3620" w:type="dxa"/>
            <w:vAlign w:val="bottom"/>
          </w:tcPr>
          <w:p>
            <w:pPr>
              <w:ind w:left="1180"/>
              <w:spacing w:after="0"/>
              <w:rPr>
                <w:sz w:val="20"/>
                <w:szCs w:val="20"/>
                <w:color w:val="auto"/>
              </w:rPr>
            </w:pPr>
            <w:r>
              <w:rPr>
                <w:rFonts w:ascii="Arial" w:cs="Arial" w:eastAsia="Arial" w:hAnsi="Arial"/>
                <w:sz w:val="18"/>
                <w:szCs w:val="18"/>
                <w:b w:val="1"/>
                <w:bCs w:val="1"/>
                <w:i w:val="1"/>
                <w:iCs w:val="1"/>
                <w:color w:val="auto"/>
              </w:rPr>
              <w:t>Country of incorporation</w:t>
            </w:r>
          </w:p>
        </w:tc>
        <w:tc>
          <w:tcPr>
            <w:tcW w:w="2300" w:type="dxa"/>
            <w:vAlign w:val="bottom"/>
          </w:tcPr>
          <w:p>
            <w:pPr>
              <w:jc w:val="center"/>
              <w:ind w:left="170"/>
              <w:spacing w:after="0"/>
              <w:rPr>
                <w:sz w:val="20"/>
                <w:szCs w:val="20"/>
                <w:color w:val="auto"/>
              </w:rPr>
            </w:pPr>
            <w:r>
              <w:rPr>
                <w:rFonts w:ascii="Arial" w:cs="Arial" w:eastAsia="Arial" w:hAnsi="Arial"/>
                <w:sz w:val="18"/>
                <w:szCs w:val="18"/>
                <w:b w:val="1"/>
                <w:bCs w:val="1"/>
                <w:i w:val="1"/>
                <w:iCs w:val="1"/>
                <w:color w:val="auto"/>
                <w:w w:val="89"/>
              </w:rPr>
              <w:t>Group ownership*</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Republic of Ireland</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Inc.</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USA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(UK)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United Kingdom</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GmbH</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Germany</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SARL</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France</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Israel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Israel</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Espana S.L.</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Spain</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Kft</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Hungary</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S.R.L.</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Romania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LLC</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Ukraine</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Holdings</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Republic of Ireland</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Holdings Clinical Research International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Republic of Ireland</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S.R.O.</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Czech Republic</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(Canada) Inc.</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Canada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Pty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Australia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(New Zealand)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New Zealand</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Japan K.K.</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Japan</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Pte.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Singapore</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Korea Yuhan Hoesa</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Korea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India Private Limited</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India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S.A.</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Argentina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Pesquisas Clinicas LTDA</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Brazil</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México, S.A. de C.V.</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Mexico</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Chile Limitada</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Chile</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Peru SA</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Peru</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Sucursal Colombia</w:t>
            </w:r>
          </w:p>
        </w:tc>
        <w:tc>
          <w:tcPr>
            <w:tcW w:w="3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Colombia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608"/>
        </w:trPr>
        <w:tc>
          <w:tcPr>
            <w:tcW w:w="550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23</w:t>
            </w:r>
          </w:p>
        </w:tc>
        <w:tc>
          <w:tcPr>
            <w:tcW w:w="2300" w:type="dxa"/>
            <w:vAlign w:val="bottom"/>
          </w:tcPr>
          <w:p>
            <w:pPr>
              <w:spacing w:after="0"/>
              <w:rPr>
                <w:sz w:val="24"/>
                <w:szCs w:val="24"/>
                <w:color w:val="auto"/>
              </w:rPr>
            </w:pPr>
          </w:p>
        </w:tc>
      </w:tr>
      <w:tr>
        <w:trPr>
          <w:trHeight w:val="118"/>
        </w:trPr>
        <w:tc>
          <w:tcPr>
            <w:tcW w:w="550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8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Name</w:t>
            </w:r>
          </w:p>
        </w:tc>
        <w:tc>
          <w:tcPr>
            <w:tcW w:w="4140" w:type="dxa"/>
            <w:vAlign w:val="bottom"/>
          </w:tcPr>
          <w:p>
            <w:pPr>
              <w:ind w:left="1520"/>
              <w:spacing w:after="0"/>
              <w:rPr>
                <w:sz w:val="20"/>
                <w:szCs w:val="20"/>
                <w:color w:val="auto"/>
              </w:rPr>
            </w:pPr>
            <w:r>
              <w:rPr>
                <w:rFonts w:ascii="Arial" w:cs="Arial" w:eastAsia="Arial" w:hAnsi="Arial"/>
                <w:sz w:val="18"/>
                <w:szCs w:val="18"/>
                <w:b w:val="1"/>
                <w:bCs w:val="1"/>
                <w:i w:val="1"/>
                <w:iCs w:val="1"/>
                <w:color w:val="auto"/>
              </w:rPr>
              <w:t>Country of incorporation</w:t>
            </w:r>
          </w:p>
        </w:tc>
        <w:tc>
          <w:tcPr>
            <w:tcW w:w="2480" w:type="dxa"/>
            <w:vAlign w:val="bottom"/>
          </w:tcPr>
          <w:p>
            <w:pPr>
              <w:jc w:val="center"/>
              <w:ind w:left="350"/>
              <w:spacing w:after="0"/>
              <w:rPr>
                <w:sz w:val="20"/>
                <w:szCs w:val="20"/>
                <w:color w:val="auto"/>
              </w:rPr>
            </w:pPr>
            <w:r>
              <w:rPr>
                <w:rFonts w:ascii="Arial" w:cs="Arial" w:eastAsia="Arial" w:hAnsi="Arial"/>
                <w:sz w:val="18"/>
                <w:szCs w:val="18"/>
                <w:b w:val="1"/>
                <w:bCs w:val="1"/>
                <w:i w:val="1"/>
                <w:iCs w:val="1"/>
                <w:color w:val="auto"/>
                <w:w w:val="89"/>
              </w:rPr>
              <w:t>Group ownership*</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Development Solutions Limited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United Kingdom</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Contracting Solutions,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BV</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Netherlands</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Development Solutions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Central Laboratories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Beacon Bioscience,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Healthcare Discoveries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Prevalere Life Sciences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Investments Limited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Jersey</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(Beijing) Co., Limited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China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EOOD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Bulgaria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Croatia d.o.o.</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Croatia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Croatia d.o.o.</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Serbia</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Timaq Medical Imaging AG</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Switzerland</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Services Philippines, Inc.</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Philippines</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Contracting Solutions Limited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Republic of Ireland</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Insourcing BV</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Netherlands</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France SAS</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France</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Germany GMBH</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Germany</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UK Limited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United Kingdom</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Poland sp.zoo</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Poland</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Nordic Countries A/S</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Denmark</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Sweden AB</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Sweden</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Finland OY</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Finland</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Switzerland GMBH</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Switzerland</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Belgium N.V</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Belgium</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Italia</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Italy</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216"/>
        </w:trPr>
        <w:tc>
          <w:tcPr>
            <w:tcW w:w="4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Oxford Outcomes Limited</w:t>
            </w:r>
          </w:p>
        </w:tc>
        <w:tc>
          <w:tcPr>
            <w:tcW w:w="41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United Kingdom</w:t>
            </w:r>
          </w:p>
        </w:tc>
        <w:tc>
          <w:tcPr>
            <w:tcW w:w="2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r>
      <w:tr>
        <w:trPr>
          <w:trHeight w:val="608"/>
        </w:trPr>
        <w:tc>
          <w:tcPr>
            <w:tcW w:w="4800" w:type="dxa"/>
            <w:vAlign w:val="bottom"/>
          </w:tcPr>
          <w:p>
            <w:pPr>
              <w:spacing w:after="0"/>
              <w:rPr>
                <w:sz w:val="24"/>
                <w:szCs w:val="24"/>
                <w:color w:val="auto"/>
              </w:rPr>
            </w:pPr>
          </w:p>
        </w:tc>
        <w:tc>
          <w:tcPr>
            <w:tcW w:w="4140" w:type="dxa"/>
            <w:vAlign w:val="bottom"/>
          </w:tcPr>
          <w:p>
            <w:pPr>
              <w:ind w:left="820"/>
              <w:spacing w:after="0"/>
              <w:rPr>
                <w:sz w:val="20"/>
                <w:szCs w:val="20"/>
                <w:color w:val="auto"/>
              </w:rPr>
            </w:pPr>
            <w:r>
              <w:rPr>
                <w:rFonts w:ascii="Arial" w:cs="Arial" w:eastAsia="Arial" w:hAnsi="Arial"/>
                <w:sz w:val="18"/>
                <w:szCs w:val="18"/>
                <w:color w:val="auto"/>
              </w:rPr>
              <w:t>24</w:t>
            </w:r>
          </w:p>
        </w:tc>
        <w:tc>
          <w:tcPr>
            <w:tcW w:w="2480" w:type="dxa"/>
            <w:vAlign w:val="bottom"/>
          </w:tcPr>
          <w:p>
            <w:pPr>
              <w:spacing w:after="0"/>
              <w:rPr>
                <w:sz w:val="24"/>
                <w:szCs w:val="24"/>
                <w:color w:val="auto"/>
              </w:rPr>
            </w:pPr>
          </w:p>
        </w:tc>
      </w:tr>
      <w:tr>
        <w:trPr>
          <w:trHeight w:val="118"/>
        </w:trPr>
        <w:tc>
          <w:tcPr>
            <w:tcW w:w="480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16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Name</w:t>
            </w:r>
          </w:p>
        </w:tc>
        <w:tc>
          <w:tcPr>
            <w:tcW w:w="3960" w:type="dxa"/>
            <w:vAlign w:val="bottom"/>
          </w:tcPr>
          <w:p>
            <w:pPr>
              <w:ind w:left="1520"/>
              <w:spacing w:after="0"/>
              <w:rPr>
                <w:sz w:val="20"/>
                <w:szCs w:val="20"/>
                <w:color w:val="auto"/>
              </w:rPr>
            </w:pPr>
            <w:r>
              <w:rPr>
                <w:rFonts w:ascii="Arial" w:cs="Arial" w:eastAsia="Arial" w:hAnsi="Arial"/>
                <w:sz w:val="18"/>
                <w:szCs w:val="18"/>
                <w:b w:val="1"/>
                <w:bCs w:val="1"/>
                <w:i w:val="1"/>
                <w:iCs w:val="1"/>
                <w:color w:val="auto"/>
              </w:rPr>
              <w:t>Country of incorporation</w:t>
            </w:r>
          </w:p>
        </w:tc>
        <w:tc>
          <w:tcPr>
            <w:tcW w:w="2300" w:type="dxa"/>
            <w:vAlign w:val="bottom"/>
          </w:tcPr>
          <w:p>
            <w:pPr>
              <w:jc w:val="center"/>
              <w:ind w:left="170"/>
              <w:spacing w:after="0"/>
              <w:rPr>
                <w:sz w:val="20"/>
                <w:szCs w:val="20"/>
                <w:color w:val="auto"/>
              </w:rPr>
            </w:pPr>
            <w:r>
              <w:rPr>
                <w:rFonts w:ascii="Arial" w:cs="Arial" w:eastAsia="Arial" w:hAnsi="Arial"/>
                <w:sz w:val="18"/>
                <w:szCs w:val="18"/>
                <w:b w:val="1"/>
                <w:bCs w:val="1"/>
                <w:i w:val="1"/>
                <w:iCs w:val="1"/>
                <w:color w:val="auto"/>
                <w:w w:val="89"/>
              </w:rPr>
              <w:t>Group ownership*</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Oxford Outcomes Inc.</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Oxford Outcomes (Canada) Limited</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Canada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Firecrest Clinical Limited</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Republic of Ireland</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ICON Clinical Research (Poland) spzoo</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Poland</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BeijingWits Medical Consulting Co., Limited</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China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PriceSpective LLC</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USA</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PriceSpective Limited</w:t>
            </w:r>
          </w:p>
        </w:tc>
        <w:tc>
          <w:tcPr>
            <w:tcW w:w="39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United Kingdom</w:t>
            </w:r>
          </w:p>
        </w:tc>
        <w:tc>
          <w:tcPr>
            <w:tcW w:w="23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All shareholdings comprise ordinary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three offices in New York and Philadelphia, two offices in each of the following US locations: Chicago, Raleigh, San Diego and San Antonio, and one office in each of the following U.S. locations: Baltimore, Bethesda, Boston, Houston, Los Angeles, Morristown, Nashville, Omaha, San Francisco and Wilmington.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European operations maintain two offices in Amsterdam, Frankfurt, Milan and Stockholm and one office in each of the following locations: Barcelona, Berlin, Brussels, Bucharest, Budapest, Copenhagen, Helsinki, Kiev, Limerick, London, Madrid, Manchester, Marlow, Moscow, Munich, Novosibirsk, Oxford, Paris, Prague, Riga, Southampton, Tel Aviv, Vilnius, Warsaw, and Zurich.</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maintain two offices in Bangalore and Singapore and one office in each of the following locations: Auckland, Bangkok, Beijing, Bogota, Buenos Aires, Chengdu, Chennai, Guangzhou, Gurgaon, Hong Kong, Johannesburg, Manila, Toronto, Trivandrum, Lima, Mexico City, Montreal, Osaka, Santiago, Sao Paolo, Seoul, Shanghai, Sydney, Taipei, Tianjin, Tokyo, Vancouver and Wuhan.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2011, we had 8,470 employees, in 81 locations in 40 countries. During the year ended December 31, 2011, we derived approximately 41.7%, 46.2 % and 12.1% of our net revenue in the United States, Europe and Rest of World, respectively.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2011 we had a backlog of approximately $2.3 billion, compared with approximately $1.9 billion at December 31, 2010.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consist primarily of compensation, associated fringe benefits and share based compensation expense for project-related employees and other direct project driven costs. Selling, general and administrative expenses comprise compensation, related fringe benefits and share based compensation expense for non project-related employees, recruitment expenditure, professional service costs, advertising costs and all costs related to facilities and information systems.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8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w w:val="98"/>
              </w:rPr>
              <w:t>Year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Percentage of Net Revenue</w:t>
            </w:r>
          </w:p>
        </w:tc>
        <w:tc>
          <w:tcPr>
            <w:tcW w:w="28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1"/>
              </w:rPr>
              <w:t>Percentage Increase/(Decrease)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64.7%</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Non-recurring charges, net</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revenue for the year increased by $45.7 million, or 5.1%, from $900.0 million for the year ended December 31, 2010 to $945.7 million for the year ended December 31, 2011. Net revenue in our clinical research segment increased by 4.5% from $836.2 million for the year ended December 31, 2010 to $874.2 million for the year ended December 31, 2011. In our central laboratory business net revenue increased by 12.1% from $63.8 million for the year ended December 31, 2010 to $71.5 million for the year ended December 31, 2011. Revenue on the acquisition of Oxford Outcomes Limited and Firecrest Clinical Limited amounted to $29.7 million for the year ended December 31, 2011. For the year ended December 31, 2011 we derived approximately 41.7%, 46.2% and 12.1% of our net revenue in the United States, Europe and Rest of World, respectively.</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Direct costs for the year increased by $70.5 million, or 13.0%, from $541.4 million for the year ended December 31, 2010 to $611.9 million for the year ended December 31, 2011. As a percentage of net revenue, direct costs have increased from 60.1% for the year ended December 31, 2010 to 64.7% for the year ended December 31, 2011. Direct costs in our clinical research segment have increased by 13.9% or $68.6 million during the year. As a percentage of net revenue direct costs in our clinical research segment have increased from 59.1% for the year ended December 31, 2010 to 64.4% for the year ended December 31, 2011. The Company has entered a number of strategic partnerships with sponsors during the year and further expanded operations in certain territories. This has necessitated significant upfront investment in personnel and related infrastructure in advance of anticipated revenue flows from this business. In our central laboratory business, direct costs have increased by 4.2% or $2.0 million during the year. As a percentage of net revenue direct costs in our central laboratory business have decreased from 73.4% for the year ended December 31, 2010 to 68.2% for the year ended December 31, 2011 a result of restructuring activities undertaken in early 2011, together with ongoing cost management and improved resource utilization.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Selling, general and administrative expenses for the year increased by $23.2 million, or 10.0%, from $232.7 million for the year ended December 31, 2010 to $255.9 million for the year ended December 31, 2011. The increase in selling, general and administration expense for the period arose primarily from an increase in facilities and related costs of $13.7 million, an increase in personnel related expenditure of $8.1 million, including increases in recruitment expenditure and travel costs associated with non-project related employees, and an increase in professional services costs of $11.1 million. These increases were offset by the release of certain non-recurring tax related provisions of $6.0 million in both our clinical research and central laboratory business, arising from receipt of additional information in relation to these items, and a decrease in other general overhead costs of $2.0 million. Selling, general and administrative costs for the year ended December 31, 2011 also include the release of $1.7 million in respect of certain milestones pertaining to the Timaq acquisition which were released during the year as the Company has assessed the likelihood of these milestones being achieved as remote. In our clinical research segment, selling, general and administrative expenses increased by $29.5 million or 14.2% during the year. This was offset by a decrease in our central laboratory business, where selling general and administrative expenses decreased by $6.3 million or 25.4%. As a percentage of net revenue, selling, general and administrative expenses, increased from 25.9% for the year ended December 31, 2010 to 27.1% for the year ended December 31, 2011.</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years ended December 31, 2011 and December 31, 2010 amounted to $9.4 million and $7.4 million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for the year increased by $4.8 million, or 14.2%, from $33.9 million for the year ended December 31, 2010 to $38.7 million for the year ended December 31, 2011, principally as a result of the amortization of acquired intangibles and our continued investment in facilities and equipment to support the Company’s growth. As a percentage of net revenue, depreciation and amortization increased from 3.8% of net revenues for the year ended December 31, 2010 to 4.1% for the year ended December 31, 2011.</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Restructuring Plan”), the closure of the Company’s facility in Edinburgh, United Kingdom and resource rationalizations in certain of the more mature markets in which it operates. A restructuring charge of $5.0 million in respect of this plan was recognized during the three months ended March 31, 2011, $1.0 million in respect of lease termination and exit costs associated with the closure of the Edinburgh facility and $4.0 million in respect of workforce reductions. $3.5 million of costs recognized under the Q1 Restructuring Plan related to the clinical research segment, while $1.5 million related to our central laboratory business. During the three months ended September 30, 2011 the Company implemented a further restructuring plan (the “Q3 Restructuring Plan”) which resulted in the relocation of the Company’s facility in Maryland, USA; and further resource rationalizations. A restructuring charge of $4.8 million was recognized during the three months ended September 30, 2011 in respect of this plan, $0.9 million in respect of lease termination and exit costs associated with the closure of the existing Maryland facility and $3.9 million in respect of workforce reductions. All costs recognized under the Q3 Restructuring Plan related to the clinical research segment.</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above, income from operations for the year decreased by $62.7 million, or 68.0%, from $92.1 million for the year ended December 31, 2010 to $29.4 million for the year ended December 31, 2011. As a percentage of net revenue, income from operations decreased from 10.2% of net revenues for the year ended December 31, 2010 to 3.1% of net revenues for the year ended December 31, 2011. In our clinical research segment, income from operations for the year decreased by $73.2 million, or 69.8%, from $104.8 million for the year ended December 31, 2010 to $31.6 million for the year ended December 31, 2011. As a percentage of net revenue, income from operations decreased from 12.5% of net revenues for the year ended December 31, 2010 to 3.6% of net revenues for the year ended December 31, 2011. In our central laboratory business, operating losses for the year decreased from a loss of $12.7 million for the year ended December 31, 2010 to a loss of $2.2 million for the year ended December 31, 2011. As a percentage of net revenue operating losses decreased from 20.0% for the year ended December 31, 2010 to 3.1% for the year ended December 31, 2011.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8"/>
          <w:szCs w:val="18"/>
          <w:color w:val="auto"/>
        </w:rPr>
        <w:t>Excluding the impact of restructuring charges recognized, income from operations for the year decreased by $52.9 million or 57.4%, from $92.1 million for the year ended December 31, 2010 to $39.2 million for the year ended December 31, 2011. As a percentage of net revenue, income from operations decreased from 10.2% of net revenues for the year ended December 31, 2010 to 4.1% of net revenues for the year ended December 31, 2011. In our clinical research segment, income from operations for the year decreased by $64.9 million, or 61.9%, from $104.8 million for the year ended December 31, 2010 to $39.9 million for the year ended December 31, 2011. As a percentage of net revenue, income from operations decreased from 12.5% of net revenues for the year ended December 31, 2010 to 4.6% of net revenues for the year ended December 31, 2011. In our central laboratory business, operating losses for the year decreased by $12.0 million, from a loss of $12.7 million for the year ended December 31, 2010 to a loss of $0.7 million for the year ended December 31, 2011. As a percentage of net revenue operating losses decreased from 20.0% for the year ended December 31, 2010 to 0.9% for the year ended December 31, 2011.</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$1.1 million for the year ended December 31, 2010 to $1.6 million for the year ended December 31, 2011. Interest expense for the year ended December 31, 2011 includes $0.8 million in respect of the unwinding of the discount of the Firecrest contingent consideration. Interest income for the period decreased from $1.8 million for the year ended December 31, 2010 to $1.2 million for the year ended December 31, 2011, as a result of lower cash balances during the year ended December 31, 2011.</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Provision for income taxes increased from $5.7 million for the year ended December 31, 2010 to $6.1 million for the year ended December 31, 2011. The Company’s effective tax rate for the year ended December 31, 2011 was 21.1% compared with 6.1% for the year ended December 31, 2010. During the year ended December 31, 2011 the Company recognized $2.9 million in unrecognized tax benefits for uncertain tax positions, arising from the expiration of the relevant statute of limitations in certain jurisdictions, thereby allowing for the recognition of these benefits. During the year ended December 31, 2010 the Company recognized $9.7 million in unrecognized tax benefits for uncertain tax positions, arising from both the settlement of positions with the relevant tax authorities and the expiration of the relevant statute of limitations in certain jurisdictions, resulting in the recognition of these benefits. Excluding the impact of the release of uncertain tax provisions the Company would have had an effective tax rate of 31.1% for the year ended December 31, 2011, compared to an effective tax rate of 17.0% for the year ended December 31,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revenue for the year increased by $12.4 million, or 1.4%, from $887.6 million for the year ended December 31, 2009 to $900.0 million for the year ended December 31, 2010. Net revenue in our clinical research segment increased by 2.4% from $816.9 million for the year ended December 31, 2009 to $836.2 million for the year ended December 31, 2010. In our central laboratory business net revenue decreased by 9.8% from $70.7 million for the year ended December 31, 2009 to $63.8 million for the year ended December 31, 2010. This decrease was primarily attributable to a slower rate of conversion on central laboratory business awards, due to both a delay in study start-ups and an increase in the average duration of central laboratory studies. For the year ended December 31, 2010 we derived approximately 42.3%, 46.9% and 10.8% of our net revenue in the United States, Europe and Rest of World, respectively.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Direct costs for the year increased by $33.6 million, or 6.6%, from $507.8 million for the year ended December 31, 2009 to $541.4 million for the year ended December 31, 2010. The increase in direct costs during the year was primarily attributable to an increase in compensation costs for project related employees of $32.5 million. Travel costs for project-related employees increased by $6.5 million while other direct project-related expenses decreased by $5.4 million. In our clinical research segment, direct costs increased by 6.1 % or $28.5 million during the year. The Company has entered a number of strategic relationships with sponsors and expanded operations in certain territories, requiring significant upfront investment in personnel and a corresponding increase in direct costs. In our central laboratory business, direct costs increased by 12.0% or $5.0 million during the year, primarily attributable to increased investment in personnel and systems in this business. As a percentage of net revenue, direct costs have increased from 57.2% for the year ended December 31, 2009 to 60.1% for the year ended December 31, 2010.</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spacing w:after="0" w:line="267" w:lineRule="auto"/>
        <w:rPr>
          <w:sz w:val="20"/>
          <w:szCs w:val="20"/>
          <w:color w:val="auto"/>
        </w:rPr>
      </w:pPr>
      <w:r>
        <w:rPr>
          <w:rFonts w:ascii="Arial" w:cs="Arial" w:eastAsia="Arial" w:hAnsi="Arial"/>
          <w:sz w:val="17"/>
          <w:szCs w:val="17"/>
          <w:color w:val="auto"/>
        </w:rPr>
        <w:t>Selling, general and administrative expenses for the year increased by $1.8 million, or 0.8%, from $230.9 million for the year ended December 31, 2009 to $232.7 million for the year ended December 31, 2010. Compensation, related fringe benefits and share-based compensation expense increased by $3.0 million during the year, travel costs increased by $2.1 million, while recruitment expenditure, for both project and non-project related employees, increased by $2.6 million. These increases were offset by decreases in facilities related expenditure of $2.3 million and decreases in other general overheads of $3.6 million. In our clinical research segment, selling, general and administrative expenses decreased by $3.3 million or 1.6% during the year. This was offset by an increase in our central laboratory business, where selling general and administrative expenses increased by $5.1 million or 25.6%, a result of our significant investment in personnel and systems in this business during the year. As a percentage of net revenue, selling, general and administrative expenses, decreased from 26.0% for the year ended December 31, 2009 to 25.9% for the year ended December 31, 2010.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Total share based compensation expense recognized during the years ended December 31, 2010 and December 31, 2009 amounted to $7.4 million.</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for the year increased by $1.2 million, or 3.7%, from $32.7 million for the year ended December 31, 2009 to $33.9 million for the year ended December 31, 2010. As a percentage of net revenue, depreciation and amortization increased from 3.7% of net revenues for the year ended December 31, 2009 to 3.8% for the year ended December 31, 2010. This increase relates primarily to our continued investment in facilities and equipment to support the Company’s growth.</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Non-recurring charges, net of $8.8 million were recognized during the year ended December 31, 2009. In response to the globalization of clinical studies and its attendant impact on resources in existing and emerging markets, the Company conducted a review of its existing infrastructure during the early months of 2009 to better align its resources with the needs of its clients. This realignment resulted in resource rationalizations in certain more mature markets and the recognition of a restructuring charge of $13.3 million in the second quarter of 2009. This was offset by research and development incentives of $4.5 million received by the Company in certain European Union jurisdictions in which it operates.</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Income from operations for the year decreased by $15.4 million, or 14.3%, from $107.5 million for the year ended December 31, 2009 to $92.1 million for the year ended December 31, 2010. As a percentage of net revenue, income from operations decreased from 12.1% of net revenues for the year ended December 31, 2009 to 10.2% of net revenues for the year ended December 31, 2010. In our clinical research segment, income from operations for the year increased by $2.4 million, or 2.4%, from $102.4 million for the year ended December 31, 2009 to $104.8 million for the year ended December 31, 2010. As a percentage of net revenue income from operations was 12.5% of net revenues in both years. In our central laboratory business, income/(loss) from operations for the year decreased by $17.8 million, from income of $5.0 million for the year ended December 31, 2009 to a loss of $12.8 million for the year ended December 31, 2010. As a percentage of net revenue income/(loss) from operations decreased from 7.1% for the year ended December 31, 2009 to (20.0)% for the year ended December 31, 2010. The Company’s significant investment in personnel and systems, together with the slower than expected conversion of business awards, has negatively impacted the central laboratory’s operating margin during the year ended December 31, 2010. During the year ended December 31, 2009 the Company’s income from operations, excluding the impact of non-recurring charges, net, was 13.1%, being 13.6% for our clinical research segment and 7.6% for our central laboratory business.</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interest income for the year ended December 31, 2010 was $0.6 million, compared with net interest expense of $2.8 million for the year ended December 31, 2009. Interest income for the period increased from $0.8 million for the year ended December 31, 2009 to $1.8 million for the year ended December 31, 2010. This increase arose from an increase in cash balances during the year, together with an increase in the rate of return earned on those balances. Interest expense for the period decreased from $3.5 million for the year ended December 31, 2009 to $1.1 million for the year ended December 31, 2010. During the year ended December 31, 2009 the Company repaid amounts previously drawn under negotiated facilities.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color w:val="auto"/>
        </w:rPr>
        <w:t>Provision for income taxes decreased from $10.4 million for the year ended December 31, 2009 to $5.7 million for the year ended December 31, 2010. During the year ended December 31, 2010 the Company recognized $9.7 million in unrecognized tax benefits for uncertain tax positions, arising from both the settlement of positions with the relevant tax authorities and the expiration of the relevant statute of limitations in certain jurisdictions, thereby allowing for the recognition of these benefits during the current year. During the year ended December 31, 2009 corporation tax refunds related to research and development tax credits were received by the Company in certain European Union jurisdictions. The Company recognized a net benefit of $10.6 million in its provision for income taxes for the year ended December 31, 2009 for research and development tax credits related to prior years but received during 2009. The Company’s effective tax rate for the year ended December 31, 2010 was 6.1% compared with 9.9% for the year ended December 31, 2009. Excluding the impact of the release of uncertain tax provisions during the year ended December 31, 2010 and the impact of research and development tax credits recognized during the year ended December 31, 2009, the Company would have had an effective tax rate of 17.0% for the year ended December 31, 2010, compared to an effective tax rate of 20.0% for the year ended December 31,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cash and short-term investment balances at December 31, 2011 amounted to $174.1 million compared with cash and short-term investment balances of $255.7 million at December 31, 2010. The Company’s cash and short-term investment balances at December 31, 2011 comprised cash and cash equivalents $119.2 million and short-term investments $54.9 million. The Company’s cash and short-term investment balances at December 31, 2010 comprised cash and cash equivalents $255.7 million. Additional amounts available to the Group under negotiated facilities amounted to $150.0 million at December 31, 2011 compared with additional amounts of $55.9 million at December 31, 2010.</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was $20.2 million for the year ended December 31, 2011 compared with net cash provided by operating activities of $87.4 million for the year ended December 31, 2010.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decrease in cash flow from operating activities during the twelve months ended December 30, 2011 arose primarily from a decrease in net income together with an increase in the number of days revenue outstanding during the period. The number of days revenue outstanding at December 31, 2011 was 47 days compared to 37 days at December 31, 2010.</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was $152.5 million for the year ended December 31, 2011 compared to net cash provided by investing activities of $14.6 million for the year ended December 31, 2010. Net cash used in/provided by investing activities comprises primarily of capital expenditure, the purchase and sale of short-term investments and cash paid for acquisitions. Capital expenditure for the year ended December 31, 2011 amounted to $35.4 million, compared to $30.9 million for the year ended December 31, 2010 and comprised primarily of expenditure on global infrastructure and information technology systems to support the Company’s growth. During the year ended December 31, 2011 the Company invested a net $55.6 million in short-term investments. During the year ended December 31, 2010 the Company realized a net $49.2 million from the sale of its short-term investments, which were reinvested in cash equivalents.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spacing w:after="0" w:line="290" w:lineRule="auto"/>
        <w:rPr>
          <w:sz w:val="20"/>
          <w:szCs w:val="20"/>
          <w:color w:val="auto"/>
        </w:rPr>
      </w:pPr>
      <w:r>
        <w:rPr>
          <w:rFonts w:ascii="Arial" w:cs="Arial" w:eastAsia="Arial" w:hAnsi="Arial"/>
          <w:sz w:val="16"/>
          <w:szCs w:val="16"/>
          <w:color w:val="auto"/>
        </w:rPr>
        <w:t>Cash paid for acquisitions during the year ended December 31, 2011 amounted to $69.8 million compared to cash paid for acquisitions of $3.7 million during the year ended December 31, 2010. On January 14, 2011 the Company acquired approximately 80% of the common stock of Oxford Outcomes Limited, a leading international health outcomes consultancy business, headquartered in Oxford, United Kingdom for an initial cash consideration of £17.8 million ($27.6 million). Cash acquired on the acquisition of Oxford amount to £4.0 million ($6.2 million). Further consideration of up to £6.5 million ($10.1 million) may become payable during the period to 31 March 2012 if certain performance milestones are achieved. In July 2011 the Company paid £3.3 million ($5.1 million) in respect of the first element of this additional consideration. £3.2 million ($4.9 million) has been accrued at December 31, 2011 in respect of the remaining performance milestones. In addition, the acquisition agreement provided for certain working capital targets to be achieved by Oxford Outcomes Limited on completion. In May 2011 the Company paid an additional £3.3 million ($5.1 million) on completion of this review.</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put and call option was also agreed between the Company and the selling shareholders for the acquisition of the remaining common stock of Oxford Outcomes Limited for cash consideration of £3.8 million ($6.0 million). Further consideration of up to £1.5 million ($2.3 million) relating to this remaining common stock may become payable during the period to March 31, 2012 if certain performance milestones are achieved. On October 20, 2011 this option was exercised and £3.8 million ($6.0 million) was paid by the Company to the selling shareholders together with a further £0.7 million ($1.1 million) in respect of the first element of the performance milestones. The Company has accrued £0.8 million ($1.2 million) at December 31, 2011 in respect of the remaining performance milestones.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($24.4 million). Cash acquired on the acquisition of Firecrest amounted to $2.0 million. Further consideration of up to €33.0 million ($42.8 million) may become payable if certain performance milestones are achieved in the period to June 30, 2013. At December 31, 2011 the Company has accrued €31.3 million ($40.6 million) in relation to these performance milestones, €22.3 million ($28.9 million) within other liabilities and €9.0 million ($11.7 million) within non-current other liabilities.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17, 2010 the Company acquired Timaq Medical Imaging,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($2.6 million) payable if these milestones are achieved by the Company. The Company accrued CHF 2.9 million ($2.6 million) in relation to the additional consideration at date of acquisition. On November 5, 2010 the first element of these performance milestones was achieved requiring deferred payments of CHF 0.3 million ($0.3 million) to the selling shareholders in each of the years ended December 31, 2010, December 31, 2011 and December 31, 2012. As at December 31, 2011 CHF 0.6 million ($0.6 million) has been paid by the Company and a further CHF 0.3 million ($0.3 million) has been accrued in respect of the 2012 payment. Further consideration of up to CHF 2.0 million is payable if the remaining performance milestones are achieved during the years ended December 31, 2010 to December 31, 2012. During the year ended December 31, 2011 the Company assessed the likelihood of the remaining milestones being achieved as remote and consequently has released CHF 2.0 million ($1.7 million) previously accrued in relation to these milestones.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15, 2012 the Company acquired 100% of the common stock of BeijingWits Medical Limited (“BeijingWits”), a leading Chinese CRO, for an initial cash consideration of $9.0 million. Further consideration of up to $7.0 million may become payable if certain performance milestones are achieved in the period to December 31, 2013.</w:t>
      </w:r>
    </w:p>
    <w:p>
      <w:pPr>
        <w:spacing w:after="0" w:line="201" w:lineRule="exact"/>
        <w:rPr>
          <w:sz w:val="20"/>
          <w:szCs w:val="20"/>
          <w:color w:val="auto"/>
        </w:rPr>
      </w:pPr>
    </w:p>
    <w:p>
      <w:pPr>
        <w:jc w:val="both"/>
        <w:spacing w:after="0" w:line="227" w:lineRule="auto"/>
        <w:rPr>
          <w:sz w:val="20"/>
          <w:szCs w:val="20"/>
          <w:color w:val="auto"/>
        </w:rPr>
      </w:pPr>
      <w:r>
        <w:rPr>
          <w:rFonts w:ascii="Arial" w:cs="Arial" w:eastAsia="Arial" w:hAnsi="Arial"/>
          <w:sz w:val="22"/>
          <w:szCs w:val="22"/>
          <w:color w:val="auto"/>
        </w:rPr>
        <w:t xml:space="preserve">On February 28, 2012 the Company acquired 100% of the common stock of </w:t>
      </w:r>
      <w:r>
        <w:rPr>
          <w:rFonts w:ascii="Arial" w:cs="Arial" w:eastAsia="Arial" w:hAnsi="Arial"/>
          <w:sz w:val="18"/>
          <w:szCs w:val="18"/>
          <w:color w:val="auto"/>
        </w:rPr>
        <w:t>PriceSpective LLC (“PriceSpective”). Further consideration of up</w:t>
      </w:r>
      <w:r>
        <w:rPr>
          <w:rFonts w:ascii="Arial" w:cs="Arial" w:eastAsia="Arial" w:hAnsi="Arial"/>
          <w:sz w:val="22"/>
          <w:szCs w:val="22"/>
          <w:color w:val="auto"/>
        </w:rPr>
        <w:t xml:space="preserve"> </w:t>
      </w:r>
      <w:r>
        <w:rPr>
          <w:rFonts w:ascii="Arial" w:cs="Arial" w:eastAsia="Arial" w:hAnsi="Arial"/>
          <w:sz w:val="18"/>
          <w:szCs w:val="18"/>
          <w:color w:val="auto"/>
        </w:rPr>
        <w:t>to $15.0 million may become payable if certain milestones are achieved in the period to December 31, 2012.</w:t>
      </w:r>
    </w:p>
    <w:p>
      <w:pPr>
        <w:spacing w:after="0" w:line="2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Net cash used in financing activities during the year ended December 31, 2011 amounted to $3.8 million compared with net cash provided by financing activities of $15.3 million for the year ended December 31, 2010. Net cash provided by financing activities in both periods arose primarily from the exercise of stock options. During the year ended December 31, 2011 the Company repaid $9.0 million in relation to the share repurchase program </w:t>
      </w:r>
      <w:r>
        <w:rPr>
          <w:rFonts w:ascii="Arial" w:cs="Arial" w:eastAsia="Arial" w:hAnsi="Arial"/>
          <w:sz w:val="16"/>
          <w:szCs w:val="16"/>
          <w:i w:val="1"/>
          <w:iCs w:val="1"/>
          <w:color w:val="auto"/>
        </w:rPr>
        <w:t>(see below).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right="240"/>
        <w:spacing w:after="0" w:line="264" w:lineRule="auto"/>
        <w:rPr>
          <w:sz w:val="20"/>
          <w:szCs w:val="20"/>
          <w:color w:val="auto"/>
        </w:rPr>
      </w:pPr>
      <w:r>
        <w:rPr>
          <w:rFonts w:ascii="Arial" w:cs="Arial" w:eastAsia="Arial" w:hAnsi="Arial"/>
          <w:sz w:val="18"/>
          <w:szCs w:val="18"/>
          <w:color w:val="auto"/>
        </w:rPr>
        <w:t>As a result of these cash flows, cash and cash equivalents decreased by $136.5 million for the year ended December 31, 2011 compared to an increase of $110.9 million for the year ended December 31, 2010. The Company believes its working capital and available cash resources are sufficient for our present requirements.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20, 2011 the Company agreed to a three year committed multi currency revolving credit facility agreement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is secured by certain composite guarantees, indemnities and pledges in favour of the banks. This facility replaced all facilities previously in place with Bank of Ireland, AIB, Citibank and JP Morgan.</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The Company intends to enter further share repurchase plans, to effect the share repurchase program in accordance with Rule 10b-18 and Rule 10b5-1 of the Securities Exchange Act of 1934, the authorization granted at the Company’s annual general meeting on July, 18 2011, applicable laws and regulations and the Listing Rules of the Irish Stock Exchange.</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repurchase program,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authorization and applicable laws and regulations. Separately, Ordinary Shares traded on the Irish Stock Exchange may also be repurchased on behalf of the Company. The program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 will be made independently of and uninfluenced by the Company. The Company confirms that on entering the two repurchase plans on November 22, 2011 it had no material non-public</w:t>
      </w:r>
      <w:r>
        <w:rPr>
          <w:rFonts w:ascii="Arial" w:cs="Arial" w:eastAsia="Arial" w:hAnsi="Arial"/>
          <w:sz w:val="17"/>
          <w:szCs w:val="17"/>
          <w:u w:val="single" w:color="auto"/>
          <w:color w:val="auto"/>
        </w:rPr>
        <w:t>,</w:t>
      </w:r>
      <w:r>
        <w:rPr>
          <w:rFonts w:ascii="Arial" w:cs="Arial" w:eastAsia="Arial" w:hAnsi="Arial"/>
          <w:sz w:val="17"/>
          <w:szCs w:val="17"/>
          <w:color w:val="auto"/>
        </w:rPr>
        <w:t xml:space="preserve"> price-sensitive or inside information regarding the Company or its securities. Furthermore, the Company will not enter into additional plans whilst in possession of such information.</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w:t>
      </w:r>
      <w:r>
        <w:rPr>
          <w:rFonts w:ascii="Arial" w:cs="Arial" w:eastAsia="Arial" w:hAnsi="Arial"/>
          <w:sz w:val="17"/>
          <w:szCs w:val="17"/>
          <w:u w:val="single" w:color="auto"/>
          <w:color w:val="auto"/>
        </w:rPr>
        <w:t>.</w:t>
      </w:r>
      <w:r>
        <w:rPr>
          <w:rFonts w:ascii="Arial" w:cs="Arial" w:eastAsia="Arial" w:hAnsi="Arial"/>
          <w:sz w:val="17"/>
          <w:szCs w:val="17"/>
          <w:color w:val="auto"/>
        </w:rPr>
        <w:t xml:space="preserve"> All Ordinary Shares repurchased by the Company will be cancelled. The Company currently intends to complete repurchases within a 12 month period.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2011 545,597 ordinary shares were repurchased by the Company for a total consideration of $9.0 million. All ordinary shares repurchased by the Company were cancelled.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Payments due by period</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 to 3</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 to 5</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 year</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years</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(U.S.$ in millions)</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58.1</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Non-current tax liabilities</w:t>
            </w:r>
          </w:p>
        </w:tc>
        <w:tc>
          <w:tcPr>
            <w:tcW w:w="14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program (note 12)</w:t>
            </w:r>
          </w:p>
        </w:tc>
        <w:tc>
          <w:tcPr>
            <w:tcW w:w="1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(U.S.$ in millions)</w:t>
            </w: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We expect to spend approximately $35.0 to $40.0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our goodwill for impairment annually, or more frequently if facts or circumstances warrant such a review. We evaluate goodwill for impairment by firstly comparing the fair value of each reporting segment to its carrying value. Fair value is determined using the market approach, by assessing the market value of each reporting unit. If the carrying amount exceeds the fair value then a second step is completed which involves the fair value of the reporting unit being allocated to each asset and liability with the excess being implied goodwill. Significant estimates and judgments are required in allocating the fair value of the reporting unit to each asset and liability.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implied fair value of reporting unit goodwill is lower than its carrying amount, goodwill is impaired and written down to its implied fair value. If we were to use different estimates or judgments a material impairment charge to the statement of operations could arise. We believe that we have used reasonable estimates and judgments in assessing the carrying value of our goodwill.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imaging, contract staffing and laboratory services. Revenue for services, as rendered, are recognized only after persuasive evidence of an arrangement exists, the sales price is fixed or determinable and collectability is reasonably assured.</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we may also be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Group has concluded a number of business combinations in recent years. The cost of a business combination is measured as the aggregate of the fair values at the date of exchange of assets given, liabilities incurred or assumed, and equity instruments issued in exchange for control. The cost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adjustment is recognised on the acquisition date fair value.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Balance Sheet (Topic 210): Disclosures about Offsetting Assets and Liabilities</w:t>
      </w:r>
      <w:r>
        <w:rPr>
          <w:rFonts w:ascii="Arial" w:cs="Arial" w:eastAsia="Arial" w:hAnsi="Arial"/>
          <w:sz w:val="16"/>
          <w:szCs w:val="16"/>
          <w:color w:val="auto"/>
        </w:rPr>
        <w:t>.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ASU 2011-11 is effective retrospectively for fiscal years beginning after January 1, 2013.</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September 2011, the FASB issued ASU No. 2011-08 Intangibles - Goodwill and Other (Topic 350):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2011-08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need not perform the two-step impairment test. ASU 2011- 08 is effective for fiscal years beginning after December 15, 2011.</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2011, the FASB issued ASU No. 2011-05, Comprehensive Income (Topic 220):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2011-05 permits an entity to present the components of net income and comprehensive income in either one or two consecutive financial statements. The ASU eliminates the option in U.S. GAAP to present other comprehensive income in the statement of changes in equity. An entity should apply the ASU retrospectively. ASU 2011-05 is effective for fiscal years ending after December 15, 2012. In December 2011, the FASB decided to defer the effective date of those changes in ASU 2011-05 that relate only to the presentation of reclassification adjustments in the statement of income by issuing ASU 2011-12,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220): Deferral of the Effective Date for Amendments to the Presentation of Reclassifications of Items Out of Accumulated Other Comprehensive income in Accounting Standards Update 2011-05. </w:t>
      </w:r>
      <w:r>
        <w:rPr>
          <w:rFonts w:ascii="Arial" w:cs="Arial" w:eastAsia="Arial" w:hAnsi="Arial"/>
          <w:sz w:val="17"/>
          <w:szCs w:val="17"/>
          <w:color w:val="auto"/>
        </w:rPr>
        <w:t>The Company plans to implement the provisions of ASU 2011-05 by presenting a separate statement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following the statement of income in 2012.</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May 2011, the FASB issued ASU No. 2011-04, Fair Value Measurement (Topic 820): </w:t>
      </w:r>
      <w:r>
        <w:rPr>
          <w:rFonts w:ascii="Arial" w:cs="Arial" w:eastAsia="Arial" w:hAnsi="Arial"/>
          <w:sz w:val="17"/>
          <w:szCs w:val="17"/>
          <w:i w:val="1"/>
          <w:iCs w:val="1"/>
          <w:color w:val="auto"/>
        </w:rPr>
        <w:t>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in U.S. GAAP and IFRSs. </w:t>
      </w:r>
      <w:r>
        <w:rPr>
          <w:rFonts w:ascii="Arial" w:cs="Arial" w:eastAsia="Arial" w:hAnsi="Arial"/>
          <w:sz w:val="17"/>
          <w:szCs w:val="17"/>
          <w:color w:val="auto"/>
        </w:rPr>
        <w:t>ASU 2011-04 provides guidance about how fair value should be applied where it already is required or</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under IFRS or U.S. GAAP. For U.S. GAAP, most of the changes are clarifications of existing guidance or wording changes to align with IFRS. ASU 2011- 04 is effective prospectively for interim and annual periods beginning after December 15, 2011.</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2010, the FASB issued ASU No. 2010-28, </w:t>
      </w:r>
      <w:r>
        <w:rPr>
          <w:rFonts w:ascii="Arial" w:cs="Arial" w:eastAsia="Arial" w:hAnsi="Arial"/>
          <w:sz w:val="16"/>
          <w:szCs w:val="16"/>
          <w:i w:val="1"/>
          <w:iCs w:val="1"/>
          <w:color w:val="auto"/>
        </w:rPr>
        <w:t>Intangibles—Goodwill and Other (Topic 350): When to Perform Step 2 of the Goodwill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Reporting Units with Zero or Negative Carrying Amounts, a consensus of the FASB Emerging Issues Task Force </w:t>
      </w:r>
      <w:r>
        <w:rPr>
          <w:rFonts w:ascii="Arial" w:cs="Arial" w:eastAsia="Arial" w:hAnsi="Arial"/>
          <w:sz w:val="16"/>
          <w:szCs w:val="16"/>
          <w:color w:val="auto"/>
        </w:rPr>
        <w:t>(Issue No. 10-A). ASU 2010-28</w:t>
      </w:r>
      <w:r>
        <w:rPr>
          <w:rFonts w:ascii="Arial" w:cs="Arial" w:eastAsia="Arial" w:hAnsi="Arial"/>
          <w:sz w:val="16"/>
          <w:szCs w:val="16"/>
          <w:i w:val="1"/>
          <w:iCs w:val="1"/>
          <w:color w:val="auto"/>
        </w:rPr>
        <w:t xml:space="preserve"> </w:t>
      </w:r>
      <w:r>
        <w:rPr>
          <w:rFonts w:ascii="Arial" w:cs="Arial" w:eastAsia="Arial" w:hAnsi="Arial"/>
          <w:sz w:val="16"/>
          <w:szCs w:val="16"/>
          <w:color w:val="auto"/>
        </w:rPr>
        <w:t>modifies Step 1 of the goodwill impairment test under ASC Topic 350 for reporting units with zero or negative carrying amounts to require an entity to perform Step 2 of the goodwill impairment test if it is more likely than not that a goodwill impairment exists. In determining whether it is more likely than not that a goodwill impairment exists, an entity should consider whether there are adverse qualitative factors in determining whether an interim goodwill impairment test between annual test dates is necessary. ASU No. 2010-28 is effective for fiscal years beginning after December 15,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March 2,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gridSpan w:val="2"/>
          </w:tcPr>
          <w:p>
            <w:pPr>
              <w:spacing w:after="0"/>
              <w:rPr>
                <w:sz w:val="20"/>
                <w:szCs w:val="20"/>
                <w:color w:val="auto"/>
              </w:rPr>
            </w:pPr>
            <w:r>
              <w:rPr>
                <w:rFonts w:ascii="Arial" w:cs="Arial" w:eastAsia="Arial" w:hAnsi="Arial"/>
                <w:sz w:val="18"/>
                <w:szCs w:val="18"/>
                <w:color w:val="auto"/>
              </w:rPr>
              <w:t>Name</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93"/>
              </w:rPr>
              <w:t>Age</w:t>
            </w:r>
          </w:p>
        </w:tc>
        <w:tc>
          <w:tcPr>
            <w:tcW w:w="6620" w:type="dxa"/>
            <w:vAlign w:val="bottom"/>
          </w:tcPr>
          <w:p>
            <w:pPr>
              <w:ind w:left="120"/>
              <w:spacing w:after="0"/>
              <w:rPr>
                <w:sz w:val="20"/>
                <w:szCs w:val="20"/>
                <w:color w:val="auto"/>
              </w:rPr>
            </w:pPr>
            <w:r>
              <w:rPr>
                <w:rFonts w:ascii="Arial" w:cs="Arial" w:eastAsia="Arial" w:hAnsi="Arial"/>
                <w:sz w:val="18"/>
                <w:szCs w:val="18"/>
                <w:color w:val="auto"/>
              </w:rPr>
              <w:t>Position</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 (2) (4) (5)</w:t>
            </w:r>
          </w:p>
        </w:tc>
        <w:tc>
          <w:tcPr>
            <w:tcW w:w="1380" w:type="dxa"/>
            <w:vAlign w:val="bottom"/>
            <w:tcBorders>
              <w:top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9"/>
              </w:rPr>
              <w:t>57</w:t>
            </w:r>
          </w:p>
        </w:tc>
        <w:tc>
          <w:tcPr>
            <w:tcW w:w="6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Chairman of the Board, Director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Peter Gray (1)</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89"/>
              </w:rPr>
              <w:t>57</w:t>
            </w:r>
          </w:p>
        </w:tc>
        <w:tc>
          <w:tcPr>
            <w:tcW w:w="6620" w:type="dxa"/>
            <w:vAlign w:val="bottom"/>
          </w:tcPr>
          <w:p>
            <w:pPr>
              <w:ind w:left="120"/>
              <w:spacing w:after="0"/>
              <w:rPr>
                <w:sz w:val="20"/>
                <w:szCs w:val="20"/>
                <w:color w:val="auto"/>
              </w:rPr>
            </w:pPr>
            <w:r>
              <w:rPr>
                <w:rFonts w:ascii="Arial" w:cs="Arial" w:eastAsia="Arial" w:hAnsi="Arial"/>
                <w:sz w:val="18"/>
                <w:szCs w:val="18"/>
                <w:color w:val="auto"/>
              </w:rPr>
              <w:t>Vice Chairman of the Board, Director</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Ciaran Murray (1) (5)</w:t>
            </w:r>
          </w:p>
        </w:tc>
        <w:tc>
          <w:tcPr>
            <w:tcW w:w="13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49</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Brendan Brennan (1) (5)</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89"/>
              </w:rPr>
              <w:t>33</w:t>
            </w:r>
          </w:p>
        </w:tc>
        <w:tc>
          <w:tcPr>
            <w:tcW w:w="66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13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59</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Dr. Ronan Lambe (6)</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89"/>
              </w:rPr>
              <w:t>72</w:t>
            </w:r>
          </w:p>
        </w:tc>
        <w:tc>
          <w:tcPr>
            <w:tcW w:w="66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Thomas Lynch (2) (3) (4)</w:t>
            </w:r>
          </w:p>
        </w:tc>
        <w:tc>
          <w:tcPr>
            <w:tcW w:w="13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55</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Professor Dermot Kelleher (3) (6)</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89"/>
              </w:rPr>
              <w:t>56</w:t>
            </w:r>
          </w:p>
        </w:tc>
        <w:tc>
          <w:tcPr>
            <w:tcW w:w="66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Declan McKeon (2) (3)</w:t>
            </w:r>
          </w:p>
        </w:tc>
        <w:tc>
          <w:tcPr>
            <w:tcW w:w="13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60</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Cathrin Petty (4)</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89"/>
              </w:rPr>
              <w:t>38</w:t>
            </w:r>
          </w:p>
        </w:tc>
        <w:tc>
          <w:tcPr>
            <w:tcW w:w="66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Dr. Steven Cutler</w:t>
            </w:r>
          </w:p>
        </w:tc>
        <w:tc>
          <w:tcPr>
            <w:tcW w:w="13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51</w:t>
            </w: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Group President Clinical Research Services</w:t>
            </w: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Diarmaid Cunningham</w:t>
            </w:r>
          </w:p>
        </w:tc>
        <w:tc>
          <w:tcPr>
            <w:tcW w:w="1380" w:type="dxa"/>
            <w:vAlign w:val="bottom"/>
          </w:tcPr>
          <w:p>
            <w:pPr>
              <w:jc w:val="center"/>
              <w:ind w:left="750"/>
              <w:spacing w:after="0"/>
              <w:rPr>
                <w:sz w:val="20"/>
                <w:szCs w:val="20"/>
                <w:color w:val="auto"/>
              </w:rPr>
            </w:pPr>
            <w:r>
              <w:rPr>
                <w:rFonts w:ascii="Arial" w:cs="Arial" w:eastAsia="Arial" w:hAnsi="Arial"/>
                <w:sz w:val="18"/>
                <w:szCs w:val="18"/>
                <w:color w:val="auto"/>
                <w:w w:val="89"/>
              </w:rPr>
              <w:t>37</w:t>
            </w:r>
          </w:p>
        </w:tc>
        <w:tc>
          <w:tcPr>
            <w:tcW w:w="6620" w:type="dxa"/>
            <w:vAlign w:val="bottom"/>
          </w:tcPr>
          <w:p>
            <w:pPr>
              <w:ind w:left="120"/>
              <w:spacing w:after="0"/>
              <w:rPr>
                <w:sz w:val="20"/>
                <w:szCs w:val="20"/>
                <w:color w:val="auto"/>
              </w:rPr>
            </w:pPr>
            <w:r>
              <w:rPr>
                <w:rFonts w:ascii="Arial" w:cs="Arial" w:eastAsia="Arial" w:hAnsi="Arial"/>
                <w:sz w:val="18"/>
                <w:szCs w:val="18"/>
                <w:color w:val="auto"/>
              </w:rPr>
              <w:t>General Counsel &amp; Company Secretary</w:t>
            </w:r>
          </w:p>
        </w:tc>
      </w:tr>
    </w:tbl>
    <w:p>
      <w:pPr>
        <w:spacing w:after="0" w:line="214"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Quality Committee.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Dr. Bruce Given </w:t>
      </w:r>
      <w:r>
        <w:rPr>
          <w:rFonts w:ascii="Arial" w:cs="Arial" w:eastAsia="Arial" w:hAnsi="Arial"/>
          <w:sz w:val="18"/>
          <w:szCs w:val="18"/>
          <w:color w:val="auto"/>
        </w:rPr>
        <w:t>was appointed Chairman of the Board of the Company in January 2010. He has served as an outside director of the Company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2004. In October 2011, he was appointed to the position of Chief Operating Officer of Arrowhead Research Corporation. From March 2002 until June 2007 he served as President and Chief Executive Officer of Encysive Pharmaceuticals Inc. Dr. Given previously held various positions in Johnson &amp; Johnson group companies. Dr. Given obtained his doctorate from the University of Chicago in 1980.</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Peter Gray </w:t>
      </w:r>
      <w:r>
        <w:rPr>
          <w:rFonts w:ascii="Arial" w:cs="Arial" w:eastAsia="Arial" w:hAnsi="Arial"/>
          <w:sz w:val="16"/>
          <w:szCs w:val="16"/>
          <w:color w:val="auto"/>
        </w:rPr>
        <w:t>was appointed Vice Chairman of the Board of the Company in October 2011. He served as the Chief Executive Officer from November 2002 to</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2011, Group Chief Operating Officer from June 2001 to November 2002 and Chief Financial Officer from June 1997 to June 2001. He has been a director of the Company since June 1997. Mr. Gray has over 20 years experience in the pharmaceutical services industry and has also worked in the engineering and food sectors. Mr. Gray received a degree in Law from Trinity College Dublin in 1977 and became a chartered accountant in 1980.</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Ciaran Murray </w:t>
      </w:r>
      <w:r>
        <w:rPr>
          <w:rFonts w:ascii="Arial" w:cs="Arial" w:eastAsia="Arial" w:hAnsi="Arial"/>
          <w:sz w:val="16"/>
          <w:szCs w:val="16"/>
          <w:color w:val="auto"/>
        </w:rPr>
        <w:t>was appointed Chief Executive Officer of the Company in October 2011. Mr Murray graduated with a Bachelor of Commerce degree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College Dublin and qualified as a Chartered Accountant with PricewaterhouseCoopers (“PwC”) in 1988. Subsequently he held a number of senior financial positions in global organisations including Kraft Foods, Novell Inc, Northern Foods and Codec Systems. Mr. Murray joined ICON in 2005 as Chief Financial Officer and has been a key member of the Executive Management team during a period of exceptional growth when the company grew from $326m in revenue and 2,700 employees to its 2010 revenues of $900m and over 8,000 employees. In addition to his financial role, Mr Murray has been responsible for the Company’s Medical Imaging division and has played a central role in the development of the ICON strategic plan.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i w:val="1"/>
          <w:iCs w:val="1"/>
          <w:color w:val="auto"/>
        </w:rPr>
        <w:t xml:space="preserve">Brendan Brennan </w:t>
      </w:r>
      <w:r>
        <w:rPr>
          <w:rFonts w:ascii="Arial" w:cs="Arial" w:eastAsia="Arial" w:hAnsi="Arial"/>
          <w:sz w:val="18"/>
          <w:szCs w:val="18"/>
          <w:color w:val="auto"/>
        </w:rPr>
        <w:t>has served as Chief Financial Officer since February 2012 having previously served acting Chief Financial Officer since October 2011.</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this appointment he served in a number of senior finance roles in ICON including the role of Senior Vice President of Corporate Finance. He has been a senior member of the ICON finance team since January 2006. Prior to this he developed his corporate finance experience in Cement Roadstone Holdings, a major Irish building materials organisation. He qualified as a chartered accountant with PricewaterhouseCoopers and obtained a bachelors degree in Accounting and Finance from Dublin City University.</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Dr. John Climax</w:t>
      </w:r>
      <w:r>
        <w:rPr>
          <w:rFonts w:ascii="Arial" w:cs="Arial" w:eastAsia="Arial" w:hAnsi="Arial"/>
          <w:sz w:val="16"/>
          <w:szCs w:val="16"/>
          <w:color w:val="auto"/>
        </w:rPr>
        <w:t>, one of the Company’s co-founders, served as Chairman of the Board of the Company from November 2002 to December 2009,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from June 1990 to October 2002. From January 2010 he has held a position as an outside director of the Company. Dr. Climax has over 25 years of experience in the contract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outside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Thomas Lynch </w:t>
      </w:r>
      <w:r>
        <w:rPr>
          <w:rFonts w:ascii="Arial" w:cs="Arial" w:eastAsia="Arial" w:hAnsi="Arial"/>
          <w:sz w:val="18"/>
          <w:szCs w:val="18"/>
          <w:color w:val="auto"/>
        </w:rPr>
        <w:t>has served as an outside director of the Company since January 1996. Mr. Lynch served as a director of Nanogen Inc., from 1996 to 2000. Mr.</w:t>
      </w:r>
      <w:r>
        <w:rPr>
          <w:rFonts w:ascii="Arial" w:cs="Arial" w:eastAsia="Arial" w:hAnsi="Arial"/>
          <w:sz w:val="18"/>
          <w:szCs w:val="18"/>
          <w:i w:val="1"/>
          <w:iCs w:val="1"/>
          <w:color w:val="auto"/>
        </w:rPr>
        <w:t xml:space="preserve"> </w:t>
      </w:r>
      <w:r>
        <w:rPr>
          <w:rFonts w:ascii="Arial" w:cs="Arial" w:eastAsia="Arial" w:hAnsi="Arial"/>
          <w:sz w:val="18"/>
          <w:szCs w:val="18"/>
          <w:color w:val="auto"/>
        </w:rPr>
        <w:t>Lynch is currently a non-executive director of Amarin Corporation plc, a director of Royal Opera House (Covent Garden) and a non-executive director of IDA Ireland. In the period from May 1993 to July 2004,</w:t>
      </w:r>
    </w:p>
    <w:p>
      <w:pPr>
        <w:jc w:val="both"/>
        <w:spacing w:after="0" w:line="255" w:lineRule="auto"/>
        <w:rPr>
          <w:sz w:val="20"/>
          <w:szCs w:val="20"/>
          <w:color w:val="auto"/>
        </w:rPr>
      </w:pPr>
      <w:r>
        <w:rPr>
          <w:rFonts w:ascii="Arial" w:cs="Arial" w:eastAsia="Arial" w:hAnsi="Arial"/>
          <w:sz w:val="18"/>
          <w:szCs w:val="18"/>
          <w:color w:val="auto"/>
        </w:rPr>
        <w:t>Mr. Lynch held several senior positions in Elan Corporation, plc, a specialty pharmaceutical company, including Executive Vice President, Chief Financial Officer, Vice Chairman and Senior Advisor to the Chairman of the Board of Elan Corporation, plc. Mr. Lynch was a partner at KPMG from May 1990 to May 1993.</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Professor Dermot Kelleher </w:t>
      </w:r>
      <w:r>
        <w:rPr>
          <w:rFonts w:ascii="Arial" w:cs="Arial" w:eastAsia="Arial" w:hAnsi="Arial"/>
          <w:sz w:val="18"/>
          <w:szCs w:val="18"/>
          <w:color w:val="auto"/>
        </w:rPr>
        <w:t>has served as an outside director of the Company since May 2008. Professor Kelleher is currently Head of the School of Medicine</w:t>
      </w:r>
      <w:r>
        <w:rPr>
          <w:rFonts w:ascii="Arial" w:cs="Arial" w:eastAsia="Arial" w:hAnsi="Arial"/>
          <w:sz w:val="18"/>
          <w:szCs w:val="18"/>
          <w:i w:val="1"/>
          <w:iCs w:val="1"/>
          <w:color w:val="auto"/>
        </w:rPr>
        <w:t xml:space="preserve"> </w:t>
      </w:r>
      <w:r>
        <w:rPr>
          <w:rFonts w:ascii="Arial" w:cs="Arial" w:eastAsia="Arial" w:hAnsi="Arial"/>
          <w:sz w:val="18"/>
          <w:szCs w:val="18"/>
          <w:color w:val="auto"/>
        </w:rPr>
        <w:t>at Trinity College, Dublin, Ireland and Director of the Institute of Molecular Medicine in Dublin. His research interests are broad ranging in the fields of Gastroenterology, Immunology and Molecular Biology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Declan McKeon </w:t>
      </w:r>
      <w:r>
        <w:rPr>
          <w:rFonts w:ascii="Arial" w:cs="Arial" w:eastAsia="Arial" w:hAnsi="Arial"/>
          <w:sz w:val="16"/>
          <w:szCs w:val="16"/>
          <w:color w:val="auto"/>
        </w:rPr>
        <w:t>has served as an outside director of the Company since April 2010. Mr. McKeon was a partner in PricewaterhouseCoopers from 1986 to</w:t>
      </w:r>
      <w:r>
        <w:rPr>
          <w:rFonts w:ascii="Arial" w:cs="Arial" w:eastAsia="Arial" w:hAnsi="Arial"/>
          <w:sz w:val="16"/>
          <w:szCs w:val="16"/>
          <w:i w:val="1"/>
          <w:iCs w:val="1"/>
          <w:color w:val="auto"/>
        </w:rPr>
        <w:t xml:space="preserve"> </w:t>
      </w:r>
      <w:r>
        <w:rPr>
          <w:rFonts w:ascii="Arial" w:cs="Arial" w:eastAsia="Arial" w:hAnsi="Arial"/>
          <w:sz w:val="16"/>
          <w:szCs w:val="16"/>
          <w:color w:val="auto"/>
        </w:rPr>
        <w:t>2007. His roles included leadership of the audit and business advisory team for PricewaterhouseCoopers (“PwC”) Ireland, membership on the PwC Europe audit and business advisory services executive and market sector lead for consumer and industrial products. Mr. McKeon is a non-executive director of Ryanair plc, remains a consultant to PwC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Cathrin Petty </w:t>
      </w:r>
      <w:r>
        <w:rPr>
          <w:rFonts w:ascii="Arial" w:cs="Arial" w:eastAsia="Arial" w:hAnsi="Arial"/>
          <w:sz w:val="18"/>
          <w:szCs w:val="18"/>
          <w:color w:val="auto"/>
        </w:rPr>
        <w:t>has served as an outside director of the Company since October 2010. Ms. Petty is a Special Partner at Vitruvian Partners LLP and is an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for Circassia Ltd. Ms. Petty is an advisor to the pharmaceutical industry and formerly served as an outside director for the NHS (Strategic Health Authority for Greater London). Between 2000 and 2010, Ms. Petty was a Healthcare Partner in Apax Partners LLP with responsibility for originating, executing, monitoring and exiting healthcare private equity investments. Her early career included Senior Associate and Research Analyst roles at Schroder Ventures Life Sciences and Schroders Investment Management.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i w:val="1"/>
          <w:iCs w:val="1"/>
          <w:color w:val="auto"/>
        </w:rPr>
        <w:t xml:space="preserve">Dr. Steven Cutler </w:t>
      </w:r>
      <w:r>
        <w:rPr>
          <w:rFonts w:ascii="Arial" w:cs="Arial" w:eastAsia="Arial" w:hAnsi="Arial"/>
          <w:sz w:val="18"/>
          <w:szCs w:val="18"/>
          <w:color w:val="auto"/>
        </w:rPr>
        <w:t>was appointed Group President Clinical Research Services in November 2011. Prior to joining the Company Dr. Cutler held the 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Diarmaid Cunningham </w:t>
      </w:r>
      <w:r>
        <w:rPr>
          <w:rFonts w:ascii="Arial" w:cs="Arial" w:eastAsia="Arial" w:hAnsi="Arial"/>
          <w:sz w:val="16"/>
          <w:szCs w:val="16"/>
          <w:color w:val="auto"/>
        </w:rPr>
        <w:t>is the Company’s General Counsel. Mr. Cunningham joined the Company in November 2009 having spent 10 years with A&amp;L</w:t>
      </w:r>
      <w:r>
        <w:rPr>
          <w:rFonts w:ascii="Arial" w:cs="Arial" w:eastAsia="Arial" w:hAnsi="Arial"/>
          <w:sz w:val="16"/>
          <w:szCs w:val="16"/>
          <w:i w:val="1"/>
          <w:iCs w:val="1"/>
          <w:color w:val="auto"/>
        </w:rPr>
        <w:t xml:space="preserve"> </w:t>
      </w:r>
      <w:r>
        <w:rPr>
          <w:rFonts w:ascii="Arial" w:cs="Arial" w:eastAsia="Arial" w:hAnsi="Arial"/>
          <w:sz w:val="16"/>
          <w:szCs w:val="16"/>
          <w:color w:val="auto"/>
        </w:rPr>
        <w:t>Goodbody, one of Ireland's premier corporate law firms. Mr. Cunningham was appointed Company Secretary in October 2011. Mr. Cunningham graduated with a Bachelor of Business and Legal Studies from University College Dublin in 1997 and qualified as a Solicitor with A&amp;L Goodbody in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business of the Company is managed by the directors who may exercise all the powers of the Company which are not required by the Companies Acts 1963 to 2009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comprises two executive and seven outside-directors at the date of this report. The outside-directors bring independent judgment to bear on issues of strategy, performance, resources, key appointments and standards. The Company considers all of its outside-directors to be of complementary skills, experience and knowledge and each outside-director has specific skills, experience and knowledge that are valuable to the Company.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There is a formal schedule of matters reserved to the Board for consideration and decision including approval of strategic plans, financial statements, acquisitions, material capital expenditures and review of the effectiveness of the Company’s system of internal controls, thereby maintaining control of the Company and its future direction. The Directors have access to the advice and services of the Company Secretary and may seek external independent professional advice where required. The Board considers its current size (9 directors) to be adequate but continues to look for suitable qualified potential candidates to join the Board.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detailed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normally meets at least four times each year. During the year ended December 31, 2011 the Board met on four occasions. Additional meetings and Board updates, to consider specific issues, are held as and when required. All directors allocated sufficient time to the Company during the year ended December 31, 2011 to effectively discharge their responsibilities to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retirement and re-election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2012, it is anticipated that two directors will retire by rotation and offer themselves for re-election. Ciaran Murray, having been appointed a director by the Company in October 2011, will also offer himself for re-election.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Each committee Chairman informally evaluated the contribution of each Committee member during the year ended December 31, 2011 and was satisfied with each diector’s contribution.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Financial Officer, the Head of Internal Audit, the General Counsel and the external auditors normally attend all meetings of the Audit Committee and have direct access to the Committee Chairman at all times.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comprises Declan McKeon (Chairman), Thomas Lynch, Professor Dermot Kelleher, and Cathrin Petty. On July 18, 2011 Declan McKeon replaced Thomas Lynch as Chairman of the Audit Committee. At the Company’s Board meeting on February 13, 2012 composition of the Audit committee was amended to comprise Declan McKeon (Chairman), Thomas Lynch and Dermot Kelleher.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executive directors are determined by the committee based on the achievement of the Company’s objectives. The Committee also oversees succession planning for the Company’s senior management.</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2011, the Compensation and Organization Committee comprised Dr. Anthony Murphy (Chairman), Dr. Bruce Given and Thomas Lynch. On December 31, 2011 Dr. Anthony Murphy retired as Chairman and a member of the Compensation and Organization Committee pursuant to his retirement as an outside-director of the Company. At the Company’s Board meeting on February 13, 2012 composition of the Compensaton and Organization committee was amended to comprise Thomas Lynch (Chairman), Bruce Given and Declan McKeon.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used in 2011 an external search consultant to assist it in identifying potential new outside- directors. Once potential suitable candidates are identified either by the external search consultants or by members of the Nominating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and would add relevant skills, knowledge and experience to the Board of the Company, the Committee recommends to the Board of the Company that the potential candidate be appointed. The Board of the Company then decides whether or not to appoint the candidate. The Committee considers diversity of the Board members when making recommendations to the Board of the Company. The Committee also reviews and recommends the corporate governance principles of the Company. At the Company’s Board meeting on February 13, 2012 composition of the Nomination and Governance committee was amended to comprise Bruce Given (Chairman), Thomas Lynch and Cathrin Petty.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2011, the Nomination and Governance committee comprised Dr. Anthony Murphy (Chairman), Dr. Bruce Given and Thomas Lynch. On December 31, 2011 Dr. Anthony Murphy retired as both Chairman and as a member of the Nomination and Governance committee pursuant to his retirement as an outside-director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During 2011, the Execution Committee comprised Peter Gray (Chairman), Dr. Bruce Given and Ciaran Murray. At the Company’s Board meeting on February 13, 2012 composition of the Execution committee was amended to comprise Ciaran Murray (Chairman), Bruce Given and Brendan Brennan.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purpose of this Committee is to oversee compliance with the Company’s quality initiatives. The committee comprises Professor Dermot Kelleher (Chairman) and Dr. Ronan Lambe.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share related awards granted under the Company’s equity incentive plans. All elements of key executives compensation are determined by the Committee based on the achievement of the Group’s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Directors are remunerated by way of Directors’ fees and are also eligible for participation in the share option scheme. Outside Directors are not eligible for performance related bonuses and no pension contributions are made on their behalf. The Board of Directors as a whole, taking into account input from the Execution Committee of the Board of Directors, sets non-Executive remuneration.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range between 80% and 100% of base salary.</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executives are eligible to receive equity incentives, including stock options and restricted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in the form of share options, to executive officers in its fiscal years ended December 31, 2009, December 31, 2010 and December 31, 2011.</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executive officers are eligible to participate in a defined contribution pension plan.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2011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tcBorders>
              <w:right w:val="single" w:sz="8" w:color="auto"/>
            </w:tcBorders>
          </w:tcPr>
          <w:p>
            <w:pPr>
              <w:spacing w:after="0"/>
              <w:rPr>
                <w:sz w:val="19"/>
                <w:szCs w:val="19"/>
                <w:color w:val="auto"/>
              </w:rPr>
            </w:pPr>
          </w:p>
        </w:tc>
        <w:tc>
          <w:tcPr>
            <w:tcW w:w="18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Name &amp; principal</w:t>
            </w:r>
          </w:p>
        </w:tc>
        <w:tc>
          <w:tcPr>
            <w:tcW w:w="66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Pension</w:t>
            </w:r>
          </w:p>
        </w:tc>
        <w:tc>
          <w:tcPr>
            <w:tcW w:w="11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Share-based</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Director’s</w:t>
            </w:r>
          </w:p>
        </w:tc>
        <w:tc>
          <w:tcPr>
            <w:tcW w:w="1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41"/>
        </w:trPr>
        <w:tc>
          <w:tcPr>
            <w:tcW w:w="60" w:type="dxa"/>
            <w:vAlign w:val="bottom"/>
            <w:tcBorders>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6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Year</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Salary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Bonus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contribution</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compensation</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Peter Gray,</w:t>
            </w:r>
          </w:p>
        </w:tc>
        <w:tc>
          <w:tcPr>
            <w:tcW w:w="60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Vice Chairman of the</w:t>
            </w:r>
          </w:p>
        </w:tc>
        <w:tc>
          <w:tcPr>
            <w:tcW w:w="66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Board *</w:t>
            </w:r>
          </w:p>
        </w:tc>
        <w:tc>
          <w:tcPr>
            <w:tcW w:w="600" w:type="dxa"/>
            <w:vAlign w:val="bottom"/>
            <w:tcBorders>
              <w:right w:val="single" w:sz="8" w:color="auto"/>
            </w:tcBorders>
            <w:shd w:val="clear" w:color="auto" w:fill="CCEEFF"/>
          </w:tcPr>
          <w:p>
            <w:pPr>
              <w:spacing w:after="0"/>
              <w:rPr>
                <w:sz w:val="20"/>
                <w:szCs w:val="20"/>
                <w:color w:val="auto"/>
              </w:rPr>
            </w:pP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60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7"/>
              </w:rPr>
              <w:t>Chief Executive</w:t>
            </w:r>
          </w:p>
        </w:tc>
        <w:tc>
          <w:tcPr>
            <w:tcW w:w="6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Officer</w:t>
            </w:r>
          </w:p>
        </w:tc>
        <w:tc>
          <w:tcPr>
            <w:tcW w:w="66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2011</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2011</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991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3,444</w:t>
            </w:r>
          </w:p>
        </w:tc>
      </w:tr>
    </w:tbl>
    <w:p>
      <w:pPr>
        <w:ind w:left="680" w:hanging="22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Appointed Vice Chairman and Chief Executive Officer respectively on October 1, 2011.</w:t>
      </w:r>
    </w:p>
    <w:p>
      <w:pPr>
        <w:spacing w:after="0" w:line="9" w:lineRule="exact"/>
        <w:rPr>
          <w:sz w:val="20"/>
          <w:szCs w:val="20"/>
          <w:color w:val="auto"/>
        </w:rPr>
      </w:pPr>
    </w:p>
    <w:p>
      <w:pPr>
        <w:ind w:left="460" w:hanging="2"/>
        <w:spacing w:after="0" w:line="261"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above table does not include Brendan Brennan who assumed the role of Acting CFO on October 1, 2011 and was appointed CFO on February 13,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2010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tcBorders>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 &amp; principal</w:t>
            </w:r>
          </w:p>
        </w:tc>
        <w:tc>
          <w:tcPr>
            <w:tcW w:w="66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Pension</w:t>
            </w:r>
          </w:p>
        </w:tc>
        <w:tc>
          <w:tcPr>
            <w:tcW w:w="11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Share-based</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Director’s</w:t>
            </w:r>
          </w:p>
        </w:tc>
        <w:tc>
          <w:tcPr>
            <w:tcW w:w="1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41"/>
        </w:trPr>
        <w:tc>
          <w:tcPr>
            <w:tcW w:w="60" w:type="dxa"/>
            <w:vAlign w:val="bottom"/>
            <w:tcBorders>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Year</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Salary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Bonus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contribution</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compensation</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184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Peter Gray,</w:t>
            </w:r>
          </w:p>
        </w:tc>
        <w:tc>
          <w:tcPr>
            <w:tcW w:w="66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Chief Executive Officer</w:t>
            </w:r>
          </w:p>
        </w:tc>
        <w:tc>
          <w:tcPr>
            <w:tcW w:w="66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184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66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8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6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2,316</w:t>
            </w:r>
          </w:p>
        </w:tc>
      </w:tr>
      <w:tr>
        <w:trPr>
          <w:trHeight w:val="608"/>
        </w:trPr>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8"/>
        </w:trPr>
        <w:tc>
          <w:tcPr>
            <w:tcW w:w="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2011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tcBorders>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Company</w:t>
            </w:r>
          </w:p>
        </w:tc>
        <w:tc>
          <w:tcPr>
            <w:tcW w:w="114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Share-based</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Director’s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41"/>
        </w:trPr>
        <w:tc>
          <w:tcPr>
            <w:tcW w:w="60" w:type="dxa"/>
            <w:vAlign w:val="bottom"/>
            <w:tcBorders>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Salary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contribution</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compensation</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Compensation</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Bruce Given</w:t>
            </w:r>
          </w:p>
        </w:tc>
        <w:tc>
          <w:tcPr>
            <w:tcW w:w="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Peter Gray</w:t>
            </w:r>
          </w:p>
        </w:tc>
        <w:tc>
          <w:tcPr>
            <w:tcW w:w="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1,725</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Ciaran Murray*</w:t>
            </w:r>
          </w:p>
        </w:tc>
        <w:tc>
          <w:tcPr>
            <w:tcW w:w="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John Climax</w:t>
            </w:r>
          </w:p>
        </w:tc>
        <w:tc>
          <w:tcPr>
            <w:tcW w:w="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Ronan Lambe</w:t>
            </w:r>
          </w:p>
        </w:tc>
        <w:tc>
          <w:tcPr>
            <w:tcW w:w="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Thomas Lynch</w:t>
            </w:r>
          </w:p>
        </w:tc>
        <w:tc>
          <w:tcPr>
            <w:tcW w:w="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Dermot Kelleher</w:t>
            </w:r>
          </w:p>
        </w:tc>
        <w:tc>
          <w:tcPr>
            <w:tcW w:w="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Anthony Murphy**</w:t>
            </w:r>
          </w:p>
        </w:tc>
        <w:tc>
          <w:tcPr>
            <w:tcW w:w="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Declan McKeon</w:t>
            </w:r>
          </w:p>
        </w:tc>
        <w:tc>
          <w:tcPr>
            <w:tcW w:w="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Cathrin Petty</w:t>
            </w:r>
          </w:p>
        </w:tc>
        <w:tc>
          <w:tcPr>
            <w:tcW w:w="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2011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990</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3,210</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20" w:type="dxa"/>
            <w:vAlign w:val="bottom"/>
            <w:gridSpan w:val="5"/>
          </w:tcPr>
          <w:p>
            <w:pPr>
              <w:jc w:val="center"/>
              <w:spacing w:after="0"/>
              <w:rPr>
                <w:sz w:val="20"/>
                <w:szCs w:val="20"/>
                <w:color w:val="auto"/>
              </w:rPr>
            </w:pPr>
            <w:r>
              <w:rPr>
                <w:rFonts w:ascii="Arial" w:cs="Arial" w:eastAsia="Arial" w:hAnsi="Arial"/>
                <w:sz w:val="22"/>
                <w:szCs w:val="22"/>
                <w:color w:val="auto"/>
                <w:w w:val="91"/>
              </w:rPr>
              <w:t>*  Appointed Director of the Company October 1, 2011</w:t>
            </w:r>
          </w:p>
        </w:tc>
        <w:tc>
          <w:tcPr>
            <w:tcW w:w="2360" w:type="dxa"/>
            <w:vAlign w:val="bottom"/>
            <w:gridSpan w:val="3"/>
          </w:tcPr>
          <w:p>
            <w:pPr>
              <w:ind w:left="100"/>
              <w:spacing w:after="0"/>
              <w:rPr>
                <w:sz w:val="20"/>
                <w:szCs w:val="20"/>
                <w:color w:val="auto"/>
              </w:rPr>
            </w:pPr>
            <w:r>
              <w:rPr>
                <w:rFonts w:ascii="Arial" w:cs="Arial" w:eastAsia="Arial" w:hAnsi="Arial"/>
                <w:sz w:val="18"/>
                <w:szCs w:val="18"/>
                <w:color w:val="auto"/>
                <w:w w:val="93"/>
              </w:rPr>
              <w:t>** Retired December 31, 2011</w:t>
            </w:r>
          </w:p>
        </w:tc>
        <w:tc>
          <w:tcPr>
            <w:tcW w:w="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49"/>
        </w:trPr>
        <w:tc>
          <w:tcPr>
            <w:tcW w:w="4920" w:type="dxa"/>
            <w:vAlign w:val="bottom"/>
            <w:gridSpan w:val="5"/>
          </w:tcPr>
          <w:p>
            <w:pPr>
              <w:jc w:val="right"/>
              <w:ind w:right="190"/>
              <w:spacing w:after="0"/>
              <w:rPr>
                <w:sz w:val="20"/>
                <w:szCs w:val="20"/>
                <w:color w:val="auto"/>
              </w:rPr>
            </w:pPr>
            <w:r>
              <w:rPr>
                <w:rFonts w:ascii="Arial" w:cs="Arial" w:eastAsia="Arial" w:hAnsi="Arial"/>
                <w:sz w:val="18"/>
                <w:szCs w:val="18"/>
                <w:b w:val="1"/>
                <w:bCs w:val="1"/>
                <w:i w:val="1"/>
                <w:iCs w:val="1"/>
                <w:color w:val="auto"/>
                <w:w w:val="86"/>
              </w:rPr>
              <w:t>Summary compensation table - Year ended December 31, 2010</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198"/>
        </w:trPr>
        <w:tc>
          <w:tcPr>
            <w:tcW w:w="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Company</w:t>
            </w:r>
          </w:p>
        </w:tc>
        <w:tc>
          <w:tcPr>
            <w:tcW w:w="11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10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Share-based</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Director’s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41"/>
        </w:trPr>
        <w:tc>
          <w:tcPr>
            <w:tcW w:w="60" w:type="dxa"/>
            <w:vAlign w:val="bottom"/>
            <w:tcBorders>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Salary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compensation</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Subtotal</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compensation</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Bruce Given</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Peter Gray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John Climax</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Ronan Lambe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Lynch</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Edward Roberts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Dermot Kelleher</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Anthony Murphy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Declan McKeon</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Cathrin Petty</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2,368</w:t>
            </w:r>
          </w:p>
        </w:tc>
      </w:tr>
      <w:tr>
        <w:trPr>
          <w:trHeight w:val="608"/>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8"/>
        </w:trPr>
        <w:tc>
          <w:tcPr>
            <w:tcW w:w="6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termination or change of control agreements with its named executive officers other than as set out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Bruce Given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Bruce Given is currently Chairman of the Board of the Company, a position he has held since January 2010. He has served as an outside director of the Company since September 2004. The arrangements with Dr. Given provide for the payment to him of annual fees of $316,932 per annum plus reasonable expenses properly incurred in carrying out his duties for the Company. He was previously granted and held at March 2, 2012 24,000 ordinary share options at exercise prices ranging from $8.60 to $35.33.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Mr. Peter Gray is currently Vice Chairman of the Company, a position he has held since October 2011. He has served as an Executive Director of the Company since June 1997. He previously served as Chief Executive Officer of the Company from November 2002 to September 2011 and Chief Operating Officer from June 2001 to November 2002. In September 2011 Mr. Gray retired as CEO of the Company in accordance with the terms of his service agreement which is terminable on 12 months notice by either party. Under the terms of his service agreement Mr. Gray is entitled to receive an annual salary of €535,500 ($695,000) and a bonus to be agreed by the Compensation and Organization Committee. Mr. Gray’s notice period expires on September, 30 2012 and his service agreement continues to apply during the notice period. He is also entitled to receive a pension contribution, company car and medical insurance coverage for himself and his dependants. He was previously granted and held at March 2, 2012 288,000 ordinary share options at exercise prices ranging from $11.00 to $35.33 per share and 100,000 Restricted Share Units which vest on March 3, 2014, the third anniversary of date of award and therefore are not expected to vest. His service agreement requires him to devote his full time and attention to his duties for the Company excepting certain outside director positions authorized by the Board. The Board has authorized Mr. Gray to serve as an outside director of and Audit Committee Chairman of United Drug plc and an outside director of Danica Life Limited. During the year ended December 31, 2011 he was paid and retained fees of €67,000 ($93,525) by United Drug plc and €33,075 ($46,170) by Danica Life Limited. The agreement with Mr. Gray includes certain post termination clauses including non-disclosure, non-competition and non-solicitation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Mr. Ciaran Murray is currently Chief Executive Officer of the Company, a position he has held since October 2011. He has served as an Executive Director of the Company since October 2011. He previously served as Chief Financial Officer of the Company from October 2005 until October 2011. The service agreement with Mr. Murray is terminable on 12 months notice by either party. Under the terms of this agreement Mr. Murray is entitled to receive an annual salary of €535,500 ($695,000) and a bonus to be agreed by the Compensation and Organization Committee. He is also entitled to receive a pension contribution, a company car and medical insurance coverage for himself and his dependants. He was previously granted and held at March 2, 2012 295,000 ordinary share options at exercise prices ranging from $10.42 to $35.33 per share and 150,000 Restricted Share Units, 100,000 of which vest on October 1, 2014, the third anniversary of date of award and 50,000 on February 10, 2016, the fifth anniversary of date of award. His service agreement requires him to devote his full time and attention to his duties for the Company excepting certain outside director positions authorized by the Board. The agreement with Mr. Murray includes termination and change of control provisions and also includes certain post-termination clauses including non-disclosure, non-competition and non-solicitation provisions.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$48,000 per annum plus reasonable expenses properly incurred in carrying out his duties for the Company. He was previously granted and held at March 2, 2012 88,000 ordinary share options at exercise prices ranging from $11.00 to $35.33 per share.</w:t>
      </w:r>
    </w:p>
    <w:p>
      <w:pPr>
        <w:spacing w:after="0" w:line="21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Following John Climax’s retirement as Chairman in December 2009, the Company entered a three year agreement with Rotrua Limited, a company controlled by Dr. Climax, for the provision of consultancy services at an agreed fee of €262,500 ($340,226) per annum. Pursuant to the consultancy agreement, Dr. Climax also agreed to certain restrictions that will apply to him after the termination of the consultancy agreement including non-disclosure, non-competition and non-solicitation. The consultancy agreement provides that the Company will provide, during the term of the agreement, permanent disability and life insurance coverage for Dr. Climax and medical insurance coverage for himself and his dependants.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$53,000 per annum plus reasonable expenses properly incurred in carrying out his duties for the Company. He was previously granted and held at March 2, 2012 18,000 ordinary share options at exercise prices ranging from $8.60 to $35.33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Thomas Lynch has served as an outside director of the Company since January 1996. The arrangements with Mr. Lynch provide for the payment to him of director fees of $63,000 (pre July 18, 2011: $78,000 per annum and his fees decreased in July 2011 as he retired as Chairman of the Audit Committee) per annum plus reasonable expenses properly incurred in carrying out his duties for the Company. He was previously granted and held at March 2, 2012 20,000 ordinary share options at exercise prices ranging from $8.60 to $35.33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$73,000 per annum. He was previously granted and held at March 2, 2012 12,000 ordinary share options at an exercise price ranging from $20.28 to $36.04.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Declan McKeon has served as an outside director of the Company since April 2010. The arrangements with Mr. McKeon provide for the payment to him of directors fees of $68,000 per annum (pre July 18, 2011: $53,000 per annum and his fees increased in July 2011 as he was appointed Chairman of the Audit Committee). He was previously granted and held at March 2, 2012 5,000 ordinary share options at exercise prices ranging from $20.28 to $29.45.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Cathrin Petty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Cathrin Petty has served as an outside director of the Company since October 2010. The arrangements with Ms. Petty provide for the payment to her of directors fees of $58,000 per annum. She was previously granted and held at March 2, 2012 5,000 ordinary share options at exercise prices ranging from $19.45 to $20.28.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Anthony Murphy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Dr. Anthony Murphy served as an outside director of the Company from April 2009 to December 2011. The arrangements with Dr. Murphy provided for the payment to him of directors fees of $78,000 per annum. He was previously granted and held at March 2, 2012 7,000 ordinary share options at exercise prices ranging from $15.84 to $24.46.</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employed 8,470, 7,735 and 7,170 people for the years ended December 31, 2011, December 31, 2010 and December 31, 2009 respectively. Our employees are not unionized and we believe we have a satisfactory relationship with our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Restricted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March 2, 2012 regarding beneficial ownership of our ordinary shares (including American Depository Securities, ADS’s) and restricted share units (“RSU’s”)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2340" w:type="dxa"/>
            <w:vAlign w:val="bottom"/>
          </w:tcPr>
          <w:p>
            <w:pPr>
              <w:jc w:val="right"/>
              <w:ind w:right="190"/>
              <w:spacing w:after="0"/>
              <w:rPr>
                <w:sz w:val="20"/>
                <w:szCs w:val="20"/>
                <w:color w:val="auto"/>
              </w:rPr>
            </w:pPr>
            <w:r>
              <w:rPr>
                <w:rFonts w:ascii="Arial" w:cs="Arial" w:eastAsia="Arial" w:hAnsi="Arial"/>
                <w:sz w:val="18"/>
                <w:szCs w:val="18"/>
                <w:b w:val="1"/>
                <w:bCs w:val="1"/>
                <w:color w:val="auto"/>
              </w:rPr>
              <w:t>No. of Shares</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 of total</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No. of</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2340" w:type="dxa"/>
            <w:vAlign w:val="bottom"/>
          </w:tcPr>
          <w:p>
            <w:pPr>
              <w:jc w:val="right"/>
              <w:ind w:right="190"/>
              <w:spacing w:after="0"/>
              <w:rPr>
                <w:sz w:val="20"/>
                <w:szCs w:val="20"/>
                <w:color w:val="auto"/>
              </w:rPr>
            </w:pPr>
            <w:r>
              <w:rPr>
                <w:rFonts w:ascii="Arial" w:cs="Arial" w:eastAsia="Arial" w:hAnsi="Arial"/>
                <w:sz w:val="18"/>
                <w:szCs w:val="18"/>
                <w:b w:val="1"/>
                <w:bCs w:val="1"/>
                <w:color w:val="auto"/>
              </w:rPr>
              <w:t>(1)</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RSU’s (2)</w:t>
            </w: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Vesting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Mr. Peter Gray</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300,080</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3580" w:type="dxa"/>
            <w:vAlign w:val="bottom"/>
          </w:tcPr>
          <w:p>
            <w:pPr>
              <w:ind w:left="6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10,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20" w:type="dxa"/>
            <w:vAlign w:val="bottom"/>
            <w:gridSpan w:val="2"/>
          </w:tcPr>
          <w:p>
            <w:pPr>
              <w:ind w:left="400"/>
              <w:spacing w:after="0"/>
              <w:rPr>
                <w:sz w:val="20"/>
                <w:szCs w:val="20"/>
                <w:color w:val="auto"/>
              </w:rPr>
            </w:pPr>
            <w:r>
              <w:rPr>
                <w:rFonts w:ascii="Arial" w:cs="Arial" w:eastAsia="Arial" w:hAnsi="Arial"/>
                <w:sz w:val="18"/>
                <w:szCs w:val="18"/>
                <w:color w:val="auto"/>
              </w:rPr>
              <w:t>100,000 October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1,607,568</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Dr. Ronan Lambe</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400</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1,204</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Professor Dermot Kelleher</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Mr. Declan McKeon</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Ms. Cathrin Petty</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460" w:hanging="452"/>
        <w:spacing w:after="0" w:line="28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192"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On September 30, 2011 Mr. Peter Gray retired as CEO of the Company </w:t>
      </w:r>
      <w:r>
        <w:rPr>
          <w:rFonts w:ascii="Arial" w:cs="Arial" w:eastAsia="Arial" w:hAnsi="Arial"/>
          <w:sz w:val="18"/>
          <w:szCs w:val="18"/>
          <w:i w:val="1"/>
          <w:iCs w:val="1"/>
          <w:color w:val="auto"/>
        </w:rPr>
        <w:t>(See Directors’ and Executive Officers’ service agreements and letters of</w:t>
      </w:r>
      <w:r>
        <w:rPr>
          <w:rFonts w:ascii="Arial" w:cs="Arial" w:eastAsia="Arial" w:hAnsi="Arial"/>
          <w:sz w:val="18"/>
          <w:szCs w:val="18"/>
          <w:color w:val="auto"/>
        </w:rPr>
        <w:t xml:space="preserve"> </w:t>
      </w:r>
      <w:r>
        <w:rPr>
          <w:rFonts w:ascii="Arial" w:cs="Arial" w:eastAsia="Arial" w:hAnsi="Arial"/>
          <w:sz w:val="18"/>
          <w:szCs w:val="18"/>
          <w:i w:val="1"/>
          <w:iCs w:val="1"/>
          <w:color w:val="auto"/>
        </w:rPr>
        <w:t>engagement on page 46 for further information)</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as of March 2, 2012 regarding options to acquire ordinary shares of the Company by all of our current directors and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2840" w:type="dxa"/>
            <w:vAlign w:val="bottom"/>
          </w:tcPr>
          <w:p>
            <w:pPr>
              <w:jc w:val="right"/>
              <w:ind w:right="110"/>
              <w:spacing w:after="0"/>
              <w:rPr>
                <w:sz w:val="20"/>
                <w:szCs w:val="20"/>
                <w:color w:val="auto"/>
              </w:rPr>
            </w:pPr>
            <w:r>
              <w:rPr>
                <w:rFonts w:ascii="Arial" w:cs="Arial" w:eastAsia="Arial" w:hAnsi="Arial"/>
                <w:sz w:val="18"/>
                <w:szCs w:val="18"/>
                <w:b w:val="1"/>
                <w:bCs w:val="1"/>
                <w:color w:val="auto"/>
              </w:rPr>
              <w:t>No. of Options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2840" w:type="dxa"/>
            <w:vAlign w:val="bottom"/>
          </w:tcPr>
          <w:p>
            <w:pPr>
              <w:jc w:val="right"/>
              <w:ind w:right="110"/>
              <w:spacing w:after="0"/>
              <w:rPr>
                <w:sz w:val="20"/>
                <w:szCs w:val="20"/>
                <w:color w:val="auto"/>
              </w:rPr>
            </w:pPr>
            <w:r>
              <w:rPr>
                <w:rFonts w:ascii="Arial" w:cs="Arial" w:eastAsia="Arial" w:hAnsi="Arial"/>
                <w:sz w:val="18"/>
                <w:szCs w:val="18"/>
                <w:b w:val="1"/>
                <w:bCs w:val="1"/>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Exercise price</w:t>
            </w:r>
          </w:p>
        </w:tc>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40" w:type="dxa"/>
            <w:vAlign w:val="bottom"/>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4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40" w:type="dxa"/>
            <w:vAlign w:val="bottom"/>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tcPr>
          <w:p>
            <w:pPr>
              <w:ind w:left="4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2600" w:type="dxa"/>
            <w:vAlign w:val="bottom"/>
          </w:tcPr>
          <w:p>
            <w:pPr>
              <w:jc w:val="right"/>
              <w:ind w:right="110"/>
              <w:spacing w:after="0"/>
              <w:rPr>
                <w:sz w:val="20"/>
                <w:szCs w:val="20"/>
                <w:color w:val="auto"/>
              </w:rPr>
            </w:pPr>
            <w:r>
              <w:rPr>
                <w:rFonts w:ascii="Arial" w:cs="Arial" w:eastAsia="Arial" w:hAnsi="Arial"/>
                <w:sz w:val="18"/>
                <w:szCs w:val="18"/>
                <w:b w:val="1"/>
                <w:bCs w:val="1"/>
                <w:color w:val="auto"/>
              </w:rPr>
              <w:t>No. of Options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2600" w:type="dxa"/>
            <w:vAlign w:val="bottom"/>
          </w:tcPr>
          <w:p>
            <w:pPr>
              <w:jc w:val="right"/>
              <w:ind w:right="110"/>
              <w:spacing w:after="0"/>
              <w:rPr>
                <w:sz w:val="20"/>
                <w:szCs w:val="20"/>
                <w:color w:val="auto"/>
              </w:rPr>
            </w:pPr>
            <w:r>
              <w:rPr>
                <w:rFonts w:ascii="Arial" w:cs="Arial" w:eastAsia="Arial" w:hAnsi="Arial"/>
                <w:sz w:val="18"/>
                <w:szCs w:val="18"/>
                <w:b w:val="1"/>
                <w:bCs w:val="1"/>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Exercise price</w:t>
            </w:r>
          </w:p>
        </w:tc>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Mr. Peter Gray</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50,000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c>
          <w:tcPr>
            <w:tcW w:w="4380" w:type="dxa"/>
            <w:vAlign w:val="bottom"/>
          </w:tcPr>
          <w:p>
            <w:pPr>
              <w:ind w:left="40"/>
              <w:spacing w:after="0"/>
              <w:rPr>
                <w:sz w:val="20"/>
                <w:szCs w:val="20"/>
                <w:color w:val="auto"/>
              </w:rPr>
            </w:pPr>
            <w:r>
              <w:rPr>
                <w:rFonts w:ascii="Arial" w:cs="Arial" w:eastAsia="Arial" w:hAnsi="Arial"/>
                <w:sz w:val="18"/>
                <w:szCs w:val="18"/>
                <w:color w:val="auto"/>
              </w:rPr>
              <w:t>April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100,000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24.25</w:t>
            </w:r>
          </w:p>
        </w:tc>
        <w:tc>
          <w:tcPr>
            <w:tcW w:w="4380" w:type="dxa"/>
            <w:vAlign w:val="bottom"/>
          </w:tcPr>
          <w:p>
            <w:pPr>
              <w:ind w:left="40"/>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432"/>
        </w:trPr>
        <w:tc>
          <w:tcPr>
            <w:tcW w:w="3220" w:type="dxa"/>
            <w:vAlign w:val="bottom"/>
            <w:gridSpan w:val="2"/>
          </w:tcPr>
          <w:p>
            <w:pPr>
              <w:spacing w:after="0"/>
              <w:rPr>
                <w:sz w:val="20"/>
                <w:szCs w:val="20"/>
                <w:color w:val="auto"/>
              </w:rPr>
            </w:pPr>
            <w:r>
              <w:rPr>
                <w:rFonts w:ascii="Arial" w:cs="Arial" w:eastAsia="Arial" w:hAnsi="Arial"/>
                <w:sz w:val="18"/>
                <w:szCs w:val="18"/>
                <w:color w:val="auto"/>
              </w:rPr>
              <w:t>Mr. Ciaran Murray</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10.42</w:t>
            </w:r>
          </w:p>
        </w:tc>
        <w:tc>
          <w:tcPr>
            <w:tcW w:w="4380" w:type="dxa"/>
            <w:vAlign w:val="bottom"/>
          </w:tcPr>
          <w:p>
            <w:pPr>
              <w:ind w:left="4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16,000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17,000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30,000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50,000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c>
          <w:tcPr>
            <w:tcW w:w="4380" w:type="dxa"/>
            <w:vAlign w:val="bottom"/>
          </w:tcPr>
          <w:p>
            <w:pPr>
              <w:ind w:left="40"/>
              <w:spacing w:after="0"/>
              <w:rPr>
                <w:sz w:val="20"/>
                <w:szCs w:val="20"/>
                <w:color w:val="auto"/>
              </w:rPr>
            </w:pPr>
            <w:r>
              <w:rPr>
                <w:rFonts w:ascii="Arial" w:cs="Arial" w:eastAsia="Arial" w:hAnsi="Arial"/>
                <w:sz w:val="18"/>
                <w:szCs w:val="18"/>
                <w:color w:val="auto"/>
              </w:rPr>
              <w:t>April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Dr. Ronan Lambe</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Mr. Thomas Lynch</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2,400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8.88</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3,200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35.33</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tcPr>
          <w:p>
            <w:pPr>
              <w:ind w:left="4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27,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22.26</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Mr. Declan McKeon</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3,000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29.45</w:t>
            </w:r>
          </w:p>
        </w:tc>
        <w:tc>
          <w:tcPr>
            <w:tcW w:w="4380" w:type="dxa"/>
            <w:vAlign w:val="bottom"/>
          </w:tcPr>
          <w:p>
            <w:pPr>
              <w:ind w:left="40"/>
              <w:spacing w:after="0"/>
              <w:rPr>
                <w:sz w:val="20"/>
                <w:szCs w:val="20"/>
                <w:color w:val="auto"/>
              </w:rPr>
            </w:pPr>
            <w:r>
              <w:rPr>
                <w:rFonts w:ascii="Arial" w:cs="Arial" w:eastAsia="Arial" w:hAnsi="Arial"/>
                <w:sz w:val="18"/>
                <w:szCs w:val="18"/>
                <w:color w:val="auto"/>
              </w:rPr>
              <w:t>April 29,2018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2760" w:type="dxa"/>
            <w:vAlign w:val="bottom"/>
          </w:tcPr>
          <w:p>
            <w:pPr>
              <w:jc w:val="right"/>
              <w:ind w:right="30"/>
              <w:spacing w:after="0"/>
              <w:rPr>
                <w:sz w:val="20"/>
                <w:szCs w:val="20"/>
                <w:color w:val="auto"/>
              </w:rPr>
            </w:pPr>
            <w:r>
              <w:rPr>
                <w:rFonts w:ascii="Arial" w:cs="Arial" w:eastAsia="Arial" w:hAnsi="Arial"/>
                <w:sz w:val="18"/>
                <w:szCs w:val="18"/>
                <w:b w:val="1"/>
                <w:bCs w:val="1"/>
                <w:color w:val="auto"/>
              </w:rPr>
              <w:t>No. of Options</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27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Exercise price</w:t>
            </w:r>
          </w:p>
        </w:tc>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Ms. Cathrin Petty</w:t>
            </w:r>
          </w:p>
        </w:tc>
        <w:tc>
          <w:tcPr>
            <w:tcW w:w="2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26,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20.28</w:t>
            </w:r>
          </w:p>
        </w:tc>
        <w:tc>
          <w:tcPr>
            <w:tcW w:w="4380" w:type="dxa"/>
            <w:vAlign w:val="bottom"/>
          </w:tcPr>
          <w:p>
            <w:pPr>
              <w:ind w:left="4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securities covered by all of the above options are non-revenue qualified.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Share Option Schemes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2011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(including ADSs) as of March 2, 2012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4060" w:type="dxa"/>
            <w:vAlign w:val="bottom"/>
          </w:tcPr>
          <w:p>
            <w:pPr>
              <w:jc w:val="right"/>
              <w:ind w:right="130"/>
              <w:spacing w:after="0"/>
              <w:rPr>
                <w:sz w:val="20"/>
                <w:szCs w:val="20"/>
                <w:color w:val="auto"/>
              </w:rPr>
            </w:pPr>
            <w:r>
              <w:rPr>
                <w:rFonts w:ascii="Arial" w:cs="Arial" w:eastAsia="Arial" w:hAnsi="Arial"/>
                <w:sz w:val="18"/>
                <w:szCs w:val="18"/>
                <w:b w:val="1"/>
                <w:bCs w:val="1"/>
                <w:color w:val="auto"/>
              </w:rPr>
              <w:t>No. of Shares (1)</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Percent of Class</w:t>
            </w:r>
          </w:p>
        </w:tc>
      </w:tr>
      <w:tr>
        <w:trPr>
          <w:trHeight w:val="216"/>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Artisan Partners Limited Partnership</w:t>
            </w:r>
          </w:p>
        </w:tc>
        <w:tc>
          <w:tcPr>
            <w:tcW w:w="4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7,034,020</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Neuberger Berman, LLC (2)</w:t>
            </w:r>
          </w:p>
        </w:tc>
        <w:tc>
          <w:tcPr>
            <w:tcW w:w="4060" w:type="dxa"/>
            <w:vAlign w:val="bottom"/>
          </w:tcPr>
          <w:p>
            <w:pPr>
              <w:jc w:val="right"/>
              <w:ind w:right="150"/>
              <w:spacing w:after="0"/>
              <w:rPr>
                <w:sz w:val="20"/>
                <w:szCs w:val="20"/>
                <w:color w:val="auto"/>
              </w:rPr>
            </w:pPr>
            <w:r>
              <w:rPr>
                <w:rFonts w:ascii="Arial" w:cs="Arial" w:eastAsia="Arial" w:hAnsi="Arial"/>
                <w:sz w:val="18"/>
                <w:szCs w:val="18"/>
                <w:color w:val="auto"/>
              </w:rPr>
              <w:t>4,924,701</w:t>
            </w: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Fidelity Group Companies (2)</w:t>
            </w:r>
          </w:p>
        </w:tc>
        <w:tc>
          <w:tcPr>
            <w:tcW w:w="4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4,279,501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Wellington Management Company, LLP (2)</w:t>
            </w:r>
          </w:p>
        </w:tc>
        <w:tc>
          <w:tcPr>
            <w:tcW w:w="4060" w:type="dxa"/>
            <w:vAlign w:val="bottom"/>
          </w:tcPr>
          <w:p>
            <w:pPr>
              <w:jc w:val="right"/>
              <w:ind w:right="150"/>
              <w:spacing w:after="0"/>
              <w:rPr>
                <w:sz w:val="20"/>
                <w:szCs w:val="20"/>
                <w:color w:val="auto"/>
              </w:rPr>
            </w:pPr>
            <w:r>
              <w:rPr>
                <w:rFonts w:ascii="Arial" w:cs="Arial" w:eastAsia="Arial" w:hAnsi="Arial"/>
                <w:sz w:val="18"/>
                <w:szCs w:val="18"/>
                <w:color w:val="auto"/>
              </w:rPr>
              <w:t>3,707,566</w:t>
            </w: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EARNEST Partners, LLC</w:t>
            </w:r>
          </w:p>
        </w:tc>
        <w:tc>
          <w:tcPr>
            <w:tcW w:w="4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3,539,476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Wasatch Advisors, Inc. (2)</w:t>
            </w:r>
          </w:p>
        </w:tc>
        <w:tc>
          <w:tcPr>
            <w:tcW w:w="4060" w:type="dxa"/>
            <w:vAlign w:val="bottom"/>
          </w:tcPr>
          <w:p>
            <w:pPr>
              <w:jc w:val="right"/>
              <w:ind w:right="150"/>
              <w:spacing w:after="0"/>
              <w:rPr>
                <w:sz w:val="20"/>
                <w:szCs w:val="20"/>
                <w:color w:val="auto"/>
              </w:rPr>
            </w:pPr>
            <w:r>
              <w:rPr>
                <w:rFonts w:ascii="Arial" w:cs="Arial" w:eastAsia="Arial" w:hAnsi="Arial"/>
                <w:sz w:val="18"/>
                <w:szCs w:val="18"/>
                <w:color w:val="auto"/>
              </w:rPr>
              <w:t>3,531,918</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officers as a group (3)</w:t>
            </w:r>
          </w:p>
        </w:tc>
        <w:tc>
          <w:tcPr>
            <w:tcW w:w="4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2,965,852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left="580" w:hanging="572"/>
        <w:spacing w:after="0" w:line="286"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65" w:lineRule="exact"/>
        <w:rPr>
          <w:rFonts w:ascii="Arial" w:cs="Arial" w:eastAsia="Arial" w:hAnsi="Arial"/>
          <w:sz w:val="17"/>
          <w:szCs w:val="17"/>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806,100 ordinary shares issuable upon the exercise of stock options granted by the Company and 250,000 RSUs awarded by the Company to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that certain of the ordinary shares and American Depositary Shares (“ADRs”) are held by brokers or other nominees, the number of holders of record or registered holders in the United States is not representative of the number of beneficial holders or of the residence of beneficial holders. Based on management’s review of relevant filings with the Securities and Exchange Commission and other publicly available information, the Company believes that the number of ordinary shares (including ADSs) held by holders of record that are residents of the United States is below 50% and may include Artisan Partners Limited Partnership, Neurberger Berman LLC, Fidelity Group Companies, Wellington Management Company, LLP, EARNEST Partners, LLC and Wasatch Advisors,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31, 2009, Dr. John Climax retired as Chairman of the Board of the Company. From January 2010 he has held the position as an outside director of the Company. The Company has entered into a three year agreement with Rotrua Limited, a company controlled by Dr. Climax, for the provision of consultancy services at an agreed fee of €262,500 ($348,968) per annum. The consultancy agreement provides that the Company will provide during the term of the agreement permanent disability and life insurance coverage for Dr. Climax and medical insurance cover for himself and his dependants.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ICON’s ADSs are traded on the NASDAQ National Market under the symbol “ICLR”. Our Depository for the ADSs is The Bank of New York Mellon. ICON also has a secondary listing on the Official List of the Irish Stock Exchange. No securities of ICON are traded in any other market. The following table sets forth the trading price for the dates indicated for ICON plc’s ADSs as reported by NASDAQ.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High Sales Price</w:t>
            </w:r>
          </w:p>
        </w:tc>
        <w:tc>
          <w:tcPr>
            <w:tcW w:w="2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Low Sales Price</w:t>
            </w:r>
          </w:p>
        </w:tc>
      </w:tr>
      <w:tr>
        <w:trPr>
          <w:trHeight w:val="24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Year Ending</w:t>
            </w:r>
          </w:p>
        </w:tc>
        <w:tc>
          <w:tcPr>
            <w:tcW w:w="47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During Period</w:t>
            </w:r>
          </w:p>
        </w:tc>
        <w:tc>
          <w:tcPr>
            <w:tcW w:w="2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4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December 31, 2008</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44.78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15.64</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December 31, 2010</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18.93</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r>
      <w:tr>
        <w:trPr>
          <w:trHeight w:val="198"/>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4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3"/>
              </w:rPr>
              <w:t>High Sales Price</w:t>
            </w:r>
          </w:p>
        </w:tc>
        <w:tc>
          <w:tcPr>
            <w:tcW w:w="280" w:type="dxa"/>
            <w:vAlign w:val="bottom"/>
          </w:tcPr>
          <w:p>
            <w:pPr>
              <w:spacing w:after="0"/>
              <w:rPr>
                <w:sz w:val="17"/>
                <w:szCs w:val="17"/>
                <w:color w:val="auto"/>
              </w:rPr>
            </w:pPr>
          </w:p>
        </w:tc>
        <w:tc>
          <w:tcPr>
            <w:tcW w:w="14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3"/>
              </w:rPr>
              <w:t>Low Sales Price</w:t>
            </w:r>
          </w:p>
        </w:tc>
      </w:tr>
      <w:tr>
        <w:trPr>
          <w:trHeight w:val="24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Quarter Ending</w:t>
            </w:r>
          </w:p>
        </w:tc>
        <w:tc>
          <w:tcPr>
            <w:tcW w:w="47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During Period</w:t>
            </w:r>
          </w:p>
        </w:tc>
        <w:tc>
          <w:tcPr>
            <w:tcW w:w="2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 31, 2010</w:t>
            </w:r>
          </w:p>
        </w:tc>
        <w:tc>
          <w:tcPr>
            <w:tcW w:w="4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27.56</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June 30, 2010</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25.29</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 30, 2010</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 31, 2010</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22.28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18.93</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Mar 31, 2011</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June 30, 2011</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21.03</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 30, 2011</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r>
      <w:tr>
        <w:trPr>
          <w:trHeight w:val="198"/>
        </w:trPr>
        <w:tc>
          <w:tcPr>
            <w:tcW w:w="20" w:type="dxa"/>
            <w:vAlign w:val="bottom"/>
          </w:tcPr>
          <w:p>
            <w:pPr>
              <w:spacing w:after="0"/>
              <w:rPr>
                <w:sz w:val="17"/>
                <w:szCs w:val="17"/>
                <w:color w:val="auto"/>
              </w:rPr>
            </w:pPr>
          </w:p>
        </w:tc>
        <w:tc>
          <w:tcPr>
            <w:tcW w:w="3500" w:type="dxa"/>
            <w:vAlign w:val="bottom"/>
          </w:tcPr>
          <w:p>
            <w:pPr>
              <w:spacing w:after="0" w:line="198" w:lineRule="exact"/>
              <w:rPr>
                <w:sz w:val="20"/>
                <w:szCs w:val="20"/>
                <w:color w:val="auto"/>
              </w:rPr>
            </w:pPr>
            <w:r>
              <w:rPr>
                <w:rFonts w:ascii="Arial" w:cs="Arial" w:eastAsia="Arial" w:hAnsi="Arial"/>
                <w:sz w:val="18"/>
                <w:szCs w:val="18"/>
                <w:color w:val="auto"/>
              </w:rPr>
              <w:t>Dec 31, 2011</w:t>
            </w:r>
          </w:p>
        </w:tc>
        <w:tc>
          <w:tcPr>
            <w:tcW w:w="476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line="198" w:lineRule="exact"/>
              <w:rPr>
                <w:sz w:val="20"/>
                <w:szCs w:val="20"/>
                <w:color w:val="auto"/>
              </w:rPr>
            </w:pPr>
            <w:r>
              <w:rPr>
                <w:rFonts w:ascii="Arial" w:cs="Arial" w:eastAsia="Arial" w:hAnsi="Arial"/>
                <w:sz w:val="18"/>
                <w:szCs w:val="18"/>
                <w:color w:val="auto"/>
              </w:rPr>
              <w:t>18.28</w:t>
            </w:r>
          </w:p>
        </w:tc>
        <w:tc>
          <w:tcPr>
            <w:tcW w:w="280" w:type="dxa"/>
            <w:vAlign w:val="bottom"/>
          </w:tcPr>
          <w:p>
            <w:pPr>
              <w:jc w:val="right"/>
              <w:ind w:right="10"/>
              <w:spacing w:after="0" w:line="198"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line="198" w:lineRule="exact"/>
              <w:rPr>
                <w:sz w:val="20"/>
                <w:szCs w:val="20"/>
                <w:color w:val="auto"/>
              </w:rPr>
            </w:pPr>
            <w:r>
              <w:rPr>
                <w:rFonts w:ascii="Arial" w:cs="Arial" w:eastAsia="Arial" w:hAnsi="Arial"/>
                <w:sz w:val="18"/>
                <w:szCs w:val="18"/>
                <w:color w:val="auto"/>
              </w:rPr>
              <w:t>15.03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High Sales Price</w:t>
            </w:r>
          </w:p>
        </w:tc>
        <w:tc>
          <w:tcPr>
            <w:tcW w:w="2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Low Sales Price</w:t>
            </w:r>
          </w:p>
        </w:tc>
      </w:tr>
      <w:tr>
        <w:trPr>
          <w:trHeight w:val="24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Month Ending</w:t>
            </w:r>
          </w:p>
        </w:tc>
        <w:tc>
          <w:tcPr>
            <w:tcW w:w="47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During Period</w:t>
            </w:r>
          </w:p>
        </w:tc>
        <w:tc>
          <w:tcPr>
            <w:tcW w:w="2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31, 2011</w:t>
            </w:r>
          </w:p>
        </w:tc>
        <w:tc>
          <w:tcPr>
            <w:tcW w:w="4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Aug 31, 2011</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18.53</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 30, 2011</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Oct 31, 2011</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15.03</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Nov 30, 2011</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 31, 2011</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17.34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15.57</w:t>
            </w:r>
          </w:p>
        </w:tc>
      </w:tr>
      <w:tr>
        <w:trPr>
          <w:trHeight w:val="59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760" w:type="dxa"/>
            <w:vAlign w:val="bottom"/>
          </w:tcPr>
          <w:p>
            <w:pPr>
              <w:jc w:val="right"/>
              <w:ind w:right="2390"/>
              <w:spacing w:after="0"/>
              <w:rPr>
                <w:sz w:val="20"/>
                <w:szCs w:val="20"/>
                <w:color w:val="auto"/>
              </w:rPr>
            </w:pPr>
            <w:r>
              <w:rPr>
                <w:rFonts w:ascii="Arial" w:cs="Arial" w:eastAsia="Arial" w:hAnsi="Arial"/>
                <w:sz w:val="18"/>
                <w:szCs w:val="18"/>
                <w:color w:val="auto"/>
              </w:rPr>
              <w:t>52</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incorporate by reference the description of our Memorandum and Articles of Association located under the heading “Description of the Memorandum and Articles of Association of the Company” in exhibit 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and certain associated persons, Zimbabwe, the Islamic Republic of Iran, the Democratic Peoples Republic of Korea, the Republic of Lebanon, the Taliban of Afghanistan, certain persons connected with the deceased Osama bin Laden and Al-Qaeda, Liberia, Burma/Myanmar, Uzbekistan, Sudan, Somalia, Cote D’Ivoire, the Democratic Republic of Congo, President Lukashenko and certain other officials of Belarus, and countries that harbor certain terrorist groups, without the prior permission of the Central Bank of Ireland.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Sierra Leone, Sudan, Cote D’Ivoire, Democratic Republic of Congo, Liberia, individuals designated by the international independent investigation Commission or the Government of Lebanon, Democratic Peoples Republic of Korea, the Islamic Republic of Iran, Iraq, the Taliban of Afghanistan and Al-Qaeda. There are no restrictions under the Company’s Articles of Association or under Irish Law that limit the right of non-residents or foreign owners to hold or vote the Company’s ordinary shares or ADSs.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REFERENCES TO THE ORDINARY SHARES SHALL INCLUDE ADSs REPRESENTING SUCH ORDINARY SHARES AND ADRs EVIDENCING OWNERSHIP OF SUCH ADSs.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Irish tax purposes, the residence of a company is generally in the jurisdiction where the place of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exemption from Irish corporation tax, which was available to Irish resident companies whose income was derived from qualifying royalties or license fees paid in respect of qualifying patents, no longer applies to payments received on or after November, 24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and this expenditure exceeds the qualifying expenditure spent by the company in 2003. The qualifying excess expenditure results in a tax credit of 25% of that excess. In 2012 the incremental test will not apply to the first €100,000 of qualifying expenditure which will automatically qualify for a tax credit of 25%.</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 of 12.5% referred to above.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 w:name="page57"/>
    <w:bookmarkEnd w:id="56"/>
    <w:p>
      <w:pPr>
        <w:spacing w:after="0" w:line="308" w:lineRule="auto"/>
        <w:rPr>
          <w:sz w:val="20"/>
          <w:szCs w:val="20"/>
          <w:color w:val="auto"/>
        </w:rPr>
      </w:pPr>
      <w:r>
        <w:rPr>
          <w:rFonts w:ascii="Arial" w:cs="Arial" w:eastAsia="Arial" w:hAnsi="Arial"/>
          <w:sz w:val="17"/>
          <w:szCs w:val="17"/>
          <w:color w:val="auto"/>
        </w:rPr>
        <w:t>Capital gains arising to an Irish resident company are liable to tax at 30% (25% for disposals made on or before 6 December 2011). However, a capital gains tax exemption is available in Ireland for qualifying Irish resident companies in respect of disposals of certain qualifying shareholdings.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97" w:lineRule="exact"/>
        <w:rPr>
          <w:sz w:val="20"/>
          <w:szCs w:val="20"/>
          <w:color w:val="auto"/>
        </w:rPr>
      </w:pPr>
    </w:p>
    <w:p>
      <w:pPr>
        <w:ind w:left="36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the period of at least 12 months, within the two year period prior to disposal</w:t>
      </w:r>
    </w:p>
    <w:p>
      <w:pPr>
        <w:spacing w:after="0" w:line="197" w:lineRule="exact"/>
        <w:rPr>
          <w:rFonts w:ascii="Arial" w:cs="Arial" w:eastAsia="Arial" w:hAnsi="Arial"/>
          <w:sz w:val="18"/>
          <w:szCs w:val="18"/>
          <w:color w:val="auto"/>
        </w:rPr>
      </w:pPr>
    </w:p>
    <w:p>
      <w:pPr>
        <w:ind w:left="360" w:hanging="352"/>
        <w:spacing w:after="0" w:line="308"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73" w:lineRule="exact"/>
        <w:rPr>
          <w:rFonts w:ascii="Arial" w:cs="Arial" w:eastAsia="Arial" w:hAnsi="Arial"/>
          <w:sz w:val="17"/>
          <w:szCs w:val="17"/>
          <w:color w:val="auto"/>
        </w:rPr>
      </w:pPr>
    </w:p>
    <w:p>
      <w:pPr>
        <w:ind w:left="360" w:right="2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197"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 Withholding Tax</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Relevant Territory, will be exempt from withholding tax provided he or she makes the requisite declaration.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dividend withholding tax will apply on the payment of a dividend from an Irish resident company to its Irish resident 51% parent company. Where the Irish company receiving the dividend does not hold at least 51% of the shares of the paying company, the dividend will be exempt from withholding tax provided the Irish corporate shareholder makes the requisite declaration.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1000" w:hanging="344"/>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(directly or indirectly) by Irish residents</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ultimately controlled (directly or indirectly) by residents of a Relevant Territory or</w:t>
      </w:r>
    </w:p>
    <w:p>
      <w:pPr>
        <w:spacing w:after="0" w:line="252"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197"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spacing w:after="0" w:line="308" w:lineRule="auto"/>
        <w:rPr>
          <w:sz w:val="20"/>
          <w:szCs w:val="20"/>
          <w:color w:val="auto"/>
        </w:rPr>
      </w:pPr>
      <w:r>
        <w:rPr>
          <w:rFonts w:ascii="Arial" w:cs="Arial" w:eastAsia="Arial" w:hAnsi="Arial"/>
          <w:sz w:val="17"/>
          <w:szCs w:val="17"/>
          <w:color w:val="auto"/>
        </w:rPr>
        <w:t>Special arrangements are available in the case of an interest in shares held in Irish companies through American depositary banks using ADSs. The depositary bank can receive and pass on a dividend from an Irish company without deducting withholding tax in the following circumstances:</w:t>
      </w:r>
    </w:p>
    <w:p>
      <w:pPr>
        <w:spacing w:after="0" w:line="174" w:lineRule="exact"/>
        <w:rPr>
          <w:sz w:val="20"/>
          <w:szCs w:val="20"/>
          <w:color w:val="auto"/>
        </w:rPr>
      </w:pPr>
    </w:p>
    <w:p>
      <w:pPr>
        <w:ind w:left="1000" w:hanging="344"/>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bank’s ADS register shows that the direct beneficial owner has a U.S. address on the register; or</w:t>
      </w:r>
    </w:p>
    <w:p>
      <w:pPr>
        <w:spacing w:after="0" w:line="252"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recipients address on their register is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 Income Tax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Irish resident or ordinarily resident shareholders will generally be liable to Irish income tax on dividend income at their marginal rate of tax. This income may also be liable to Pay Related Social Insurance (“PRSI”) and the Universal Social Charge (“USC”) of up to 14% in total.</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97" w:lineRule="exact"/>
        <w:rPr>
          <w:sz w:val="20"/>
          <w:szCs w:val="20"/>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252"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75" w:lineRule="exact"/>
        <w:rPr>
          <w:rFonts w:ascii="Arial" w:cs="Arial" w:eastAsia="Arial" w:hAnsi="Arial"/>
          <w:sz w:val="16"/>
          <w:szCs w:val="16"/>
          <w:color w:val="auto"/>
        </w:rPr>
      </w:pPr>
    </w:p>
    <w:p>
      <w:pPr>
        <w:ind w:left="1000" w:hanging="344"/>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should be able to claim a partial refund of the 20% withholding tax from the Irish Revenue Commissioners.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non-Irish resident individuals that are domiciled in Ireland will be subject to an annual levy of €200,000 if their Irish-located capital exceeds €5,000,000, their worldwide annual income exceeds €1,000,000 and their liability to Irish Income Tax in that year is less than €200,000.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Capital Gains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Irish resident or ordinarily resident shareholders will be liable to capital gains tax at 30% (25% in respect of disposals made up to 6 December 2011) on gains arising from the disposal or part disposal of their shareholding.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jc w:val="both"/>
        <w:spacing w:after="0" w:line="312" w:lineRule="auto"/>
        <w:rPr>
          <w:sz w:val="20"/>
          <w:szCs w:val="20"/>
          <w:color w:val="auto"/>
        </w:rPr>
      </w:pPr>
      <w:r>
        <w:rPr>
          <w:rFonts w:ascii="Arial" w:cs="Arial" w:eastAsia="Arial" w:hAnsi="Arial"/>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w:t>
      </w:r>
    </w:p>
    <w:p>
      <w:pPr>
        <w:spacing w:after="0" w:line="197" w:lineRule="exact"/>
        <w:rPr>
          <w:sz w:val="20"/>
          <w:szCs w:val="20"/>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 beneficially own the shares when they cease to be resident;</w:t>
      </w:r>
    </w:p>
    <w:p>
      <w:pPr>
        <w:spacing w:after="0" w:line="252"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30% (25% up to 6 December 2011) of the taxable gain.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 – free thresholds, gifts and inheritances are liable to tax at 30% (25% up to 6 December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52"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34" w:lineRule="exact"/>
        <w:rPr>
          <w:rFonts w:ascii="Arial" w:cs="Arial" w:eastAsia="Arial" w:hAnsi="Arial"/>
          <w:sz w:val="17"/>
          <w:szCs w:val="17"/>
          <w:color w:val="auto"/>
        </w:rPr>
      </w:pPr>
    </w:p>
    <w:p>
      <w:pPr>
        <w:ind w:left="680" w:hanging="348"/>
        <w:spacing w:after="0" w:line="250"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680" w:right="20" w:hanging="348"/>
        <w:spacing w:after="0" w:line="281"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spacing w:after="0" w:line="1" w:lineRule="exact"/>
        <w:rPr>
          <w:rFonts w:ascii="Arial" w:cs="Arial" w:eastAsia="Arial" w:hAnsi="Arial"/>
          <w:sz w:val="16"/>
          <w:szCs w:val="16"/>
          <w:color w:val="auto"/>
        </w:rPr>
      </w:pPr>
    </w:p>
    <w:p>
      <w:pPr>
        <w:ind w:left="680" w:hanging="348"/>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tax-free threshold amounts that apply with effect from 6 December 2011 are:</w:t>
      </w:r>
    </w:p>
    <w:p>
      <w:pPr>
        <w:spacing w:after="0" w:line="23"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€16,604 (€20,740 pre December 8, 2010) in the case of persons who are not related to one another;</w:t>
      </w:r>
    </w:p>
    <w:p>
      <w:pPr>
        <w:spacing w:after="0" w:line="9" w:lineRule="exact"/>
        <w:rPr>
          <w:rFonts w:ascii="Arial" w:cs="Arial" w:eastAsia="Arial" w:hAnsi="Arial"/>
          <w:sz w:val="18"/>
          <w:szCs w:val="18"/>
          <w:color w:val="auto"/>
        </w:rPr>
      </w:pPr>
    </w:p>
    <w:p>
      <w:pPr>
        <w:ind w:left="680" w:right="20" w:hanging="348"/>
        <w:spacing w:after="0" w:line="250"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€33,208 (€41,481 pre December 8, 2010) in the case of gifts or inheritances received from inter alia a brother or sister or from a brother or sister of a parent or from a grandparent; and</w:t>
      </w:r>
    </w:p>
    <w:p>
      <w:pPr>
        <w:ind w:left="680" w:hanging="348"/>
        <w:spacing w:after="0" w:line="261"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€250,000 (€332,084 pre December 6, 2011; €414,799 pre December 8, 2010) in the case of gifts and inheritances received from a parent (or from a grandparent by a minor child of a deceased child) and specified inheritances received by a parent from a child.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Ordinary Shares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 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ADSs Representing Ordinary Shares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should arise.</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Transfers of ADSs are exempt from Irish stamp duty if the ADSs are dealt in on the NASDAQ National Market or any recognized stock exchange in the United States or Canada.</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Documents on Display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foreign private issuer, we are exempt from certain rules under the Exchange Act, prescribing the furnishing and content of proxy statements to shareholders.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Sam Farthing, telephone number: (353) 1 291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The Company,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market risks (i.e. risk of loss arising from adverse changes in market rates and prices) to which we are exposed include foreign currency risk and 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could be affected by fluctuations in exchange rates between the U.S. dollar and the currencies of those operations.</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The following significant exchange rates applied during the year:</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 Rate</w:t>
            </w:r>
          </w:p>
        </w:tc>
        <w:tc>
          <w:tcPr>
            <w:tcW w:w="1060" w:type="dxa"/>
            <w:vAlign w:val="bottom"/>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Closing Rate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9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2010</w:t>
            </w: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Euro:USD</w:t>
            </w:r>
          </w:p>
        </w:tc>
        <w:tc>
          <w:tcPr>
            <w:tcW w:w="19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1.3991</w:t>
            </w:r>
          </w:p>
        </w:tc>
        <w:tc>
          <w:tcPr>
            <w:tcW w:w="10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1.3204</w:t>
            </w:r>
          </w:p>
        </w:tc>
        <w:tc>
          <w:tcPr>
            <w:tcW w:w="16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1.2961</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Pound Sterling:USD</w:t>
            </w:r>
          </w:p>
        </w:tc>
        <w:tc>
          <w:tcPr>
            <w:tcW w:w="19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1.6050</w:t>
            </w:r>
          </w:p>
        </w:tc>
        <w:tc>
          <w:tcPr>
            <w:tcW w:w="10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1.5420</w:t>
            </w:r>
          </w:p>
        </w:tc>
        <w:tc>
          <w:tcPr>
            <w:tcW w:w="16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1.5413</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Interest Rate Risk</w:t>
            </w: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The sensitivity analysis below represents the hypothetical change in our interest income based on an immediate 1% movement in market interest rates.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 Income</w:t>
            </w:r>
          </w:p>
        </w:tc>
        <w:tc>
          <w:tcPr>
            <w:tcW w:w="3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Income/(Expense)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for the year ended</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Change 1% increase in</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Change 1% decrease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December 31, 2011</w:t>
            </w:r>
          </w:p>
        </w:tc>
        <w:tc>
          <w:tcPr>
            <w:tcW w:w="3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market interest rate</w:t>
            </w:r>
          </w:p>
        </w:tc>
        <w:tc>
          <w:tcPr>
            <w:tcW w:w="28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market interest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w w:val="94"/>
              </w:rPr>
              <w:t>Item 12</w:t>
            </w:r>
            <w:r>
              <w:rPr>
                <w:rFonts w:ascii="Arial" w:cs="Arial" w:eastAsia="Arial" w:hAnsi="Arial"/>
                <w:sz w:val="18"/>
                <w:szCs w:val="18"/>
                <w:b w:val="1"/>
                <w:bCs w:val="1"/>
                <w:i w:val="1"/>
                <w:iCs w:val="1"/>
                <w:color w:val="auto"/>
                <w:w w:val="94"/>
              </w:rPr>
              <w:t>. Description of Securities Other than Equity Securities</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2011.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66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67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Declan McKeon acts as the Audit Committee financial expert serving on our Audit Committee and Board of Directors. Mr. McKeon is an independent Board member and serves as one of our non-executive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adopted a new code of ethics on March 22, 2011, which replaced our previous Code of Ethics. The new Code of Ethics applies to all ICON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http://investor.iconplc.com/governance.cfm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2011 and December 31, 2010, were KPMG.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2011 and December 31, 2010 and fees billed for other services rendered by KPMG.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12 month period ended</w:t>
            </w:r>
          </w:p>
        </w:tc>
        <w:tc>
          <w:tcPr>
            <w:tcW w:w="460" w:type="dxa"/>
            <w:vAlign w:val="bottom"/>
          </w:tcPr>
          <w:p>
            <w:pPr>
              <w:spacing w:after="0"/>
              <w:rPr>
                <w:sz w:val="18"/>
                <w:szCs w:val="18"/>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12 month period ended</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 2011</w:t>
            </w:r>
          </w:p>
        </w:tc>
        <w:tc>
          <w:tcPr>
            <w:tcW w:w="460" w:type="dxa"/>
            <w:vAlign w:val="bottom"/>
          </w:tcPr>
          <w:p>
            <w:pPr>
              <w:spacing w:after="0"/>
              <w:rPr>
                <w:sz w:val="18"/>
                <w:szCs w:val="18"/>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 31, 2010</w:t>
            </w: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(in thousands)</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Audit related fees (2)</w:t>
            </w:r>
          </w:p>
        </w:tc>
        <w:tc>
          <w:tcPr>
            <w:tcW w:w="26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185</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2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52"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related fees principally consisted of fees for financial due diligence services and fees for audit of the financial statements of employee benefit plans.</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the Company by its auditors.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w w:val="92"/>
              </w:rPr>
              <w:t>Item 16E.  Purchases of Equity Securities by the Issuer and Affiliated Purchasers</w:t>
            </w: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 Price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Paid for</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 Number</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purchased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(incl. ADS’s)</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(incl. ADS’s)</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Purchased as</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that may yet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 Number</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jc w:val="right"/>
              <w:ind w:right="50"/>
              <w:spacing w:after="0"/>
              <w:rPr>
                <w:sz w:val="20"/>
                <w:szCs w:val="20"/>
                <w:color w:val="auto"/>
              </w:rPr>
            </w:pPr>
            <w:r>
              <w:rPr>
                <w:rFonts w:ascii="Arial" w:cs="Arial" w:eastAsia="Arial" w:hAnsi="Arial"/>
                <w:sz w:val="18"/>
                <w:szCs w:val="18"/>
                <w:b w:val="1"/>
                <w:bCs w:val="1"/>
                <w:color w:val="auto"/>
              </w:rPr>
              <w:t>of Shares (incl.</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jc w:val="right"/>
              <w:ind w:right="50"/>
              <w:spacing w:after="0"/>
              <w:rPr>
                <w:sz w:val="20"/>
                <w:szCs w:val="20"/>
                <w:color w:val="auto"/>
              </w:rPr>
            </w:pPr>
            <w:r>
              <w:rPr>
                <w:rFonts w:ascii="Arial" w:cs="Arial" w:eastAsia="Arial" w:hAnsi="Arial"/>
                <w:sz w:val="18"/>
                <w:szCs w:val="18"/>
                <w:b w:val="1"/>
                <w:bCs w:val="1"/>
                <w:color w:val="auto"/>
              </w:rPr>
              <w:t>ADS’s)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jc w:val="right"/>
              <w:ind w:right="50"/>
              <w:spacing w:after="0"/>
              <w:rPr>
                <w:sz w:val="20"/>
                <w:szCs w:val="20"/>
                <w:color w:val="auto"/>
              </w:rPr>
            </w:pPr>
            <w:r>
              <w:rPr>
                <w:rFonts w:ascii="Arial" w:cs="Arial" w:eastAsia="Arial" w:hAnsi="Arial"/>
                <w:sz w:val="18"/>
                <w:szCs w:val="18"/>
                <w:b w:val="1"/>
                <w:bCs w:val="1"/>
                <w:color w:val="auto"/>
              </w:rPr>
              <w:t>Purchased</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Paid per Share</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the Plans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2"/>
              </w:rPr>
              <w:t>(in thousands, except per share data)</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November 11/1 - 11/30</w:t>
            </w: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109,636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16.82</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12/1 – 12/31</w:t>
            </w:r>
          </w:p>
        </w:tc>
        <w:tc>
          <w:tcPr>
            <w:tcW w:w="2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435,961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16.42</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435,961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545,597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16.50</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545,597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The Company intends to enter further share repurchase plans, to effect the share repurchase program in accordance with Rule 10b-18 and Rule 10b5-1 of the Securities Exchange Act of 1934, the authorization granted at the Company’s annual general meeting on July, 18 2011, applicable laws and regulations and the Listing Rules of the Irish Stock Exchange </w:t>
      </w:r>
      <w:r>
        <w:rPr>
          <w:rFonts w:ascii="Arial" w:cs="Arial" w:eastAsia="Arial" w:hAnsi="Arial"/>
          <w:sz w:val="18"/>
          <w:szCs w:val="18"/>
          <w:i w:val="1"/>
          <w:iCs w:val="1"/>
          <w:color w:val="auto"/>
        </w:rPr>
        <w:t>(see note 12 to the consolidated financial statements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10 “Exemptions from Corporate Governance Listing Requirements under the NASDAQ Marketplace Rules”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68 to 114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2011 and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2011, December 31, 2010 and December 31, 2009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2011, December 31, 2010 and December 31, 2009</w:t>
      </w:r>
    </w:p>
    <w:p>
      <w:pPr>
        <w:spacing w:after="0" w:line="197" w:lineRule="exact"/>
        <w:rPr>
          <w:sz w:val="20"/>
          <w:szCs w:val="20"/>
          <w:color w:val="auto"/>
        </w:rPr>
      </w:pPr>
    </w:p>
    <w:p>
      <w:pPr>
        <w:ind w:right="2400"/>
        <w:spacing w:after="0" w:line="559" w:lineRule="auto"/>
        <w:rPr>
          <w:sz w:val="20"/>
          <w:szCs w:val="20"/>
          <w:color w:val="auto"/>
        </w:rPr>
      </w:pPr>
      <w:r>
        <w:rPr>
          <w:rFonts w:ascii="Arial" w:cs="Arial" w:eastAsia="Arial" w:hAnsi="Arial"/>
          <w:sz w:val="18"/>
          <w:szCs w:val="18"/>
          <w:color w:val="auto"/>
        </w:rPr>
        <w:t>Consolidated Statements of Cash Flows for the years ended December 31, 2011, December 31, 2010 and December 31, 2009 Notes to the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Exhibit</w:t>
            </w:r>
          </w:p>
        </w:tc>
        <w:tc>
          <w:tcPr>
            <w:tcW w:w="104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Number</w:t>
            </w:r>
          </w:p>
        </w:tc>
        <w:tc>
          <w:tcPr>
            <w:tcW w:w="10480" w:type="dxa"/>
            <w:vAlign w:val="bottom"/>
          </w:tcPr>
          <w:p>
            <w:pPr>
              <w:ind w:left="320"/>
              <w:spacing w:after="0"/>
              <w:rPr>
                <w:sz w:val="20"/>
                <w:szCs w:val="20"/>
                <w:color w:val="auto"/>
              </w:rPr>
            </w:pPr>
            <w:r>
              <w:rPr>
                <w:rFonts w:ascii="Arial" w:cs="Arial" w:eastAsia="Arial" w:hAnsi="Arial"/>
                <w:sz w:val="18"/>
                <w:szCs w:val="18"/>
                <w:color w:val="auto"/>
              </w:rPr>
              <w:t>Title</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tcPr>
          <w:p>
            <w:pPr>
              <w:ind w:left="320"/>
              <w:spacing w:after="0"/>
              <w:rPr>
                <w:sz w:val="20"/>
                <w:szCs w:val="20"/>
                <w:color w:val="auto"/>
              </w:rPr>
            </w:pPr>
            <w:r>
              <w:rPr>
                <w:rFonts w:ascii="Arial" w:cs="Arial" w:eastAsia="Arial" w:hAnsi="Arial"/>
                <w:sz w:val="18"/>
                <w:szCs w:val="18"/>
                <w:color w:val="auto"/>
                <w:w w:val="95"/>
              </w:rPr>
              <w:t>Description of the Memorandum and Articles of Association of the Company (incorporated by reference to Exhibit 3.1 to the Form 20F</w:t>
            </w:r>
          </w:p>
        </w:tc>
      </w:tr>
      <w:tr>
        <w:trPr>
          <w:trHeight w:val="230"/>
        </w:trPr>
        <w:tc>
          <w:tcPr>
            <w:tcW w:w="940" w:type="dxa"/>
            <w:vAlign w:val="bottom"/>
          </w:tcPr>
          <w:p>
            <w:pPr>
              <w:spacing w:after="0"/>
              <w:rPr>
                <w:sz w:val="20"/>
                <w:szCs w:val="20"/>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(File No. 333-08704) filed on March 22, 2011.)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320"/>
              <w:spacing w:after="0"/>
              <w:rPr>
                <w:sz w:val="20"/>
                <w:szCs w:val="20"/>
                <w:color w:val="auto"/>
              </w:rPr>
            </w:pPr>
            <w:r>
              <w:rPr>
                <w:rFonts w:ascii="Arial" w:cs="Arial" w:eastAsia="Arial" w:hAnsi="Arial"/>
                <w:sz w:val="18"/>
                <w:szCs w:val="18"/>
                <w:color w:val="auto"/>
              </w:rPr>
              <w:t>Section 302 certifications.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12.2*</w:t>
            </w:r>
          </w:p>
        </w:tc>
        <w:tc>
          <w:tcPr>
            <w:tcW w:w="10480" w:type="dxa"/>
            <w:vAlign w:val="bottom"/>
          </w:tcPr>
          <w:p>
            <w:pPr>
              <w:ind w:left="320"/>
              <w:spacing w:after="0"/>
              <w:rPr>
                <w:sz w:val="20"/>
                <w:szCs w:val="20"/>
                <w:color w:val="auto"/>
              </w:rPr>
            </w:pPr>
            <w:r>
              <w:rPr>
                <w:rFonts w:ascii="Arial" w:cs="Arial" w:eastAsia="Arial" w:hAnsi="Arial"/>
                <w:sz w:val="18"/>
                <w:szCs w:val="18"/>
                <w:color w:val="auto"/>
              </w:rPr>
              <w:t>Section 906 certifications.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10480" w:type="dxa"/>
            <w:vAlign w:val="bottom"/>
          </w:tcPr>
          <w:p>
            <w:pPr>
              <w:ind w:left="32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32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320"/>
              <w:spacing w:after="0"/>
              <w:rPr>
                <w:sz w:val="20"/>
                <w:szCs w:val="20"/>
                <w:color w:val="auto"/>
              </w:rPr>
            </w:pPr>
            <w:r>
              <w:rPr>
                <w:rFonts w:ascii="Arial" w:cs="Arial" w:eastAsia="Arial" w:hAnsi="Arial"/>
                <w:sz w:val="18"/>
                <w:szCs w:val="18"/>
                <w:color w:val="auto"/>
              </w:rPr>
              <w:t>Interactive Data Files (XBRL – Related Documents)</w:t>
            </w:r>
          </w:p>
        </w:tc>
      </w:tr>
      <w:tr>
        <w:trPr>
          <w:trHeight w:val="608"/>
        </w:trPr>
        <w:tc>
          <w:tcPr>
            <w:tcW w:w="940" w:type="dxa"/>
            <w:vAlign w:val="bottom"/>
          </w:tcPr>
          <w:p>
            <w:pPr>
              <w:spacing w:after="0"/>
              <w:rPr>
                <w:sz w:val="24"/>
                <w:szCs w:val="24"/>
                <w:color w:val="auto"/>
              </w:rPr>
            </w:pPr>
          </w:p>
        </w:tc>
        <w:tc>
          <w:tcPr>
            <w:tcW w:w="10480" w:type="dxa"/>
            <w:vAlign w:val="bottom"/>
          </w:tcPr>
          <w:p>
            <w:pPr>
              <w:ind w:left="4680"/>
              <w:spacing w:after="0"/>
              <w:rPr>
                <w:sz w:val="20"/>
                <w:szCs w:val="20"/>
                <w:color w:val="auto"/>
              </w:rPr>
            </w:pPr>
            <w:r>
              <w:rPr>
                <w:rFonts w:ascii="Arial" w:cs="Arial" w:eastAsia="Arial" w:hAnsi="Arial"/>
                <w:sz w:val="18"/>
                <w:szCs w:val="18"/>
                <w:color w:val="auto"/>
              </w:rPr>
              <w:t>65</w:t>
            </w:r>
          </w:p>
        </w:tc>
      </w:tr>
      <w:tr>
        <w:trPr>
          <w:trHeight w:val="118"/>
        </w:trPr>
        <w:tc>
          <w:tcPr>
            <w:tcW w:w="94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2011. In making this assessment, we used the criteria set forth by the Committee of Sponsoring Organizations of the Treadway Commission (COSO) in Internal Control – Integrated Framework. Based upon the assessment performed, we determined that, as of December 31, 2011 the Company’s internal control over financial reporting was effective. In addition, there have been no changes in the Company’s internal control over financial reporting during 2011 that have materially affected, or are reasonably likely to affect materially, the Group’s internal control over financial reporting.</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KPMG, which has audited the consolidated financial statements of the Company for the year ended December 31, 2011, has also audited the effectiveness of the Company’s internal control over financial reporting under Auditing Standard No. 5 of the Public Company Accounting Oversight Board (United States) and their report is included at page 67.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8" w:name="page69"/>
    <w:bookmarkEnd w:id="68"/>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2011 and 2010 and the related consolidated statements of operations, shareholders’ equity and comprehensive income, and cash flows for each of the years in the three-year period ended December 31, 2011.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2011 and 2010 and the results of their operations and their cash flows for each of the years in the three-year period ended December 31, 2011, in conformity with U.S. generally accepted accounting principles.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ICON plc’s internal control over financial reporting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2, 2012 expressed an unqualified opinion on the effectiveness of the Company’s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ICON plc’s internal control over financial reporting as of December 31, 2011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ICON plc’s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our opinion, ICON plc maintained, in all material respects, effective internal control over financial reporting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ICON plc and subsidiaries as of December 31, 2011 and 2010 and the related consolidated statements of operations, shareholders’ equity and comprehensive income, and cash flows for each of the years in the three-year period ended December 31, 2011 and our report dated March 2, 2012 expressed an unqualified opinion on those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5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320" w:type="dxa"/>
            <w:vAlign w:val="bottom"/>
            <w:tcBorders>
              <w:top w:val="single" w:sz="8" w:color="auto"/>
            </w:tcBorders>
            <w:gridSpan w:val="2"/>
          </w:tcPr>
          <w:p>
            <w:pPr>
              <w:jc w:val="right"/>
              <w:ind w:right="10"/>
              <w:spacing w:after="0" w:line="205" w:lineRule="exact"/>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20"/>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119,237</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255,706</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Short term investments - available for sale (Note 3)</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54,940</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201,338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164,907</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Unbilled revenue</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126,850</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101,431</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13,788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12,451</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Deferred tax asset (Note 13)</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14,662</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5,623</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Prepayments and other current assets</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21,424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20,592</w:t>
            </w: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Income taxes receivable (Note 13)</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8,183</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18,966</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560,422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579,676</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plant and equipment, net (Note 6)</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168,461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170,861</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Goodwill (Note 4)</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253,393</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175,860</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other assets</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Non-current income taxes receivable (Note 13)</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10,272</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deferred tax asset (Note 13)</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10,076</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10,028</w:t>
            </w: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Intangible assets (Note 5)</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28,260</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8,278</w:t>
            </w:r>
          </w:p>
        </w:tc>
      </w:tr>
      <w:tr>
        <w:trPr>
          <w:trHeight w:val="257"/>
        </w:trPr>
        <w:tc>
          <w:tcPr>
            <w:tcW w:w="20" w:type="dxa"/>
            <w:vAlign w:val="bottom"/>
          </w:tcPr>
          <w:p>
            <w:pPr>
              <w:spacing w:after="0"/>
              <w:rPr>
                <w:sz w:val="22"/>
                <w:szCs w:val="22"/>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1,035,467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949,538</w:t>
            </w: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5,340</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12,314</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on account</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150,792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134,240</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Other liabilities (Note 7)</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145,963</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99,199</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liability (Note 13)</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Income taxes payable (Note 13)</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3,630</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306,908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249,343</w:t>
            </w: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Liabilities: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other liabilities (Note 8)</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20,038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Non-current government grants (Note 11)</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1,351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income taxes payable (Note 13)</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10,205</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Non-current deferred tax liability (Note 13)</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20,395</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13,862</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540" w:type="dxa"/>
            <w:vAlign w:val="bottom"/>
          </w:tcPr>
          <w:p>
            <w:pPr>
              <w:ind w:left="260"/>
              <w:spacing w:after="0" w:line="201" w:lineRule="exact"/>
              <w:rPr>
                <w:sz w:val="20"/>
                <w:szCs w:val="20"/>
                <w:color w:val="auto"/>
              </w:rPr>
            </w:pPr>
            <w:r>
              <w:rPr>
                <w:rFonts w:ascii="Arial" w:cs="Arial" w:eastAsia="Arial" w:hAnsi="Arial"/>
                <w:sz w:val="18"/>
                <w:szCs w:val="18"/>
                <w:color w:val="auto"/>
              </w:rPr>
              <w:t>Ordinary shares, par value 6 euro cents per share;</w:t>
            </w: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100,000,000 shares authorized, (Note 12)</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60,135,603 shares issued and outstanding at December 31, 2011 and</w:t>
            </w: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60,247,092 shares issued and outstanding at December 31, 2010.</w:t>
            </w:r>
          </w:p>
        </w:tc>
        <w:tc>
          <w:tcPr>
            <w:tcW w:w="1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5,055</w:t>
            </w: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211,549</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196,960</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redemption reserve (Note 12)</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(Note 19)</w:t>
            </w:r>
          </w:p>
        </w:tc>
        <w:tc>
          <w:tcPr>
            <w:tcW w:w="1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(16,446)</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1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481,342</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467,580</w:t>
            </w: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681,544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669,999</w:t>
            </w:r>
          </w:p>
        </w:tc>
      </w:tr>
      <w:tr>
        <w:trPr>
          <w:trHeight w:val="257"/>
        </w:trPr>
        <w:tc>
          <w:tcPr>
            <w:tcW w:w="20" w:type="dxa"/>
            <w:vAlign w:val="bottom"/>
          </w:tcPr>
          <w:p>
            <w:pPr>
              <w:spacing w:after="0"/>
              <w:rPr>
                <w:sz w:val="22"/>
                <w:szCs w:val="22"/>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1,035,467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949,538</w:t>
            </w:r>
          </w:p>
        </w:tc>
      </w:tr>
      <w:tr>
        <w:trPr>
          <w:trHeight w:val="224"/>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593"/>
        </w:trPr>
        <w:tc>
          <w:tcPr>
            <w:tcW w:w="7560" w:type="dxa"/>
            <w:vAlign w:val="bottom"/>
            <w:gridSpan w:val="2"/>
          </w:tcPr>
          <w:p>
            <w:pPr>
              <w:jc w:val="right"/>
              <w:ind w:right="1670"/>
              <w:spacing w:after="0"/>
              <w:rPr>
                <w:sz w:val="20"/>
                <w:szCs w:val="20"/>
                <w:color w:val="auto"/>
              </w:rPr>
            </w:pPr>
            <w:r>
              <w:rPr>
                <w:rFonts w:ascii="Arial" w:cs="Arial" w:eastAsia="Arial" w:hAnsi="Arial"/>
                <w:sz w:val="18"/>
                <w:szCs w:val="18"/>
                <w:color w:val="auto"/>
              </w:rPr>
              <w:t>69</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75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0"/>
              </w:rPr>
              <w:t>Year Ended</w:t>
            </w: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4"/>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6"/>
                <w:szCs w:val="16"/>
                <w:color w:val="auto"/>
              </w:rPr>
            </w:pPr>
          </w:p>
        </w:tc>
        <w:tc>
          <w:tcPr>
            <w:tcW w:w="3860" w:type="dxa"/>
            <w:vAlign w:val="bottom"/>
            <w:gridSpan w:val="6"/>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(in thousands, except share and per share data)</w:t>
            </w:r>
          </w:p>
        </w:tc>
        <w:tc>
          <w:tcPr>
            <w:tcW w:w="0" w:type="dxa"/>
            <w:vAlign w:val="bottom"/>
          </w:tcPr>
          <w:p>
            <w:pPr>
              <w:spacing w:after="0"/>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1,296,509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1,263,147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945,729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900,044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887,612</w:t>
            </w: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 costs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611,923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541,388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255,864</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232,688</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38,682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Non -recurring charges, net (Note 14)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9,817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916,286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807,949</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29,443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92,095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1,761</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28,995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92,724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 (Note 13)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87,071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(Note 2)</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60,379,338</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59,718,934</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58,636,878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(Note 2)</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61,070,686</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60,637,103</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59,900,504</w:t>
            </w:r>
          </w:p>
        </w:tc>
        <w:tc>
          <w:tcPr>
            <w:tcW w:w="0" w:type="dxa"/>
            <w:vAlign w:val="bottom"/>
          </w:tcPr>
          <w:p>
            <w:pPr>
              <w:spacing w:after="0"/>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320" w:type="dxa"/>
            <w:vAlign w:val="bottom"/>
            <w:gridSpan w:val="2"/>
          </w:tcPr>
          <w:p>
            <w:pPr>
              <w:jc w:val="right"/>
              <w:ind w:right="143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7"/>
              </w:rPr>
              <w:t>ICON plc</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10"/>
          </w:tcPr>
          <w:p>
            <w:pPr>
              <w:jc w:val="right"/>
              <w:ind w:right="27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16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58,518,195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162,057</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286,210</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9"/>
              </w:rPr>
              <w:t>Currency impact on long-term funding (net</w:t>
            </w: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of tax)</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2,251</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loss on defined benefit</w:t>
            </w: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pension plan (net of nil</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taxation)</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489,370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7,353</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2009</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59,007,565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174,188</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12,584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380,509</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87,071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(9,701)</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Currency impact on long-term funding (net</w:t>
            </w: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loss on defined benefit pension</w:t>
            </w: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1,237,015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13,070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2,512</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7,408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issue costs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2,345</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60,247,092</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196,960</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467,580</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ICON plc</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12"/>
          </w:tcPr>
          <w:p>
            <w:pPr>
              <w:jc w:val="center"/>
              <w:ind w:left="101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2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40" w:type="dxa"/>
            <w:vAlign w:val="bottom"/>
          </w:tcPr>
          <w:p>
            <w:pPr>
              <w:spacing w:after="0"/>
              <w:rPr>
                <w:sz w:val="20"/>
                <w:szCs w:val="20"/>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1"/>
              </w:rPr>
              <w:t>Accumulated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Paid-in</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Redemption</w:t>
            </w: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Comprehensive</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Retained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Reserve</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Earnings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60,247,092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5,063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196,960</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467,580</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22,880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Currency impact on long-term funding</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4"/>
              </w:rPr>
              <w:t>Tax on currency impact of long term funding</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Unrealized capital gain/loss - investments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loss on defined benefit pension</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430,340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3,768</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9,355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issue costs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(545,597)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681</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60,135,603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5,055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211,549</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481,342</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681,544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7"/>
              </w:rPr>
              <w:t>ICON plc</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jc w:val="center"/>
              <w:ind w:left="25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87,071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2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provided by operating activities:</w:t>
            </w:r>
          </w:p>
        </w:tc>
        <w:tc>
          <w:tcPr>
            <w:tcW w:w="2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disposal of property, plant and equipment</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38,682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33,873</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government grants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Stock compensation expense</w:t>
            </w: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9,355</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7,408</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(Increase)/decrease in accounts receivable</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18,267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(Increase)/decrease in unbilled revenue</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(27,164)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(4,887)</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(Increase)/decrease in other receivables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w w:val="95"/>
              </w:rPr>
              <w:t>(Increase)/decrease in prepayments and other current assets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 in other non current assets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Increase/(decrease) in payments on account</w:t>
            </w: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9,494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(29,191)</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Increase/(decrease) in other current liabilities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20,390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(Decrease)/increase in other non current liabilities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Decrease in income taxes payable</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(Decrease)/increase in accounts payable</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20,191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87,428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plant and equipment</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Purchase of subsidiary undertakings and acquisition costs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(69,836)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 with subsidiary undertaking</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Grant received</w:t>
            </w: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 of short term investments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79,487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Purchase of short term investments</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investing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14,582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Drawdown of credit lines and facilities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Repayment of credit lines and facilities</w:t>
            </w:r>
          </w:p>
        </w:tc>
        <w:tc>
          <w:tcPr>
            <w:tcW w:w="26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the exercise of share options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Share issuance costs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benefit from the exercise of share options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8"/>
                <w:szCs w:val="18"/>
                <w:color w:val="auto"/>
              </w:rPr>
              <w:t>Repurchase of ordinary shares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(9,005)</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 repurchase costs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Repayment of other liabilities and finance lease obligations</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15,296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110,905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255,706</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144,801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119,237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255,706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0" w:type="dxa"/>
            <w:vAlign w:val="bottom"/>
          </w:tcPr>
          <w:p>
            <w:pPr>
              <w:jc w:val="center"/>
              <w:ind w:right="970"/>
              <w:spacing w:after="0"/>
              <w:rPr>
                <w:sz w:val="20"/>
                <w:szCs w:val="20"/>
                <w:color w:val="auto"/>
              </w:rPr>
            </w:pPr>
            <w:r>
              <w:rPr>
                <w:rFonts w:ascii="Arial" w:cs="Arial" w:eastAsia="Arial" w:hAnsi="Arial"/>
                <w:sz w:val="18"/>
                <w:szCs w:val="18"/>
                <w:color w:val="auto"/>
                <w:w w:val="89"/>
              </w:rPr>
              <w:t>73</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The Company specializes in the strategic development, management and analysis of programs that support Clinical Development - from compound selection to Phase I-IV clinical studies.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 highly fragmented industry, we are one of a select group of companies with the capability and expertise to conduct clinical trials in all major therapeutic areas on a global basis. At December 31, 2011 the Company had 8,470 employees, in 81 locations, in 40 countries, providing Phase I - IV Clinical Trial Management, Drug Development Support Services, Data Management, Biostatistics, Central Laboratory, Imaging and Staff Contracting services. The Company has the operational flexibility to provide development services on a stand-alone basis or as part of an integrated “full service” solution.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For the year ended December 31, 2011 we derived approximately 41.7%, 46.2 % and 12.1 %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97"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8"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principle management estimates and judgements used in preparing the financial statements relate to revenue recognition, taxation, goodwill and business combinations.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6" w:name="page77"/>
    <w:bookmarkEnd w:id="76"/>
    <w:p>
      <w:pPr>
        <w:ind w:left="740" w:hanging="68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Biometrics revenue is recognised on a fee-for-service method as each unit of data is prepared on the basis of the number of units completed in a period as a percentage of the total number of contracted units. Imaging revenue is recognised on a fee-for-service basis recognizing revenue for each image completed. Consulting revenue is recognised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recognised as revenue by revision to the total contract value arising as a result of an authorised customer change order.</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difference between the amount of revenue recognised and the amount billed on a particular contract is included in the balance sheet as unbilled revenue or payments on account. Normally, amounts become billable upon the achievement of certain milestones, for example, target patient enrollment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197"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215" w:lineRule="exact"/>
        <w:rPr>
          <w:sz w:val="20"/>
          <w:szCs w:val="20"/>
          <w:color w:val="auto"/>
        </w:rPr>
      </w:pPr>
    </w:p>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97"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$2,905,000, $3,431,000 and $2,548,000 for the years ended December 31, 2011, December 31, 2010 and December 31, 2009 respectively.</w:t>
      </w:r>
    </w:p>
    <w:p>
      <w:pPr>
        <w:spacing w:after="0" w:line="197"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Amounts credited or charged to the statement of operations for the years ended December 31, 2011, December 31, 2010 and December 31, 2009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Year ended</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charged</w:t>
            </w:r>
          </w:p>
        </w:tc>
        <w:tc>
          <w:tcPr>
            <w:tcW w:w="3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 Other liabilities’ carrying amounts approximate fair value based on net present value of estimated future cash flows.</w:t>
      </w:r>
    </w:p>
    <w:p>
      <w:pPr>
        <w:spacing w:after="0" w:line="214" w:lineRule="exact"/>
        <w:rPr>
          <w:sz w:val="20"/>
          <w:szCs w:val="20"/>
          <w:color w:val="auto"/>
        </w:rPr>
      </w:pPr>
    </w:p>
    <w:p>
      <w:pPr>
        <w:ind w:left="720" w:hanging="667"/>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215"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2011, December 31, 2010 and December 31, 2009.</w:t>
      </w:r>
    </w:p>
    <w:p>
      <w:pPr>
        <w:spacing w:after="0" w:line="205"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52"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classifies short-term investments as available for sale in accordance with the terms of FASB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Realized gains and losses are determined using specific identification. The investments are reported at fair value, with unrealized gains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 separate component of shareholders’ equity. Any differences between the cost and fair value of the investments are represented by accrued interest.</w:t>
      </w:r>
    </w:p>
    <w:p>
      <w:pPr>
        <w:spacing w:after="0" w:line="214" w:lineRule="exact"/>
        <w:rPr>
          <w:sz w:val="20"/>
          <w:szCs w:val="20"/>
          <w:color w:val="auto"/>
        </w:rPr>
      </w:pPr>
    </w:p>
    <w:p>
      <w:pPr>
        <w:ind w:left="720" w:hanging="71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raw materials comprises the purchase price and attributable costs, less trade discounts. At December 31, 2011 the carrying value of inventory, included within prepayments and other current assets on the balance sheet, was $2.8 million (2010: $3.8 million).</w:t>
      </w:r>
    </w:p>
    <w:p>
      <w:pPr>
        <w:spacing w:after="0" w:line="208"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Motor vehicles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64" w:lineRule="exact"/>
        <w:rPr>
          <w:sz w:val="20"/>
          <w:szCs w:val="20"/>
          <w:color w:val="auto"/>
        </w:rPr>
      </w:pPr>
    </w:p>
    <w:p>
      <w:pPr>
        <w:ind w:left="720" w:hanging="71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08"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applies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the asset and liability method of accounting for income taxes. Under the asset and liability method of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ASC 740 requires that the Company recognizes the largest amount of tax benefit that is greater than 50% likely of being realized upon effective settlement when considering uncertain tax positions.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ind w:left="720" w:hanging="667"/>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93" w:lineRule="exact"/>
        <w:rPr>
          <w:sz w:val="20"/>
          <w:szCs w:val="20"/>
          <w:color w:val="auto"/>
        </w:rPr>
      </w:pPr>
    </w:p>
    <w:p>
      <w:pPr>
        <w:ind w:left="700" w:hanging="69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Research and development credits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w:t>
      </w:r>
    </w:p>
    <w:p>
      <w:pPr>
        <w:spacing w:after="0" w:line="215" w:lineRule="exact"/>
        <w:rPr>
          <w:sz w:val="20"/>
          <w:szCs w:val="20"/>
          <w:color w:val="auto"/>
        </w:rPr>
      </w:pPr>
    </w:p>
    <w:p>
      <w:pPr>
        <w:ind w:left="720" w:hanging="667"/>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8"/>
          <w:szCs w:val="18"/>
          <w:i w:val="1"/>
          <w:iCs w:val="1"/>
          <w:color w:val="auto"/>
        </w:rPr>
        <w:t>Defined</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 – Other Postretirement</w:t>
      </w:r>
      <w:r>
        <w:rPr>
          <w:rFonts w:ascii="Arial" w:cs="Arial" w:eastAsia="Arial" w:hAnsi="Arial"/>
          <w:sz w:val="18"/>
          <w:szCs w:val="18"/>
          <w:color w:val="auto"/>
        </w:rPr>
        <w:t>.</w:t>
      </w:r>
    </w:p>
    <w:p>
      <w:pPr>
        <w:spacing w:after="0" w:line="208"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ordinary shares outstanding for basic net income per ordinary share</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60,379,338</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59,718,934</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58,636,878</w:t>
            </w: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691,348</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918,169</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1,263,626</w:t>
            </w:r>
          </w:p>
        </w:tc>
      </w:tr>
      <w:tr>
        <w:trPr>
          <w:trHeight w:val="257"/>
        </w:trPr>
        <w:tc>
          <w:tcPr>
            <w:tcW w:w="20" w:type="dxa"/>
            <w:vAlign w:val="bottom"/>
          </w:tcPr>
          <w:p>
            <w:pPr>
              <w:spacing w:after="0"/>
              <w:rPr>
                <w:sz w:val="22"/>
                <w:szCs w:val="22"/>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Weighted average number of ordinary shares outstanding for diluted net income per ordinary share</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61,070,686</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60,637,103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59,900,504</w:t>
            </w:r>
          </w:p>
        </w:tc>
      </w:tr>
      <w:tr>
        <w:trPr>
          <w:trHeight w:val="601"/>
        </w:trPr>
        <w:tc>
          <w:tcPr>
            <w:tcW w:w="7460" w:type="dxa"/>
            <w:vAlign w:val="bottom"/>
            <w:gridSpan w:val="2"/>
          </w:tcPr>
          <w:p>
            <w:pPr>
              <w:jc w:val="right"/>
              <w:ind w:right="1570"/>
              <w:spacing w:after="0"/>
              <w:rPr>
                <w:sz w:val="20"/>
                <w:szCs w:val="20"/>
                <w:color w:val="auto"/>
              </w:rPr>
            </w:pPr>
            <w:r>
              <w:rPr>
                <w:rFonts w:ascii="Arial" w:cs="Arial" w:eastAsia="Arial" w:hAnsi="Arial"/>
                <w:sz w:val="18"/>
                <w:szCs w:val="18"/>
                <w:color w:val="auto"/>
              </w:rPr>
              <w:t>79</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ind w:left="720" w:hanging="71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its share options in accordance with the provisions of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Share-based compensation expense for equity-settled awards made to employees and directors is measured and recognized based on estimated grant date fair values. These awards include employee stock options.</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Share-based compensation expense for stock options awarded to employees and directors is estimated at the grant date based on each option’s fair value as calculated using the Black-Scholes option-pricing model. The value of awards expected to vest is recognized as an expense over the requisite service periods.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Estimating the fair value of share-based awards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08"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15" w:lineRule="exact"/>
        <w:rPr>
          <w:sz w:val="20"/>
          <w:szCs w:val="20"/>
          <w:color w:val="auto"/>
        </w:rPr>
      </w:pPr>
    </w:p>
    <w:p>
      <w:pPr>
        <w:ind w:left="760" w:hanging="707"/>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3. Short term investments - available for sale</w:t>
            </w: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At start of period/year</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Additions</w:t>
            </w:r>
          </w:p>
        </w:tc>
        <w:tc>
          <w:tcPr>
            <w:tcW w:w="27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56,000</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gain/(loss) - investments</w:t>
            </w:r>
          </w:p>
        </w:tc>
        <w:tc>
          <w:tcPr>
            <w:tcW w:w="2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period/year</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54,940</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classifies its short term investments as available for sale. Short term investments comprise highly liquid investments with maturities of greater than three months and minimum “A+” rated fixed and floating rate securities. The investments are reported at fair value with unrealized gains or losses reported in a separate component of shareholders’ equity. Any differences between the cost and fair value of investments are represented by accrued interest. The fair value of short term investments are represented by level 1 fair value measurements – quoted prices in active markets for identical assets.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4. Goodwill</w:t>
            </w:r>
          </w:p>
        </w:tc>
        <w:tc>
          <w:tcPr>
            <w:tcW w:w="3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175,860</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173,568</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3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83,656</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3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r>
      <w:tr>
        <w:trPr>
          <w:trHeight w:val="257"/>
        </w:trPr>
        <w:tc>
          <w:tcPr>
            <w:tcW w:w="20" w:type="dxa"/>
            <w:vAlign w:val="bottom"/>
          </w:tcPr>
          <w:p>
            <w:pPr>
              <w:spacing w:after="0"/>
              <w:rPr>
                <w:sz w:val="22"/>
                <w:szCs w:val="22"/>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goodwill</w:t>
            </w: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253,393</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175,860</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made a number of strategic acquisitions since its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acquired workforce in place which does not qualify for recognition as an asset apart from goodwill.</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tests goodwill annually for any impairments or whenever events occur which may indicate impairment. The results of the Company’s goodwill impairment testing during the year ended December 31, 2011, indicated the existence of sufficient headroom such that a reasonably possible change to the key assumptions used would be unlikely to result in an impairment of the related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Firecrest Clinical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($24.1million). Headquartered in Limerick, Ireland, Firecrest Clinical provides a comprehensive site performance management system that is used to improve compliance consistency and execution of activities at investigative sites. Further consideration of up to €33.0 million ($46.8 million) may become payable if certain performance milestones are achieved in the period to June 30, 2013. At December 31, 2011 the Company has recorded a liability of €31.3 million ($40.6 million) in relation to these performance milestones.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Firecrest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July 14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Goodwill</w:t>
            </w:r>
          </w:p>
        </w:tc>
        <w:tc>
          <w:tcPr>
            <w:tcW w:w="3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48,073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3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3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5,243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3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3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current assets</w:t>
            </w:r>
          </w:p>
        </w:tc>
        <w:tc>
          <w:tcPr>
            <w:tcW w:w="3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3,713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57"/>
        </w:trPr>
        <w:tc>
          <w:tcPr>
            <w:tcW w:w="20" w:type="dxa"/>
            <w:vAlign w:val="bottom"/>
          </w:tcPr>
          <w:p>
            <w:pPr>
              <w:spacing w:after="0"/>
              <w:rPr>
                <w:sz w:val="22"/>
                <w:szCs w:val="22"/>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68,491</w:t>
            </w: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auto"/>
        </w:rPr>
        <w:t>The proforma effect of the Firecrest acquisition if completed on January 1, 2010 would have resulted in net revenue, net income and earnings per share for the fiscal years ended December 31, 2010 and December 31, 2011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December 31,</w:t>
            </w:r>
          </w:p>
        </w:tc>
        <w:tc>
          <w:tcPr>
            <w:tcW w:w="7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4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952,729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906,311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3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25,851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86,127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Oxford Outcomes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14, 2011 the Company acquired approximately 80% of the common stock of Oxford Outcomes Limited (“Oxford Outcomes”), a leading international health outcomes consultancy business, for an initial cash consideration of £17.8 million ($27.6 million). Headquartered in Oxford, United Kingdom, and with offices in the USA and Canada, Oxford Outcomes provides specialist services in the areas of patient reported outcomes (PRO), health economics, epidemiology and translation and linguistic validation. Further consideration of up to £6.5 million ($10.1 million) may become payable during the period to March 31, 2012 if certain performance milestones are achieved. In July 2011 the Company paid £3.3 million ($5.1 million) in respect of the first element of this additional consideration. The Company has recorded a liability of £3.2 million ($4.9 million) at December 31, 2011 in respect of the remaining performance milestones. The acquisition agreement also provided for certain working capital targets to be achieved by Oxford Outcomes on completion. In May 2011 the Company paid an additional £3.3 million ($5.1 million) in respect of certain elements of this review. A liability for a further £0.8 million ($1.2 million) was recorded at December 31, 2011 relating to additional amounts payable in respect of the remaining elements of this review.</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14, 2011 a put and call option was also agreed between the Company and the selling shareholders for the acquisition of the remaining common stock of Oxford Outcomes during the year ended December 31, 2011 for cash consideration of £3.8 million ($6.0 million). Further consideration of up to £1.5 million ($2.3 million) relating to this remaining common stock may become payable during the period to March 31, 2012 if certain performance milestones are achieved. On October 20, 2011 this option was exercised and £3.8 million ($6.0 million) was paid by the Company to the selling shareholders together with a further £0.7 million ($1.1 million) in respect of the first element of amounts due in respect of the performance milestones. The Company has recorded a liability of £0.8 million ($1.2 million) at December 31, 2011 in respect of the remaining performance milestones.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January 14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Goodwill</w:t>
            </w:r>
          </w:p>
        </w:tc>
        <w:tc>
          <w:tcPr>
            <w:tcW w:w="49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35,583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4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49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current assets</w:t>
            </w:r>
          </w:p>
        </w:tc>
        <w:tc>
          <w:tcPr>
            <w:tcW w:w="49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4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52,335</w:t>
            </w:r>
          </w:p>
        </w:tc>
        <w:tc>
          <w:tcPr>
            <w:tcW w:w="560" w:type="dxa"/>
            <w:vAlign w:val="bottom"/>
          </w:tcPr>
          <w:p>
            <w:pPr>
              <w:spacing w:after="0"/>
              <w:rPr>
                <w:sz w:val="22"/>
                <w:szCs w:val="22"/>
                <w:color w:val="auto"/>
              </w:rPr>
            </w:pPr>
          </w:p>
        </w:tc>
      </w:tr>
      <w:tr>
        <w:trPr>
          <w:trHeight w:val="601"/>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jc w:val="right"/>
              <w:ind w:right="3590"/>
              <w:spacing w:after="0"/>
              <w:rPr>
                <w:sz w:val="20"/>
                <w:szCs w:val="20"/>
                <w:color w:val="auto"/>
              </w:rPr>
            </w:pPr>
            <w:r>
              <w:rPr>
                <w:rFonts w:ascii="Arial" w:cs="Arial" w:eastAsia="Arial" w:hAnsi="Arial"/>
                <w:sz w:val="18"/>
                <w:szCs w:val="18"/>
                <w:color w:val="auto"/>
              </w:rPr>
              <w:t>82</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8"/>
          <w:szCs w:val="18"/>
          <w:color w:val="auto"/>
        </w:rPr>
        <w:t>Goodwill represents the cost of established workforce with experience in specialist services in the areas of patient reported outcomes (PRO), health economics, epidemiology and translation and linguistic validation and is not tax deductible.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Oxford Outcomes acquisition if completed on January 1, 2010 would have resulted in net revenue, net income and earnings per share for the fiscal years ended December 31, 2010 and December 31, 2011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December 31,</w:t>
            </w:r>
          </w:p>
        </w:tc>
        <w:tc>
          <w:tcPr>
            <w:tcW w:w="7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4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945,729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919,524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3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22,880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91,524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Prior Period Acquisitions of Timaq Medical Imaging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located in Zurich, Switzerland. The Company was acquired for an initial cash consideration of CHF 1.3 million ($1.2 million), with additional consideration of up to CHF 2.9 million ($2.6 million) payable if certain performance milestones are achieved by the Company. The Company accrued CHF 2.9 million ($2.6 million) in relation to the additional consideration at date of acquisition.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5, 2010 the first element of these performance milestones was achieved requiring deferred payments of CHF 0.3 million ($0.3 million) to the selling shareholders in each of the years ended December 31, 2010, December 31, 2011 and December 31, 2012. As at December 31, 2011 CHF 0.6 million ($0.6 million) has been paid by the Company and a further CHF 0.3 million ($0.3 million) has been recorded as a liability in respect of the 2012 payment. Further consideration of up to CHF 2.0 million is payable if the remaining performance milestones are achieved during the years ended December 31, 2010 to December 31, 2012. During the year ended December 31, 2011 the Company assessed the likelihood of the remaining milestones being achieved as remote and consequently has released CHF 2.0 million ($1.7 million) previously accrued in relation to these milestones</w:t>
      </w:r>
      <w:r>
        <w:rPr>
          <w:rFonts w:ascii="Arial" w:cs="Arial" w:eastAsia="Arial" w:hAnsi="Arial"/>
          <w:sz w:val="17"/>
          <w:szCs w:val="17"/>
          <w:i w:val="1"/>
          <w:iCs w:val="1"/>
          <w:color w:val="auto"/>
        </w:rPr>
        <w: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May 17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Goodwill</w:t>
            </w: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current assets</w:t>
            </w: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3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3,823</w:t>
            </w:r>
          </w:p>
        </w:tc>
      </w:tr>
      <w:tr>
        <w:trPr>
          <w:trHeight w:val="21"/>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pharmaceutical and biotechnology customers in the European market.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ind w:right="120"/>
        <w:spacing w:after="0" w:line="277" w:lineRule="auto"/>
        <w:rPr>
          <w:sz w:val="20"/>
          <w:szCs w:val="20"/>
          <w:color w:val="auto"/>
        </w:rPr>
      </w:pPr>
      <w:r>
        <w:rPr>
          <w:rFonts w:ascii="Arial" w:cs="Arial" w:eastAsia="Arial" w:hAnsi="Arial"/>
          <w:sz w:val="18"/>
          <w:szCs w:val="18"/>
          <w:color w:val="auto"/>
        </w:rPr>
        <w:t>The proforma effect of the Timaq Medical Imaging acquisition if completed on January 1, 2009 would have resulted in net revenue, net income and earnings per share for the fiscal years ended December 31, 2009 and December 31, 2010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December 31,</w:t>
            </w:r>
          </w:p>
        </w:tc>
        <w:tc>
          <w:tcPr>
            <w:tcW w:w="7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4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900,370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888,929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3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86,594</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93,332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Prior Period Acquisitions - Acquisition of Healthcare Discoveries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$11.1 million, excluding costs of acquisition. Healthcare Discoveries, located in San Antonio, Texas, is engaged in the provision of Phase I clinical trial services. Certain performance milestones were built into the acquisition agreement requiring payment of additional consideration of up to $10.0 million if these milestones were achieved during the year ended December 31, 2008. On September 3, 2010 $2.2 million was paid to the former shareholders of Healthcare Discoveries Inc. in full and final settlement of the outstanding consideration payable.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Healthcare Discoveries has been accounted for as a business combination in accordance with FASB Statement No. 141.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 11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Intangible assets</w:t>
            </w: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2,890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Cash</w:t>
            </w:r>
          </w:p>
        </w:tc>
        <w:tc>
          <w:tcPr>
            <w:tcW w:w="35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liabilities</w:t>
            </w:r>
          </w:p>
        </w:tc>
        <w:tc>
          <w:tcPr>
            <w:tcW w:w="3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57"/>
        </w:trPr>
        <w:tc>
          <w:tcPr>
            <w:tcW w:w="20" w:type="dxa"/>
            <w:vAlign w:val="bottom"/>
          </w:tcPr>
          <w:p>
            <w:pPr>
              <w:spacing w:after="0"/>
              <w:rPr>
                <w:sz w:val="22"/>
                <w:szCs w:val="22"/>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14,270</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5. Intangible Assets</w:t>
            </w:r>
          </w:p>
        </w:tc>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3320" w:type="dxa"/>
            <w:vAlign w:val="bottom"/>
          </w:tcPr>
          <w:p>
            <w:pPr>
              <w:spacing w:after="0"/>
              <w:rPr>
                <w:sz w:val="20"/>
                <w:szCs w:val="20"/>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acquired</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22,193</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12,337</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Technology asset acquired</w:t>
            </w: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11,169</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Tradenames acquired</w:t>
            </w: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1,357</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Volunteer list acquired</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1,325</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37,576</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15,077</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(9,467)</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(6,933)</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28,260</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8,278</w:t>
            </w:r>
          </w:p>
        </w:tc>
      </w:tr>
      <w:tr>
        <w:trPr>
          <w:trHeight w:val="21"/>
        </w:trPr>
        <w:tc>
          <w:tcPr>
            <w:tcW w:w="20" w:type="dxa"/>
            <w:vAlign w:val="bottom"/>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14, 2011 the Company acquired 100% of the common stock of Firecrest Clinical Limited, a market leading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certain tradenames and order backlog identified of $1.4 million and $1.2 million respectively are being amortized over approximately 4.5 and 1.2 years, the estimated period of benefit. $1,486,000 has been amortized in the period since the date of acquisition.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14, 2011 the Company acquired approximately 80% of the common stock of Oxford Outcomes Limited, a leading international health outcomes consultancy business. The value of certain customer relationships and order backlog identified of $6.6 million and $0.6 million respectively are being amortized over approximately 6.5 and 2 years, the estimated period of benefit. $1,087,000 has been amortized in the period since the date of acquisition. A put and call option was also agreed between the Company and the selling shareholders for the acquisition of the remaining common stock of Oxford Outcomes Limited.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The value of certain client relationships identified of $0.8 million is being amortized over approximately 3 years, the estimated period of benefit. $417,000 has been amortized in the period since the date of acquisition.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2009 the Company completed the acquisitions of Qualia Clinical Services, Inc, a US provider of Phase I clinical trial services and Veeda Laboratories Limited, a specialist provider of biomarker laboratory services. The value of certain client relationships identified of $0.4 million is being amortized over approximately 3 years, the estimated period of benefit. $330,000 has been amortized in the period since the date of acquisition.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2004 the Company acquired 70% of the common stock of Beacon Biosciences Inc, a US provider of advanced imaging services. On December 31, 2008 the remaining 30% of the common stock was acquired by the Company. The value of certain customer relationships and order backlog identified of $0.2 million and $1.5 million respectively are being amortized over approximately 3 years, the estimated period of benefit. $1,710,000 has been amortized in the period since the date of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14, 2008 the Company acquired Prevalere Life Sciences, a US provider of bioanalytical and immunoassay laboratory services. The value of certain customer relationships identified of $7.4 million is being amortized over periods ranging from approximately 7 to 11 years, the estimated period of the benefit. $2,532,000 has been amortized in the period since the date of acquisition.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11, 2008 the Company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$1,896,000 has been amortized in the period since the date of acquisition.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Future intangible asset amortization expense for the years ended December 31, 2012 to December 31, 2016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2013</w:t>
            </w: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2015</w:t>
            </w: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22,693</w:t>
            </w:r>
          </w:p>
        </w:tc>
        <w:tc>
          <w:tcPr>
            <w:tcW w:w="0" w:type="dxa"/>
            <w:vAlign w:val="bottom"/>
          </w:tcPr>
          <w:p>
            <w:pPr>
              <w:spacing w:after="0"/>
              <w:rPr>
                <w:sz w:val="1"/>
                <w:szCs w:val="1"/>
                <w:color w:val="auto"/>
              </w:rPr>
            </w:pPr>
          </w:p>
        </w:tc>
      </w:tr>
      <w:tr>
        <w:trPr>
          <w:trHeight w:val="459"/>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2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2700" w:type="dxa"/>
            <w:vAlign w:val="bottom"/>
          </w:tcPr>
          <w:p>
            <w:pPr>
              <w:spacing w:after="0"/>
              <w:rPr>
                <w:sz w:val="20"/>
                <w:szCs w:val="20"/>
                <w:color w:val="auto"/>
              </w:rPr>
            </w:pPr>
          </w:p>
        </w:tc>
        <w:tc>
          <w:tcPr>
            <w:tcW w:w="25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620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Building</w:t>
            </w: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93,011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178,477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62,454</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32,134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9,430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380,178</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asset write off</w:t>
            </w:r>
          </w:p>
        </w:tc>
        <w:tc>
          <w:tcPr>
            <w:tcW w:w="2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(211,717)</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168,461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170,861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Total cost at December 31, 2011 includes $nil (2010: $825,000), which relates to assets held under capital finance leases. Related accumulated depreciation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amounted to $nil (2010: $518,000).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4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7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4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54,983</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Facility related liabilities</w:t>
            </w:r>
          </w:p>
        </w:tc>
        <w:tc>
          <w:tcPr>
            <w:tcW w:w="4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14,776</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11,666</w:t>
            </w: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40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liabilities</w:t>
            </w:r>
          </w:p>
        </w:tc>
        <w:tc>
          <w:tcPr>
            <w:tcW w:w="4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5,202</w:t>
            </w: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w:t>
            </w:r>
          </w:p>
        </w:tc>
        <w:tc>
          <w:tcPr>
            <w:tcW w:w="40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Restructuring provisions (note 14)</w:t>
            </w:r>
          </w:p>
        </w:tc>
        <w:tc>
          <w:tcPr>
            <w:tcW w:w="4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3,874</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consideration payable</w:t>
            </w:r>
          </w:p>
        </w:tc>
        <w:tc>
          <w:tcPr>
            <w:tcW w:w="40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2,712</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Share repurchase program</w:t>
            </w:r>
          </w:p>
        </w:tc>
        <w:tc>
          <w:tcPr>
            <w:tcW w:w="4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 term finance leases (note 16)</w:t>
            </w:r>
          </w:p>
        </w:tc>
        <w:tc>
          <w:tcPr>
            <w:tcW w:w="40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480" w:type="dxa"/>
            <w:vAlign w:val="bottom"/>
            <w:tcBorders>
              <w:bottom w:val="single" w:sz="8" w:color="auto"/>
            </w:tcBorders>
            <w:shd w:val="clear" w:color="auto" w:fill="CCEEFF"/>
          </w:tcPr>
          <w:p>
            <w:pPr>
              <w:spacing w:after="0"/>
              <w:rPr>
                <w:sz w:val="22"/>
                <w:szCs w:val="22"/>
                <w:color w:val="auto"/>
              </w:rPr>
            </w:pPr>
          </w:p>
        </w:tc>
        <w:tc>
          <w:tcPr>
            <w:tcW w:w="4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99,199</w:t>
            </w:r>
          </w:p>
        </w:tc>
      </w:tr>
      <w:tr>
        <w:trPr>
          <w:trHeight w:val="601"/>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20" w:type="dxa"/>
            <w:vAlign w:val="bottom"/>
          </w:tcPr>
          <w:p>
            <w:pPr>
              <w:jc w:val="right"/>
              <w:ind w:right="2770"/>
              <w:spacing w:after="0"/>
              <w:rPr>
                <w:sz w:val="20"/>
                <w:szCs w:val="20"/>
                <w:color w:val="auto"/>
              </w:rPr>
            </w:pPr>
            <w:r>
              <w:rPr>
                <w:rFonts w:ascii="Arial" w:cs="Arial" w:eastAsia="Arial" w:hAnsi="Arial"/>
                <w:sz w:val="18"/>
                <w:szCs w:val="18"/>
                <w:color w:val="auto"/>
              </w:rPr>
              <w:t>86</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8. Other Non-Current Liabilities</w:t>
            </w:r>
          </w:p>
        </w:tc>
        <w:tc>
          <w:tcPr>
            <w:tcW w:w="3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7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obligations, net (note 9)</w:t>
            </w:r>
          </w:p>
        </w:tc>
        <w:tc>
          <w:tcPr>
            <w:tcW w:w="3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Acquisition consideration payable</w:t>
            </w:r>
          </w:p>
        </w:tc>
        <w:tc>
          <w:tcPr>
            <w:tcW w:w="3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11,903</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3,676</w:t>
            </w: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980" w:type="dxa"/>
            <w:vAlign w:val="bottom"/>
            <w:tcBorders>
              <w:bottom w:val="single" w:sz="8" w:color="auto"/>
            </w:tcBorders>
            <w:shd w:val="clear" w:color="auto" w:fill="CCEEFF"/>
          </w:tcPr>
          <w:p>
            <w:pPr>
              <w:spacing w:after="0"/>
              <w:rPr>
                <w:sz w:val="22"/>
                <w:szCs w:val="22"/>
                <w:color w:val="auto"/>
              </w:rPr>
            </w:pPr>
          </w:p>
        </w:tc>
        <w:tc>
          <w:tcPr>
            <w:tcW w:w="3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r>
      <w:tr>
        <w:trPr>
          <w:trHeight w:val="601"/>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520" w:type="dxa"/>
            <w:vAlign w:val="bottom"/>
          </w:tcPr>
          <w:p>
            <w:pPr>
              <w:jc w:val="right"/>
              <w:ind w:right="2770"/>
              <w:spacing w:after="0"/>
              <w:rPr>
                <w:sz w:val="20"/>
                <w:szCs w:val="20"/>
                <w:color w:val="auto"/>
              </w:rPr>
            </w:pPr>
            <w:r>
              <w:rPr>
                <w:rFonts w:ascii="Arial" w:cs="Arial" w:eastAsia="Arial" w:hAnsi="Arial"/>
                <w:sz w:val="18"/>
                <w:szCs w:val="18"/>
                <w:color w:val="auto"/>
              </w:rPr>
              <w:t>87</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9. Employee Benefits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years ended December 31, 2009, December 31, 2010 and December 31, 2011 were $14,241,000, $14,206,000 and $16,644,000 respectively.</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2009, December 31, 2010 and December 31, 2011 were $5,189,000, $6,603,000 and $7,064,000 respectively.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One of the Company’s subsidiaries which was acquired during the 2003 fiscal year,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2011, December 31, 2010 and December 31, 2009,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 The plan has been closed to new entrants with effect from July 1, 2003.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2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16,482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13,686</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Service cost</w:t>
            </w: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Actuarial loss</w:t>
            </w: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2,621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2,232</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2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2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2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19,924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16,482</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15,499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2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15,021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Funded status</w:t>
            </w:r>
          </w:p>
        </w:tc>
        <w:tc>
          <w:tcPr>
            <w:tcW w:w="28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2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15,021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cost/(credit)</w:t>
            </w:r>
          </w:p>
        </w:tc>
        <w:tc>
          <w:tcPr>
            <w:tcW w:w="12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cost</w:t>
            </w:r>
          </w:p>
        </w:tc>
        <w:tc>
          <w:tcPr>
            <w:tcW w:w="12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2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23"/>
        </w:trPr>
        <w:tc>
          <w:tcPr>
            <w:tcW w:w="20" w:type="dxa"/>
            <w:vAlign w:val="bottom"/>
          </w:tcPr>
          <w:p>
            <w:pPr>
              <w:spacing w:after="0"/>
              <w:rPr>
                <w:sz w:val="19"/>
                <w:szCs w:val="19"/>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net (gain)/loss</w:t>
            </w:r>
          </w:p>
        </w:tc>
        <w:tc>
          <w:tcPr>
            <w:tcW w:w="1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(credit)/cost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used at the commencement of the year in determining the net periodic pension benefit cost/(credit)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December 31, 2010 and December 31,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Year ended</w:t>
            </w:r>
          </w:p>
        </w:tc>
        <w:tc>
          <w:tcPr>
            <w:tcW w:w="132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9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380" w:type="dxa"/>
            <w:vAlign w:val="bottom"/>
          </w:tcPr>
          <w:p>
            <w:pPr>
              <w:spacing w:after="0"/>
              <w:rPr>
                <w:sz w:val="20"/>
                <w:szCs w:val="20"/>
                <w:color w:val="auto"/>
              </w:rPr>
            </w:pPr>
          </w:p>
        </w:tc>
        <w:tc>
          <w:tcPr>
            <w:tcW w:w="2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9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8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Prior service costs recognized in other comprehensive income</w:t>
            </w:r>
          </w:p>
        </w:tc>
        <w:tc>
          <w:tcPr>
            <w:tcW w:w="8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actuarial loss recognized in net periodic benefit cost</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costs recognized in net periodic benefit cost</w:t>
            </w:r>
          </w:p>
        </w:tc>
        <w:tc>
          <w:tcPr>
            <w:tcW w:w="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$nil and $nil respectively.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Amounts recognized in accumulated other comprehensive income that has not yet been recognized as components of net periodic benefit cost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(gain)/loss</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r>
      <w:tr>
        <w:trPr>
          <w:trHeight w:val="459"/>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Benefit Obligation</w:t>
            </w: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7240" w:type="dxa"/>
            <w:vAlign w:val="bottom"/>
            <w:gridSpan w:val="4"/>
          </w:tcPr>
          <w:p>
            <w:pPr>
              <w:spacing w:after="0"/>
              <w:rPr>
                <w:sz w:val="20"/>
                <w:szCs w:val="20"/>
                <w:color w:val="auto"/>
              </w:rPr>
            </w:pPr>
            <w:r>
              <w:rPr>
                <w:rFonts w:ascii="Arial" w:cs="Arial" w:eastAsia="Arial" w:hAnsi="Arial"/>
                <w:sz w:val="18"/>
                <w:szCs w:val="18"/>
                <w:color w:val="auto"/>
                <w:w w:val="92"/>
              </w:rPr>
              <w:t>The following assumptions were used in determining the benefit obligation at December 31, 2011:</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AA 15 year plus return.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assets of the scheme are invested in the Legal and General Global Equity and Fixed Index Fund. The aim of this fund is to capture the returns on UK and overseas equity markets with a more even investment in UK and overseas equities than would be provided by reference to market capitalization or consensus weights.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long-term rate of return on assets at December 31, 2011 of 5.8% was calculated as the value of the fund after application of a market value reduction factor.</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2011 UK gilts were yielding around 2.8%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year plus return.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color w:val="auto"/>
                <w:w w:val="93"/>
              </w:rPr>
              <w:t>The expected long term rates of return on different asset classes over the long term are as follows:</w:t>
            </w:r>
          </w:p>
        </w:tc>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1"/>
        </w:trPr>
        <w:tc>
          <w:tcPr>
            <w:tcW w:w="73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13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1"/>
              </w:rPr>
              <w:t>Expected long-term</w:t>
            </w:r>
          </w:p>
        </w:tc>
      </w:tr>
      <w:tr>
        <w:trPr>
          <w:trHeight w:val="234"/>
        </w:trPr>
        <w:tc>
          <w:tcPr>
            <w:tcW w:w="7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return per annum</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459"/>
        </w:trPr>
        <w:tc>
          <w:tcPr>
            <w:tcW w:w="734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1"/>
        </w:trPr>
        <w:tc>
          <w:tcPr>
            <w:tcW w:w="73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at December 31, 2011, gives rise to an expected overall rate of return of scheme assets of approximately 5.8% per annum.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Plan Asset Fair Value Measurements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Quoted Prices in Active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Markets for Identical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Equity Securities</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Legal and General UK Equity Index</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North America Equity Index</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Legal and General Europe (ex UK) Equity Index</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Japan Equity Index</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Legal and General Asia Pac (ex Japan) Equity Index</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60" w:type="dxa"/>
            <w:vAlign w:val="bottom"/>
            <w:gridSpan w:val="4"/>
          </w:tcPr>
          <w:p>
            <w:pPr>
              <w:spacing w:after="0" w:line="176" w:lineRule="exact"/>
              <w:rPr>
                <w:sz w:val="20"/>
                <w:szCs w:val="20"/>
                <w:color w:val="auto"/>
              </w:rPr>
            </w:pPr>
            <w:r>
              <w:rPr>
                <w:rFonts w:ascii="Arial" w:cs="Arial" w:eastAsia="Arial" w:hAnsi="Arial"/>
                <w:sz w:val="18"/>
                <w:szCs w:val="18"/>
                <w:color w:val="auto"/>
              </w:rPr>
              <w:t>Fixed Income Securities</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over 15 year Gilts Index</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Legal and General AAA-AA-A Bonds Over 15 year Index</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Legal and General over 5 year Index-Linked Gilts Index</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459"/>
        </w:trPr>
        <w:tc>
          <w:tcPr>
            <w:tcW w:w="7980" w:type="dxa"/>
            <w:vAlign w:val="bottom"/>
            <w:gridSpan w:val="5"/>
          </w:tcPr>
          <w:p>
            <w:pPr>
              <w:spacing w:after="0"/>
              <w:rPr>
                <w:sz w:val="20"/>
                <w:szCs w:val="20"/>
                <w:color w:val="auto"/>
              </w:rPr>
            </w:pPr>
            <w:r>
              <w:rPr>
                <w:rFonts w:ascii="Arial" w:cs="Arial" w:eastAsia="Arial" w:hAnsi="Arial"/>
                <w:sz w:val="18"/>
                <w:szCs w:val="18"/>
                <w:b w:val="1"/>
                <w:bCs w:val="1"/>
                <w:color w:val="auto"/>
              </w:rPr>
              <w:t>Cash Flows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gridSpan w:val="5"/>
          </w:tcPr>
          <w:p>
            <w:pPr>
              <w:spacing w:after="0"/>
              <w:rPr>
                <w:sz w:val="20"/>
                <w:szCs w:val="20"/>
                <w:color w:val="auto"/>
              </w:rPr>
            </w:pPr>
            <w:r>
              <w:rPr>
                <w:rFonts w:ascii="Arial" w:cs="Arial" w:eastAsia="Arial" w:hAnsi="Arial"/>
                <w:sz w:val="18"/>
                <w:szCs w:val="18"/>
                <w:color w:val="auto"/>
                <w:w w:val="93"/>
              </w:rPr>
              <w:t>The Company expects to contribute $0.3 million to its pension fund in the year ending December 31, 2012.</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20" w:type="dxa"/>
            <w:vAlign w:val="bottom"/>
            <w:gridSpan w:val="7"/>
          </w:tcPr>
          <w:p>
            <w:pPr>
              <w:spacing w:after="0"/>
              <w:rPr>
                <w:sz w:val="20"/>
                <w:szCs w:val="20"/>
                <w:color w:val="auto"/>
              </w:rPr>
            </w:pPr>
            <w:r>
              <w:rPr>
                <w:rFonts w:ascii="Arial" w:cs="Arial" w:eastAsia="Arial" w:hAnsi="Arial"/>
                <w:sz w:val="18"/>
                <w:szCs w:val="18"/>
                <w:color w:val="auto"/>
                <w:w w:val="96"/>
              </w:rPr>
              <w:t>The following annual benefit payments, which reflect expected future service, as appropriate, are expected to be paid.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2012</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2013</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2014</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2015</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2016</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Years 2017 - 2021</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10. Share Options and Stock Compensation Charges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2011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2011, December 31,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76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760" w:type="dxa"/>
            <w:vAlign w:val="bottom"/>
          </w:tcPr>
          <w:p>
            <w:pPr>
              <w:jc w:val="right"/>
              <w:ind w:right="210"/>
              <w:spacing w:after="0"/>
              <w:rPr>
                <w:sz w:val="20"/>
                <w:szCs w:val="20"/>
                <w:color w:val="auto"/>
              </w:rPr>
            </w:pPr>
            <w:r>
              <w:rPr>
                <w:rFonts w:ascii="Arial" w:cs="Arial" w:eastAsia="Arial" w:hAnsi="Arial"/>
                <w:sz w:val="18"/>
                <w:szCs w:val="18"/>
                <w:b w:val="1"/>
                <w:bCs w:val="1"/>
                <w:color w:val="auto"/>
              </w:rPr>
              <w:t>Granted</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Under Plans</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5,222,263</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5,222,263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2760" w:type="dxa"/>
            <w:vAlign w:val="bottom"/>
          </w:tcPr>
          <w:p>
            <w:pPr>
              <w:jc w:val="right"/>
              <w:ind w:right="210"/>
              <w:spacing w:after="0"/>
              <w:rPr>
                <w:sz w:val="20"/>
                <w:szCs w:val="20"/>
                <w:color w:val="auto"/>
              </w:rPr>
            </w:pPr>
            <w:r>
              <w:rPr>
                <w:rFonts w:ascii="Arial" w:cs="Arial" w:eastAsia="Arial" w:hAnsi="Arial"/>
                <w:sz w:val="18"/>
                <w:szCs w:val="18"/>
                <w:color w:val="auto"/>
              </w:rPr>
              <w:t>932,133</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932,133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(489,370)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(489,370)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(256,804)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(256,804)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5,408,222</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5,408,222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2760" w:type="dxa"/>
            <w:vAlign w:val="bottom"/>
          </w:tcPr>
          <w:p>
            <w:pPr>
              <w:jc w:val="right"/>
              <w:ind w:right="210"/>
              <w:spacing w:after="0"/>
              <w:rPr>
                <w:sz w:val="20"/>
                <w:szCs w:val="20"/>
                <w:color w:val="auto"/>
              </w:rPr>
            </w:pPr>
            <w:r>
              <w:rPr>
                <w:rFonts w:ascii="Arial" w:cs="Arial" w:eastAsia="Arial" w:hAnsi="Arial"/>
                <w:sz w:val="18"/>
                <w:szCs w:val="18"/>
                <w:color w:val="auto"/>
              </w:rPr>
              <w:t>1,038,327</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1,038,327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(1,237,015)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(1,237,015)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(410,857)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(410,857)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4,798,677</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4,798,677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2760" w:type="dxa"/>
            <w:vAlign w:val="bottom"/>
          </w:tcPr>
          <w:p>
            <w:pPr>
              <w:jc w:val="right"/>
              <w:ind w:right="210"/>
              <w:spacing w:after="0"/>
              <w:rPr>
                <w:sz w:val="20"/>
                <w:szCs w:val="20"/>
                <w:color w:val="auto"/>
              </w:rPr>
            </w:pPr>
            <w:r>
              <w:rPr>
                <w:rFonts w:ascii="Arial" w:cs="Arial" w:eastAsia="Arial" w:hAnsi="Arial"/>
                <w:sz w:val="18"/>
                <w:szCs w:val="18"/>
                <w:color w:val="auto"/>
              </w:rPr>
              <w:t>989,449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989,449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(430,340)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(430,340)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(454,968)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(454,968)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4,902,818</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4,902,818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exercisable at December 31, 2011</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2,368,508</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2,368,508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2011, was 4.68 years and 3.26 years respectively. 854,424 options are expected to vest during the year ended December 31, 2012.</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intrinsic value of options exercised during the year ended December 31, 2011 amounted to $2.9 million. The intrinsic value of options outstanding and options exercisable at December 31, 2011 amounted to $6.0 million and $5.9 million respectively. Intrinsic value is calculated based on the market value of the Company’s shares at December 31,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Non vested shares outstanding as at December 31, 2011 are as follows:</w:t>
            </w:r>
          </w:p>
        </w:tc>
        <w:tc>
          <w:tcPr>
            <w:tcW w:w="1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Average Exercise</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2,673,674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989,449</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19.66</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(836,737)</w:t>
            </w:r>
          </w:p>
        </w:tc>
        <w:tc>
          <w:tcPr>
            <w:tcW w:w="4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(292,076)</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2011</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2,534,310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6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jc w:val="right"/>
              <w:ind w:right="870"/>
              <w:spacing w:after="0"/>
              <w:rPr>
                <w:sz w:val="20"/>
                <w:szCs w:val="20"/>
                <w:color w:val="auto"/>
              </w:rPr>
            </w:pPr>
            <w:r>
              <w:rPr>
                <w:rFonts w:ascii="Arial" w:cs="Arial" w:eastAsia="Arial" w:hAnsi="Arial"/>
                <w:sz w:val="18"/>
                <w:szCs w:val="18"/>
                <w:color w:val="auto"/>
              </w:rPr>
              <w:t>93</w:t>
            </w:r>
          </w:p>
        </w:tc>
        <w:tc>
          <w:tcPr>
            <w:tcW w:w="15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Outstanding and exercisable share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Options Outstanding</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4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Options Exercisable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Range</w:t>
            </w:r>
          </w:p>
        </w:tc>
        <w:tc>
          <w:tcPr>
            <w:tcW w:w="166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46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Weighted</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Exercise</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Remaining</w:t>
            </w:r>
          </w:p>
        </w:tc>
        <w:tc>
          <w:tcPr>
            <w:tcW w:w="46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5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Price</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Contractual Life</w:t>
            </w:r>
          </w:p>
        </w:tc>
        <w:tc>
          <w:tcPr>
            <w:tcW w:w="460" w:type="dxa"/>
            <w:vAlign w:val="bottom"/>
          </w:tcPr>
          <w:p>
            <w:pPr>
              <w:spacing w:after="0"/>
              <w:rPr>
                <w:sz w:val="20"/>
                <w:szCs w:val="20"/>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50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8.60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328,374</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8.60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328,374</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8.60</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8.88</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17,000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0.09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8.88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17,000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8.88</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10.42</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10.42</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10.42</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11.00</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455,653</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11.00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455,653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11.00</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15.47</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15.47</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15.47</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15.84</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103,000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5.33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15.84</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41,200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15.84</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16.80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16.80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16.80</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17.17</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30,000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7.85</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17.17</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17.17</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17.30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17.30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17.30</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18.00</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70,000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2.83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18.00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70,000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18.00</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18.98</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18.98</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18.98</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19.45</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33,000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6.82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19.45</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6,600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19.45</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20.16</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20.16</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20.28</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749,339</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7.17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20.28</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1,500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20.28</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21.25</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664,950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21.25</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523,894</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21.25</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21.76</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3.31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21.76</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21.76</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22.10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22.10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22.10</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22.26</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574,818</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5.15</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22.26</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230,383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22.26</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22.60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3.65</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22.60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22.60</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22.93</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10,000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7.56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22.93</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22.93</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23.06</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6.62</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23.06</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23.06</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23.20</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4,000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6.70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23.20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23.20</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24.25</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24.25</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24.25</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24.46</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651,264</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6.17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24.46</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134,962</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24.46</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26.20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26.20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26.20</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26.27</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2,000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4.81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26.27</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26.27</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27.91</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6.42</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27.91</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27.91</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29.45</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8,000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29.45</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1,600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29.45</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35.33</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808,210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35.33</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489,292</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35.33</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36.05</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6,000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4.40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36.05</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4,500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36.05</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36.20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36.20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36.20</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41.25</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1,000</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4.67</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41.25</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600</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41.25</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8.60 - $41.25</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4,902,818</w:t>
            </w:r>
          </w:p>
        </w:tc>
        <w:tc>
          <w:tcPr>
            <w:tcW w:w="1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21.87</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2,368,508</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20.35</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Options granted at exercise prices ranging from $8.60 to $18.00 have fully vested at December 31, 2011. Substantially all options vest over a five year period from the date of grant.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years ended December 31, 2011, December 31, 2010 and December 31, 2009 was calculated using the Black-Scholes option pricing model. The weighted average fair values and assumptions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w w:val="90"/>
              </w:rPr>
              <w:t>Year Ended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356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7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 years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 years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The Company has awarded restricted Share Units (“RSU’s”) to certain key executives of the Group.</w:t>
      </w:r>
      <w:r>
        <w:rPr>
          <w:sz w:val="20"/>
          <w:szCs w:val="20"/>
          <w:color w:val="auto"/>
        </w:rPr>
        <w:tab/>
      </w:r>
      <w:r>
        <w:rPr>
          <w:rFonts w:ascii="Arial" w:cs="Arial" w:eastAsia="Arial" w:hAnsi="Arial"/>
          <w:sz w:val="17"/>
          <w:szCs w:val="17"/>
          <w:color w:val="auto"/>
        </w:rPr>
        <w:t>Details of RSU’s granted during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were as follows: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 Price on Date</w:t>
            </w:r>
          </w:p>
        </w:tc>
      </w:tr>
      <w:tr>
        <w:trPr>
          <w:trHeight w:val="234"/>
        </w:trPr>
        <w:tc>
          <w:tcPr>
            <w:tcW w:w="3140" w:type="dxa"/>
            <w:vAlign w:val="bottom"/>
          </w:tcPr>
          <w:p>
            <w:pPr>
              <w:jc w:val="right"/>
              <w:ind w:right="570"/>
              <w:spacing w:after="0"/>
              <w:rPr>
                <w:sz w:val="20"/>
                <w:szCs w:val="20"/>
                <w:color w:val="auto"/>
              </w:rPr>
            </w:pPr>
            <w:r>
              <w:rPr>
                <w:rFonts w:ascii="Arial" w:cs="Arial" w:eastAsia="Arial" w:hAnsi="Arial"/>
                <w:sz w:val="18"/>
                <w:szCs w:val="18"/>
                <w:b w:val="1"/>
                <w:bCs w:val="1"/>
                <w:color w:val="auto"/>
              </w:rPr>
              <w:t>RSU’s Awarded</w:t>
            </w:r>
          </w:p>
        </w:tc>
        <w:tc>
          <w:tcPr>
            <w:tcW w:w="2480" w:type="dxa"/>
            <w:vAlign w:val="bottom"/>
          </w:tcPr>
          <w:p>
            <w:pPr>
              <w:jc w:val="right"/>
              <w:ind w:right="470"/>
              <w:spacing w:after="0"/>
              <w:rPr>
                <w:sz w:val="20"/>
                <w:szCs w:val="20"/>
                <w:color w:val="auto"/>
              </w:rPr>
            </w:pPr>
            <w:r>
              <w:rPr>
                <w:rFonts w:ascii="Arial" w:cs="Arial" w:eastAsia="Arial" w:hAnsi="Arial"/>
                <w:sz w:val="18"/>
                <w:szCs w:val="18"/>
                <w:b w:val="1"/>
                <w:bCs w:val="1"/>
                <w:color w:val="auto"/>
              </w:rPr>
              <w:t>Date of Award</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Vesting Date</w:t>
            </w:r>
          </w:p>
        </w:tc>
        <w:tc>
          <w:tcPr>
            <w:tcW w:w="520" w:type="dxa"/>
            <w:vAlign w:val="bottom"/>
          </w:tcPr>
          <w:p>
            <w:pPr>
              <w:spacing w:after="0"/>
              <w:rPr>
                <w:sz w:val="20"/>
                <w:szCs w:val="20"/>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b w:val="1"/>
                <w:bCs w:val="1"/>
                <w:color w:val="auto"/>
              </w:rPr>
              <w:t>of Award</w:t>
            </w:r>
          </w:p>
        </w:tc>
      </w:t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100,000</w:t>
            </w:r>
          </w:p>
        </w:tc>
        <w:tc>
          <w:tcPr>
            <w:tcW w:w="2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February 10, 2011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10, 2016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120,000*</w:t>
            </w:r>
          </w:p>
        </w:tc>
        <w:tc>
          <w:tcPr>
            <w:tcW w:w="2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March 3, 2011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10,000</w:t>
            </w:r>
          </w:p>
        </w:tc>
        <w:tc>
          <w:tcPr>
            <w:tcW w:w="2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June 7, 2011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7,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w:t>
            </w:r>
          </w:p>
        </w:tc>
      </w:t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100,000</w:t>
            </w:r>
          </w:p>
        </w:tc>
        <w:tc>
          <w:tcPr>
            <w:tcW w:w="2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October 1, 2011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5,000</w:t>
            </w:r>
          </w:p>
        </w:tc>
        <w:tc>
          <w:tcPr>
            <w:tcW w:w="2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October 27, 2011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27,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r>
      <w:tr>
        <w:trPr>
          <w:trHeight w:val="216"/>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30,000</w:t>
            </w:r>
          </w:p>
        </w:tc>
        <w:tc>
          <w:tcPr>
            <w:tcW w:w="2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November 7, 2011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7,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includes 100,000 RSU’s awarded to Mr. Peter Gray which are not expected to vest following his retirement as CEO of the Company on September 30, 2011.</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awarded RSU’s in prior periods. On August 7, 2008 the Company awarded 6,280 RSU’s to certain key employees of the Group. These RSU’s vested over periods ranging from February 26, 2009 to February 26, 2011. The market value of the Company’s ordinary shares on date of award was $41.95. On August 16, 2010 the Company issued 2,512 ordinary shares relating to certain of these RSU awards. On May 20, 2011 the Company issued a further 3,768 ordinary shares relating to the remaining RSU awards.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w w:val="91"/>
              </w:rPr>
              <w:t>The following table summarizes the movement in non-vested RSU’s during the year ended December 31, 2011:</w:t>
            </w: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 Units</w:t>
            </w:r>
          </w:p>
        </w:tc>
        <w:tc>
          <w:tcPr>
            <w:tcW w:w="4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365,000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 vested outstanding at December 31, 2011</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365,000</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vested for the year ended December 31, 2011 totaled $0.1 million (2010: $0.1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for the year ended December 31, 2011 is stated after charging $9.4 million in respect of non-cash stock compensation expense. Non-cash stock compensation expense for the year ended December 31, 2011 has been allocated to direct costs and selling, general and administrative expenses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compensation costs</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7,408</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December 31, 2011 amounted to $20.6 million. The weighted average period over which this is expected to be recognized is 3.0 years. Total tax benefit recognized in additional paid in capital related to the non-cash compensation expense amounted to $0.7 million for the year ended December 31, 2011 (2010: $2.3 million, 2009: $0.5 million).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11. Government Grants</w:t>
            </w:r>
          </w:p>
        </w:tc>
        <w:tc>
          <w:tcPr>
            <w:tcW w:w="2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5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2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3,126</w:t>
            </w:r>
          </w:p>
        </w:tc>
      </w:tr>
      <w:tr>
        <w:trPr>
          <w:trHeight w:val="216"/>
        </w:trPr>
        <w:tc>
          <w:tcPr>
            <w:tcW w:w="5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23"/>
        </w:trPr>
        <w:tc>
          <w:tcPr>
            <w:tcW w:w="58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2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16"/>
        </w:trPr>
        <w:tc>
          <w:tcPr>
            <w:tcW w:w="5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23"/>
        </w:trPr>
        <w:tc>
          <w:tcPr>
            <w:tcW w:w="58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58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1,470</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$115,000 and $220,000 for the years ended December 31, 2011 and December 31, 2010 respectively. As at December 31, 2011 the Company had $1.4 million in restricted retained earnings, pursuant to the terms of grant agreements.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12. Share Capital</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2009, 489,370 options were exercised by employees at an average exercise price of $9.03 per share for total proceeds of $4.4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1,237,015 options were exercised by employees at an average exercise price of $10.64 per share for total proceeds of $13.2 million. During the year ended December 31, 2010 2,512 ordinary shares were issued in respect of certain RSU’s previously awarded by the Company.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2011, 430,340 options were exercised by employees at an average exercise price of $10.84 per share for total proceeds of $4.7 million. During the year ended December 31, 2010 3,768 ordinary shares were issued in respect of certain RSU’s previously awarded by the Company. All ordinary shares repurchased by the Company were cancelled, and the nominal value of these shares is transferred to a capital redemption reserve fund as required under Irish Company Law.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The Company intends to enter further share repurchase plans, to effect the share repurchase program in accordance with Rule 10b-18 and Rule 10b5-1 of the Securities Exchange Act of 1934, the authorization granted at the Company’s annual general meeting on July, 18 2011, applicable laws and regulations and the Listing Rules of the Irish Stock Exchange.</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repurchase program,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authorization and applicable laws and regulations. Separately, Ordinary Shares traded on the Irish Stock Exchange may also be repurchased on behalf of the Company.The program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 will be made independently of and uninfluenced by the Company. The Company confirms that on entering the two repurchase plans on November 22, 2011 it had no material non-public, price-sensitive or inside information regarding the Company or its securities. Furthermore, the Company will not enter into additional plans whilst in possession of such information.</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 All Ordinary Shares repurchased by the Company will be cancelled. The Company currently intends to complete repurchases within a 12 month period.</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2011 545,597 ordinary shares were repurchased by the Company for a total consideration of $9.0 million. All ordinary shares repurchased by the Company were cancelled, and the nominal value of these shares transferred to a capital redemption reserve fund as required under Irish Company Law.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37,298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13,317</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12,276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49,410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43,150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28,995</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92,724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104,674</w:t>
            </w:r>
          </w:p>
        </w:tc>
        <w:tc>
          <w:tcPr>
            <w:tcW w:w="0" w:type="dxa"/>
            <w:vAlign w:val="bottom"/>
          </w:tcPr>
          <w:p>
            <w:pPr>
              <w:spacing w:after="0"/>
              <w:rPr>
                <w:sz w:val="1"/>
                <w:szCs w:val="1"/>
                <w:color w:val="auto"/>
              </w:rPr>
            </w:pP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2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980" w:type="dxa"/>
            <w:vAlign w:val="bottom"/>
            <w:gridSpan w:val="3"/>
            <w:vMerge w:val="continue"/>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4,522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6,367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5,518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current tax</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12,236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3,319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Deferred expense/(benefit):</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1,322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expense/(benefit)</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2,334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6,115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5,653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on shareholders equity of the tax consequence of :</w:t>
            </w: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Stock compensation expense</w:t>
            </w:r>
          </w:p>
        </w:tc>
        <w:tc>
          <w:tcPr>
            <w:tcW w:w="2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Currency impact of long term funding</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5,140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jc w:val="right"/>
              <w:ind w:right="1790"/>
              <w:spacing w:after="0"/>
              <w:rPr>
                <w:sz w:val="20"/>
                <w:szCs w:val="20"/>
                <w:color w:val="auto"/>
              </w:rPr>
            </w:pPr>
            <w:r>
              <w:rPr>
                <w:rFonts w:ascii="Arial" w:cs="Arial" w:eastAsia="Arial" w:hAnsi="Arial"/>
                <w:sz w:val="18"/>
                <w:szCs w:val="18"/>
                <w:color w:val="auto"/>
              </w:rPr>
              <w:t>98</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Ireland’s statutory income tax rate is 12.5%. The Company’s consolidated effective tax rate differed from the statutory rate as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6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at Irish statutory rate of 12.5% (2010:12.5%; 2011: 12.5%)</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3,625</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11,590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13,084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and other income taxed at higher/(reduced) rates</w:t>
            </w: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5,373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9,319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incentives</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4,362</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4,027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Prior year over provision in respect of foreign taxes</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Effects of permanent items</w:t>
            </w:r>
          </w:p>
        </w:tc>
        <w:tc>
          <w:tcPr>
            <w:tcW w:w="1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2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60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6,115</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5,653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7,331</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6,645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9,443</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8,055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Accruals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 recognized</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21,581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21,981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16,580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11,652</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6,607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compensation expense</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1,349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41,186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29,030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2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 recognized</w:t>
            </w:r>
          </w:p>
        </w:tc>
        <w:tc>
          <w:tcPr>
            <w:tcW w:w="2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24,741</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16,740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3,160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$10.1 million (2010:$10.0 million) of the deferred tax asset of $24.7 million (2010:$16.7 million) above is non-current. $20.4 million (2010:$13.9 million)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liability of $21.6 million (2010:$15.9 million) is non-current.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1" w:name="page102"/>
    <w:bookmarkEnd w:id="101"/>
    <w:p>
      <w:pPr>
        <w:jc w:val="both"/>
        <w:spacing w:after="0" w:line="264" w:lineRule="auto"/>
        <w:rPr>
          <w:sz w:val="20"/>
          <w:szCs w:val="20"/>
          <w:color w:val="auto"/>
        </w:rPr>
      </w:pPr>
      <w:r>
        <w:rPr>
          <w:rFonts w:ascii="Arial" w:cs="Arial" w:eastAsia="Arial" w:hAnsi="Arial"/>
          <w:sz w:val="18"/>
          <w:szCs w:val="18"/>
          <w:color w:val="auto"/>
        </w:rPr>
        <w:t>At December 31, 2011 non-U.S subsidiaries had operating loss carry forwards for income tax purposes that may be carried forward indefinitely, available to offset against future taxable income, if any, of approximately $83.1 million (2010:$43.3 million). At December 31, 2011 non-U.S. subsidiaries also had additional operating loss carry forwards of $5.6 million which are due to expire between 2012 and 2014.</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2011 ICON Central Laboratories Inc., a U.S. subsidiary, had U.S. Federal and State net operating loss (“NOL”) carry forwards of approximately $4.9 million and $13.1 million, respectively. These net operating losses are available for offset against future taxable income and expire between 2012 and 2031. Of the $4.9 million U.S. Federal and $13.1 million State net operating losses, approximately $3.9 million and $12.1 million are currently available for offset against future U.S. Federal and State taxable income respectively. Annual utilization of these state net operating losses may be limited by specific state rules. The subsidiary’s ability to use the remaining U.S. Federal and State net operating loss carry forwards of $1.0 million and $1.0 million, respectively is further limited to $113,000 per year due to the subsidiary experiencing a change of ownership in 2000, as defined by Section 382 of the Internal Revenue Code of 1986, as amended.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Federal</w:t>
            </w:r>
          </w:p>
        </w:tc>
        <w:tc>
          <w:tcPr>
            <w:tcW w:w="72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NOL’s</w:t>
            </w:r>
          </w:p>
        </w:tc>
        <w:tc>
          <w:tcPr>
            <w:tcW w:w="7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2012- 2014</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2015- 2019</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w:t>
            </w:r>
          </w:p>
        </w:tc>
        <w:tc>
          <w:tcPr>
            <w:tcW w:w="7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2020- 2031</w:t>
            </w:r>
          </w:p>
        </w:tc>
        <w:tc>
          <w:tcPr>
            <w:tcW w:w="2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7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13,084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ICON Central Laboratories Inc has alternative minimum tax credit carry forwards of approximately $0.3 million that are available to reduce future U.S. federal regular income taxes, over an indefinite period. It also has general business credit carry forwards of approximately $0.3 million that are available to offset future U.S. federal income taxes.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2011 ICON Clinical Research Inc. and its U.S. subsidiaries had U.S. State net loss and credit forwards of approximately $1.2 million. These net operating losses are available for offset against future, or in some cases prior, taxable income in the relevant state and generally expire between 2020 and 2031.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5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Federal</w:t>
            </w:r>
          </w:p>
        </w:tc>
        <w:tc>
          <w:tcPr>
            <w:tcW w:w="72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State</w:t>
            </w:r>
          </w:p>
        </w:tc>
      </w:tr>
      <w:tr>
        <w:trPr>
          <w:trHeight w:val="216"/>
        </w:trPr>
        <w:tc>
          <w:tcPr>
            <w:tcW w:w="5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NOL’s</w:t>
            </w:r>
          </w:p>
        </w:tc>
        <w:tc>
          <w:tcPr>
            <w:tcW w:w="7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r>
      <w:tr>
        <w:trPr>
          <w:trHeight w:val="234"/>
        </w:trPr>
        <w:tc>
          <w:tcPr>
            <w:tcW w:w="5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2012- 2014</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2015- 2019</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2020- 2031</w:t>
            </w:r>
          </w:p>
        </w:tc>
        <w:tc>
          <w:tcPr>
            <w:tcW w:w="2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16"/>
        </w:trPr>
        <w:tc>
          <w:tcPr>
            <w:tcW w:w="5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7"/>
        </w:trPr>
        <w:tc>
          <w:tcPr>
            <w:tcW w:w="574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ICON Clinical Research, Inc. has tax credit carry forwards of approximately U.S. $0.1 million that are available to reduce future income taxes, if any. These credits begin to expire in 2012 and are subject to an annual limitation that will prevent full utilization before expiration.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2" w:name="page103"/>
    <w:bookmarkEnd w:id="102"/>
    <w:p>
      <w:pPr>
        <w:jc w:val="both"/>
        <w:spacing w:after="0" w:line="264" w:lineRule="auto"/>
        <w:rPr>
          <w:sz w:val="20"/>
          <w:szCs w:val="20"/>
          <w:color w:val="auto"/>
        </w:rPr>
      </w:pPr>
      <w:r>
        <w:rPr>
          <w:rFonts w:ascii="Arial" w:cs="Arial" w:eastAsia="Arial" w:hAnsi="Arial"/>
          <w:sz w:val="18"/>
          <w:szCs w:val="18"/>
          <w:color w:val="auto"/>
        </w:rPr>
        <w:t>At December 31, 2011 Oxford Outcomes, Inc., a U.S. subsidiary, had U.S. Federal and State net operating loss carry forwards of approximately $0.8 million and $0.9 million, respectively. These net operating losses are available for offset against future, or in some cases prior, taxable income in the relevant state and generally expire between 2030 and 2032.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5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Federal</w:t>
            </w:r>
          </w:p>
        </w:tc>
        <w:tc>
          <w:tcPr>
            <w:tcW w:w="72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State</w:t>
            </w:r>
          </w:p>
        </w:tc>
      </w:tr>
      <w:tr>
        <w:trPr>
          <w:trHeight w:val="216"/>
        </w:trPr>
        <w:tc>
          <w:tcPr>
            <w:tcW w:w="5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NOL’s</w:t>
            </w:r>
          </w:p>
        </w:tc>
        <w:tc>
          <w:tcPr>
            <w:tcW w:w="7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r>
      <w:tr>
        <w:trPr>
          <w:trHeight w:val="234"/>
        </w:trPr>
        <w:tc>
          <w:tcPr>
            <w:tcW w:w="5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2012- 2014</w:t>
            </w:r>
          </w:p>
        </w:tc>
        <w:tc>
          <w:tcPr>
            <w:tcW w:w="2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2015- 2019</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2020- 2031</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23"/>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2032</w:t>
            </w:r>
          </w:p>
        </w:tc>
        <w:tc>
          <w:tcPr>
            <w:tcW w:w="2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r>
      <w:tr>
        <w:trPr>
          <w:trHeight w:val="216"/>
        </w:trPr>
        <w:tc>
          <w:tcPr>
            <w:tcW w:w="57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7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allowance at December 31, 2011 was approximately $16.4 million. The valuation allowance for deferred tax assets as of December 31, 2010 and December 31, 2009 was $12.3 million and $10.4 million respectively. The net change in the total valuation allowance was an increase of $4.1 million during 2011 and an increase of $1.9 million during 2010.</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valuation allowances at December 31, 2011 and December 31, 2010 were primarily related to tax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2011 and prior years as the Company considers these earnings to be indefinitely reinvested.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w w:val="92"/>
              </w:rPr>
              <w:t>A reconciliation of the beginning and ending amount of total unrecognized tax benefits is as follows: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start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8,566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15,855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(3,861)</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6,543</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8,566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that the amount of unrecognized tax benefits at December 31, 2011 will significantly change in the coming year.</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the balance of total unrecognized tax benefits at December 31, 2011 there were net potential benefits of $6.5 million, which if recognized, would affect the effective rate on income tax from continuing operations. The balance of total unrecognized tax benefits at December 31, 2010 and December 31, 2009 included net potential benefits which, if recognized, would affect the effective rate of income tax from continuing operations of $8.1 million and $15.4 million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3" w:name="page104"/>
    <w:bookmarkEnd w:id="103"/>
    <w:p>
      <w:pPr>
        <w:jc w:val="both"/>
        <w:spacing w:after="0" w:line="264" w:lineRule="auto"/>
        <w:rPr>
          <w:sz w:val="20"/>
          <w:szCs w:val="20"/>
          <w:color w:val="auto"/>
        </w:rPr>
      </w:pPr>
      <w:r>
        <w:rPr>
          <w:rFonts w:ascii="Arial" w:cs="Arial" w:eastAsia="Arial" w:hAnsi="Arial"/>
          <w:sz w:val="18"/>
          <w:szCs w:val="18"/>
          <w:color w:val="auto"/>
        </w:rPr>
        <w:t>Interest and penalties recognized as a net benefit during the year ended December 31, 2011 amounted to $0.4 million (2010: $1.8 million) and are included within the provision for income taxes. Total accrued interest and penalties as of December 31, 2010 and December 31, 2009 were $1.2 million and $1.7 million respectively and are included in the closing income tax liabilities at those dates.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major tax jurisdictions are the United States and Ireland. We may potentially be subjected to tax audits in our major jurisdictions. In the United States tax periods open to audit include the years ended December 31, 2008, December 31, 2009, December 31, 2010 and December 31, 2011. In Ireland tax periods open to audit include the years ended December 31, 2007, December 31, 2008, December 31, 2009, December 31, 2010 and December 31, 2011. During such audits, local tax authorities may challenge the positions taken by us in tax returns.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14. Non-recurring charges, net</w:t>
            </w: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020" w:type="dxa"/>
            <w:vAlign w:val="bottom"/>
            <w:gridSpan w:val="2"/>
          </w:tcPr>
          <w:p>
            <w:pPr>
              <w:spacing w:after="0"/>
              <w:rPr>
                <w:sz w:val="20"/>
                <w:szCs w:val="20"/>
                <w:color w:val="auto"/>
              </w:rPr>
            </w:pPr>
            <w:r>
              <w:rPr>
                <w:rFonts w:ascii="Arial" w:cs="Arial" w:eastAsia="Arial" w:hAnsi="Arial"/>
                <w:sz w:val="18"/>
                <w:szCs w:val="18"/>
                <w:color w:val="auto"/>
                <w:w w:val="95"/>
              </w:rPr>
              <w:t>Non-recurring charges, net recognized during the year ended December 31, 2011 comprise:</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9,817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13,301</w:t>
            </w: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Research and development incentives</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r>
      <w:tr>
        <w:trPr>
          <w:trHeight w:val="257"/>
        </w:trPr>
        <w:tc>
          <w:tcPr>
            <w:tcW w:w="20" w:type="dxa"/>
            <w:vAlign w:val="bottom"/>
          </w:tcPr>
          <w:p>
            <w:pPr>
              <w:spacing w:after="0"/>
              <w:rPr>
                <w:sz w:val="22"/>
                <w:szCs w:val="22"/>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charge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9,817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Restructuring Plan”), which resulted in the closure of the Company’s facility in Edinburgh, United Kingdom and resource rationalizations in certain of the more mature markets in which it operates. A restructuring charge of $5.0 million was recognized in respect of this plan during the three months ended March 31, 2011, $1.0 million in respect of lease termination and exit costs associated with the closure of the Edinburgh facility and $4.0 million in respect of workforce reductions. $3.5 million of costs recognised under the Q1 Restructuring Plan related to the clinical research segment, while $1.5 million related to our central laboratory business.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2011 the Company implemented a further restructuring plan (the “Q3 Restructuring Plan”) which resulted in the relocation of the Company’s facility in Maryland, USA; and further resource rationalizations. A restructuring charge of $4.8 million was recognized in respect of this plan during the three months ended September 30, 2011, $0.9 million in respect of lease termination and exit costs associated with the closure of the existing Maryland facility and $3.9 million in respect of workforce reductions. All costs recognized under the Q3 Restructuring Plan related to the clinical research segment.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Details of the movement in the 2011 Restructuring Plan recognized during the year ended December 31, 2011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7,836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2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2,234</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1,640</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2009 the Company also conducted a review of its operations in response to the globalization of clinical studies and its attendant impact on resources in existing and emerging markets. This review resulted in the adoption of a restructuring plan (the “2009 Restructuring Plan”) which resulted in resource rationalizations in certain of the more mature markets in which the Company operates and the closure of certain of the Company’s office facilities. A restructuring charge of $13.4 million was recognised, $8.5 million in respect of office consolidations and $4.9 million in respect of workforce reductions. $12.9 million of these costs recognised under this plan related to our clinical research segment while $0.5 million related to our central laboratory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Details of movement in the 2009 Restructuring Plan recognized during the years ended December 31, 2009 to December 2011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8,548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w:t>
            </w:r>
          </w:p>
        </w:tc>
        <w:tc>
          <w:tcPr>
            <w:tcW w:w="2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provision recognised</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8,415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write-off</w:t>
            </w:r>
          </w:p>
        </w:tc>
        <w:tc>
          <w:tcPr>
            <w:tcW w:w="2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Tax Incentives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2009 the Company received research and development incentives in certain jurisdictions in which it operates. 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 During the year ended December 31, 2009 the Company recognized income of $4.5 million in respect of research and development tax incentives received during the current year but related to prior years.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15. Significant Concentrations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business with most major international pharmaceutical companies. Provision for doubtful debts at December 31, 2011 comprises: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7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Opening provision</w:t>
            </w: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2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during the year</w:t>
            </w:r>
          </w:p>
        </w:tc>
        <w:tc>
          <w:tcPr>
            <w:tcW w:w="2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 during the year</w:t>
            </w:r>
          </w:p>
        </w:tc>
        <w:tc>
          <w:tcPr>
            <w:tcW w:w="2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provision</w:t>
            </w:r>
          </w:p>
        </w:tc>
        <w:tc>
          <w:tcPr>
            <w:tcW w:w="2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$52.2 million, $46.0 million and $45.2 million in rental expense for the years ended December 31, 2011, December 31, 2010 and December 31, 2009 respectively. Future minimum rental commitments for operating leases with non-cancelable terms in excess of one year are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60" w:type="dxa"/>
            <w:vAlign w:val="bottom"/>
            <w:gridSpan w:val="2"/>
          </w:tcPr>
          <w:p>
            <w:pPr>
              <w:jc w:val="right"/>
              <w:spacing w:after="0"/>
              <w:rPr>
                <w:sz w:val="20"/>
                <w:szCs w:val="20"/>
                <w:color w:val="auto"/>
              </w:rPr>
            </w:pPr>
            <w:r>
              <w:rPr>
                <w:rFonts w:ascii="Arial" w:cs="Arial" w:eastAsia="Arial" w:hAnsi="Arial"/>
                <w:sz w:val="18"/>
                <w:szCs w:val="18"/>
                <w:b w:val="1"/>
                <w:bCs w:val="1"/>
                <w:color w:val="auto"/>
              </w:rPr>
              <w:t>Minimum rental payments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2013</w:t>
            </w:r>
          </w:p>
        </w:tc>
        <w:tc>
          <w:tcPr>
            <w:tcW w:w="40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0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2015</w:t>
            </w:r>
          </w:p>
        </w:tc>
        <w:tc>
          <w:tcPr>
            <w:tcW w:w="40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0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0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The Company intends to enter further share repurchase plans, to effect the share repurchase program in accordance with Rule 10b-18 and Rule 10b5-1 of the Securities Exchange Act of 1934, the authorization granted at the Company’s annual general meeting on July, 18 2011, applicable laws and regulations and the Listing Rules of the Irish Stock Exchange. At December 31, 2011 $10.0 million remains outstanding under the above repurchase plans.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17. Business Segment Information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 The Company has determined that it has two reportable segments, its Clinical Research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Laboratory segment.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areas of operation outside of Ireland principally include the Ireland, United States,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information as at December 31, 2011 and December 31, 2010 and for the years ended December 31, 2011, December 31, 2010 and December 31, 2009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Year ended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88,869</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128,790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Rest of Europe</w:t>
            </w:r>
          </w:p>
        </w:tc>
        <w:tc>
          <w:tcPr>
            <w:tcW w:w="1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348,492</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292,567</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393,957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381,196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114,411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97,491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945,729</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900,044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887,612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874,180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836,231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816,956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945,729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900,044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887,612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tcPr>
          <w:p>
            <w:pPr>
              <w:jc w:val="right"/>
              <w:ind w:right="1750"/>
              <w:spacing w:after="0"/>
              <w:rPr>
                <w:sz w:val="20"/>
                <w:szCs w:val="20"/>
                <w:color w:val="auto"/>
              </w:rPr>
            </w:pPr>
            <w:r>
              <w:rPr>
                <w:rFonts w:ascii="Arial" w:cs="Arial" w:eastAsia="Arial" w:hAnsi="Arial"/>
                <w:sz w:val="18"/>
                <w:szCs w:val="18"/>
                <w:color w:val="auto"/>
              </w:rPr>
              <w:t>105</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7" w:name="page108"/>
    <w:bookmarkEnd w:id="107"/>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charges, net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charges, net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charges,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(33,139)</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35,175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30,127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7,097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39,260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charges, net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charges, net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charges,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36,636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24,212</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25,017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6,230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92,095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charges, net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charges, net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charges,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54,010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4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21,537</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36,280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4,433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116,260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60" w:type="dxa"/>
            <w:vAlign w:val="bottom"/>
          </w:tcPr>
          <w:p>
            <w:pPr>
              <w:jc w:val="right"/>
              <w:ind w:right="1670"/>
              <w:spacing w:after="0"/>
              <w:rPr>
                <w:sz w:val="20"/>
                <w:szCs w:val="20"/>
                <w:color w:val="auto"/>
              </w:rPr>
            </w:pPr>
            <w:r>
              <w:rPr>
                <w:rFonts w:ascii="Arial" w:cs="Arial" w:eastAsia="Arial" w:hAnsi="Arial"/>
                <w:sz w:val="18"/>
                <w:szCs w:val="18"/>
                <w:color w:val="auto"/>
              </w:rPr>
              <w:t>106</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8" w:name="page109"/>
    <w:bookmarkEnd w:id="108"/>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distribution of income from operations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charges, net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charges, net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charges,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39,921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39,260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charges, net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charges, net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charges,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104,854</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92,095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recurring</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charges, net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charges, net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charges,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5,338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110,922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116,260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107,452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40" w:type="dxa"/>
            <w:vAlign w:val="bottom"/>
          </w:tcPr>
          <w:p>
            <w:pPr>
              <w:jc w:val="right"/>
              <w:ind w:right="1670"/>
              <w:spacing w:after="0"/>
              <w:rPr>
                <w:sz w:val="20"/>
                <w:szCs w:val="20"/>
                <w:color w:val="auto"/>
              </w:rPr>
            </w:pPr>
            <w:r>
              <w:rPr>
                <w:rFonts w:ascii="Arial" w:cs="Arial" w:eastAsia="Arial" w:hAnsi="Arial"/>
                <w:sz w:val="18"/>
                <w:szCs w:val="18"/>
                <w:color w:val="auto"/>
              </w:rPr>
              <w:t>107</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9" w:name="page110"/>
    <w:bookmarkEnd w:id="109"/>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distribution of property, plant and equipment, net,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109,953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109,919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 of Europe</w:t>
            </w:r>
          </w:p>
        </w:tc>
        <w:tc>
          <w:tcPr>
            <w:tcW w:w="39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16,419</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33,086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9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9,003</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168,461</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170,861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distribution of property, plant and equipment, net,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150,169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168,461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00" w:type="dxa"/>
            <w:vAlign w:val="bottom"/>
            <w:gridSpan w:val="2"/>
          </w:tcPr>
          <w:p>
            <w:pPr>
              <w:spacing w:after="0"/>
              <w:rPr>
                <w:sz w:val="20"/>
                <w:szCs w:val="20"/>
                <w:color w:val="auto"/>
              </w:rPr>
            </w:pPr>
            <w:r>
              <w:rPr>
                <w:rFonts w:ascii="Arial" w:cs="Arial" w:eastAsia="Arial" w:hAnsi="Arial"/>
                <w:sz w:val="18"/>
                <w:szCs w:val="18"/>
                <w:color w:val="auto"/>
                <w:w w:val="98"/>
              </w:rPr>
              <w:t>g)  The distribution of depreciation and amortization by geographical area was as follows: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Year ended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15,192</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Rest of Europe</w:t>
            </w:r>
          </w:p>
        </w:tc>
        <w:tc>
          <w:tcPr>
            <w:tcW w:w="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7,057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38,682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33,873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00" w:type="dxa"/>
            <w:vAlign w:val="bottom"/>
            <w:gridSpan w:val="2"/>
          </w:tcPr>
          <w:p>
            <w:pPr>
              <w:spacing w:after="0"/>
              <w:rPr>
                <w:sz w:val="20"/>
                <w:szCs w:val="20"/>
                <w:color w:val="auto"/>
              </w:rPr>
            </w:pPr>
            <w:r>
              <w:rPr>
                <w:rFonts w:ascii="Arial" w:cs="Arial" w:eastAsia="Arial" w:hAnsi="Arial"/>
                <w:sz w:val="18"/>
                <w:szCs w:val="18"/>
                <w:color w:val="auto"/>
                <w:w w:val="98"/>
              </w:rPr>
              <w:t>h)  The distribution of depreciation and amortization by business segment was as follows: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Year ended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3,721</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34,961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28,985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38,682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33,873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000" w:type="dxa"/>
            <w:vAlign w:val="bottom"/>
            <w:gridSpan w:val="2"/>
          </w:tcPr>
          <w:p>
            <w:pPr>
              <w:jc w:val="right"/>
              <w:ind w:right="1070"/>
              <w:spacing w:after="0"/>
              <w:rPr>
                <w:sz w:val="20"/>
                <w:szCs w:val="20"/>
                <w:color w:val="auto"/>
              </w:rPr>
            </w:pPr>
            <w:r>
              <w:rPr>
                <w:rFonts w:ascii="Arial" w:cs="Arial" w:eastAsia="Arial" w:hAnsi="Arial"/>
                <w:sz w:val="18"/>
                <w:szCs w:val="18"/>
                <w:color w:val="auto"/>
              </w:rPr>
              <w:t>108</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414,510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 of Europe</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216,313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363,527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1,035,467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40" w:type="dxa"/>
            <w:vAlign w:val="bottom"/>
            <w:gridSpan w:val="2"/>
          </w:tcPr>
          <w:p>
            <w:pPr>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55,184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980,283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1,035,467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40" w:type="dxa"/>
            <w:vAlign w:val="bottom"/>
            <w:gridSpan w:val="2"/>
          </w:tcPr>
          <w:p>
            <w:pPr>
              <w:spacing w:after="0"/>
              <w:rPr>
                <w:sz w:val="20"/>
                <w:szCs w:val="20"/>
                <w:color w:val="auto"/>
              </w:rPr>
            </w:pPr>
            <w:r>
              <w:rPr>
                <w:rFonts w:ascii="Arial" w:cs="Arial" w:eastAsia="Arial" w:hAnsi="Arial"/>
                <w:sz w:val="18"/>
                <w:szCs w:val="18"/>
                <w:color w:val="auto"/>
              </w:rPr>
              <w:t>k) The distribution of capital expenditures by geographical area was as follows: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Year ended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16,987</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 of Europe</w:t>
            </w:r>
          </w:p>
        </w:tc>
        <w:tc>
          <w:tcPr>
            <w:tcW w:w="10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4,795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5,869</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36,005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31,593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40" w:type="dxa"/>
            <w:vAlign w:val="bottom"/>
            <w:gridSpan w:val="2"/>
          </w:tcPr>
          <w:p>
            <w:pPr>
              <w:spacing w:after="0"/>
              <w:rPr>
                <w:sz w:val="20"/>
                <w:szCs w:val="20"/>
                <w:color w:val="auto"/>
              </w:rPr>
            </w:pPr>
            <w:r>
              <w:rPr>
                <w:rFonts w:ascii="Arial" w:cs="Arial" w:eastAsia="Arial" w:hAnsi="Arial"/>
                <w:sz w:val="18"/>
                <w:szCs w:val="18"/>
                <w:color w:val="auto"/>
              </w:rPr>
              <w:t>l) The distribution of capital expenditures by business segment was as follows: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Year ended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34,556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27,602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36,005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31,593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640" w:type="dxa"/>
            <w:vAlign w:val="bottom"/>
            <w:gridSpan w:val="2"/>
          </w:tcPr>
          <w:p>
            <w:pPr>
              <w:ind w:left="5580"/>
              <w:spacing w:after="0"/>
              <w:rPr>
                <w:sz w:val="20"/>
                <w:szCs w:val="20"/>
                <w:color w:val="auto"/>
              </w:rPr>
            </w:pPr>
            <w:r>
              <w:rPr>
                <w:rFonts w:ascii="Arial" w:cs="Arial" w:eastAsia="Arial" w:hAnsi="Arial"/>
                <w:sz w:val="18"/>
                <w:szCs w:val="18"/>
                <w:color w:val="auto"/>
              </w:rPr>
              <w:t>109</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m) The following table sets forth the clients which represented 10% or more of the Company's net revenue in each of the periods set out below.</w:t>
      </w:r>
    </w:p>
    <w:p>
      <w:pPr>
        <w:spacing w:after="0" w:line="248"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both"/>
        <w:ind w:left="7780"/>
        <w:spacing w:after="0"/>
        <w:tabs>
          <w:tab w:leader="none" w:pos="9160" w:val="left"/>
          <w:tab w:leader="none" w:pos="10520" w:val="left"/>
        </w:tabs>
        <w:rPr>
          <w:sz w:val="20"/>
          <w:szCs w:val="20"/>
          <w:color w:val="auto"/>
        </w:rPr>
      </w:pP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6"/>
          <w:szCs w:val="16"/>
          <w:b w:val="1"/>
          <w:bCs w:val="1"/>
          <w:color w:val="auto"/>
        </w:rPr>
        <w:t>December</w:t>
      </w:r>
    </w:p>
    <w:p>
      <w:pPr>
        <w:spacing w:after="0" w:line="9" w:lineRule="exact"/>
        <w:rPr>
          <w:sz w:val="20"/>
          <w:szCs w:val="20"/>
          <w:color w:val="auto"/>
        </w:rPr>
      </w:pPr>
    </w:p>
    <w:p>
      <w:pPr>
        <w:jc w:val="both"/>
        <w:ind w:left="8200"/>
        <w:spacing w:after="0"/>
        <w:tabs>
          <w:tab w:leader="none" w:pos="9580" w:val="left"/>
          <w:tab w:leader="none" w:pos="1094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r>
        <w:rPr>
          <w:sz w:val="20"/>
          <w:szCs w:val="20"/>
          <w:color w:val="auto"/>
        </w:rPr>
        <w:tab/>
      </w:r>
      <w:r>
        <w:rPr>
          <w:rFonts w:ascii="Arial" w:cs="Arial" w:eastAsia="Arial" w:hAnsi="Arial"/>
          <w:sz w:val="16"/>
          <w:szCs w:val="16"/>
          <w:b w:val="1"/>
          <w:bCs w:val="1"/>
          <w:color w:val="auto"/>
        </w:rPr>
        <w:t>2009</w:t>
      </w:r>
    </w:p>
    <w:p>
      <w:pPr>
        <w:spacing w:after="0" w:line="211" w:lineRule="exact"/>
        <w:rPr>
          <w:sz w:val="20"/>
          <w:szCs w:val="20"/>
          <w:color w:val="auto"/>
        </w:rPr>
      </w:pPr>
    </w:p>
    <w:p>
      <w:pPr>
        <w:spacing w:after="0"/>
        <w:tabs>
          <w:tab w:leader="none" w:pos="8360" w:val="left"/>
          <w:tab w:leader="none" w:pos="9860" w:val="left"/>
          <w:tab w:leader="none" w:pos="11200" w:val="left"/>
        </w:tabs>
        <w:rPr>
          <w:sz w:val="20"/>
          <w:szCs w:val="20"/>
          <w:color w:val="auto"/>
        </w:rPr>
      </w:pPr>
      <w:r>
        <w:rPr>
          <w:rFonts w:ascii="Arial" w:cs="Arial" w:eastAsia="Arial" w:hAnsi="Arial"/>
          <w:sz w:val="18"/>
          <w:szCs w:val="18"/>
          <w:color w:val="auto"/>
        </w:rPr>
        <w:t>Client A</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500" w:hanging="132"/>
        <w:spacing w:after="0"/>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distribution of interest income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Rest of Europe</w:t>
            </w: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80" w:type="dxa"/>
            <w:vAlign w:val="bottom"/>
            <w:gridSpan w:val="2"/>
          </w:tcPr>
          <w:p>
            <w:pPr>
              <w:spacing w:after="0"/>
              <w:rPr>
                <w:sz w:val="20"/>
                <w:szCs w:val="20"/>
                <w:color w:val="auto"/>
              </w:rPr>
            </w:pPr>
            <w:r>
              <w:rPr>
                <w:rFonts w:ascii="Arial" w:cs="Arial" w:eastAsia="Arial" w:hAnsi="Arial"/>
                <w:sz w:val="18"/>
                <w:szCs w:val="18"/>
                <w:color w:val="auto"/>
                <w:w w:val="92"/>
              </w:rPr>
              <w:t>o) The distribution of interest income by business segment was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80" w:type="dxa"/>
            <w:vAlign w:val="bottom"/>
            <w:gridSpan w:val="2"/>
          </w:tcPr>
          <w:p>
            <w:pPr>
              <w:spacing w:after="0"/>
              <w:rPr>
                <w:sz w:val="20"/>
                <w:szCs w:val="20"/>
                <w:color w:val="auto"/>
              </w:rPr>
            </w:pPr>
            <w:r>
              <w:rPr>
                <w:rFonts w:ascii="Arial" w:cs="Arial" w:eastAsia="Arial" w:hAnsi="Arial"/>
                <w:sz w:val="18"/>
                <w:szCs w:val="18"/>
                <w:color w:val="auto"/>
                <w:w w:val="93"/>
              </w:rPr>
              <w:t>p) The distribution of the tax charge by geographical area was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Rest of Europe</w:t>
            </w: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4,277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2,542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6,115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5,653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0" w:type="dxa"/>
            <w:vAlign w:val="bottom"/>
          </w:tcPr>
          <w:p>
            <w:pPr>
              <w:jc w:val="right"/>
              <w:ind w:right="1750"/>
              <w:spacing w:after="0"/>
              <w:rPr>
                <w:sz w:val="20"/>
                <w:szCs w:val="20"/>
                <w:color w:val="auto"/>
              </w:rPr>
            </w:pPr>
            <w:r>
              <w:rPr>
                <w:rFonts w:ascii="Arial" w:cs="Arial" w:eastAsia="Arial" w:hAnsi="Arial"/>
                <w:sz w:val="18"/>
                <w:szCs w:val="18"/>
                <w:color w:val="auto"/>
              </w:rPr>
              <w:t>110</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w w:val="92"/>
              </w:rPr>
              <w:t>q) The distribution of the tax charge by business segment was as follows:</w:t>
            </w: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6,290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8,511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6,115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5,653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18. Supplemental Disclosure of Cash Flow Information</w:t>
            </w: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Non-cash interest on acquisition consideration payable*</w:t>
            </w:r>
          </w:p>
        </w:tc>
        <w:tc>
          <w:tcPr>
            <w:tcW w:w="2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743</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388</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22,723</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14,634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recorded within interest expense</w:t>
            </w:r>
          </w:p>
        </w:tc>
        <w:tc>
          <w:tcPr>
            <w:tcW w:w="2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19. Accumulated Other Comprehensive Income</w:t>
            </w: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7,609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Currency impact on long term funding</w:t>
            </w: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(20,913)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on long term funding</w:t>
            </w:r>
          </w:p>
        </w:tc>
        <w:tc>
          <w:tcPr>
            <w:tcW w:w="2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Actuarial gain on defined benefit pension plan (note 9)</w:t>
            </w: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Unrealised capital gain(loss) – investments (note 3)</w:t>
            </w:r>
          </w:p>
        </w:tc>
        <w:tc>
          <w:tcPr>
            <w:tcW w:w="2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40" w:type="dxa"/>
            <w:vAlign w:val="bottom"/>
          </w:tcPr>
          <w:p>
            <w:pPr>
              <w:jc w:val="right"/>
              <w:ind w:right="1750"/>
              <w:spacing w:after="0"/>
              <w:rPr>
                <w:sz w:val="20"/>
                <w:szCs w:val="20"/>
                <w:color w:val="auto"/>
              </w:rPr>
            </w:pPr>
            <w:r>
              <w:rPr>
                <w:rFonts w:ascii="Arial" w:cs="Arial" w:eastAsia="Arial" w:hAnsi="Arial"/>
                <w:sz w:val="18"/>
                <w:szCs w:val="18"/>
                <w:color w:val="auto"/>
              </w:rPr>
              <w:t>111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20. Impact of New Accounting Pronouncements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December 2011, the FASB issued ASU No. 2011-11, Balance Sheet (Topic 210):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ASU 2011-11 is effective retrospectively for fiscal years beginning after January 1, 2013.</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September 2011, the FASB issued ASU No. 2011-08 Intangibles - Goodwill and Other (Topic 350):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2011-08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need not perform the two-step impairment test. ASU 2011- 08 is effective for fiscal years beginning after December 15, 2011.</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2011, the FASB issued ASU No. 2011-05, Comprehensive Income (Topic 220):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2011-05 permits an entity to present the components of net income and comprehensive income in either one or two consecutive financial statements. The ASU eliminates the option in U.S. GAAP to present other comprehensive income in the statement of changes in equity. An entity should apply the ASU retrospectively. ASU 2011-05 is effective for fiscal years ending after December 15, 2012. In December 2011, the FASB decided to defer the effective date of those changes in ASU 2011-05 that relate only to the presentation of reclassification adjustments in the statement of income by issuing ASU 2011-12, Comprehensive Income (Topic 220): </w:t>
      </w:r>
      <w:r>
        <w:rPr>
          <w:rFonts w:ascii="Arial" w:cs="Arial" w:eastAsia="Arial" w:hAnsi="Arial"/>
          <w:sz w:val="17"/>
          <w:szCs w:val="17"/>
          <w:i w:val="1"/>
          <w:iCs w:val="1"/>
          <w:color w:val="auto"/>
        </w:rPr>
        <w:t>Deferral of the Effective Date for Amendments to the Presentation of Reclassifications of Items Out of Accumulated Other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in Accounting Standards Update 2011-05. </w:t>
      </w:r>
      <w:r>
        <w:rPr>
          <w:rFonts w:ascii="Arial" w:cs="Arial" w:eastAsia="Arial" w:hAnsi="Arial"/>
          <w:sz w:val="17"/>
          <w:szCs w:val="17"/>
          <w:color w:val="auto"/>
        </w:rPr>
        <w:t>The Company plans to implement the provisions of ASU 2011-05 by presenting a separate statement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following the statement of income in 2012.</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May 2011, the FASB issued ASU No. 2011-04, Fair Value Measurement (Topic 820): </w:t>
      </w:r>
      <w:r>
        <w:rPr>
          <w:rFonts w:ascii="Arial" w:cs="Arial" w:eastAsia="Arial" w:hAnsi="Arial"/>
          <w:sz w:val="17"/>
          <w:szCs w:val="17"/>
          <w:i w:val="1"/>
          <w:iCs w:val="1"/>
          <w:color w:val="auto"/>
        </w:rPr>
        <w:t>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in U.S. GAAP and IFRSs. </w:t>
      </w:r>
      <w:r>
        <w:rPr>
          <w:rFonts w:ascii="Arial" w:cs="Arial" w:eastAsia="Arial" w:hAnsi="Arial"/>
          <w:sz w:val="17"/>
          <w:szCs w:val="17"/>
          <w:color w:val="auto"/>
        </w:rPr>
        <w:t>ASU 2011-04 provides guidance about how fair value should be applied where it already is required or</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under IFRS or U.S. GAAP. For U.S. GAAP, most of the changes are clarifications of existing guidance or wording changes to align with IFRS. ASU 2011- 04 is effective prospectively for interim and annual periods beginning after December 15, 2011.</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2010, the FASB issued ASU No. 2010-28, Intangibles—Goodwill and Other (Topic 350): </w:t>
      </w:r>
      <w:r>
        <w:rPr>
          <w:rFonts w:ascii="Arial" w:cs="Arial" w:eastAsia="Arial" w:hAnsi="Arial"/>
          <w:sz w:val="16"/>
          <w:szCs w:val="16"/>
          <w:i w:val="1"/>
          <w:iCs w:val="1"/>
          <w:color w:val="auto"/>
        </w:rPr>
        <w:t>When to Perform Step 2 of the Goodwill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Reporting Units with Zero or Negative Carrying Amounts, a consensus of the FASB Emerging Issues Task Force </w:t>
      </w:r>
      <w:r>
        <w:rPr>
          <w:rFonts w:ascii="Arial" w:cs="Arial" w:eastAsia="Arial" w:hAnsi="Arial"/>
          <w:sz w:val="16"/>
          <w:szCs w:val="16"/>
          <w:color w:val="auto"/>
        </w:rPr>
        <w:t>(Issue No. 10-A). ASU 2010-28</w:t>
      </w:r>
      <w:r>
        <w:rPr>
          <w:rFonts w:ascii="Arial" w:cs="Arial" w:eastAsia="Arial" w:hAnsi="Arial"/>
          <w:sz w:val="16"/>
          <w:szCs w:val="16"/>
          <w:i w:val="1"/>
          <w:iCs w:val="1"/>
          <w:color w:val="auto"/>
        </w:rPr>
        <w:t xml:space="preserve"> </w:t>
      </w:r>
      <w:r>
        <w:rPr>
          <w:rFonts w:ascii="Arial" w:cs="Arial" w:eastAsia="Arial" w:hAnsi="Arial"/>
          <w:sz w:val="16"/>
          <w:szCs w:val="16"/>
          <w:color w:val="auto"/>
        </w:rPr>
        <w:t>modifies Step 1 of the goodwill impairment test under ASC Topic 350 for reporting units with zero or negative carrying amounts to require an entity to perform Step 2 of the goodwill impairment test if it is more likely than not that a goodwill impairment exists. In determining whether it is more likely than not that a goodwill impairment exists, an entity should consider whether there are adverse qualitative factors in determining whether an interim goodwill impairment test between annual test dates is necessary. ASU No. 2010-28 is effective for fiscal years beginning after December 15,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31, 2009 Dr. John Climax retired as Chairman of the Board of the Company. From January 2010 he has held the position as an outside director of the Company. The Company has entered into a three year agreement with Rotrua Limited, a company controlled by Dr. Climax, for the provision of consultancy services at an agreed fee of €262,500 ($348,968) per annum. The consultancy agreement provides that the Company will provide during the term of the agreement permanent disability and life insurance cover for Dr. Climax and medical insurance cover for himself and his dependants.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22.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BeijingWits Medical Limited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2012 the Company acquired 100% of the common stock of BeijingWits Medical Limited (“BeijingWits”), a leading Chinese CRO, for an initial cash consideration of $9.0 million.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BeijingWits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will also strengthen the Company’s presence through the addition of over 100 highly qualified and experienced professionals in Beijing, Shanghai, Chengdu, Guangzhou, Wuhan and Hong Kong.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Further consideration of up to $7.0 million may become payable if certain performance milestones are achieved in the period to December 31, 2013.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provisional estimates of the fair values of assets acquired and the liabilities assumed: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 15</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(in thousands)</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current assets</w:t>
            </w:r>
          </w:p>
        </w:tc>
        <w:tc>
          <w:tcPr>
            <w:tcW w:w="35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16"/>
        </w:trPr>
        <w:tc>
          <w:tcPr>
            <w:tcW w:w="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r>
      <w:tr>
        <w:trPr>
          <w:trHeight w:val="21"/>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PriceSpective LLC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28, 2012 the Company acquired 100% of the common stock of PriceSpective LLC (“PriceSpective”), a global leader in value strategy consulting, for an initial cash consideration of $40.0 million. Headquartered in Philadelphia, and with offices in London, Los Angeles, San Diego, Raleigh and Boston, PriceSpective is a premier consultancy that has a strong reputation for excellence in strategic pricing, market access, HEOR, due diligence support and payer engagement services. Since the company’s inception in 2003, PriceSpective has developed strategies for dozens of new product launches, and hundreds of development and in-market products, across 40+ disease areas. Further consideration of up to $15.0 million may become payable if certain performance milestones are achieved in the period to December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provisional estimates of the fair values of assets acquired and the liabilities assumed: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 28</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(in thousands)</w:t>
            </w: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current assets</w:t>
            </w:r>
          </w:p>
        </w:tc>
        <w:tc>
          <w:tcPr>
            <w:tcW w:w="5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1,925</w:t>
            </w:r>
          </w:p>
        </w:tc>
        <w:tc>
          <w:tcPr>
            <w:tcW w:w="1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140" w:type="dxa"/>
            <w:vAlign w:val="bottom"/>
          </w:tcPr>
          <w:p>
            <w:pPr>
              <w:jc w:val="right"/>
              <w:ind w:right="3090"/>
              <w:spacing w:after="0"/>
              <w:rPr>
                <w:sz w:val="20"/>
                <w:szCs w:val="20"/>
                <w:color w:val="auto"/>
              </w:rPr>
            </w:pPr>
            <w:r>
              <w:rPr>
                <w:rFonts w:ascii="Arial" w:cs="Arial" w:eastAsia="Arial" w:hAnsi="Arial"/>
                <w:sz w:val="18"/>
                <w:szCs w:val="18"/>
                <w:color w:val="auto"/>
              </w:rPr>
              <w:t>113</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1360" w:type="dxa"/>
            <w:vAlign w:val="bottom"/>
          </w:tcPr>
          <w:p>
            <w:pPr>
              <w:spacing w:after="0"/>
              <w:rPr>
                <w:sz w:val="20"/>
                <w:szCs w:val="20"/>
                <w:color w:val="auto"/>
              </w:rPr>
            </w:pPr>
          </w:p>
        </w:tc>
      </w:tr>
      <w:tr>
        <w:trPr>
          <w:trHeight w:val="453"/>
        </w:trPr>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1360" w:type="dxa"/>
            <w:vAlign w:val="bottom"/>
          </w:tcPr>
          <w:p>
            <w:pPr>
              <w:spacing w:after="0"/>
              <w:rPr>
                <w:sz w:val="24"/>
                <w:szCs w:val="24"/>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8"/>
                <w:szCs w:val="18"/>
                <w:color w:val="auto"/>
              </w:rPr>
              <w:t>Date March 2, 2012</w:t>
            </w:r>
          </w:p>
        </w:tc>
        <w:tc>
          <w:tcPr>
            <w:tcW w:w="256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1360" w:type="dxa"/>
            <w:vAlign w:val="bottom"/>
          </w:tcPr>
          <w:p>
            <w:pPr>
              <w:spacing w:after="0"/>
              <w:rPr>
                <w:sz w:val="17"/>
                <w:szCs w:val="17"/>
                <w:color w:val="auto"/>
              </w:rPr>
            </w:pPr>
          </w:p>
        </w:tc>
      </w:tr>
      <w:tr>
        <w:trPr>
          <w:trHeight w:val="230"/>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r>
      <w:tr>
        <w:trPr>
          <w:trHeight w:val="608"/>
        </w:trPr>
        <w:tc>
          <w:tcPr>
            <w:tcW w:w="3520" w:type="dxa"/>
            <w:vAlign w:val="bottom"/>
          </w:tcPr>
          <w:p>
            <w:pPr>
              <w:spacing w:after="0"/>
              <w:rPr>
                <w:sz w:val="24"/>
                <w:szCs w:val="24"/>
                <w:color w:val="auto"/>
              </w:rPr>
            </w:pPr>
          </w:p>
        </w:tc>
        <w:tc>
          <w:tcPr>
            <w:tcW w:w="256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8"/>
        </w:trPr>
        <w:tc>
          <w:tcPr>
            <w:tcW w:w="35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0100" w:type="dxa"/>
            <w:vAlign w:val="bottom"/>
          </w:tcPr>
          <w:p>
            <w:pPr>
              <w:ind w:left="38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Number</w:t>
            </w:r>
          </w:p>
        </w:tc>
        <w:tc>
          <w:tcPr>
            <w:tcW w:w="10100" w:type="dxa"/>
            <w:vAlign w:val="bottom"/>
          </w:tcPr>
          <w:p>
            <w:pPr>
              <w:ind w:left="320"/>
              <w:spacing w:after="0"/>
              <w:rPr>
                <w:sz w:val="20"/>
                <w:szCs w:val="20"/>
                <w:color w:val="auto"/>
              </w:rPr>
            </w:pPr>
            <w:r>
              <w:rPr>
                <w:rFonts w:ascii="Arial" w:cs="Arial" w:eastAsia="Arial" w:hAnsi="Arial"/>
                <w:sz w:val="18"/>
                <w:szCs w:val="18"/>
                <w:color w:val="auto"/>
              </w:rPr>
              <w:t>Title</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tcPr>
          <w:p>
            <w:pPr>
              <w:ind w:left="320"/>
              <w:spacing w:after="0"/>
              <w:rPr>
                <w:sz w:val="20"/>
                <w:szCs w:val="20"/>
                <w:color w:val="auto"/>
              </w:rPr>
            </w:pPr>
            <w:r>
              <w:rPr>
                <w:rFonts w:ascii="Arial" w:cs="Arial" w:eastAsia="Arial" w:hAnsi="Arial"/>
                <w:sz w:val="18"/>
                <w:szCs w:val="18"/>
                <w:color w:val="auto"/>
                <w:w w:val="91"/>
              </w:rPr>
              <w:t>Description of the Memorandum and Articles of Association of the Company (incorporated by reference to Exhibit 3.1 to the Form 20F</w:t>
            </w:r>
          </w:p>
        </w:tc>
      </w:tr>
      <w:tr>
        <w:trPr>
          <w:trHeight w:val="230"/>
        </w:trPr>
        <w:tc>
          <w:tcPr>
            <w:tcW w:w="940" w:type="dxa"/>
            <w:vAlign w:val="bottom"/>
          </w:tcPr>
          <w:p>
            <w:pPr>
              <w:spacing w:after="0"/>
              <w:rPr>
                <w:sz w:val="20"/>
                <w:szCs w:val="20"/>
                <w:color w:val="auto"/>
              </w:rPr>
            </w:pPr>
          </w:p>
        </w:tc>
        <w:tc>
          <w:tcPr>
            <w:tcW w:w="10100" w:type="dxa"/>
            <w:vAlign w:val="bottom"/>
          </w:tcPr>
          <w:p>
            <w:pPr>
              <w:ind w:left="320"/>
              <w:spacing w:after="0"/>
              <w:rPr>
                <w:sz w:val="20"/>
                <w:szCs w:val="20"/>
                <w:color w:val="auto"/>
              </w:rPr>
            </w:pPr>
            <w:r>
              <w:rPr>
                <w:rFonts w:ascii="Arial" w:cs="Arial" w:eastAsia="Arial" w:hAnsi="Arial"/>
                <w:sz w:val="18"/>
                <w:szCs w:val="18"/>
                <w:color w:val="auto"/>
              </w:rPr>
              <w:t>(File No. 333-08704) filed on March 22, 2011.)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12.1*</w:t>
            </w:r>
          </w:p>
        </w:tc>
        <w:tc>
          <w:tcPr>
            <w:tcW w:w="10100" w:type="dxa"/>
            <w:vAlign w:val="bottom"/>
          </w:tcPr>
          <w:p>
            <w:pPr>
              <w:ind w:left="320"/>
              <w:spacing w:after="0"/>
              <w:rPr>
                <w:sz w:val="20"/>
                <w:szCs w:val="20"/>
                <w:color w:val="auto"/>
              </w:rPr>
            </w:pPr>
            <w:r>
              <w:rPr>
                <w:rFonts w:ascii="Arial" w:cs="Arial" w:eastAsia="Arial" w:hAnsi="Arial"/>
                <w:sz w:val="18"/>
                <w:szCs w:val="18"/>
                <w:color w:val="auto"/>
              </w:rPr>
              <w:t>Section 302 certifications.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12.2*</w:t>
            </w:r>
          </w:p>
        </w:tc>
        <w:tc>
          <w:tcPr>
            <w:tcW w:w="10100" w:type="dxa"/>
            <w:vAlign w:val="bottom"/>
          </w:tcPr>
          <w:p>
            <w:pPr>
              <w:ind w:left="320"/>
              <w:spacing w:after="0"/>
              <w:rPr>
                <w:sz w:val="20"/>
                <w:szCs w:val="20"/>
                <w:color w:val="auto"/>
              </w:rPr>
            </w:pPr>
            <w:r>
              <w:rPr>
                <w:rFonts w:ascii="Arial" w:cs="Arial" w:eastAsia="Arial" w:hAnsi="Arial"/>
                <w:sz w:val="18"/>
                <w:szCs w:val="18"/>
                <w:color w:val="auto"/>
              </w:rPr>
              <w:t>Section 906 certifications.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10100" w:type="dxa"/>
            <w:vAlign w:val="bottom"/>
          </w:tcPr>
          <w:p>
            <w:pPr>
              <w:ind w:left="32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tcPr>
          <w:p>
            <w:pPr>
              <w:ind w:left="32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100" w:type="dxa"/>
            <w:vAlign w:val="bottom"/>
          </w:tcPr>
          <w:p>
            <w:pPr>
              <w:ind w:left="32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00" w:lineRule="exact"/>
        <w:rPr>
          <w:sz w:val="20"/>
          <w:szCs w:val="20"/>
          <w:color w:val="auto"/>
        </w:rPr>
      </w:pPr>
    </w:p>
    <w:p>
      <w:pPr>
        <w:spacing w:after="0" w:line="272"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240" w:top="513" w:right="6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52"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720" w:right="300" w:firstLine="8"/>
        <w:spacing w:after="0" w:line="264" w:lineRule="auto"/>
        <w:tabs>
          <w:tab w:leader="none" w:pos="9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720" w:right="180" w:firstLine="8"/>
        <w:spacing w:after="0" w:line="264" w:lineRule="auto"/>
        <w:tabs>
          <w:tab w:leader="none" w:pos="91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720" w:right="820" w:firstLine="8"/>
        <w:spacing w:after="0" w:line="342" w:lineRule="auto"/>
        <w:tabs>
          <w:tab w:leader="none" w:pos="90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720" w:right="420" w:firstLine="8"/>
        <w:spacing w:after="0" w:line="342" w:lineRule="auto"/>
        <w:tabs>
          <w:tab w:leader="none" w:pos="915"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60" w:firstLine="8"/>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80" w:firstLine="8"/>
        <w:spacing w:after="0" w:line="277" w:lineRule="auto"/>
        <w:tabs>
          <w:tab w:leader="none" w:pos="1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20" w:firstLine="8"/>
        <w:spacing w:after="0" w:line="277" w:lineRule="auto"/>
        <w:tabs>
          <w:tab w:leader="none" w:pos="1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Brendan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720" w:right="280" w:firstLine="8"/>
        <w:spacing w:after="0" w:line="264" w:lineRule="auto"/>
        <w:tabs>
          <w:tab w:leader="none" w:pos="9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720" w:right="160" w:firstLine="8"/>
        <w:spacing w:after="0" w:line="264" w:lineRule="auto"/>
        <w:tabs>
          <w:tab w:leader="none" w:pos="9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720" w:right="800" w:firstLine="8"/>
        <w:spacing w:after="0" w:line="342" w:lineRule="auto"/>
        <w:tabs>
          <w:tab w:leader="none" w:pos="90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720" w:right="400" w:firstLine="8"/>
        <w:spacing w:after="0" w:line="342" w:lineRule="auto"/>
        <w:tabs>
          <w:tab w:leader="none" w:pos="915"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4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60" w:firstLine="8"/>
        <w:spacing w:after="0" w:line="277" w:lineRule="auto"/>
        <w:tabs>
          <w:tab w:leader="none" w:pos="1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513" w:right="25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2011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08"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Brendan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2011 as filed with the Securities and Exchange Commission on the date hereof (the “Report”), I, Ciaran Murray, Chief Executive Officer of the Company, certify, pursuant to 18 U.S.C. § 1350, as adopted pursuant to § 906 of the Sarbanes-Oxley Act of 2002, that to my knowledge:</w:t>
      </w:r>
    </w:p>
    <w:p>
      <w:pPr>
        <w:spacing w:after="0" w:line="208"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(No. 333-152802) of ICON plc of our reports dated March 2, 2012, with respect to the consolidated balance sheets of ICON plc as of December 31, 2011 and 2010 and the related consolidated statements of operations, shareholders’ equity and comprehensive income, and cash flows for each of the years in the three-year period ended December 31, 2011, and the effectiveness of internal control over financial reporting as of December 31, 2011, which reports appear in the December 31, 2011 Annual Report on Form 20-F of ICON plc.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2012</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o"/>
      <w:numFmt w:val="bullet"/>
      <w:start w:val="1"/>
    </w:lvl>
  </w:abstractNum>
  <w:abstractNum w:abstractNumId="5">
    <w:nsid w:val="737B8DDC"/>
    <w:multiLevelType w:val="hybridMultilevel"/>
    <w:lvl w:ilvl="0">
      <w:lvlJc w:val="left"/>
      <w:lvlText w:val="o"/>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2"/>
    </w:lvl>
  </w:abstractNum>
  <w:abstractNum w:abstractNumId="22">
    <w:nsid w:val="2D517796"/>
    <w:multiLevelType w:val="hybridMultilevel"/>
    <w:lvl w:ilvl="0">
      <w:lvlJc w:val="left"/>
      <w:lvlText w:val="(%1)"/>
      <w:numFmt w:val="lowerLetter"/>
      <w:start w:val="3"/>
    </w:lvl>
  </w:abstractNum>
  <w:abstractNum w:abstractNumId="23">
    <w:nsid w:val="580BD78F"/>
    <w:multiLevelType w:val="hybridMultilevel"/>
    <w:lvl w:ilvl="0">
      <w:lvlJc w:val="left"/>
      <w:lvlText w:val="(%1)"/>
      <w:numFmt w:val="lowerLetter"/>
      <w:start w:val="4"/>
    </w:lvl>
  </w:abstractNum>
  <w:abstractNum w:abstractNumId="24">
    <w:nsid w:val="153EA438"/>
    <w:multiLevelType w:val="hybridMultilevel"/>
    <w:lvl w:ilvl="0">
      <w:lvlJc w:val="left"/>
      <w:lvlText w:val="(%1)"/>
      <w:numFmt w:val="lowerLetter"/>
      <w:start w:val="5"/>
    </w:lvl>
  </w:abstractNum>
  <w:abstractNum w:abstractNumId="25">
    <w:nsid w:val="3855585C"/>
    <w:multiLevelType w:val="hybridMultilevel"/>
    <w:lvl w:ilvl="0">
      <w:lvlJc w:val="left"/>
      <w:lvlText w:val="(%1)"/>
      <w:numFmt w:val="lowerLetter"/>
      <w:start w:val="6"/>
    </w:lvl>
  </w:abstractNum>
  <w:abstractNum w:abstractNumId="26">
    <w:nsid w:val="70A64E2A"/>
    <w:multiLevelType w:val="hybridMultilevel"/>
    <w:lvl w:ilvl="0">
      <w:lvlJc w:val="left"/>
      <w:lvlText w:val="(%1)"/>
      <w:numFmt w:val="lowerLetter"/>
      <w:start w:val="7"/>
    </w:lvl>
  </w:abstractNum>
  <w:abstractNum w:abstractNumId="27">
    <w:nsid w:val="6A2342EC"/>
    <w:multiLevelType w:val="hybridMultilevel"/>
    <w:lvl w:ilvl="0">
      <w:lvlJc w:val="left"/>
      <w:lvlText w:val="(%1)"/>
      <w:numFmt w:val="lowerLetter"/>
      <w:start w:val="8"/>
    </w:lvl>
  </w:abstractNum>
  <w:abstractNum w:abstractNumId="28">
    <w:nsid w:val="2A487CB0"/>
    <w:multiLevelType w:val="hybridMultilevel"/>
    <w:lvl w:ilvl="0">
      <w:lvlJc w:val="left"/>
      <w:lvlText w:val="(%1)"/>
      <w:numFmt w:val="lowerRoman"/>
      <w:start w:val="1"/>
    </w:lvl>
  </w:abstractNum>
  <w:abstractNum w:abstractNumId="29">
    <w:nsid w:val="1D4ED43B"/>
    <w:multiLevelType w:val="hybridMultilevel"/>
    <w:lvl w:ilvl="0">
      <w:lvlJc w:val="left"/>
      <w:lvlText w:val="(%1)"/>
      <w:numFmt w:val="lowerLetter"/>
      <w:start w:val="10"/>
    </w:lvl>
  </w:abstractNum>
  <w:abstractNum w:abstractNumId="30">
    <w:nsid w:val="725A06FB"/>
    <w:multiLevelType w:val="hybridMultilevel"/>
    <w:lvl w:ilvl="0">
      <w:lvlJc w:val="left"/>
      <w:lvlText w:val="(%1)"/>
      <w:numFmt w:val="lowerLetter"/>
      <w:start w:val="11"/>
    </w:lvl>
  </w:abstractNum>
  <w:abstractNum w:abstractNumId="31">
    <w:nsid w:val="2CD89A32"/>
    <w:multiLevelType w:val="hybridMultilevel"/>
    <w:lvl w:ilvl="0">
      <w:lvlJc w:val="left"/>
      <w:lvlText w:val="(%1)"/>
      <w:numFmt w:val="lowerLetter"/>
      <w:start w:val="12"/>
    </w:lvl>
  </w:abstractNum>
  <w:abstractNum w:abstractNumId="32">
    <w:nsid w:val="57E4CCAF"/>
    <w:multiLevelType w:val="hybridMultilevel"/>
    <w:lvl w:ilvl="0">
      <w:lvlJc w:val="left"/>
      <w:lvlText w:val="(%1)"/>
      <w:numFmt w:val="lowerLetter"/>
      <w:start w:val="13"/>
    </w:lvl>
  </w:abstractNum>
  <w:abstractNum w:abstractNumId="33">
    <w:nsid w:val="7A6D8D3C"/>
    <w:multiLevelType w:val="hybridMultilevel"/>
    <w:lvl w:ilvl="0">
      <w:lvlJc w:val="left"/>
      <w:lvlText w:val="(%1)"/>
      <w:numFmt w:val="lowerLetter"/>
      <w:start w:val="14"/>
    </w:lvl>
  </w:abstractNum>
  <w:abstractNum w:abstractNumId="34">
    <w:nsid w:val="4B588F54"/>
    <w:multiLevelType w:val="hybridMultilevel"/>
    <w:lvl w:ilvl="0">
      <w:lvlJc w:val="left"/>
      <w:lvlText w:val="(%1)"/>
      <w:numFmt w:val="lowerLetter"/>
      <w:start w:val="15"/>
    </w:lvl>
  </w:abstractNum>
  <w:abstractNum w:abstractNumId="35">
    <w:nsid w:val="542289EC"/>
    <w:multiLevelType w:val="hybridMultilevel"/>
    <w:lvl w:ilvl="0">
      <w:lvlJc w:val="left"/>
      <w:lvlText w:val="(%1)"/>
      <w:numFmt w:val="lowerLetter"/>
      <w:start w:val="16"/>
    </w:lvl>
  </w:abstractNum>
  <w:abstractNum w:abstractNumId="36">
    <w:nsid w:val="6DE91B18"/>
    <w:multiLevelType w:val="hybridMultilevel"/>
    <w:lvl w:ilvl="0">
      <w:lvlJc w:val="left"/>
      <w:lvlText w:val="(%1)"/>
      <w:numFmt w:val="lowerLetter"/>
      <w:start w:val="17"/>
    </w:lvl>
  </w:abstractNum>
  <w:abstractNum w:abstractNumId="37">
    <w:nsid w:val="38437FDB"/>
    <w:multiLevelType w:val="hybridMultilevel"/>
    <w:lvl w:ilvl="0">
      <w:lvlJc w:val="left"/>
      <w:lvlText w:val="(%1)"/>
      <w:numFmt w:val="lowerLetter"/>
      <w:start w:val="18"/>
    </w:lvl>
  </w:abstractNum>
  <w:abstractNum w:abstractNumId="38">
    <w:nsid w:val="7644A45C"/>
    <w:multiLevelType w:val="hybridMultilevel"/>
    <w:lvl w:ilvl="0">
      <w:lvlJc w:val="left"/>
      <w:lvlText w:val="(%1)"/>
      <w:numFmt w:val="lowerLetter"/>
      <w:start w:val="19"/>
    </w:lvl>
  </w:abstractNum>
  <w:abstractNum w:abstractNumId="39">
    <w:nsid w:val="32FFF902"/>
    <w:multiLevelType w:val="hybridMultilevel"/>
    <w:lvl w:ilvl="0">
      <w:lvlJc w:val="left"/>
      <w:lvlText w:val="(%1)"/>
      <w:numFmt w:val="lowerLetter"/>
      <w:start w:val="20"/>
    </w:lvl>
  </w:abstractNum>
  <w:abstractNum w:abstractNumId="40">
    <w:nsid w:val="684A481A"/>
    <w:multiLevelType w:val="hybridMultilevel"/>
    <w:lvl w:ilvl="0">
      <w:lvlJc w:val="left"/>
      <w:lvlText w:val="(%1)"/>
      <w:numFmt w:val="lowerLetter"/>
      <w:start w:val="21"/>
    </w:lvl>
  </w:abstractNum>
  <w:abstractNum w:abstractNumId="41">
    <w:nsid w:val="579478FE"/>
    <w:multiLevelType w:val="hybridMultilevel"/>
    <w:lvl w:ilvl="0">
      <w:lvlJc w:val="left"/>
      <w:lvlText w:val="(%1)"/>
      <w:numFmt w:val="lowerRoman"/>
      <w:start w:val="5"/>
    </w:lvl>
  </w:abstractNum>
  <w:abstractNum w:abstractNumId="42">
    <w:nsid w:val="749ABB43"/>
    <w:multiLevelType w:val="hybridMultilevel"/>
    <w:lvl w:ilvl="0">
      <w:lvlJc w:val="left"/>
      <w:lvlText w:val="(%1)"/>
      <w:numFmt w:val="lowerLetter"/>
      <w:start w:val="23"/>
    </w:lvl>
  </w:abstractNum>
  <w:abstractNum w:abstractNumId="43">
    <w:nsid w:val="3DC240FB"/>
    <w:multiLevelType w:val="hybridMultilevel"/>
    <w:lvl w:ilvl="0">
      <w:lvlJc w:val="left"/>
      <w:lvlText w:val="(%1)"/>
      <w:numFmt w:val="lowerRoman"/>
      <w:start w:val="10"/>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lowerLetter"/>
      <w:start w:val="3"/>
    </w:lvl>
  </w:abstractNum>
  <w:abstractNum w:abstractNumId="46">
    <w:nsid w:val="75C6C33A"/>
    <w:multiLevelType w:val="hybridMultilevel"/>
    <w:lvl w:ilvl="0">
      <w:lvlJc w:val="left"/>
      <w:lvlText w:val="%1)"/>
      <w:numFmt w:val="lowerLetter"/>
      <w:start w:val="4"/>
    </w:lvl>
  </w:abstractNum>
  <w:abstractNum w:abstractNumId="47">
    <w:nsid w:val="12E685FB"/>
    <w:multiLevelType w:val="hybridMultilevel"/>
    <w:lvl w:ilvl="0">
      <w:lvlJc w:val="left"/>
      <w:lvlText w:val="%1)"/>
      <w:numFmt w:val="lowerLetter"/>
      <w:start w:val="5"/>
    </w:lvl>
  </w:abstractNum>
  <w:abstractNum w:abstractNumId="48">
    <w:nsid w:val="70C6A529"/>
    <w:multiLevelType w:val="hybridMultilevel"/>
    <w:lvl w:ilvl="0">
      <w:lvlJc w:val="left"/>
      <w:lvlText w:val="%1)"/>
      <w:numFmt w:val="lowerLetter"/>
      <w:start w:val="6"/>
    </w:lvl>
  </w:abstractNum>
  <w:abstractNum w:abstractNumId="49">
    <w:nsid w:val="520EEDD1"/>
    <w:multiLevelType w:val="hybridMultilevel"/>
    <w:lvl w:ilvl="0">
      <w:lvlJc w:val="left"/>
      <w:lvlText w:val="%1)"/>
      <w:numFmt w:val="lowerLetter"/>
      <w:start w:val="13"/>
    </w:lvl>
    <w:lvl w:ilvl="1">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2019-12-09T12:23:36Z</dcterms:created>
  <dcterms:modified xsi:type="dcterms:W3CDTF">2019-12-09T12:23:36Z</dcterms:modified>
</cp:coreProperties>
</file>