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40" w:before="0" w:after="0"/>
        <w:jc w:val="center"/>
        <w:rPr>
          <w:color w:val="000000"/>
          <w:shd w:fill="FFFFFF" w:val="clear"/>
        </w:rPr>
      </w:pPr>
      <w:r>
        <w:rPr>
          <w:color w:val="000000"/>
          <w:shd w:fill="FFFFFF" w:val="clear"/>
        </w:rPr>
        <w:t> </w:t>
      </w:r>
      <w:r>
        <w:rPr>
          <w:rFonts w:ascii="Times New Roman;sans-serif" w:hAnsi="Times New Roman;sans-serif"/>
          <w:b/>
          <w:color w:val="000000"/>
          <w:sz w:val="20"/>
          <w:shd w:fill="FFFFFF" w:val="clear"/>
        </w:rPr>
        <w:t>UNITED STATES</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SECURITIES AND EXCHANGE COMMISSION</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Washington, D.C. 20549</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FORM 6-K</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Report of Foreign Private Issuer</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Pursuant to Rule 13a-16 or 15d-16 under</w:t>
      </w:r>
    </w:p>
    <w:p>
      <w:pPr>
        <w:pStyle w:val="TextBody"/>
        <w:bidi w:val="0"/>
        <w:spacing w:lineRule="auto" w:line="240" w:before="0" w:after="0"/>
        <w:jc w:val="center"/>
        <w:rPr>
          <w:shd w:fill="FFFFFF" w:val="clear"/>
        </w:rPr>
      </w:pPr>
      <w:r>
        <w:rPr>
          <w:rFonts w:ascii="Times New Roman;sans-serif" w:hAnsi="Times New Roman;sans-serif"/>
          <w:b w:val="false"/>
          <w:color w:val="000000"/>
          <w:sz w:val="20"/>
          <w:shd w:fill="FFFFFF" w:val="clear"/>
        </w:rPr>
        <w:t>t</w:t>
      </w:r>
      <w:r>
        <w:rPr>
          <w:rFonts w:ascii="Times New Roman;sans-serif" w:hAnsi="Times New Roman;sans-serif"/>
          <w:b/>
          <w:color w:val="000000"/>
          <w:sz w:val="20"/>
          <w:shd w:fill="FFFFFF" w:val="clear"/>
        </w:rPr>
        <w:t>he Securities Exchange Act of 1934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month of April 2025</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shd w:fill="FFFFFF" w:val="clear"/>
        </w:rPr>
      </w:pPr>
      <w:r>
        <w:rPr>
          <w:rFonts w:ascii="Times New Roman;sans-serif" w:hAnsi="Times New Roman;sans-serif"/>
          <w:b/>
          <w:color w:val="000000"/>
          <w:sz w:val="20"/>
          <w:shd w:fill="FFFFFF" w:val="clear"/>
        </w:rPr>
        <w:t>333-08704</w:t>
      </w:r>
      <w:r>
        <w:rPr>
          <w:color w:val="000000"/>
          <w:shd w:fill="FFFFFF" w:val="clear"/>
        </w:rPr>
        <w:t xml:space="preserve"> </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(Commission file number)</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ICON plc</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(Translation of registrant's name into English)</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South County Business Park, Leopardstown, Dublin 18, D18 X5R3, Ireland</w:t>
      </w:r>
    </w:p>
    <w:p>
      <w:pPr>
        <w:pStyle w:val="TextBody"/>
        <w:bidi w:val="0"/>
        <w:spacing w:lineRule="auto" w:line="240"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(Address of principal executive offices)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9359" w:type="dxa"/>
        <w:jc w:val="left"/>
        <w:tblInd w:w="0" w:type="dxa"/>
        <w:tblLayout w:type="fixed"/>
        <w:tblCellMar>
          <w:top w:w="28" w:type="dxa"/>
          <w:left w:w="28" w:type="dxa"/>
          <w:bottom w:w="28" w:type="dxa"/>
          <w:right w:w="28" w:type="dxa"/>
        </w:tblCellMar>
      </w:tblPr>
      <w:tblGrid>
        <w:gridCol w:w="1115"/>
        <w:gridCol w:w="980"/>
        <w:gridCol w:w="980"/>
        <w:gridCol w:w="980"/>
        <w:gridCol w:w="980"/>
        <w:gridCol w:w="980"/>
        <w:gridCol w:w="980"/>
        <w:gridCol w:w="980"/>
        <w:gridCol w:w="1384"/>
      </w:tblGrid>
      <w:tr>
        <w:trPr/>
        <w:tc>
          <w:tcPr>
            <w:tcW w:w="111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r>
      <w:tr>
        <w:trPr/>
        <w:tc>
          <w:tcPr>
            <w:tcW w:w="93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files or will file annual reports under cover Form 20-F or Form 40-F.</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Form 20-F __</w:t>
            </w:r>
            <w:r>
              <w:rPr>
                <w:rFonts w:ascii="Times New Roman;sans-serif" w:hAnsi="Times New Roman;sans-serif"/>
                <w:b/>
                <w:color w:val="000000"/>
                <w:sz w:val="20"/>
              </w:rPr>
              <w:t>X</w:t>
            </w:r>
            <w:r>
              <w:rPr>
                <w:rFonts w:ascii="Times New Roman;sans-serif" w:hAnsi="Times New Roman;sans-serif"/>
                <w:b w:val="false"/>
                <w:color w:val="000000"/>
                <w:sz w:val="20"/>
              </w:rPr>
              <w:t>___</w:t>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40-F ______</w:t>
            </w:r>
          </w:p>
        </w:tc>
      </w:tr>
      <w:tr>
        <w:trPr/>
        <w:tc>
          <w:tcPr>
            <w:tcW w:w="9359"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6284" w:type="dxa"/>
            <w:gridSpan w:val="6"/>
            <w:tcBorders/>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2940" w:type="dxa"/>
            <w:gridSpan w:val="3"/>
            <w:tcBorders/>
            <w:vAlign w:val="center"/>
          </w:tcPr>
          <w:p>
            <w:pPr>
              <w:pStyle w:val="TableContents"/>
              <w:bidi w:val="0"/>
              <w:spacing w:before="0" w:after="283"/>
              <w:jc w:val="left"/>
              <w:rPr>
                <w:sz w:val="4"/>
                <w:szCs w:val="4"/>
              </w:rPr>
            </w:pPr>
            <w:r>
              <w:rPr>
                <w:sz w:val="4"/>
                <w:szCs w:val="4"/>
              </w:rPr>
            </w:r>
          </w:p>
        </w:tc>
        <w:tc>
          <w:tcPr>
            <w:tcW w:w="3344"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6284" w:type="dxa"/>
            <w:gridSpan w:val="6"/>
            <w:tcBorders/>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6284" w:type="dxa"/>
            <w:gridSpan w:val="6"/>
            <w:tcBorders/>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2940" w:type="dxa"/>
            <w:gridSpan w:val="3"/>
            <w:tcBorders/>
            <w:vAlign w:val="center"/>
          </w:tcPr>
          <w:p>
            <w:pPr>
              <w:pStyle w:val="TableContents"/>
              <w:bidi w:val="0"/>
              <w:spacing w:before="0" w:after="283"/>
              <w:jc w:val="left"/>
              <w:rPr>
                <w:sz w:val="4"/>
                <w:szCs w:val="4"/>
              </w:rPr>
            </w:pPr>
            <w:r>
              <w:rPr>
                <w:sz w:val="4"/>
                <w:szCs w:val="4"/>
              </w:rPr>
            </w:r>
          </w:p>
        </w:tc>
        <w:tc>
          <w:tcPr>
            <w:tcW w:w="33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EXHIBIT LIST</w:t>
      </w:r>
    </w:p>
    <w:p>
      <w:pPr>
        <w:pStyle w:val="TextBody"/>
        <w:bidi w:val="0"/>
        <w:spacing w:lineRule="auto" w:line="240" w:before="0" w:after="0"/>
        <w:jc w:val="left"/>
        <w:rPr>
          <w:color w:val="000000"/>
          <w:shd w:fill="FFFFFF" w:val="clear"/>
        </w:rPr>
      </w:pPr>
      <w:r>
        <w:rPr>
          <w:color w:val="000000"/>
          <w:shd w:fill="FFFFFF" w:val="clear"/>
        </w:rPr>
        <w:t> </w:t>
      </w:r>
    </w:p>
    <w:tbl>
      <w:tblPr>
        <w:tblW w:w="8011" w:type="dxa"/>
        <w:jc w:val="left"/>
        <w:tblInd w:w="0" w:type="dxa"/>
        <w:tblLayout w:type="fixed"/>
        <w:tblCellMar>
          <w:top w:w="28" w:type="dxa"/>
          <w:left w:w="28" w:type="dxa"/>
          <w:bottom w:w="28" w:type="dxa"/>
          <w:right w:w="28" w:type="dxa"/>
        </w:tblCellMar>
      </w:tblPr>
      <w:tblGrid>
        <w:gridCol w:w="266"/>
        <w:gridCol w:w="234"/>
        <w:gridCol w:w="236"/>
        <w:gridCol w:w="2131"/>
        <w:gridCol w:w="2131"/>
        <w:gridCol w:w="3013"/>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3013"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w:t>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Description</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5pressrelease.htm">
              <w:r>
                <w:rPr>
                  <w:rStyle w:val="InternetLink"/>
                  <w:rFonts w:ascii="Times New Roman;sans-serif" w:hAnsi="Times New Roman;sans-serif"/>
                  <w:b w:val="false"/>
                  <w:color w:val="0000FF"/>
                  <w:sz w:val="20"/>
                  <w:u w:val="single"/>
                </w:rPr>
                <w:t>99.1</w:t>
              </w:r>
            </w:hyperlink>
          </w:p>
        </w:tc>
        <w:tc>
          <w:tcPr>
            <w:tcW w:w="727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5pressrelease.htm">
              <w:r>
                <w:rPr>
                  <w:rStyle w:val="InternetLink"/>
                  <w:rFonts w:ascii="Times New Roman;sans-serif" w:hAnsi="Times New Roman;sans-serif"/>
                  <w:b w:val="false"/>
                  <w:color w:val="000080"/>
                  <w:sz w:val="20"/>
                  <w:u w:val="single"/>
                </w:rPr>
                <w:t xml:space="preserve">ICON plc Press Release issued April </w:t>
              </w:r>
            </w:hyperlink>
            <w:hyperlink w:anchor="q12025pressrelease.htm">
              <w:r>
                <w:rPr>
                  <w:rStyle w:val="InternetLink"/>
                  <w:rFonts w:ascii="Times New Roman;sans-serif" w:hAnsi="Times New Roman;sans-serif"/>
                  <w:b w:val="false"/>
                  <w:color w:val="000080"/>
                  <w:sz w:val="20"/>
                  <w:u w:val="single"/>
                </w:rPr>
                <w:t>30</w:t>
              </w:r>
            </w:hyperlink>
            <w:hyperlink w:anchor="q12025pressrelease.htm">
              <w:r>
                <w:rPr>
                  <w:rStyle w:val="InternetLink"/>
                  <w:rFonts w:ascii="Times New Roman;sans-serif" w:hAnsi="Times New Roman;sans-serif"/>
                  <w:b w:val="false"/>
                  <w:color w:val="000080"/>
                  <w:sz w:val="20"/>
                  <w:u w:val="single"/>
                </w:rPr>
                <w:t>, 2025 - ICON Reports First Quarter 2025 Results</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SIGNATURES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requirements of the Securities Exchange Act of 1934, the Registrant has duly caused this report to be signed on its behalf by the undersigned thereunto duly authorized.</w:t>
      </w:r>
    </w:p>
    <w:p>
      <w:pPr>
        <w:pStyle w:val="TextBody"/>
        <w:bidi w:val="0"/>
        <w:spacing w:lineRule="auto" w:line="240" w:before="0" w:after="0"/>
        <w:jc w:val="left"/>
        <w:rPr>
          <w:color w:val="000000"/>
          <w:shd w:fill="FFFFFF" w:val="clear"/>
        </w:rPr>
      </w:pPr>
      <w:r>
        <w:rPr>
          <w:color w:val="000000"/>
          <w:shd w:fill="FFFFFF" w:val="clear"/>
        </w:rPr>
        <w:t> </w:t>
      </w:r>
    </w:p>
    <w:p>
      <w:pPr>
        <w:pStyle w:val="TextBody"/>
        <w:bidi w:val="0"/>
        <w:spacing w:lineRule="auto" w:line="240" w:before="0" w:after="0"/>
        <w:jc w:val="left"/>
        <w:rPr>
          <w:color w:val="000000"/>
          <w:shd w:fill="FFFFFF" w:val="clear"/>
        </w:rPr>
      </w:pPr>
      <w:r>
        <w:rPr>
          <w:color w:val="000000"/>
          <w:shd w:fill="FFFFFF" w:val="clear"/>
        </w:rPr>
        <w:t> </w:t>
      </w:r>
    </w:p>
    <w:tbl>
      <w:tblPr>
        <w:tblW w:w="4120" w:type="dxa"/>
        <w:jc w:val="left"/>
        <w:tblInd w:w="0" w:type="dxa"/>
        <w:tblLayout w:type="fixed"/>
        <w:tblCellMar>
          <w:top w:w="28" w:type="dxa"/>
          <w:left w:w="28" w:type="dxa"/>
          <w:bottom w:w="28" w:type="dxa"/>
          <w:right w:w="28" w:type="dxa"/>
        </w:tblCellMar>
      </w:tblPr>
      <w:tblGrid>
        <w:gridCol w:w="645"/>
        <w:gridCol w:w="568"/>
        <w:gridCol w:w="571"/>
        <w:gridCol w:w="109"/>
        <w:gridCol w:w="109"/>
        <w:gridCol w:w="109"/>
        <w:gridCol w:w="587"/>
        <w:gridCol w:w="587"/>
        <w:gridCol w:w="835"/>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ICON plc</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Nigel Clerkin</w:t>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April 30, 2025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Nigel Clerkin</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800225" cy="4857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800225" cy="485775"/>
                    </a:xfrm>
                    <a:prstGeom prst="rect">
                      <a:avLst/>
                    </a:prstGeom>
                  </pic:spPr>
                </pic:pic>
              </a:graphicData>
            </a:graphic>
          </wp:inline>
        </w:drawing>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ICON Reports First Quarter 2025 Results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Highlights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Net business wins in the quarter of $2,022 million; a net book to bill in the quarter of 1.01.</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val="false"/>
          <w:color w:val="000000"/>
          <w:sz w:val="20"/>
        </w:rPr>
        <w:t>Closing backlog of $24.7 billion, an increase of 0.3% on quarter four 2024 and 6.0% on quarter one 2024.</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Quarter one revenue was $2,001.3 million and quarter one adjusted EBITDA was $390.7</w:t>
      </w:r>
      <w:r>
        <w:rPr>
          <w:color w:val="000000"/>
        </w:rPr>
        <w:t xml:space="preserve"> </w:t>
      </w:r>
      <w:r>
        <w:rPr>
          <w:rFonts w:ascii="Times New Roman;sans-serif" w:hAnsi="Times New Roman;sans-serif"/>
          <w:b w:val="false"/>
          <w:color w:val="000000"/>
          <w:sz w:val="20"/>
        </w:rPr>
        <w:t xml:space="preserve">million or 19.5% of revenue.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GAAP net income for the quarter was $154.2 million or $1.90 per diluted share.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Quarter one adjusted net income was $258.3 million or $3.19 per diluted share.</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Net debt was $2.9 billion at March 31, 2025 with a net debt to adjusted EBITDA ratio of 1.7x.</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$250.0 million worth of stock repurchased in quarter one at an average price of $184.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Updating full-year 2025 financial revenue guidance in the range of $7,750 - $8,150 million, representing a year - over -year decrease of -6.4% to -1.6%.</w:t>
      </w:r>
      <w:r>
        <w:rPr>
          <w:color w:val="000000"/>
        </w:rPr>
        <w:t xml:space="preserve"> </w:t>
      </w:r>
      <w:r>
        <w:rPr>
          <w:rFonts w:ascii="Times New Roman;sans-serif" w:hAnsi="Times New Roman;sans-serif"/>
          <w:b w:val="false"/>
          <w:color w:val="000000"/>
          <w:sz w:val="20"/>
        </w:rPr>
        <w:t>Updating full-year 2025 adjusted diluted earnings per share* guidance in the range of $12.75 - $14.25, representing a year - over - year movement of -8.9% to +1.8%. Adjusted diluted earnings per share to exclude amortization, stock compensation, restructuring, foreign exchange, transaction-related / integration-related adjustments and their related taxation effect.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left"/>
        <w:rPr/>
      </w:pPr>
      <w:r>
        <w:rPr>
          <w:rFonts w:ascii="Times New Roman;sans-serif" w:hAnsi="Times New Roman;sans-serif"/>
          <w:b w:val="false"/>
          <w:color w:val="000000"/>
          <w:sz w:val="20"/>
          <w:shd w:fill="FFFFFF" w:val="clear"/>
        </w:rPr>
        <w:t xml:space="preserve">Dublin, Ireland, April 30, 2025 – ICON plc (NASDAQ: ICLR), a world-leading </w:t>
      </w:r>
      <w:r>
        <w:rPr>
          <w:rFonts w:ascii="Times New Roman;sans-serif" w:hAnsi="Times New Roman;sans-serif"/>
          <w:b w:val="false"/>
          <w:color w:val="000000"/>
          <w:sz w:val="20"/>
        </w:rPr>
        <w:t>clinical research organization powered by healthcare intelligence,</w:t>
      </w:r>
      <w:r>
        <w:rPr>
          <w:color w:val="000000"/>
          <w:shd w:fill="FFFFFF" w:val="clear"/>
        </w:rPr>
        <w:t xml:space="preserve"> </w:t>
      </w:r>
      <w:r>
        <w:rPr>
          <w:rFonts w:ascii="Times New Roman;sans-serif" w:hAnsi="Times New Roman;sans-serif"/>
          <w:b w:val="false"/>
          <w:color w:val="000000"/>
          <w:sz w:val="20"/>
          <w:shd w:fill="FFFFFF" w:val="clear"/>
        </w:rPr>
        <w:t>today reported its financial results for the first quarter ended March 31, 2025.</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color w:val="000000"/>
          <w:sz w:val="20"/>
          <w:shd w:fill="FFFFFF" w:val="clear"/>
        </w:rPr>
        <w:t xml:space="preserve">CEO, Dr. Steve Cutler commented, </w:t>
      </w:r>
      <w:r>
        <w:rPr>
          <w:color w:val="000000"/>
        </w:rPr>
        <w:t>“</w:t>
      </w:r>
      <w:r>
        <w:rPr>
          <w:rFonts w:ascii="Times New Roman;sans-serif" w:hAnsi="Times New Roman;sans-serif"/>
          <w:b w:val="false"/>
          <w:i/>
          <w:color w:val="000000"/>
          <w:sz w:val="20"/>
        </w:rPr>
        <w:t>ICON’s performance in quarter one was impacted by the volatility and cautiousness that continues to be present in the broader clinical development market.</w:t>
      </w:r>
      <w:r>
        <w:rPr>
          <w:color w:val="000000"/>
        </w:rPr>
        <w:t xml:space="preserve"> </w:t>
      </w:r>
      <w:r>
        <w:rPr>
          <w:rFonts w:ascii="Times New Roman;sans-serif" w:hAnsi="Times New Roman;sans-serif"/>
          <w:b w:val="false"/>
          <w:i/>
          <w:color w:val="000000"/>
          <w:sz w:val="20"/>
        </w:rPr>
        <w:t>Bookings were below expectations due to delays in customer decision making, careful capital allocation and continued elevated cancellations.</w:t>
      </w:r>
      <w:r>
        <w:rPr>
          <w:color w:val="000000"/>
        </w:rPr>
        <w:t xml:space="preserve"> </w:t>
      </w:r>
      <w:r>
        <w:rPr>
          <w:rFonts w:ascii="Times New Roman;sans-serif" w:hAnsi="Times New Roman;sans-serif"/>
          <w:b w:val="false"/>
          <w:i/>
          <w:color w:val="000000"/>
          <w:sz w:val="20"/>
        </w:rPr>
        <w:t>Despite additional revenue pressure from previously disclosed trial delays, ICON delivered adjusted EBITDA margin and earnings per share in-line with our expectations, due to focused resource utilization and strong cost control across the business.</w:t>
      </w:r>
    </w:p>
    <w:p>
      <w:pPr>
        <w:pStyle w:val="TextBody"/>
        <w:bidi w:val="0"/>
        <w:spacing w:before="0" w:after="0"/>
        <w:jc w:val="both"/>
        <w:rPr/>
      </w:pPr>
      <w:r>
        <w:rPr/>
      </w:r>
    </w:p>
    <w:p>
      <w:pPr>
        <w:pStyle w:val="TextBody"/>
        <w:bidi w:val="0"/>
        <w:spacing w:lineRule="auto" w:line="276" w:before="0" w:after="0"/>
        <w:jc w:val="both"/>
        <w:rPr/>
      </w:pPr>
      <w:r>
        <w:rPr>
          <w:rFonts w:ascii="Times New Roman;sans-serif" w:hAnsi="Times New Roman;sans-serif"/>
          <w:b w:val="false"/>
          <w:i/>
          <w:color w:val="000000"/>
          <w:sz w:val="20"/>
        </w:rPr>
        <w:t>We are updating our full year financial guidance primarily to exclude the two large next-generation COVID vaccine trials.</w:t>
      </w:r>
      <w:r>
        <w:rPr>
          <w:color w:val="000000"/>
        </w:rPr>
        <w:t xml:space="preserve"> </w:t>
      </w:r>
      <w:r>
        <w:rPr>
          <w:rFonts w:ascii="Times New Roman;sans-serif" w:hAnsi="Times New Roman;sans-serif"/>
          <w:b w:val="false"/>
          <w:i/>
          <w:color w:val="000000"/>
          <w:sz w:val="20"/>
        </w:rPr>
        <w:t>However, we have very recently received a positive update on one of those studies and are actively working with the sponsor to resume work on this trial. On a full-year basis, we now anticipate revenue to be in the range of $7,750 - $8,150 million and adjusted diluted earnings per share in the range of $12.75 to $14.25, as we continue to carefully manage our resources to ensure delivery of critical development programs for our customers.”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First Quarter 2025 Results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Gross business wins in the first quarter were $2,681 million and cancellations were $659 million. This resulted in net business wins of $2,022 million and a book to bill of 1.01.</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the first quarter was $2,001.3 million. This represents a decrease of 4.3% on quarter one 2024 or a 3.2% decrease on a constant currency basis.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GAAP net income was $154.2 million, resulting in $1.90 diluted earnings per share in quarter one 2025 compared to $2.25 diluted earnings per share in quarter one 2024, a decrease of 15.6% year over year. Adjusted net income for the quarter was $258.3 million, resulting in an adjusted diluted earnings per share of $3.19 compared to $3.47 per share for the first quarter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Adjusted EBITDA for the first quarter was $390.7 million or 19.5% of revenue, a decrease of 12.0% on quarter one 2024.</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 tax rate on adjusted net income in quarter one 2025 was 16.5%.</w:t>
      </w:r>
    </w:p>
    <w:p>
      <w:pPr>
        <w:pStyle w:val="TextBody"/>
        <w:bidi w:val="0"/>
        <w:spacing w:before="0" w:after="0"/>
        <w:jc w:val="both"/>
        <w:rPr/>
      </w:pPr>
      <w:r>
        <w:rPr/>
      </w:r>
    </w:p>
    <w:p>
      <w:pPr>
        <w:pStyle w:val="TextBody"/>
        <w:bidi w:val="0"/>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generated from operating activities for the quarter was $268.2 million. During the quarter $28.9 million was spent on capital expenditure. $250.0 million worth of stock was repurchased at an average price of $184. Additionally, $7.4 million of Term Loan B payments were made during the quarter. At March 31, 2025, the Group had cash and cash equivalents of $526.7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5"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million, compared to cash and cash equivalents of $538.8 million at December 31, 2024 and $396.1 million at March 31, 2024. Net indebtedness as at March 31, 2025 was $2.9 billion.</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Other Information</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financial measures prepared in accordance with generally accepted accounting principles (GAAP), this press release contains certain non-GAAP financial measures, including adjusted EBITDA, adjusted net income and adjusted diluted earnings per share. Adjusted EBITDA, adjusted net income and adjusted diluted earnings per share exclude amortization, stock compensation, foreign exchange gains and losses, restructuring and transaction-related / integration-related adjustments. While non-GAAP financial measures are not superior to or a substitute for the comparable GAAP measures, ICON believes certain non-GAAP information is useful to investors for historical comparison purposes.</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ICON will hold a conference call on May 1, 2025 at 08:00 EDT [13:00 Ireland &amp; UK]. This call and linked slide presentation can be accessed live from our website at http://investor.iconplc.com. A recording will also be available on the website for 90 days following the call. In addition, a calendar of company events, including upcoming conference presentations, is available on our website, under “Investors”. This calendar will be updated regularly.</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press release contains forward-looking statements, including statements about our financial guidance.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Our full-year 2025 guidance adjusted diluted earnings per share measures are provided on a non-GAAP basis because the company is unable to predict with a reasonable degree of certainty certain items contained in the GAAP measures without unreasonable efforts. For the same reasons, the company is unable to address the probable significance of the unavailable information.</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ICON plc is a world-leading clinical research organization powered by healthcare intelligence. From molecule to medicine, we advance clinical research providing outsourced services to pharmaceutical, biotechnology, medical device and government and public health organizations. We develop new innovations, drive emerging therapies forward and improve patient lives. With headquarters in Dublin, Ireland, ICON employed approximately 41,250 employees in 97 locations in 55 countries as at March 31, 2025. For further information about ICON, visit: www.iconplc.com.</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Source: ICON plc</w:t>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Contact: Investor Relations +1 888 381 7923 </w:t>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Nigel Clerkin Chief Financial Officer +353 1 291 2000</w:t>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Kate Haven Vice President Investor Relations +1 888 381 7923</w:t>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All at ICON</w:t>
      </w:r>
    </w:p>
    <w:p>
      <w:pPr>
        <w:pStyle w:val="TextBody"/>
        <w:bidi w:val="0"/>
        <w:spacing w:lineRule="auto" w:line="2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ICON/ICLR-F</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Arial;sans-serif" w:hAnsi="Arial;sans-serif"/>
          <w:b/>
          <w:color w:val="000000"/>
          <w:sz w:val="18"/>
        </w:rPr>
        <w:t>I</w:t>
      </w:r>
      <w:r>
        <w:rPr>
          <w:rFonts w:ascii="Times New Roman;sans-serif" w:hAnsi="Times New Roman;sans-serif"/>
          <w:b/>
          <w:color w:val="000000"/>
          <w:sz w:val="18"/>
        </w:rPr>
        <w:t>CON plc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OPERATIONS</w:t>
      </w:r>
    </w:p>
    <w:p>
      <w:pPr>
        <w:pStyle w:val="TextBody"/>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 2025 AND MARCH 31, 2024</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(UNAUDITED) </w:t>
      </w:r>
    </w:p>
    <w:p>
      <w:pPr>
        <w:pStyle w:val="TextBody"/>
        <w:bidi w:val="0"/>
        <w:spacing w:before="0" w:after="0"/>
        <w:ind w:left="0" w:right="0" w:firstLine="45"/>
        <w:jc w:val="center"/>
        <w:rPr/>
      </w:pPr>
      <w:r>
        <w:rPr/>
      </w:r>
    </w:p>
    <w:tbl>
      <w:tblPr>
        <w:tblW w:w="9385" w:type="dxa"/>
        <w:jc w:val="left"/>
        <w:tblInd w:w="0" w:type="dxa"/>
        <w:tblLayout w:type="fixed"/>
        <w:tblCellMar>
          <w:top w:w="28" w:type="dxa"/>
          <w:left w:w="28" w:type="dxa"/>
          <w:bottom w:w="28" w:type="dxa"/>
          <w:right w:w="28" w:type="dxa"/>
        </w:tblCellMar>
      </w:tblPr>
      <w:tblGrid>
        <w:gridCol w:w="1759"/>
        <w:gridCol w:w="1548"/>
        <w:gridCol w:w="1567"/>
        <w:gridCol w:w="291"/>
        <w:gridCol w:w="1349"/>
        <w:gridCol w:w="150"/>
        <w:gridCol w:w="150"/>
        <w:gridCol w:w="150"/>
        <w:gridCol w:w="150"/>
        <w:gridCol w:w="291"/>
        <w:gridCol w:w="1349"/>
        <w:gridCol w:w="150"/>
        <w:gridCol w:w="109"/>
        <w:gridCol w:w="109"/>
        <w:gridCol w:w="109"/>
        <w:gridCol w:w="154"/>
      </w:tblGrid>
      <w:tr>
        <w:trPr/>
        <w:tc>
          <w:tcPr>
            <w:tcW w:w="1759"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March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c>
        <w:tc>
          <w:tcPr>
            <w:tcW w:w="481" w:type="dxa"/>
            <w:gridSpan w:val="4"/>
            <w:tcBorders/>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2,001,332 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2,090,386 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costs</w:t>
            </w:r>
          </w:p>
        </w:tc>
        <w:tc>
          <w:tcPr>
            <w:tcW w:w="1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1,442,679 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1,471,367 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198,384 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177,350 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95,958 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149,181 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integration related</w:t>
            </w:r>
          </w:p>
        </w:tc>
        <w:tc>
          <w:tcPr>
            <w:tcW w:w="1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1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39,346 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6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1,781,771 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1,804,889 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219,561 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285,497 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(47,609)</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(71,665)</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 expense</w:t>
            </w:r>
          </w:p>
        </w:tc>
        <w:tc>
          <w:tcPr>
            <w:tcW w:w="1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173,754 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215,762 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(19,603)</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(28,324)</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7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154,151 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187,438 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Ordinary Share:</w:t>
            </w:r>
          </w:p>
        </w:tc>
        <w:tc>
          <w:tcPr>
            <w:tcW w:w="1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Ordinary Shares outstanding:</w:t>
            </w:r>
          </w:p>
        </w:tc>
        <w:tc>
          <w:tcPr>
            <w:tcW w:w="179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80,552,734 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82,579,203 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640"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80,924,355 </w:t>
            </w:r>
          </w:p>
        </w:tc>
        <w:tc>
          <w:tcPr>
            <w:tcW w:w="150"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83,249,303 </w:t>
            </w:r>
          </w:p>
        </w:tc>
        <w:tc>
          <w:tcPr>
            <w:tcW w:w="150"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ICON plc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BALANCE SHEETS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AS AT MARCH 31, 2025 AND DECEMBER 31, 2024</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9819" w:type="dxa"/>
        <w:jc w:val="center"/>
        <w:tblInd w:w="0" w:type="dxa"/>
        <w:tblLayout w:type="fixed"/>
        <w:tblCellMar>
          <w:top w:w="28" w:type="dxa"/>
          <w:left w:w="28" w:type="dxa"/>
          <w:bottom w:w="28" w:type="dxa"/>
          <w:right w:w="28" w:type="dxa"/>
        </w:tblCellMar>
      </w:tblPr>
      <w:tblGrid>
        <w:gridCol w:w="2403"/>
        <w:gridCol w:w="2118"/>
        <w:gridCol w:w="2124"/>
        <w:gridCol w:w="211"/>
        <w:gridCol w:w="1081"/>
        <w:gridCol w:w="109"/>
        <w:gridCol w:w="109"/>
        <w:gridCol w:w="109"/>
        <w:gridCol w:w="109"/>
        <w:gridCol w:w="211"/>
        <w:gridCol w:w="1081"/>
        <w:gridCol w:w="154"/>
      </w:tblGrid>
      <w:tr>
        <w:trPr/>
        <w:tc>
          <w:tcPr>
            <w:tcW w:w="2403"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1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526,698 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538,785 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for credit losses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1,387,462 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1,401,989 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revenue</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1,197,080 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1,286,274 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Prepayments and other current assets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receivable</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3,416,039 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3,530,493 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382,879 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9,065,335 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9,051,410 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3,501,307 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3,559,792 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right-of-use assets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72,796 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equity</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57,948 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16,722,997 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16,877,678 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SHAREHOLDERS’ EQUITY</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173,025 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1,497,166 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1,614,758 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994,308 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923,603 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bank credit lines, loan facilities and notes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2,689,292 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2,796,406 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bank credit lines, loan facilities and notes, net</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3,390,438 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3,396,398 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other liabilities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income taxes payable</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788,816 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812,486 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7,222,142 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7,354,679 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Ordinary shares, par value 6 euro cents per share; 100,000,000 shares authorized,</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79,464,252 shares issued and outstanding at March 31, 2025 and</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80,756,860 shares issued and outstanding at December 31, 2024</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7,037,344 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7,020,231 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undenominated capital</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(229,929)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2,628,808 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2,724,807 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Shareholders' Equity</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9,500,855 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9,522,999 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16,722,997 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16,877,678 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ICON plc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ENDED MARCH 31, 2025 AND MARCH 31, 2024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tbl>
      <w:tblPr>
        <w:tblW w:w="9493" w:type="dxa"/>
        <w:jc w:val="left"/>
        <w:tblInd w:w="0" w:type="dxa"/>
        <w:tblLayout w:type="fixed"/>
        <w:tblCellMar>
          <w:top w:w="28" w:type="dxa"/>
          <w:left w:w="28" w:type="dxa"/>
          <w:bottom w:w="28" w:type="dxa"/>
          <w:right w:w="28" w:type="dxa"/>
        </w:tblCellMar>
      </w:tblPr>
      <w:tblGrid>
        <w:gridCol w:w="2423"/>
        <w:gridCol w:w="2131"/>
        <w:gridCol w:w="2166"/>
        <w:gridCol w:w="211"/>
        <w:gridCol w:w="826"/>
        <w:gridCol w:w="109"/>
        <w:gridCol w:w="109"/>
        <w:gridCol w:w="109"/>
        <w:gridCol w:w="109"/>
        <w:gridCol w:w="211"/>
        <w:gridCol w:w="826"/>
        <w:gridCol w:w="109"/>
        <w:gridCol w:w="154"/>
      </w:tblGrid>
      <w:tr>
        <w:trPr/>
        <w:tc>
          <w:tcPr>
            <w:tcW w:w="2423"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March 31,</w:t>
              <w:b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provided by operating activities: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in carrying value of operating right-of-use assets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financing costs and debt discount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benefit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foreign exchange movements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items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Changes in operating assets and liabilities: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revenue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 assets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327,076 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used in investing activities: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plant and equipment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subsidiary undertakings (net of cash acquired)</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Movement of available for sale investments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Proceeds from investments in equity </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 of investments in equity </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(37,282)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(39,365)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used in financing activities: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Drawdown of credit lines and loan facilities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credit lines and loan facilities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equity compensation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issue costs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ordinary shares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repurchase costs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(252,832)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(263,699)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movements on cash</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(decrease) / increase in cash and cash equivalents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538,785 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at end of period</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526,698 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396,082 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ans-serif" w:hAnsi="Times New Roman;sans-serif"/>
          <w:b/>
          <w:color w:val="000000"/>
          <w:sz w:val="18"/>
        </w:rPr>
      </w:pPr>
      <w:r>
        <w:rPr>
          <w:rFonts w:ascii="Times New Roman;sans-serif" w:hAnsi="Times New Roman;sans-serif"/>
          <w:b/>
          <w:color w:val="000000"/>
          <w:sz w:val="18"/>
        </w:rPr>
        <w:t>ICON plc</w:t>
      </w:r>
    </w:p>
    <w:p>
      <w:pPr>
        <w:pStyle w:val="TextBody"/>
        <w:bidi w:val="0"/>
        <w:spacing w:lineRule="auto" w:line="333" w:before="0" w:after="0"/>
        <w:jc w:val="center"/>
        <w:rPr>
          <w:rFonts w:ascii="Times New Roman;sans-serif" w:hAnsi="Times New Roman;sans-serif"/>
          <w:b/>
          <w:color w:val="000000"/>
          <w:sz w:val="18"/>
        </w:rPr>
      </w:pPr>
      <w:r>
        <w:rPr>
          <w:rFonts w:ascii="Times New Roman;sans-serif" w:hAnsi="Times New Roman;sans-serif"/>
          <w:b/>
          <w:color w:val="000000"/>
          <w:sz w:val="18"/>
        </w:rPr>
        <w:t>RECONCILIATION OF NON-GAAP MEASURES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 THE THREE MONTHS ENDED MARCH 31, 2025 AND MARCH 31, 2024 </w:t>
      </w:r>
    </w:p>
    <w:p>
      <w:pPr>
        <w:pStyle w:val="TextBody"/>
        <w:bidi w:val="0"/>
        <w:spacing w:lineRule="auto" w:line="333" w:before="0" w:after="0"/>
        <w:ind w:left="0" w:right="0" w:firstLine="45"/>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153"/>
        <w:gridCol w:w="1828"/>
        <w:gridCol w:w="1836"/>
        <w:gridCol w:w="318"/>
        <w:gridCol w:w="1230"/>
        <w:gridCol w:w="161"/>
        <w:gridCol w:w="161"/>
        <w:gridCol w:w="161"/>
        <w:gridCol w:w="161"/>
        <w:gridCol w:w="318"/>
        <w:gridCol w:w="1230"/>
        <w:gridCol w:w="161"/>
        <w:gridCol w:w="109"/>
        <w:gridCol w:w="109"/>
        <w:gridCol w:w="109"/>
        <w:gridCol w:w="160"/>
      </w:tblGrid>
      <w:tr>
        <w:trPr/>
        <w:tc>
          <w:tcPr>
            <w:tcW w:w="2153"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5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March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c>
        <w:tc>
          <w:tcPr>
            <w:tcW w:w="487" w:type="dxa"/>
            <w:gridSpan w:val="4"/>
            <w:tcBorders/>
          </w:tcPr>
          <w:p>
            <w:pPr>
              <w:pStyle w:val="TableContents"/>
              <w:bidi w:val="0"/>
              <w:spacing w:before="0" w:after="283"/>
              <w:jc w:val="left"/>
              <w:rPr>
                <w:sz w:val="4"/>
                <w:szCs w:val="4"/>
              </w:rPr>
            </w:pPr>
            <w:r>
              <w:rPr>
                <w:sz w:val="4"/>
                <w:szCs w:val="4"/>
              </w:rPr>
            </w:r>
          </w:p>
        </w:tc>
      </w:tr>
      <w:tr>
        <w:trPr/>
        <w:tc>
          <w:tcPr>
            <w:tcW w:w="5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154,151 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187,438 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1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28,324 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17" w:type="dxa"/>
            <w:gridSpan w:val="3"/>
            <w:tcBorders/>
            <w:tcMar>
              <w:top w:w="0" w:type="dxa"/>
              <w:left w:w="0" w:type="dxa"/>
              <w:bottom w:w="0" w:type="dxa"/>
              <w:right w:w="0" w:type="dxa"/>
            </w:tcMar>
            <w:vAlign w:val="center"/>
          </w:tcPr>
          <w:p>
            <w:pPr>
              <w:pStyle w:val="TableContents"/>
              <w:bidi w:val="0"/>
              <w:spacing w:lineRule="auto" w:line="240" w:before="75" w:after="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interest expense </w:t>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45,807 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69,735 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95,958 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149,181 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17"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20"/>
              </w:rPr>
              <w:t xml:space="preserve">Stock-based compensation expense </w:t>
            </w:r>
            <w:r>
              <w:rPr>
                <w:rFonts w:ascii="Times New Roman;sans-serif" w:hAnsi="Times New Roman;sans-serif"/>
                <w:b w:val="false"/>
                <w:color w:val="000000"/>
                <w:sz w:val="13"/>
              </w:rPr>
              <w:t>(a)</w:t>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12,294 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17"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20"/>
              </w:rPr>
              <w:t xml:space="preserve">Foreign currency losses/(gains), net </w:t>
            </w:r>
            <w:r>
              <w:rPr>
                <w:rFonts w:ascii="Times New Roman;sans-serif" w:hAnsi="Times New Roman;sans-serif"/>
                <w:b w:val="false"/>
                <w:color w:val="000000"/>
                <w:sz w:val="13"/>
              </w:rPr>
              <w:t>(b)</w:t>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(10,814)</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1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17"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20"/>
              </w:rPr>
              <w:t xml:space="preserve">Restructuring </w:t>
            </w:r>
            <w:r>
              <w:rPr>
                <w:rFonts w:ascii="Times New Roman;sans-serif" w:hAnsi="Times New Roman;sans-serif"/>
                <w:b w:val="false"/>
                <w:color w:val="000000"/>
                <w:sz w:val="13"/>
              </w:rPr>
              <w:t>(c)</w:t>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39,346 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17"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20"/>
              </w:rPr>
              <w:t xml:space="preserve">Transaction and integration related costs </w:t>
            </w:r>
            <w:r>
              <w:rPr>
                <w:rFonts w:ascii="Times New Roman;sans-serif" w:hAnsi="Times New Roman;sans-serif"/>
                <w:b w:val="false"/>
                <w:color w:val="000000"/>
                <w:sz w:val="13"/>
              </w:rPr>
              <w:t>(d)</w:t>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390,658 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444,036 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income and adjusted diluted net income per Ordinary Share</w:t>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154,151 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187,438 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19,603 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28,324 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58,946 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116,498 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17"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20"/>
              </w:rPr>
              <w:t xml:space="preserve">Stock-based compensation expense </w:t>
            </w:r>
            <w:r>
              <w:rPr>
                <w:rFonts w:ascii="Times New Roman;sans-serif" w:hAnsi="Times New Roman;sans-serif"/>
                <w:b w:val="false"/>
                <w:color w:val="000000"/>
                <w:sz w:val="13"/>
              </w:rPr>
              <w:t>(a)</w:t>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12,294 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17"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20"/>
              </w:rPr>
              <w:t xml:space="preserve">Foreign currency losses/(gains), net </w:t>
            </w:r>
            <w:r>
              <w:rPr>
                <w:rFonts w:ascii="Times New Roman;sans-serif" w:hAnsi="Times New Roman;sans-serif"/>
                <w:b w:val="false"/>
                <w:color w:val="000000"/>
                <w:sz w:val="13"/>
              </w:rPr>
              <w:t>(b)</w:t>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(10,814)</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17"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20"/>
              </w:rPr>
              <w:t xml:space="preserve">Restructuring </w:t>
            </w:r>
            <w:r>
              <w:rPr>
                <w:rFonts w:ascii="Times New Roman;sans-serif" w:hAnsi="Times New Roman;sans-serif"/>
                <w:b w:val="false"/>
                <w:color w:val="000000"/>
                <w:sz w:val="13"/>
              </w:rPr>
              <w:t>(c)</w:t>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39,346 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1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17"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20"/>
              </w:rPr>
              <w:t xml:space="preserve">Transaction and integration related costs </w:t>
            </w:r>
            <w:r>
              <w:rPr>
                <w:rFonts w:ascii="Times New Roman;sans-serif" w:hAnsi="Times New Roman;sans-serif"/>
                <w:b w:val="false"/>
                <w:color w:val="000000"/>
                <w:sz w:val="13"/>
              </w:rPr>
              <w:t>(d)</w:t>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17"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20"/>
              </w:rPr>
              <w:t xml:space="preserve">Transaction-related financing costs </w:t>
            </w:r>
            <w:r>
              <w:rPr>
                <w:rFonts w:ascii="Times New Roman;sans-serif" w:hAnsi="Times New Roman;sans-serif"/>
                <w:b w:val="false"/>
                <w:color w:val="000000"/>
                <w:sz w:val="13"/>
              </w:rPr>
              <w:t>(e)</w:t>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17"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ans-serif" w:hAnsi="Times New Roman;sans-serif"/>
                <w:b w:val="false"/>
                <w:color w:val="000000"/>
                <w:sz w:val="20"/>
              </w:rPr>
              <w:t xml:space="preserve">Adjusted tax expense </w:t>
            </w:r>
            <w:r>
              <w:rPr>
                <w:rFonts w:ascii="Times New Roman;sans-serif" w:hAnsi="Times New Roman;sans-serif"/>
                <w:b w:val="false"/>
                <w:color w:val="000000"/>
                <w:sz w:val="13"/>
              </w:rPr>
              <w:t>(f)</w:t>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(51,035)</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(57,012)</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Adjusted net income </w:t>
            </w:r>
          </w:p>
        </w:tc>
        <w:tc>
          <w:tcPr>
            <w:tcW w:w="3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258,269 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288,513 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number of Ordinary Shares outstanding</w:t>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80,924,355 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83,249,303 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17"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55" w:after="30"/>
              <w:jc w:val="left"/>
              <w:rPr>
                <w:rFonts w:ascii="Times New Roman;sans-serif" w:hAnsi="Times New Roman;sans-serif"/>
                <w:b/>
                <w:color w:val="000000"/>
                <w:sz w:val="20"/>
              </w:rPr>
            </w:pPr>
            <w:r>
              <w:rPr>
                <w:rFonts w:ascii="Times New Roman;sans-serif" w:hAnsi="Times New Roman;sans-serif"/>
                <w:b/>
                <w:color w:val="000000"/>
                <w:sz w:val="20"/>
              </w:rPr>
              <w:t>Adjusted diluted net income per Ordinary Share</w:t>
            </w:r>
          </w:p>
        </w:tc>
        <w:tc>
          <w:tcPr>
            <w:tcW w:w="3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(a)Stock-based compensation expense represents the amount of recurring expense related to the company’s equity compensation programs (inclusive of employer related taxes).</w:t>
      </w:r>
    </w:p>
    <w:p>
      <w:pPr>
        <w:pStyle w:val="TextBody"/>
        <w:bidi w:val="0"/>
        <w:spacing w:lineRule="auto" w:line="333"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(b)Foreign currency losses/(gains), net relates to losses or gains that arise in connection with the revaluation, or settlement, of non-US dollar denominated assets and liabilities. We exclude these losses and gains from adjusted EBITDA and adjusted net income because fluctuations from period- to- period do not necessarily correspond to changes in our operating results.</w:t>
      </w:r>
    </w:p>
    <w:p>
      <w:pPr>
        <w:pStyle w:val="TextBody"/>
        <w:bidi w:val="0"/>
        <w:spacing w:lineRule="auto" w:line="333"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(c)Restructuring relates to charges incurred in connection with the company's realignments of its workforce, with the elimination of redundant positions.</w:t>
      </w:r>
    </w:p>
    <w:p>
      <w:pPr>
        <w:pStyle w:val="TextBody"/>
        <w:bidi w:val="0"/>
        <w:spacing w:lineRule="auto" w:line="333"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(d)Transaction and integration related costs include expenses associated with our acquisitions and any other costs incurred directly related to the integration of these acquisitions.</w:t>
      </w:r>
    </w:p>
    <w:p>
      <w:pPr>
        <w:pStyle w:val="TextBody"/>
        <w:bidi w:val="0"/>
        <w:spacing w:lineRule="auto" w:line="333"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(e)Transaction-related financing costs includes costs incurred in connection with changes to our long-term debt and amortization of financing fees. We exclude these costs from adjusted EBITDA and adjusted net income because they result from financing decisions rather than from decisions made related to our ongoing operations.</w:t>
      </w:r>
    </w:p>
    <w:p>
      <w:pPr>
        <w:pStyle w:val="TextBody"/>
        <w:bidi w:val="0"/>
        <w:spacing w:lineRule="auto" w:line="333"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(f)Represents the tax effect of adjusted pre-tax income at our estimated effective tax rate.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ICON plc</w:t>
      </w:r>
    </w:p>
    <w:p>
      <w:pPr>
        <w:pStyle w:val="TextBody"/>
        <w:bidi w:val="0"/>
        <w:spacing w:before="0" w:after="0"/>
        <w:jc w:val="left"/>
        <w:rPr/>
      </w:pPr>
      <w:r>
        <w:rPr/>
      </w:r>
    </w:p>
    <w:tbl>
      <w:tblPr>
        <w:tblW w:w="6105" w:type="dxa"/>
        <w:jc w:val="left"/>
        <w:tblInd w:w="0" w:type="dxa"/>
        <w:tblLayout w:type="fixed"/>
        <w:tblCellMar>
          <w:top w:w="28" w:type="dxa"/>
          <w:left w:w="28" w:type="dxa"/>
          <w:bottom w:w="28" w:type="dxa"/>
          <w:right w:w="28" w:type="dxa"/>
        </w:tblCellMar>
      </w:tblPr>
      <w:tblGrid>
        <w:gridCol w:w="298"/>
        <w:gridCol w:w="263"/>
        <w:gridCol w:w="264"/>
        <w:gridCol w:w="1542"/>
        <w:gridCol w:w="1542"/>
        <w:gridCol w:w="2196"/>
      </w:tblGrid>
      <w:tr>
        <w:trPr/>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Contact:</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Investor Relations +1 888 381 7923 </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Nigel Clerkin Chief Financial Officer </w:t>
            </w:r>
            <w:r>
              <w:rPr>
                <w:rFonts w:ascii="Times New Roman;sans-serif" w:hAnsi="Times New Roman;sans-serif"/>
                <w:b w:val="false"/>
                <w:color w:val="000000"/>
                <w:sz w:val="20"/>
                <w:shd w:fill="FFFFFF" w:val="clear"/>
              </w:rPr>
              <w:t>+353 1 291 2000</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Kate Haven Vice President Investor Relations +1 888 381 7923</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http://www.iconplc.com</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2476</Words>
  <Characters>14389</Characters>
  <CharactersWithSpaces>16621</CharactersWithSpaces>
  <Paragraphs>492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