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100"/>
        <w:spacing w:after="0"/>
        <w:rPr>
          <w:sz w:val="20"/>
          <w:szCs w:val="20"/>
          <w:color w:val="auto"/>
        </w:rPr>
      </w:pPr>
      <w:r>
        <w:rPr>
          <w:rFonts w:ascii="Arial" w:cs="Arial" w:eastAsia="Arial" w:hAnsi="Arial"/>
          <w:sz w:val="22"/>
          <w:szCs w:val="22"/>
          <w:color w:val="auto"/>
        </w:rPr>
        <w:t>For the month ended January, 2022</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jc w:val="right"/>
        <w:ind w:right="377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Issues Financial Guidance for Full Year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Arial" w:cs="Arial" w:eastAsia="Arial" w:hAnsi="Arial"/>
                <w:sz w:val="18"/>
                <w:szCs w:val="18"/>
                <w:color w:val="auto"/>
              </w:rPr>
              <w:t>Date: January 12, 2022</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Issues Financial Guidance for Full Year 2022</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right="100"/>
        <w:spacing w:after="0" w:line="241" w:lineRule="auto"/>
        <w:rPr>
          <w:sz w:val="20"/>
          <w:szCs w:val="20"/>
          <w:color w:val="auto"/>
        </w:rPr>
      </w:pPr>
      <w:r>
        <w:rPr>
          <w:rFonts w:ascii="Arial" w:cs="Arial" w:eastAsia="Arial" w:hAnsi="Arial"/>
          <w:sz w:val="22"/>
          <w:szCs w:val="22"/>
          <w:b w:val="1"/>
          <w:bCs w:val="1"/>
          <w:color w:val="auto"/>
        </w:rPr>
        <w:t>Full Year 2022 Revenue guidance in the range of $7,770 - $8,050 million, representing growth of 43 – 46% over Full Year 2021 Revenue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20"/>
        <w:spacing w:after="0" w:line="230" w:lineRule="auto"/>
        <w:rPr>
          <w:sz w:val="20"/>
          <w:szCs w:val="20"/>
          <w:color w:val="auto"/>
        </w:rPr>
      </w:pPr>
      <w:r>
        <w:rPr>
          <w:rFonts w:ascii="Arial" w:cs="Arial" w:eastAsia="Arial" w:hAnsi="Arial"/>
          <w:sz w:val="22"/>
          <w:szCs w:val="22"/>
          <w:b w:val="1"/>
          <w:bCs w:val="1"/>
          <w:color w:val="auto"/>
        </w:rPr>
        <w:t>Full Year 2022 adjusted earnings per share guidance in the range of $11.55 - $11.95, representing growth of 21 – 23% over Full Year 2021 adjusted earnings per share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36" w:lineRule="auto"/>
        <w:rPr>
          <w:sz w:val="20"/>
          <w:szCs w:val="20"/>
          <w:color w:val="auto"/>
        </w:rPr>
      </w:pPr>
      <w:r>
        <w:rPr>
          <w:rFonts w:ascii="Arial" w:cs="Arial" w:eastAsia="Arial" w:hAnsi="Arial"/>
          <w:sz w:val="22"/>
          <w:szCs w:val="22"/>
          <w:b w:val="1"/>
          <w:bCs w:val="1"/>
          <w:color w:val="auto"/>
        </w:rPr>
        <w:t>Reaffirming 2021 guidance of revenue in the range of $5,430 - $5,530 million and adjusted earnings per share in the range of $9.55 - $9.75.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-266065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1"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 xml:space="preserve">DUBLIN--(BUSINESS WIRE)--January 12, 2022--ICON plc, </w:t>
      </w:r>
      <w:r>
        <w:rPr>
          <w:rFonts w:ascii="Arial" w:cs="Arial" w:eastAsia="Arial" w:hAnsi="Arial"/>
          <w:sz w:val="21"/>
          <w:szCs w:val="21"/>
          <w:b w:val="1"/>
          <w:bCs w:val="1"/>
          <w:color w:val="auto"/>
        </w:rPr>
        <w:t>(NASDAQ: ICLR),</w:t>
      </w:r>
      <w:r>
        <w:rPr>
          <w:rFonts w:ascii="Arial" w:cs="Arial" w:eastAsia="Arial" w:hAnsi="Arial"/>
          <w:sz w:val="21"/>
          <w:szCs w:val="21"/>
          <w:color w:val="auto"/>
        </w:rPr>
        <w:t xml:space="preserve"> a world-leading clinical research organisation powered by healthcare intelligence, today announced its financial guidance for the year ended December 31, 2022. For the full year 2022, revenue is expected to be in the range of $7,770 - $8,050 million, representing growth of 43 – 46% and adjusted earnings per share is expected to be in the range of $11.55 - $11.95, representing growth of 21 – 23%, over Full Year 2021 revenue and adjusted earnings per share guidance, respectively. Adjusted earnings per share to exclude amortization, stock compensation, foreign exchange and transaction-related / integration-related adjustments.</w:t>
      </w:r>
    </w:p>
    <w:p>
      <w:pPr>
        <w:spacing w:after="0" w:line="177"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CEO Steve Cutler commented, “</w:t>
      </w:r>
      <w:r>
        <w:rPr>
          <w:rFonts w:ascii="Arial" w:cs="Arial" w:eastAsia="Arial" w:hAnsi="Arial"/>
          <w:sz w:val="22"/>
          <w:szCs w:val="22"/>
          <w:i w:val="1"/>
          <w:iCs w:val="1"/>
          <w:color w:val="auto"/>
        </w:rPr>
        <w:t>As the world’s largest and most comprehensive CRO, ICON is well positioned to lead the market</w:t>
      </w:r>
      <w:r>
        <w:rPr>
          <w:rFonts w:ascii="Arial" w:cs="Arial" w:eastAsia="Arial" w:hAnsi="Arial"/>
          <w:sz w:val="22"/>
          <w:szCs w:val="22"/>
          <w:color w:val="auto"/>
        </w:rPr>
        <w:t xml:space="preserve"> </w:t>
      </w:r>
      <w:r>
        <w:rPr>
          <w:rFonts w:ascii="Arial" w:cs="Arial" w:eastAsia="Arial" w:hAnsi="Arial"/>
          <w:sz w:val="22"/>
          <w:szCs w:val="22"/>
          <w:i w:val="1"/>
          <w:iCs w:val="1"/>
          <w:color w:val="auto"/>
        </w:rPr>
        <w:t>as the healthcare intelligence partner of choice in clinical development. We saw strong demand from customers that resulted in a trailing twelve month book to bill of 1.3x and total backlog of $18.6 billion at the end of the third quarter 2021. With our solid performance in 2021 coupled with continued strength in the broader industry environment, we expect growth of 43 – 46% in revenue to a range of $7,770 - $8,050 million and adjusted earnings per share to increase by 21 – 23% to a range of $11.55 - $11.95 for the full year 2022.”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full year 2022 financial guidance assumes: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US dollar to Euro exchange rate of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An effective tax rate of circa 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Days Sales Outstanding of circa 25 - 30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Circa $1bn free cash flow and capital expenditures of circa $150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No share repurchase or M&amp;A activity included in the above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ind w:right="760"/>
        <w:spacing w:after="0" w:line="250" w:lineRule="auto"/>
        <w:rPr>
          <w:sz w:val="20"/>
          <w:szCs w:val="20"/>
          <w:color w:val="auto"/>
        </w:rPr>
      </w:pPr>
      <w:r>
        <w:rPr>
          <w:rFonts w:ascii="Arial" w:cs="Arial" w:eastAsia="Arial" w:hAnsi="Arial"/>
          <w:sz w:val="22"/>
          <w:szCs w:val="22"/>
          <w:color w:val="auto"/>
        </w:rPr>
        <w:t>With respect to 2021, the company reaffirmed its current guidance of revenue in the range of $5,430 - $5,530 million and adjusted earnings per share in the range of $9.55 - $9.75.</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ICON plc is a world-leading clinical research organisation powered by healthcare intelligence.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37,960 employees in 159 locations in 53 countries as at September 30, 2021. For further information about ICON, visit: www.iconplc.com.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 1 888 381 7923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Chief Financial Officer + 353 1 291 2000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Kate Haven Vice President Investor Relations +1 888 381 7923</w:t>
      </w:r>
    </w:p>
    <w:sectPr>
      <w:pgSz w:w="11900" w:h="16838" w:orient="portrait"/>
      <w:cols w:equalWidth="0" w:num="1">
        <w:col w:w="11180"/>
      </w:cols>
      <w:pgMar w:left="320" w:top="33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2022-01-12T06:18:55Z</dcterms:created>
  <dcterms:modified xsi:type="dcterms:W3CDTF">2022-01-12T06:18:55Z</dcterms:modified>
</cp:coreProperties>
</file>