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19"/>
          <w:szCs w:val="19"/>
          <w:color w:val="auto"/>
        </w:rPr>
        <w:t>This communication is filed pursuant to Rule 425 under the United States Securities Act of 1933</w:t>
      </w:r>
    </w:p>
    <w:p>
      <w:pPr>
        <w:spacing w:after="0" w:line="26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Company: PRA Health Sciences, Inc.</w:t>
      </w:r>
    </w:p>
    <w:p>
      <w:pPr>
        <w:spacing w:after="0" w:line="233" w:lineRule="exact"/>
        <w:rPr>
          <w:sz w:val="24"/>
          <w:szCs w:val="24"/>
          <w:color w:val="auto"/>
        </w:rPr>
      </w:pPr>
    </w:p>
    <w:p>
      <w:pPr>
        <w:ind w:left="7140"/>
        <w:spacing w:after="0"/>
        <w:rPr>
          <w:sz w:val="20"/>
          <w:szCs w:val="20"/>
          <w:color w:val="auto"/>
        </w:rPr>
      </w:pPr>
      <w:r>
        <w:rPr>
          <w:rFonts w:ascii="Arial" w:cs="Arial" w:eastAsia="Arial" w:hAnsi="Arial"/>
          <w:sz w:val="19"/>
          <w:szCs w:val="19"/>
          <w:color w:val="auto"/>
        </w:rPr>
        <w:t>(Commission File No. 001-36732)</w:t>
      </w:r>
    </w:p>
    <w:p>
      <w:pPr>
        <w:spacing w:after="0" w:line="268" w:lineRule="exact"/>
        <w:rPr>
          <w:sz w:val="24"/>
          <w:szCs w:val="24"/>
          <w:color w:val="auto"/>
        </w:rPr>
      </w:pPr>
    </w:p>
    <w:p>
      <w:pPr>
        <w:ind w:left="8400"/>
        <w:spacing w:after="0"/>
        <w:rPr>
          <w:sz w:val="20"/>
          <w:szCs w:val="20"/>
          <w:color w:val="auto"/>
        </w:rPr>
      </w:pPr>
      <w:r>
        <w:rPr>
          <w:rFonts w:ascii="Arial" w:cs="Arial" w:eastAsia="Arial" w:hAnsi="Arial"/>
          <w:sz w:val="19"/>
          <w:szCs w:val="19"/>
          <w:color w:val="auto"/>
        </w:rPr>
        <w:t>Date: May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492125</wp:posOffset>
            </wp:positionV>
            <wp:extent cx="7132320" cy="3883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883025"/>
                    </a:xfrm>
                    <a:prstGeom prst="rect">
                      <a:avLst/>
                    </a:prstGeom>
                    <a:noFill/>
                  </pic:spPr>
                </pic:pic>
              </a:graphicData>
            </a:graphic>
          </wp:anchor>
        </w:drawing>
      </w:r>
    </w:p>
    <w:p>
      <w:pPr>
        <w:sectPr>
          <w:pgSz w:w="11900" w:h="16838" w:orient="portrait"/>
          <w:cols w:equalWidth="0" w:num="1">
            <w:col w:w="10120"/>
          </w:cols>
          <w:pgMar w:left="1440" w:top="22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426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426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603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994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4872355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448310</wp:posOffset>
            </wp:positionH>
            <wp:positionV relativeFrom="page">
              <wp:posOffset>88900</wp:posOffset>
            </wp:positionV>
            <wp:extent cx="6686550" cy="4174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543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54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83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5040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81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311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w:t>
      </w:r>
      <w:r>
        <w:rPr>
          <w:rFonts w:ascii="Arial" w:cs="Arial" w:eastAsia="Arial" w:hAnsi="Arial"/>
          <w:sz w:val="19"/>
          <w:szCs w:val="19"/>
          <w:u w:val="single" w:color="auto"/>
          <w:color w:val="auto"/>
        </w:rPr>
        <w:t>ICON</w:t>
      </w:r>
      <w:r>
        <w:rPr>
          <w:rFonts w:ascii="Arial" w:cs="Arial" w:eastAsia="Arial" w:hAnsi="Arial"/>
          <w:sz w:val="19"/>
          <w:szCs w:val="19"/>
          <w:color w:val="auto"/>
        </w:rPr>
        <w:t>”) and PRA Health Sciences, Inc., a Delaware corporation (“</w:t>
      </w:r>
      <w:r>
        <w:rPr>
          <w:rFonts w:ascii="Arial" w:cs="Arial" w:eastAsia="Arial" w:hAnsi="Arial"/>
          <w:sz w:val="19"/>
          <w:szCs w:val="19"/>
          <w:u w:val="single" w:color="auto"/>
          <w:color w:val="auto"/>
        </w:rPr>
        <w:t>PRA</w:t>
      </w:r>
      <w:r>
        <w:rPr>
          <w:rFonts w:ascii="Arial" w:cs="Arial" w:eastAsia="Arial" w:hAnsi="Arial"/>
          <w:sz w:val="19"/>
          <w:szCs w:val="19"/>
          <w:color w:val="auto"/>
        </w:rPr>
        <w:t>”),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2021-05-19T15:28:29Z</dcterms:created>
  <dcterms:modified xsi:type="dcterms:W3CDTF">2021-05-19T15:28:29Z</dcterms:modified>
</cp:coreProperties>
</file>