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 2013</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July 23,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July 23, 2013</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shareholders vote in favour of all resolutions at its Annual General Meeting</w:t>
      </w:r>
    </w:p>
    <w:p>
      <w:pPr>
        <w:spacing w:after="0" w:line="206" w:lineRule="exact"/>
        <w:rPr>
          <w:sz w:val="20"/>
          <w:szCs w:val="20"/>
          <w:color w:val="auto"/>
        </w:rPr>
      </w:pPr>
    </w:p>
    <w:p>
      <w:pPr>
        <w:ind w:right="400"/>
        <w:spacing w:after="0" w:line="283" w:lineRule="auto"/>
        <w:rPr>
          <w:sz w:val="20"/>
          <w:szCs w:val="20"/>
          <w:color w:val="auto"/>
        </w:rPr>
      </w:pPr>
      <w:r>
        <w:rPr>
          <w:rFonts w:ascii="Arial" w:cs="Arial" w:eastAsia="Arial" w:hAnsi="Arial"/>
          <w:sz w:val="19"/>
          <w:szCs w:val="19"/>
          <w:color w:val="auto"/>
        </w:rPr>
        <w:t>DUBLIN--(BUSINESS WIRE)--July 23, 2013--</w:t>
      </w:r>
      <w:r>
        <w:rPr>
          <w:rFonts w:ascii="Arial" w:cs="Arial" w:eastAsia="Arial" w:hAnsi="Arial"/>
          <w:sz w:val="19"/>
          <w:szCs w:val="19"/>
          <w:b w:val="1"/>
          <w:bCs w:val="1"/>
          <w:color w:val="auto"/>
        </w:rPr>
        <w:t>ICON plc, (NASDAQ: ICLR</w:t>
      </w:r>
      <w:r>
        <w:rPr>
          <w:rFonts w:ascii="Arial" w:cs="Arial" w:eastAsia="Arial" w:hAnsi="Arial"/>
          <w:sz w:val="19"/>
          <w:szCs w:val="19"/>
          <w:color w:val="auto"/>
        </w:rPr>
        <w:t>), a global provider of outsourced development services to the pharmaceutical, biotechnology and medical device industries, today announced that all resolutions at the Annual</w:t>
      </w:r>
    </w:p>
    <w:p>
      <w:pPr>
        <w:spacing w:after="0" w:line="200" w:lineRule="auto"/>
        <w:rPr>
          <w:sz w:val="20"/>
          <w:szCs w:val="20"/>
          <w:color w:val="auto"/>
        </w:rPr>
      </w:pPr>
      <w:r>
        <w:rPr>
          <w:rFonts w:ascii="Arial" w:cs="Arial" w:eastAsia="Arial" w:hAnsi="Arial"/>
          <w:sz w:val="19"/>
          <w:szCs w:val="19"/>
          <w:color w:val="auto"/>
        </w:rPr>
        <w:t>General Meeting of the Company (AGM) held on 22</w:t>
      </w:r>
      <w:r>
        <w:rPr>
          <w:rFonts w:ascii="Arial" w:cs="Arial" w:eastAsia="Arial" w:hAnsi="Arial"/>
          <w:sz w:val="31"/>
          <w:szCs w:val="31"/>
          <w:color w:val="auto"/>
          <w:vertAlign w:val="superscript"/>
        </w:rPr>
        <w:t>nd</w:t>
      </w:r>
      <w:r>
        <w:rPr>
          <w:rFonts w:ascii="Arial" w:cs="Arial" w:eastAsia="Arial" w:hAnsi="Arial"/>
          <w:sz w:val="19"/>
          <w:szCs w:val="19"/>
          <w:color w:val="auto"/>
        </w:rPr>
        <w:t xml:space="preserve"> July 2013 (which resolutions had all been recommended by the Board) were</w:t>
      </w:r>
    </w:p>
    <w:p>
      <w:pPr>
        <w:ind w:right="800"/>
        <w:spacing w:after="0" w:line="197" w:lineRule="auto"/>
        <w:rPr>
          <w:sz w:val="20"/>
          <w:szCs w:val="20"/>
          <w:color w:val="auto"/>
        </w:rPr>
      </w:pPr>
      <w:r>
        <w:rPr>
          <w:rFonts w:ascii="Arial" w:cs="Arial" w:eastAsia="Arial" w:hAnsi="Arial"/>
          <w:sz w:val="22"/>
          <w:szCs w:val="22"/>
          <w:color w:val="auto"/>
        </w:rPr>
        <w:t>all duly passed by shareholders. These resolutions were set out in the Notice of the AGM sent to shareholders on 14</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June 2013 and are available on the ICON plc website.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final results of voting on each of the items submitted to a vote of shareholders during the AGM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RESOLUTION</w:t>
            </w:r>
          </w:p>
        </w:tc>
        <w:tc>
          <w:tcPr>
            <w:tcW w:w="60" w:type="dxa"/>
            <w:vAlign w:val="bottom"/>
          </w:tcPr>
          <w:p>
            <w:pPr>
              <w:spacing w:after="0"/>
              <w:rPr>
                <w:sz w:val="14"/>
                <w:szCs w:val="14"/>
                <w:color w:val="auto"/>
              </w:rPr>
            </w:pPr>
          </w:p>
        </w:tc>
        <w:tc>
          <w:tcPr>
            <w:tcW w:w="4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RESOLUTION</w:t>
            </w:r>
          </w:p>
        </w:tc>
        <w:tc>
          <w:tcPr>
            <w:tcW w:w="6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 VOTES</w:t>
            </w:r>
          </w:p>
        </w:tc>
        <w:tc>
          <w:tcPr>
            <w:tcW w:w="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VOTE FOR</w:t>
            </w:r>
          </w:p>
        </w:tc>
        <w:tc>
          <w:tcPr>
            <w:tcW w:w="60" w:type="dxa"/>
            <w:vAlign w:val="bottom"/>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VOTE AGAINST</w:t>
            </w:r>
          </w:p>
        </w:tc>
        <w:tc>
          <w:tcPr>
            <w:tcW w:w="80" w:type="dxa"/>
            <w:vAlign w:val="bottom"/>
          </w:tcPr>
          <w:p>
            <w:pPr>
              <w:spacing w:after="0"/>
              <w:rPr>
                <w:sz w:val="14"/>
                <w:szCs w:val="14"/>
                <w:color w:val="auto"/>
              </w:rPr>
            </w:pPr>
          </w:p>
        </w:tc>
        <w:tc>
          <w:tcPr>
            <w:tcW w:w="14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VOTE WITHHELD</w:t>
            </w:r>
          </w:p>
        </w:tc>
        <w:tc>
          <w:tcPr>
            <w:tcW w:w="0" w:type="dxa"/>
            <w:vAlign w:val="bottom"/>
          </w:tcPr>
          <w:p>
            <w:pPr>
              <w:spacing w:after="0"/>
              <w:rPr>
                <w:sz w:val="1"/>
                <w:szCs w:val="1"/>
                <w:color w:val="auto"/>
              </w:rPr>
            </w:pPr>
          </w:p>
        </w:tc>
      </w:tr>
      <w:tr>
        <w:trPr>
          <w:trHeight w:val="119"/>
        </w:trPr>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0"/>
                <w:szCs w:val="10"/>
                <w:color w:val="auto"/>
              </w:rPr>
            </w:pPr>
          </w:p>
        </w:tc>
        <w:tc>
          <w:tcPr>
            <w:tcW w:w="40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10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40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1.1</w:t>
            </w:r>
          </w:p>
        </w:tc>
        <w:tc>
          <w:tcPr>
            <w:tcW w:w="60" w:type="dxa"/>
            <w:vAlign w:val="bottom"/>
          </w:tcPr>
          <w:p>
            <w:pPr>
              <w:spacing w:after="0"/>
              <w:rPr>
                <w:sz w:val="16"/>
                <w:szCs w:val="16"/>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To re-elect Mr. Thomas Lynch</w:t>
            </w:r>
          </w:p>
        </w:tc>
        <w:tc>
          <w:tcPr>
            <w:tcW w:w="6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51,674,203</w:t>
            </w:r>
          </w:p>
        </w:tc>
        <w:tc>
          <w:tcPr>
            <w:tcW w:w="6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51,474,431</w:t>
            </w:r>
          </w:p>
        </w:tc>
        <w:tc>
          <w:tcPr>
            <w:tcW w:w="6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133,020</w:t>
            </w:r>
          </w:p>
        </w:tc>
        <w:tc>
          <w:tcPr>
            <w:tcW w:w="8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66,752</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1.2</w:t>
            </w:r>
          </w:p>
        </w:tc>
        <w:tc>
          <w:tcPr>
            <w:tcW w:w="60" w:type="dxa"/>
            <w:vAlign w:val="bottom"/>
          </w:tcPr>
          <w:p>
            <w:pPr>
              <w:spacing w:after="0"/>
              <w:rPr>
                <w:sz w:val="15"/>
                <w:szCs w:val="15"/>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To re-elect Mr. Declan McKeon</w:t>
            </w:r>
          </w:p>
        </w:tc>
        <w:tc>
          <w:tcPr>
            <w:tcW w:w="6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51,674,203</w:t>
            </w:r>
          </w:p>
        </w:tc>
        <w:tc>
          <w:tcPr>
            <w:tcW w:w="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51,506,997</w:t>
            </w:r>
          </w:p>
        </w:tc>
        <w:tc>
          <w:tcPr>
            <w:tcW w:w="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100,445</w:t>
            </w:r>
          </w:p>
        </w:tc>
        <w:tc>
          <w:tcPr>
            <w:tcW w:w="8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66,761</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1.3</w:t>
            </w:r>
          </w:p>
        </w:tc>
        <w:tc>
          <w:tcPr>
            <w:tcW w:w="60" w:type="dxa"/>
            <w:vAlign w:val="bottom"/>
          </w:tcPr>
          <w:p>
            <w:pPr>
              <w:spacing w:after="0"/>
              <w:rPr>
                <w:sz w:val="15"/>
                <w:szCs w:val="15"/>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To re-elect Prof. William Hall</w:t>
            </w:r>
          </w:p>
        </w:tc>
        <w:tc>
          <w:tcPr>
            <w:tcW w:w="6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51,674,203</w:t>
            </w:r>
          </w:p>
        </w:tc>
        <w:tc>
          <w:tcPr>
            <w:tcW w:w="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51,517,884</w:t>
            </w:r>
          </w:p>
        </w:tc>
        <w:tc>
          <w:tcPr>
            <w:tcW w:w="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89,558</w:t>
            </w:r>
          </w:p>
        </w:tc>
        <w:tc>
          <w:tcPr>
            <w:tcW w:w="8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66,761</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5"/>
                <w:szCs w:val="15"/>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To receive accounts and reports</w:t>
            </w:r>
          </w:p>
        </w:tc>
        <w:tc>
          <w:tcPr>
            <w:tcW w:w="6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51,674,203</w:t>
            </w:r>
          </w:p>
        </w:tc>
        <w:tc>
          <w:tcPr>
            <w:tcW w:w="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51,409,116</w:t>
            </w:r>
          </w:p>
        </w:tc>
        <w:tc>
          <w:tcPr>
            <w:tcW w:w="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8,517</w:t>
            </w:r>
          </w:p>
        </w:tc>
        <w:tc>
          <w:tcPr>
            <w:tcW w:w="8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256,570</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5"/>
                <w:szCs w:val="15"/>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To authorise the fixing of the auditors’ remuneration</w:t>
            </w:r>
          </w:p>
        </w:tc>
        <w:tc>
          <w:tcPr>
            <w:tcW w:w="6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51,674,203</w:t>
            </w:r>
          </w:p>
        </w:tc>
        <w:tc>
          <w:tcPr>
            <w:tcW w:w="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47,640,947</w:t>
            </w:r>
          </w:p>
        </w:tc>
        <w:tc>
          <w:tcPr>
            <w:tcW w:w="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3,965,491</w:t>
            </w:r>
          </w:p>
        </w:tc>
        <w:tc>
          <w:tcPr>
            <w:tcW w:w="8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67,765</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5"/>
                <w:szCs w:val="15"/>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To authorise the Company to allot shares</w:t>
            </w:r>
          </w:p>
        </w:tc>
        <w:tc>
          <w:tcPr>
            <w:tcW w:w="6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51,674,203</w:t>
            </w:r>
          </w:p>
        </w:tc>
        <w:tc>
          <w:tcPr>
            <w:tcW w:w="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44,580,855</w:t>
            </w:r>
          </w:p>
        </w:tc>
        <w:tc>
          <w:tcPr>
            <w:tcW w:w="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7,013,214</w:t>
            </w:r>
          </w:p>
        </w:tc>
        <w:tc>
          <w:tcPr>
            <w:tcW w:w="8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80,134</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w:t>
            </w:r>
          </w:p>
        </w:tc>
        <w:tc>
          <w:tcPr>
            <w:tcW w:w="60" w:type="dxa"/>
            <w:vAlign w:val="bottom"/>
          </w:tcPr>
          <w:p>
            <w:pPr>
              <w:spacing w:after="0"/>
              <w:rPr>
                <w:sz w:val="15"/>
                <w:szCs w:val="15"/>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To disapply pre-emption rights</w:t>
            </w:r>
          </w:p>
        </w:tc>
        <w:tc>
          <w:tcPr>
            <w:tcW w:w="6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51,674,203</w:t>
            </w:r>
          </w:p>
        </w:tc>
        <w:tc>
          <w:tcPr>
            <w:tcW w:w="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45,337,820</w:t>
            </w:r>
          </w:p>
        </w:tc>
        <w:tc>
          <w:tcPr>
            <w:tcW w:w="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6,251,874</w:t>
            </w:r>
          </w:p>
        </w:tc>
        <w:tc>
          <w:tcPr>
            <w:tcW w:w="8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84,509</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w:t>
            </w:r>
          </w:p>
        </w:tc>
        <w:tc>
          <w:tcPr>
            <w:tcW w:w="60" w:type="dxa"/>
            <w:vAlign w:val="bottom"/>
          </w:tcPr>
          <w:p>
            <w:pPr>
              <w:spacing w:after="0"/>
              <w:rPr>
                <w:sz w:val="15"/>
                <w:szCs w:val="15"/>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 authorise the Company to make market purchases of shares</w:t>
            </w:r>
          </w:p>
        </w:tc>
        <w:tc>
          <w:tcPr>
            <w:tcW w:w="6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51,674,203</w:t>
            </w:r>
          </w:p>
        </w:tc>
        <w:tc>
          <w:tcPr>
            <w:tcW w:w="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51,122,122</w:t>
            </w:r>
          </w:p>
        </w:tc>
        <w:tc>
          <w:tcPr>
            <w:tcW w:w="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13,329</w:t>
            </w:r>
          </w:p>
        </w:tc>
        <w:tc>
          <w:tcPr>
            <w:tcW w:w="8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538,752</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 Special Resolution. All resolutions are ordinary resolutions unless otherwise stated.</w:t>
      </w:r>
    </w:p>
    <w:p>
      <w:pPr>
        <w:spacing w:after="0" w:line="206"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reports filed with the US Securities and Exchange Commission by ICON, including its Form 20-F, F-1, S-8 and F-3, may affect the actual results achieved by ICON. ICON disclaims any intent or obligation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78 locations in 37 countries and has approximately 10,170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18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Simon Holmes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EVP Investor Relations and Corporate Development</w:t>
      </w: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0860"/>
      </w:cols>
      <w:pgMar w:left="240" w:top="118"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2019-12-06T20:08:02Z</dcterms:created>
  <dcterms:modified xsi:type="dcterms:W3CDTF">2019-12-06T20:08:02Z</dcterms:modified>
</cp:coreProperties>
</file>