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10"/>
        <w:spacing w:after="0"/>
        <w:rPr>
          <w:sz w:val="20"/>
          <w:szCs w:val="20"/>
          <w:color w:val="auto"/>
        </w:rPr>
      </w:pPr>
      <w:r>
        <w:rPr>
          <w:rFonts w:ascii="Courier New" w:cs="Courier New" w:eastAsia="Courier New" w:hAnsi="Courier New"/>
          <w:sz w:val="15"/>
          <w:szCs w:val="15"/>
          <w:color w:val="auto"/>
        </w:rPr>
        <w:t>United States</w:t>
      </w: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20-F</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450" w:right="3359" w:hanging="450"/>
        <w:spacing w:after="0" w:line="235" w:lineRule="auto"/>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REGISTRATION STATEMENT PURSUANT TO SECTION 12(b) OR (g) OF THE SECURITIES EXCHANGE ACT OF 1934</w:t>
      </w:r>
    </w:p>
    <w:p>
      <w:pPr>
        <w:spacing w:after="0" w:line="170"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450" w:right="3439" w:hanging="439"/>
        <w:spacing w:after="0" w:line="235" w:lineRule="auto"/>
        <w:tabs>
          <w:tab w:leader="none" w:pos="429" w:val="left"/>
        </w:tabs>
        <w:rPr>
          <w:sz w:val="20"/>
          <w:szCs w:val="20"/>
          <w:color w:val="auto"/>
        </w:rPr>
      </w:pPr>
      <w:r>
        <w:rPr>
          <w:rFonts w:ascii="Courier New" w:cs="Courier New" w:eastAsia="Courier New" w:hAnsi="Courier New"/>
          <w:sz w:val="15"/>
          <w:szCs w:val="15"/>
          <w:color w:val="auto"/>
        </w:rPr>
        <w:t>/X/</w:t>
        <w:tab/>
        <w:t>ANNUAL REPORT PURSUANT TO SECTION 13 OR 15(d) OF THE SECURITIES EXCHANGE ACT OF 1934</w:t>
      </w:r>
    </w:p>
    <w:p>
      <w:pPr>
        <w:spacing w:after="0" w:line="170"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the fiscal period ended: May 31, 2005</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450" w:right="3879" w:hanging="450"/>
        <w:spacing w:after="0" w:line="235" w:lineRule="auto"/>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0"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Commission file number:</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ICON public limited company</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Ireland</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3070"/>
        <w:spacing w:after="0"/>
        <w:rPr>
          <w:sz w:val="20"/>
          <w:szCs w:val="20"/>
          <w:color w:val="auto"/>
        </w:rPr>
      </w:pPr>
      <w:r>
        <w:rPr>
          <w:rFonts w:ascii="Courier New" w:cs="Courier New" w:eastAsia="Courier New" w:hAnsi="Courier New"/>
          <w:sz w:val="15"/>
          <w:szCs w:val="15"/>
          <w:color w:val="auto"/>
        </w:rPr>
        <w:t>(Jurisdiction of incorporation or organization)</w:t>
      </w:r>
    </w:p>
    <w:p>
      <w:pPr>
        <w:spacing w:after="0" w:line="169" w:lineRule="exact"/>
        <w:rPr>
          <w:sz w:val="24"/>
          <w:szCs w:val="24"/>
          <w:color w:val="auto"/>
        </w:rPr>
      </w:pPr>
    </w:p>
    <w:p>
      <w:pPr>
        <w:jc w:val="center"/>
        <w:ind w:right="3070"/>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or to be registered pursuant to Section 12(b) of the Act:</w:t>
      </w:r>
    </w:p>
    <w:p>
      <w:pPr>
        <w:spacing w:after="0" w:line="169" w:lineRule="exact"/>
        <w:rPr>
          <w:sz w:val="24"/>
          <w:szCs w:val="24"/>
          <w:color w:val="auto"/>
        </w:rPr>
      </w:pPr>
    </w:p>
    <w:p>
      <w:pPr>
        <w:ind w:left="4590"/>
        <w:spacing w:after="0"/>
        <w:rPr>
          <w:sz w:val="20"/>
          <w:szCs w:val="20"/>
          <w:color w:val="auto"/>
        </w:rPr>
      </w:pPr>
      <w:r>
        <w:rPr>
          <w:rFonts w:ascii="Courier New" w:cs="Courier New" w:eastAsia="Courier New" w:hAnsi="Courier New"/>
          <w:sz w:val="15"/>
          <w:szCs w:val="15"/>
          <w:color w:val="auto"/>
        </w:rPr>
        <w:t>Name of exchange</w:t>
      </w:r>
    </w:p>
    <w:p>
      <w:pPr>
        <w:ind w:left="10"/>
        <w:spacing w:after="0"/>
        <w:tabs>
          <w:tab w:leader="none" w:pos="4569"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4"/>
          <w:szCs w:val="14"/>
          <w:color w:val="auto"/>
        </w:rPr>
        <w:t>on which registered</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registered or to be registered pursuant to Section 12(g) of the Act:</w:t>
      </w:r>
    </w:p>
    <w:p>
      <w:pPr>
        <w:ind w:left="10"/>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American Depository Shares, representing Ordinary Shares, par value (euro)0.06 each Ordinary Shares, par value (euro)0.06 each</w:t>
      </w:r>
    </w:p>
    <w:p>
      <w:pPr>
        <w:spacing w:after="0" w:line="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Securities for which there is a reporting obligation pursuant to Section 15(d)</w:t>
      </w:r>
    </w:p>
    <w:p>
      <w:pPr>
        <w:ind w:left="10"/>
        <w:spacing w:after="0"/>
        <w:rPr>
          <w:sz w:val="20"/>
          <w:szCs w:val="20"/>
          <w:color w:val="auto"/>
        </w:rPr>
      </w:pPr>
      <w:r>
        <w:rPr>
          <w:rFonts w:ascii="Courier New" w:cs="Courier New" w:eastAsia="Courier New" w:hAnsi="Courier New"/>
          <w:sz w:val="15"/>
          <w:szCs w:val="15"/>
          <w:color w:val="auto"/>
        </w:rPr>
        <w:t>of the Act:</w:t>
      </w:r>
    </w:p>
    <w:p>
      <w:pPr>
        <w:ind w:left="3350"/>
        <w:spacing w:after="0"/>
        <w:rPr>
          <w:sz w:val="20"/>
          <w:szCs w:val="20"/>
          <w:color w:val="auto"/>
        </w:rPr>
      </w:pPr>
      <w:r>
        <w:rPr>
          <w:rFonts w:ascii="Courier New" w:cs="Courier New" w:eastAsia="Courier New" w:hAnsi="Courier New"/>
          <w:sz w:val="15"/>
          <w:szCs w:val="15"/>
          <w:color w:val="auto"/>
        </w:rPr>
        <w:t>None</w:t>
      </w:r>
    </w:p>
    <w:p>
      <w:pPr>
        <w:spacing w:after="0" w:line="4"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8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Indicate the number of outstanding shares of each of the issuer's classes of capital or common stock as of the close of the period covered by the annual report: 13,899,096 Ordinary Shares.</w:t>
      </w:r>
    </w:p>
    <w:p>
      <w:pPr>
        <w:spacing w:after="0" w:line="175"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w:t>
      </w:r>
    </w:p>
    <w:p>
      <w:pPr>
        <w:spacing w:after="0" w:line="173" w:lineRule="exact"/>
        <w:rPr>
          <w:sz w:val="24"/>
          <w:szCs w:val="24"/>
          <w:color w:val="auto"/>
        </w:rPr>
      </w:pPr>
    </w:p>
    <w:p>
      <w:pPr>
        <w:ind w:left="10"/>
        <w:spacing w:after="0"/>
        <w:tabs>
          <w:tab w:leader="none" w:pos="3949" w:val="left"/>
        </w:tabs>
        <w:rPr>
          <w:sz w:val="20"/>
          <w:szCs w:val="20"/>
          <w:color w:val="auto"/>
        </w:rPr>
      </w:pPr>
      <w:r>
        <w:rPr>
          <w:rFonts w:ascii="Courier New" w:cs="Courier New" w:eastAsia="Courier New" w:hAnsi="Courier New"/>
          <w:sz w:val="15"/>
          <w:szCs w:val="15"/>
          <w:color w:val="auto"/>
        </w:rPr>
        <w:t>Yes.........X......................</w:t>
      </w:r>
      <w:r>
        <w:rPr>
          <w:sz w:val="20"/>
          <w:szCs w:val="20"/>
          <w:color w:val="auto"/>
        </w:rPr>
        <w:tab/>
      </w:r>
      <w:r>
        <w:rPr>
          <w:rFonts w:ascii="Courier New" w:cs="Courier New" w:eastAsia="Courier New" w:hAnsi="Courier New"/>
          <w:sz w:val="14"/>
          <w:szCs w:val="14"/>
          <w:color w:val="auto"/>
        </w:rPr>
        <w:t>No...............................</w:t>
      </w:r>
    </w:p>
    <w:p>
      <w:pPr>
        <w:spacing w:after="0" w:line="175"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Indicate by check mark which financial statement item the registrant has elected to follow:</w:t>
      </w:r>
    </w:p>
    <w:p>
      <w:pPr>
        <w:spacing w:after="0" w:line="170" w:lineRule="exact"/>
        <w:rPr>
          <w:sz w:val="24"/>
          <w:szCs w:val="24"/>
          <w:color w:val="auto"/>
        </w:rPr>
      </w:pPr>
    </w:p>
    <w:p>
      <w:pPr>
        <w:ind w:left="10"/>
        <w:spacing w:after="0"/>
        <w:tabs>
          <w:tab w:leader="none" w:pos="3949"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Item 18.........X................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TABLE OF CONTENTS</w:t>
      </w:r>
    </w:p>
    <w:p>
      <w:pPr>
        <w:spacing w:after="0" w:line="339" w:lineRule="exact"/>
        <w:rPr>
          <w:sz w:val="24"/>
          <w:szCs w:val="24"/>
          <w:color w:val="auto"/>
        </w:rPr>
      </w:pPr>
    </w:p>
    <w:p>
      <w:pPr>
        <w:ind w:left="10"/>
        <w:spacing w:after="0"/>
        <w:tabs>
          <w:tab w:leader="dot" w:pos="6769"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3"/>
          <w:szCs w:val="13"/>
          <w:color w:val="auto"/>
        </w:rPr>
        <w:t>1</w:t>
      </w:r>
    </w:p>
    <w:p>
      <w:pPr>
        <w:spacing w:after="0" w:line="169" w:lineRule="exact"/>
        <w:rPr>
          <w:sz w:val="24"/>
          <w:szCs w:val="24"/>
          <w:color w:val="auto"/>
        </w:rPr>
      </w:pPr>
    </w:p>
    <w:p>
      <w:pPr>
        <w:ind w:left="10"/>
        <w:spacing w:after="0"/>
        <w:tabs>
          <w:tab w:leader="dot" w:pos="6769" w:val="left"/>
        </w:tabs>
        <w:rPr>
          <w:sz w:val="20"/>
          <w:szCs w:val="20"/>
          <w:color w:val="auto"/>
        </w:rPr>
      </w:pPr>
      <w:r>
        <w:rPr>
          <w:rFonts w:ascii="Courier New" w:cs="Courier New" w:eastAsia="Courier New" w:hAnsi="Courier New"/>
          <w:sz w:val="15"/>
          <w:szCs w:val="15"/>
          <w:color w:val="auto"/>
        </w:rPr>
        <w:t>Cautionary Statement</w:t>
      </w:r>
      <w:r>
        <w:rPr>
          <w:sz w:val="20"/>
          <w:szCs w:val="20"/>
          <w:color w:val="auto"/>
        </w:rPr>
        <w:tab/>
      </w:r>
      <w:r>
        <w:rPr>
          <w:rFonts w:ascii="Courier New" w:cs="Courier New" w:eastAsia="Courier New" w:hAnsi="Courier New"/>
          <w:sz w:val="13"/>
          <w:szCs w:val="13"/>
          <w:color w:val="auto"/>
        </w:rPr>
        <w:t>1</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4"/>
          <w:szCs w:val="24"/>
          <w:color w:val="auto"/>
        </w:rPr>
      </w:pPr>
    </w:p>
    <w:p>
      <w:pPr>
        <w:ind w:left="350"/>
        <w:spacing w:after="0"/>
        <w:tabs>
          <w:tab w:leader="none" w:pos="1309" w:val="left"/>
          <w:tab w:leader="dot" w:pos="6769"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Identity of Directors, Senior Management and Advisors</w:t>
      </w:r>
      <w:r>
        <w:rPr>
          <w:sz w:val="20"/>
          <w:szCs w:val="20"/>
          <w:color w:val="auto"/>
        </w:rPr>
        <w:tab/>
      </w:r>
      <w:r>
        <w:rPr>
          <w:rFonts w:ascii="Courier New" w:cs="Courier New" w:eastAsia="Courier New" w:hAnsi="Courier New"/>
          <w:sz w:val="13"/>
          <w:szCs w:val="13"/>
          <w:color w:val="auto"/>
        </w:rPr>
        <w:t>1</w:t>
      </w:r>
    </w:p>
    <w:p>
      <w:pPr>
        <w:sectPr>
          <w:pgSz w:w="11900" w:h="16838" w:orient="portrait"/>
          <w:cols w:equalWidth="0" w:num="1">
            <w:col w:w="10229"/>
          </w:cols>
          <w:pgMar w:left="230" w:top="735"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Offer Statistics and Expected Timetable......................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Key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4.</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Information on the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5.</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Operating</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and Financial Review and Prospects.................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6.</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Directors, Senior Management and Employees...................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Major Shareholders and Related Party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32</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8.</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Financial</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9.</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The Offer</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and the Listing....................................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Additional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35</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11.</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Quantitative and Qualitative Disclosures about Market Risk...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Description of Securities Other than Equity 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339"/>
        </w:trPr>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Part II</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13.</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Defaults,</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Dividend Arrearages and Delinquencies..............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Material Modifications to the Rights of Security Holders</w:t>
            </w:r>
          </w:p>
        </w:tc>
        <w:tc>
          <w:tcPr>
            <w:tcW w:w="18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5"/>
                <w:szCs w:val="15"/>
                <w:color w:val="auto"/>
              </w:rPr>
              <w:t>and Use</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of Proceeds........................................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Reserved.....................................................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16.</w:t>
            </w:r>
          </w:p>
        </w:tc>
        <w:tc>
          <w:tcPr>
            <w:tcW w:w="55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Reserved.....................................................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Part III</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17.</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Financial</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Financial</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r>
        <w:trPr>
          <w:trHeight w:val="339"/>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Financial</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7"/>
              </w:rPr>
              <w:t>Statements and Exhibits............................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43</w:t>
            </w:r>
          </w:p>
        </w:tc>
      </w:tr>
    </w:tbl>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As used herein, "ICON plc" and the "Company" refer to ICON public limited company and its consolidated subsidiaries, unless the context requires otherwise.</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Unless otherwise indicated, ICON's financial statements and other financial data contained in this Form 20-F are presented in United States dollars ("$") and are prepared in accordance with generally accepted accounting principles in the United States ("U.S. GAAP").</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this Form 20-F, references to "U.S. dollars", "U.S.$" or "$" are to the lawful currency of the United States, references to "pounds sterling", "sterling", "(pound)", "pence" or "p" are to the lawful currency of the United Kingdom, references to "Israeli Shekels" or "ILS" are to the lawful currency of Israel, references to "Euro" or "(euro)" are to the European single currency adopted by twelve members of the European Union (including the Republic of Ireland, France, Germany &amp; the Netherlands). ICON publishes its consolidated financial statements in U.S. dollars.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ICON prepares its consolidated financial statements on the basis of a fiscal year beginning on June 1 and ending on May 31. References to a fiscal year in this Form 20-F shall be references to the fiscal year ending on May 31 of that year. In this Form 20-F, financial results and operating statistics are, unless otherwise indicated, stated on the basis of such fiscal years.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Statements included herein which are not historical facts are forward looking statements. Such forward looking statements are made pursuant to the safe harbor provisions of the U.S. Private Securities Litigation Reform Act of 1995 (the "PSLRA"). The forward looking statements involve a number of risks and uncertainties and are subject to change at any time. In the event such risks or uncertainties materialize, our results could be materially affected. The risks and uncertainties include, but are not limited to, dependence on the pharmaceutical industry and certain clients, the need to regularly win projects and then to execute them efficiently, the challenges presented by rapid growth, competition and the continuing consolidation of the industry, the dependence on certain key executives and other factors identified in ICON's Securities and Exchange Commission filings. ICON has no obligation under the PSLRA to update any forward looking statements and does not intend to do so.</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Identity of Directors, Senior Management and Advisors.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Offer Statistics and Expected Timetable.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961" w:right="1440" w:bottom="1440" w:gutter="0" w:footer="0" w:header="0"/>
        </w:sectPr>
      </w:pPr>
    </w:p>
    <w:bookmarkStart w:id="3" w:name="page4"/>
    <w:bookmarkEnd w:id="3"/>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Key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Historical Consolidated Financial Data for ICON plc</w:t>
      </w:r>
    </w:p>
    <w:p>
      <w:pPr>
        <w:spacing w:after="0" w:line="5" w:lineRule="exact"/>
        <w:rPr>
          <w:sz w:val="20"/>
          <w:szCs w:val="20"/>
          <w:color w:val="auto"/>
        </w:rPr>
      </w:pPr>
    </w:p>
    <w:p>
      <w:pPr>
        <w:ind w:right="4220"/>
        <w:spacing w:after="0" w:line="237" w:lineRule="auto"/>
        <w:rPr>
          <w:sz w:val="20"/>
          <w:szCs w:val="20"/>
          <w:color w:val="auto"/>
        </w:rPr>
      </w:pPr>
      <w:r>
        <w:rPr>
          <w:rFonts w:ascii="Courier New" w:cs="Courier New" w:eastAsia="Courier New" w:hAnsi="Courier New"/>
          <w:sz w:val="15"/>
          <w:szCs w:val="15"/>
          <w:color w:val="auto"/>
        </w:rPr>
        <w:t>The following selected financial data set forth below are derived from ICON's consolidated financial statements and should be read in conjunction with, and are qualified by reference to, "Operating and Financial Review and Prospects" and ICON's consolidated financial statements and related notes thereto included elsewhere in this Form 20-F.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554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 May 31,</w:t>
            </w: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2002</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2003</w:t>
            </w: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339"/>
        </w:trPr>
        <w:tc>
          <w:tcPr>
            <w:tcW w:w="360" w:type="dxa"/>
            <w:vAlign w:val="bottom"/>
          </w:tcPr>
          <w:p>
            <w:pPr>
              <w:spacing w:after="0"/>
              <w:rPr>
                <w:sz w:val="24"/>
                <w:szCs w:val="24"/>
                <w:color w:val="auto"/>
              </w:rPr>
            </w:pPr>
          </w:p>
        </w:tc>
        <w:tc>
          <w:tcPr>
            <w:tcW w:w="45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7"/>
              </w:rPr>
              <w:t>(in thousands, except share and per share data)</w:t>
            </w:r>
          </w:p>
        </w:tc>
        <w:tc>
          <w:tcPr>
            <w:tcW w:w="700" w:type="dxa"/>
            <w:vAlign w:val="bottom"/>
          </w:tcPr>
          <w:p>
            <w:pPr>
              <w:spacing w:after="0"/>
              <w:rPr>
                <w:sz w:val="24"/>
                <w:szCs w:val="24"/>
                <w:color w:val="auto"/>
              </w:rPr>
            </w:pP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Statement of Operations</w:t>
            </w:r>
          </w:p>
        </w:tc>
        <w:tc>
          <w:tcPr>
            <w:tcW w:w="1460" w:type="dxa"/>
            <w:vAlign w:val="bottom"/>
          </w:tcPr>
          <w:p>
            <w:pPr>
              <w:ind w:left="60"/>
              <w:spacing w:after="0"/>
              <w:rPr>
                <w:sz w:val="20"/>
                <w:szCs w:val="20"/>
                <w:color w:val="auto"/>
              </w:rPr>
            </w:pPr>
            <w:r>
              <w:rPr>
                <w:rFonts w:ascii="Courier New" w:cs="Courier New" w:eastAsia="Courier New" w:hAnsi="Courier New"/>
                <w:sz w:val="15"/>
                <w:szCs w:val="15"/>
                <w:color w:val="auto"/>
              </w:rPr>
              <w:t>Data:</w:t>
            </w:r>
          </w:p>
        </w:tc>
        <w:tc>
          <w:tcPr>
            <w:tcW w:w="2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Gross revenue</w:t>
            </w: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$151,832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$218,842</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$340,971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$443,875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$469,583</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Subcontractor</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costs (1)</w:t>
            </w:r>
          </w:p>
        </w:tc>
        <w:tc>
          <w:tcPr>
            <w:tcW w:w="1460" w:type="dxa"/>
            <w:vAlign w:val="bottom"/>
          </w:tcPr>
          <w:p>
            <w:pPr>
              <w:spacing w:after="0"/>
              <w:rPr>
                <w:sz w:val="14"/>
                <w:szCs w:val="14"/>
                <w:color w:val="auto"/>
              </w:rPr>
            </w:pPr>
          </w:p>
        </w:tc>
        <w:tc>
          <w:tcPr>
            <w:tcW w:w="20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(35,669)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(62,287)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(115,246)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(146,952)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(142,925)</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116,163</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156,555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225,725</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296,923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326,658</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Direct costs</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63,800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83,371</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122,373</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162,562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179,661</w:t>
            </w: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36,312</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48,951</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71,118</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88,807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103,784</w:t>
            </w: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4,975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6,020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7,305</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13,331</w:t>
            </w:r>
          </w:p>
        </w:tc>
      </w:tr>
      <w:tr>
        <w:trPr>
          <w:trHeight w:val="170"/>
        </w:trPr>
        <w:tc>
          <w:tcPr>
            <w:tcW w:w="3880" w:type="dxa"/>
            <w:vAlign w:val="bottom"/>
          </w:tcPr>
          <w:p>
            <w:pPr>
              <w:ind w:left="80"/>
              <w:spacing w:after="0"/>
              <w:rPr>
                <w:sz w:val="20"/>
                <w:szCs w:val="20"/>
                <w:color w:val="auto"/>
              </w:rPr>
            </w:pPr>
            <w:r>
              <w:rPr>
                <w:rFonts w:ascii="Courier New" w:cs="Courier New" w:eastAsia="Courier New" w:hAnsi="Courier New"/>
                <w:sz w:val="15"/>
                <w:szCs w:val="15"/>
                <w:color w:val="auto"/>
              </w:rPr>
              <w:t>Other charges</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11,275</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105,087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138,342</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200,796</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262,540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308,051</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11,076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18,213</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24,929</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34,383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18,607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interest income</w:t>
            </w:r>
          </w:p>
        </w:tc>
        <w:tc>
          <w:tcPr>
            <w:tcW w:w="2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2,519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1,116</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979</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Income before</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provision for income taxes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13,595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19,329</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25,283</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34,671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19,586</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(2,617)</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(5,129)</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(7,000)</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(8,929)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(5,852)</w:t>
            </w:r>
          </w:p>
        </w:tc>
      </w:tr>
      <w:tr>
        <w:trPr>
          <w:trHeight w:val="170"/>
        </w:trPr>
        <w:tc>
          <w:tcPr>
            <w:tcW w:w="406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Net income (3)</w:t>
            </w:r>
          </w:p>
        </w:tc>
        <w:tc>
          <w:tcPr>
            <w:tcW w:w="2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$10,978</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$14,200</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$18,283</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$25,742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$13,545</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 (2)(3):</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$0.97</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25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8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$0.92</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Weighted</w:t>
            </w:r>
          </w:p>
        </w:tc>
        <w:tc>
          <w:tcPr>
            <w:tcW w:w="472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9"/>
              </w:rPr>
              <w:t>average number of ordinary</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460" w:type="dxa"/>
            <w:vAlign w:val="bottom"/>
            <w:gridSpan w:val="2"/>
          </w:tcPr>
          <w:p>
            <w:pPr>
              <w:spacing w:after="0"/>
              <w:rPr>
                <w:sz w:val="20"/>
                <w:szCs w:val="20"/>
                <w:color w:val="auto"/>
              </w:rPr>
            </w:pPr>
            <w:r>
              <w:rPr>
                <w:rFonts w:ascii="Courier New" w:cs="Courier New" w:eastAsia="Courier New" w:hAnsi="Courier New"/>
                <w:sz w:val="15"/>
                <w:szCs w:val="15"/>
                <w:color w:val="auto"/>
              </w:rPr>
              <w:t>shares outstanding:</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Basic</w:t>
            </w:r>
          </w:p>
        </w:tc>
        <w:tc>
          <w:tcPr>
            <w:tcW w:w="4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11,292,610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11,656,153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11,813,788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13,267,531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13,860,203</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11,943,849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12,241,820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12,181,094</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13,703,163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14,153,445</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180"/>
          </w:cols>
          <w:pgMar w:left="240" w:top="961" w:right="479" w:bottom="1440" w:gutter="0" w:footer="0" w:header="0"/>
        </w:sectPr>
      </w:pPr>
    </w:p>
    <w:bookmarkStart w:id="4" w:name="page5"/>
    <w:bookmarkEnd w:id="4"/>
    <w:tbl>
      <w:tblPr>
        <w:tblLayout w:type="fixed"/>
        <w:tblInd w:w="45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2"/>
          </w:tcPr>
          <w:p>
            <w:pPr>
              <w:jc w:val="center"/>
              <w:ind w:right="327"/>
              <w:spacing w:after="0"/>
              <w:rPr>
                <w:sz w:val="20"/>
                <w:szCs w:val="20"/>
                <w:color w:val="auto"/>
              </w:rPr>
            </w:pPr>
            <w:r>
              <w:rPr>
                <w:rFonts w:ascii="Courier New" w:cs="Courier New" w:eastAsia="Courier New" w:hAnsi="Courier New"/>
                <w:sz w:val="15"/>
                <w:szCs w:val="15"/>
                <w:color w:val="auto"/>
                <w:w w:val="97"/>
              </w:rPr>
              <w:t>As of May 31,</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2680" w:type="dxa"/>
            <w:vAlign w:val="bottom"/>
          </w:tcPr>
          <w:p>
            <w:pPr>
              <w:spacing w:after="0"/>
              <w:rPr>
                <w:sz w:val="24"/>
                <w:szCs w:val="2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2003</w:t>
            </w:r>
          </w:p>
        </w:tc>
        <w:tc>
          <w:tcPr>
            <w:tcW w:w="32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2004</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$ 11,179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36,291</w:t>
            </w:r>
          </w:p>
        </w:tc>
        <w:tc>
          <w:tcPr>
            <w:tcW w:w="620" w:type="dxa"/>
            <w:vAlign w:val="bottom"/>
          </w:tcPr>
          <w:p>
            <w:pPr>
              <w:jc w:val="center"/>
              <w:ind w:left="4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18,311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55,678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56,341</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Short term investments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35,941</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18,551</w:t>
            </w:r>
          </w:p>
        </w:tc>
        <w:tc>
          <w:tcPr>
            <w:tcW w:w="6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23,085</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22,034</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61,147</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72,923</w:t>
            </w:r>
          </w:p>
        </w:tc>
        <w:tc>
          <w:tcPr>
            <w:tcW w:w="6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53,827</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113,813</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125,288</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128,967</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165,794</w:t>
            </w:r>
          </w:p>
        </w:tc>
        <w:tc>
          <w:tcPr>
            <w:tcW w:w="6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235,014</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335,323</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347,553</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11,518</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11,745</w:t>
            </w:r>
          </w:p>
        </w:tc>
        <w:tc>
          <w:tcPr>
            <w:tcW w:w="6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7,126</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Government grants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476</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c>
          <w:tcPr>
            <w:tcW w:w="62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1,140</w:t>
            </w:r>
          </w:p>
        </w:tc>
        <w:tc>
          <w:tcPr>
            <w:tcW w:w="3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1,411</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$86,580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107,561</w:t>
            </w:r>
          </w:p>
        </w:tc>
        <w:tc>
          <w:tcPr>
            <w:tcW w:w="620" w:type="dxa"/>
            <w:vAlign w:val="bottom"/>
          </w:tcPr>
          <w:p>
            <w:pPr>
              <w:jc w:val="center"/>
              <w:ind w:left="4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136,910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1"/>
              </w:rPr>
              <w:t>216,760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233,066</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0" w:right="3880" w:hanging="450"/>
        <w:spacing w:after="0" w:line="260" w:lineRule="auto"/>
        <w:tabs>
          <w:tab w:leader="none" w:pos="4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Subcontractor costs comprise investigator payments and certain other costs reimbursed by clients under terms specific to each of ICON's contracts. See Note 2(d) to the Audited Consolidated Financial Statements.</w:t>
      </w:r>
    </w:p>
    <w:p>
      <w:pPr>
        <w:spacing w:after="0" w:line="162" w:lineRule="exact"/>
        <w:rPr>
          <w:rFonts w:ascii="Courier New" w:cs="Courier New" w:eastAsia="Courier New" w:hAnsi="Courier New"/>
          <w:sz w:val="14"/>
          <w:szCs w:val="14"/>
          <w:color w:val="auto"/>
        </w:rPr>
      </w:pPr>
    </w:p>
    <w:p>
      <w:pPr>
        <w:ind w:left="450" w:right="4140"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ordinary share is based on the weighted average number of outstanding ordinary shares. Diluted net income per share includes potential ordinary shares from the exercise of options.</w:t>
      </w:r>
    </w:p>
    <w:p>
      <w:pPr>
        <w:spacing w:after="0" w:line="174" w:lineRule="exact"/>
        <w:rPr>
          <w:rFonts w:ascii="Courier New" w:cs="Courier New" w:eastAsia="Courier New" w:hAnsi="Courier New"/>
          <w:sz w:val="15"/>
          <w:szCs w:val="15"/>
          <w:color w:val="auto"/>
        </w:rPr>
      </w:pPr>
    </w:p>
    <w:p>
      <w:pPr>
        <w:ind w:left="450" w:right="3880" w:hanging="450"/>
        <w:spacing w:after="0" w:line="257" w:lineRule="auto"/>
        <w:tabs>
          <w:tab w:leader="none" w:pos="4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explained in Note 19 to our Audited Consolidated Financial Statements, ICON adopted Statement of Financial Accounting Standards ("SFAS") No.142 effective June 1, 2001. Under SFAS No.142, goodwill and intangible assets with indefinite lives are no longer amortized, but instead are tested for impairment at least annually. The following table provides a reconciliation of reported net income to adjusted net income and earnings per ordinary share excluding amortization expense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Year ended May 31,</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7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Reported</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$10,978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$14,200</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$18,283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$25,742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$13,545</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Add back</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amortization and impairment</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 ------------- ------------ -------------- --------------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Adjusted net income</w:t>
            </w:r>
          </w:p>
        </w:tc>
        <w:tc>
          <w:tcPr>
            <w:tcW w:w="24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$11,188</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$14,200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$18,283</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$25,742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$13,545</w:t>
            </w:r>
          </w:p>
        </w:tc>
      </w:tr>
    </w:tbl>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 ------------- ------------ -------------- -------------- -------------</w:t>
      </w:r>
    </w:p>
    <w:p>
      <w:pPr>
        <w:spacing w:after="0" w:line="17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 dollars)</w:t>
            </w: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Basic net income per ordinary share reported</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$0.97</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$1.55</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Add back amortization and impairment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0.02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Adjusted</w:t>
            </w:r>
          </w:p>
        </w:tc>
        <w:tc>
          <w:tcPr>
            <w:tcW w:w="494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basic net income per  ordinary  share</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4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$0.99</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$1.55</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bl>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 dollars)</w:t>
            </w: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Diluted net income per ordinary share reported</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$0.92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$1.16</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Add back amortization and impairment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0.02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 ------------- ------------ -------------- -------------- -------------</w:t>
      </w:r>
    </w:p>
    <w:p>
      <w:pPr>
        <w:spacing w:after="0" w:line="5"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Adjusted</w:t>
            </w:r>
          </w:p>
        </w:tc>
        <w:tc>
          <w:tcPr>
            <w:tcW w:w="494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diluted net income per ordinary share</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4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$0.94</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bl>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930"/>
          </w:cols>
          <w:pgMar w:left="230" w:top="622" w:right="7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You should carefully consider the following factors and any other information in this document before deciding to purchase our American Depository Shares ("ADSs").</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We are dependent on the continued outsourcing of research and development by the pharmaceutical, biotechnology and medical device industries.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We have benefited to date from the tendency of pharmaceutical, biotechnology and medical device companies to outsource clinical research projects. Any downturn in these industries or reduction in spending or outsourcing could adversely affect our business. For example, if these companies expanded upon their in-house clinical or development capabilities, they would be less likely to utilize our services. In addition, if governmental regulations were changed, they could affect the ability of our clients to operate profitably, which may lead to a decrease in research spending and therefore this could have a material adverse effect on our business.</w:t>
      </w:r>
    </w:p>
    <w:p>
      <w:pPr>
        <w:spacing w:after="0" w:line="33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We depend on a limited number of clients and a loss of or significant decrease in business from them could affect our business.</w:t>
      </w:r>
    </w:p>
    <w:p>
      <w:pPr>
        <w:spacing w:after="0" w:line="176"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We have in the past and may in the future derive a significant portion of our net revenue from a relatively limited number of clients. During the fiscal year ended May 31, 2005, 43% of our net revenue was derived from our top five clients. In fiscal 2005, 12% of our net revenue was from Astra Zeneca plc, no other client contributed more then 10% of net revenues. During the fiscal year ended May 31, 2004, 40% of our net revenue was derived from our top five clients. In fiscal 2004, 17% of our net revenue was from Astra Zeneca plc, no other client contributed more then 10% of net revenues. During the fiscal year ended May 31, 2003, 51% of our net revenue was derived from our top five clients. In fiscal 2003, 21% of our net revenue was from Astra Zeneca plc, 11% from Sanofi-Synthelabo Inc. and 10% from Pfizer, Inc.</w:t>
      </w:r>
    </w:p>
    <w:p>
      <w:pPr>
        <w:spacing w:after="0" w:line="16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If our clients discontinue using our services, or cancel or discontinue projects, our revenue will be adversely affected and we may not receive their business in the future or may not be able to attract new clients.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w:t>
      </w:r>
    </w:p>
    <w:p>
      <w:pPr>
        <w:spacing w:after="0" w:line="176" w:lineRule="exact"/>
        <w:rPr>
          <w:sz w:val="20"/>
          <w:szCs w:val="20"/>
          <w:color w:val="auto"/>
        </w:rPr>
      </w:pPr>
    </w:p>
    <w:p>
      <w:pPr>
        <w:ind w:left="880" w:right="3539" w:hanging="449"/>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products being tested to satisfy safety or efficacy requirements;</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or undesired clinical results of the product;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decision that a particular study is no longer necessary;</w:t>
      </w:r>
    </w:p>
    <w:p>
      <w:pPr>
        <w:spacing w:after="0" w:line="174" w:lineRule="exact"/>
        <w:rPr>
          <w:rFonts w:ascii="Courier New" w:cs="Courier New" w:eastAsia="Courier New" w:hAnsi="Courier New"/>
          <w:sz w:val="15"/>
          <w:szCs w:val="15"/>
          <w:color w:val="auto"/>
        </w:rPr>
      </w:pPr>
    </w:p>
    <w:p>
      <w:pPr>
        <w:ind w:left="880" w:right="4059" w:hanging="449"/>
        <w:spacing w:after="0" w:line="235"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 project performance, insufficient patient enrollment or investigator recruitment; or</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problems resulting in shortages of the drug.</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If we lose clients, we may not be able to attract new ones, and if we lose individual projects, we may not be able to replace them.</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6" w:name="page7"/>
    <w:bookmarkEnd w:id="6"/>
    <w:p>
      <w:pPr>
        <w:ind w:right="3359"/>
        <w:spacing w:after="0" w:line="237" w:lineRule="auto"/>
        <w:rPr>
          <w:sz w:val="20"/>
          <w:szCs w:val="20"/>
          <w:color w:val="auto"/>
        </w:rPr>
      </w:pPr>
      <w:r>
        <w:rPr>
          <w:rFonts w:ascii="Courier New" w:cs="Courier New" w:eastAsia="Courier New" w:hAnsi="Courier New"/>
          <w:sz w:val="15"/>
          <w:szCs w:val="15"/>
          <w:color w:val="auto"/>
        </w:rPr>
        <w:t>We compete against many companies and research institutions that may be larger or more efficient than we are. This may preclude us from being given the opportunity to bid, or may prevent us from being able to competitively bid on and win new contracts.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market for CROs is highly competitive. We primarily compete against in-house departments of pharmaceutical companies and other CROs including Quintiles Transnational Corporation, Covance Inc., PAREXEL International Corporation, Kendle International Inc., Ingenix Inc. (United Health Group Incorporated), Omnicare Inc., PRA International Inc., MDS Inc., SFBC International Inc., Charles River Laboratories, Inc. and Pharmaceutical Product Development, Inc. Some of these competitors have substantially greater capital, research and development capabilities and human resources than we do. As a result, they may be selected as preferred vendors of our clients or potential clients for all projects or for significant projects, or they may be able to price projects more competitively than us. Any of these factors may prevent us from getting the opportunity to bid on new projects or prevent us from being competitive in bidding on new contracts.</w:t>
      </w:r>
    </w:p>
    <w:p>
      <w:pPr>
        <w:spacing w:after="0" w:line="183"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Our quarterly results are dependent upon a number of factors and can fluctuate from quarter to quarter.</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results of operations in any quarter can fluctuate depending upon, among other things, the number and scope of ongoing client projects, the commencement, postponement, variation and cancellation or termination of projects in the quarter, the mix of revenue, cost overruns, employee hiring and other factors. Our net revenue in any period is directly related to the number of employees and the percentage of these employees who were working on projects and billed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181"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Our central laboratory business has been loss making and may continue to experience losses in the future.</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Our central laboratory has experienced a period of underperformance over the past number of years. To return this business to profitability we require continued strong levels of new business awards and economies of scale in the usage of both resources and lab inputs. If we do not achieve sufficient new business awards and if these economies are not attained, then our central laboratory may continue to make losses.</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Approximately 85% of our net revenue is earned from long-term fixed-fee contracts. We would lose money in performing these contracts if the costs of performance exceed the fixed fees for these projects.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Approximately 85% of our net revenue is earned from long-term fixed-fee contracts. We have in the past and therefore will continue to bear the risk of cost overruns under these contracts. If the costs of performing these projects exceed the fixed fees for these projects, for example if we underprice these contracts, if there are significant cost overruns or if there are unanticipated delays under these contracts, our business, financial condition and operating results could be adversely affected.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we fail to attract or retain qualified staff, our performance may suffer.</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Our business, future success and ability to expand operations depends upon our ability to attract, hire, train and retain qualified professional, scientific and technical operating staff. We compete for qualified professionals with other CROs, temporary staffing agencies and the in-house departments of pharmaceutical, biotechnology and medical device companies. Although we have not had any difficulty attracting or retaining qualified staff in the past, there is no guarantee that we will be able to continue to attract a sufficient number of clinical research professionals at an acceptable cost.</w:t>
      </w:r>
    </w:p>
    <w:p>
      <w:pPr>
        <w:spacing w:after="0" w:line="16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Failure to comply with the regulations of the U.S. Food and Drug Administration and other regulatory authorities could result in substantial penalties and/or loss of business.</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w:t>
      </w:r>
    </w:p>
    <w:p>
      <w:pPr>
        <w:spacing w:after="0" w:line="158" w:lineRule="exact"/>
        <w:rPr>
          <w:sz w:val="20"/>
          <w:szCs w:val="20"/>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research;</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disqualification of data;</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97" w:right="1440" w:bottom="1074" w:gutter="0" w:footer="0" w:header="0"/>
        </w:sectPr>
      </w:pPr>
    </w:p>
    <w:bookmarkStart w:id="7" w:name="page8"/>
    <w:bookmarkEnd w:id="7"/>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denial of the right to conduct business;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criminal penalties; and</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enforcement actions.</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Our exposure to exchange rate fluctuations could adversely affect our results of operations.</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We derived approximately 43% of our net revenue in 2005 from our operations outside of the United States. Our financial statements are presented in U.S. dollars. Accordingly, changes in exchange rates between the U.S. dollar and other currencies in which we report local results, including the pound sterling and the euro, will affect the translation of a subsidiary's financial results into U.S. dollars for purposes of reporting our consolidated financial results.</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our contracts with our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 We regularly review our currency exchange exposure and hedge a portion of this exposure using forward exchange contracts.</w:t>
      </w:r>
    </w:p>
    <w:p>
      <w:pPr>
        <w:spacing w:after="0" w:line="177"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Liability claims brought against us could result in payment of substantial damages to plaintiffs and decrease our profitability.</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actions against the investigators with whom we contract. To date, we have not been subject to any liability claims that are expected to have a material effect on us.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Indemnifications provided by our clients against the risk of liability for personal injury to or death of the patients vary from client to client and from trial to trial and may not be sufficient in scope or amount or the providers may not have the financial ability to fulfill their indemnification obligations. Furthermore, we would be liable for our own negligence and that of our employees.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we maintain an appropriate level of worldwide Professional Liability/Error and Omissions Insurance. The amount of coverage we maintain depends upon the nature of the trial. We may in the future be unable to maintain or continue our current insurance coverage on the same or similar terms. If we are liable for a claim that is beyond the level of insurance coverage, we may be responsible for paying all or part of any award.</w:t>
      </w:r>
    </w:p>
    <w:p>
      <w:pPr>
        <w:spacing w:after="0" w:line="17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We may lose business opportunities as a result of health care reform and the expansion of managed care organizations.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For instance, in the past the U.S. Congress has entertained several comprehensive health care reform proposals. The proposals were generally intended to expand health care coverage for the uninsured and reduce the growth of total health care expenditures. While the U.S. Congress has not yet adopted any comprehensive reform proposals, members of Congress may raise similar proposals in the future. We are unable to predict the likelihood that health care reform proposals will be enacted into law.</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addition to health care reform proposals, the expansion of managed care organizations in the healthcare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its revenues could decrease, possibly materially.</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We may lose business as a result of changes in the regulatory environment</w:t>
      </w:r>
    </w:p>
    <w:p>
      <w:pPr>
        <w:spacing w:after="0" w:line="17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Various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our business.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not be able to successfully develop and market or acquire new services.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may seek to develop and market new services that complement or expand our existing business or expand our service offerings through acquisition. If we are unable to develop new services and/or create demand for those newly developed services, or expand our service offerings through acquisition, our future business, results of operations, financial condition, and cash flows could be adversely affected.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rely on third parties for important services.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We depend on third parties to provide us with services critical to our business. The failure of any of these third parties to adequately provide the needed services could have a material adverse effect on our business.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Company may make acquisitions in the future, which may lead to disruptions to its ongoing business.</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We have made a number of acquisitions and will continue to review new acquisition opportunities. If we are unable to successfully integrate an acquired company, the acquisition could lead to disruptions to the business. The success of an acquisition will depend upon, among other things, our ability to:</w:t>
      </w:r>
    </w:p>
    <w:p>
      <w:pPr>
        <w:spacing w:after="0" w:line="163" w:lineRule="exact"/>
        <w:rPr>
          <w:sz w:val="20"/>
          <w:szCs w:val="20"/>
          <w:color w:val="auto"/>
        </w:rPr>
      </w:pPr>
    </w:p>
    <w:p>
      <w:pPr>
        <w:ind w:left="880" w:right="3539" w:hanging="449"/>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assimilate the operations and services or products of the acquired company;</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 acquired personnel;</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and motivate key employees;</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 customers; and</w:t>
      </w:r>
    </w:p>
    <w:p>
      <w:pPr>
        <w:spacing w:after="0" w:line="174" w:lineRule="exact"/>
        <w:rPr>
          <w:rFonts w:ascii="Courier New" w:cs="Courier New" w:eastAsia="Courier New" w:hAnsi="Courier New"/>
          <w:sz w:val="15"/>
          <w:szCs w:val="15"/>
          <w:color w:val="auto"/>
        </w:rPr>
      </w:pPr>
    </w:p>
    <w:p>
      <w:pPr>
        <w:ind w:left="880" w:right="3359" w:hanging="449"/>
        <w:spacing w:after="0" w:line="235"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minimize the diversion of management's attention from other business concerns.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Acquisitions of foreign companies may also involve additional risks, including assimilating differences in foreign business practices and overcoming language and cultural barriers.</w:t>
      </w:r>
    </w:p>
    <w:p>
      <w:pPr>
        <w:spacing w:after="0" w:line="175" w:lineRule="exact"/>
        <w:rPr>
          <w:sz w:val="20"/>
          <w:szCs w:val="20"/>
          <w:color w:val="auto"/>
        </w:rPr>
      </w:pPr>
    </w:p>
    <w:p>
      <w:pPr>
        <w:jc w:val="both"/>
        <w:ind w:right="3439" w:firstLine="441"/>
        <w:spacing w:after="0" w:line="260" w:lineRule="auto"/>
        <w:rPr>
          <w:sz w:val="20"/>
          <w:szCs w:val="20"/>
          <w:color w:val="auto"/>
        </w:rPr>
      </w:pPr>
      <w:r>
        <w:rPr>
          <w:rFonts w:ascii="Courier New" w:cs="Courier New" w:eastAsia="Courier New" w:hAnsi="Courier New"/>
          <w:sz w:val="14"/>
          <w:szCs w:val="14"/>
          <w:color w:val="auto"/>
        </w:rPr>
        <w:t>In the event that the operations of an acquired business do not meet our performance expectations, we may have to restructure the acquired business or write-off the value of some or all of the assets of the acquired business.</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9" w:name="page10"/>
    <w:bookmarkEnd w:id="9"/>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Information on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May 31, 2005, we had approximately 2,700 employees and operations in 37 locations in 23 countries, including the United States and major markets in Europe and Rest of World and have managed clinical trials in over 55 countries. For the fiscal year ended May 31, 2005, we derived approximately 57.2%, 37.2% and 5.6% of our net revenue in the United States, Europe and Rest of World, respectively.</w:t>
      </w:r>
    </w:p>
    <w:p>
      <w:pPr>
        <w:spacing w:after="0" w:line="183"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On July 1, 2004 we acquired 70% of the outstanding share capital of Beacon Bioscience, Inc., a leading specialist CRO, which provides a range of medical imaging services to the pharmaceutical, biotechnology and medical device industries.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 December 1, 2004, we acquired the workforce of Biomines Research Solutions Private Limited, based in Chennai, India. The workforce is engaged in the business of clinical trial data management and statistical analysis services and has been transferred to our existing Indian operation.</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During the fiscal year ended May 31, 2005, we commenced operations in Taipei, Taiwan, Mexico City, Mexico and Sao Paulo, Brazil.</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July 27, 2005 the Board of Directors of the Company approved a change of the Company's fiscal year end from a twelve-month period ending on May 31 to a twelve-month period ending on December 31. The Company is making this change in order to align its fiscal year end with the majority of other contract research organizations. As a requirement of this change, the Company will report results for the seven-month period from June 1, 2005 to December 31, 2005 as a separate transition period in a Transition Report filed on Form 20-F. Going forward, the Company's fiscal quarters will end on the last day of March, June, September and December of each year.</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ICON plc's principal executive office is located at: South County Business Park, Leopardstown, Dublin 18, Republic of Ireland. The contact telephone number of this office is 353 (1) 291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CRO industry provides independent product development services for the pharmaceutical, biotechnology and medical device industries. Companies in these industries outsource product development services to CROs in order to manage the drug development process more efficiently and cost-effectively to maximize the profit potential of patent-protected products. The CRO industry has evolved since the 1970s from a small number of companies that provided limited clinical services to a larger number of CROs that offer a range of services that encompass the entire research and development process, including pre-clinical development, clinical trials management, clinical data management, study design, biostatistical analysis, central laboratory and regulatory affairs services. CROs are required to provide these services in accordance with good clinical and laboratory practices, as governed by the applicable regulatory authorities.</w:t>
      </w: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130" w:right="1440" w:bottom="1440" w:gutter="0" w:footer="0" w:header="0"/>
        </w:sectPr>
      </w:pPr>
    </w:p>
    <w:bookmarkStart w:id="10" w:name="page11"/>
    <w:bookmarkEnd w:id="10"/>
    <w:p>
      <w:pPr>
        <w:ind w:right="3179" w:firstLine="441"/>
        <w:spacing w:after="0" w:line="257" w:lineRule="auto"/>
        <w:rPr>
          <w:sz w:val="20"/>
          <w:szCs w:val="20"/>
          <w:color w:val="auto"/>
        </w:rPr>
      </w:pPr>
      <w:r>
        <w:rPr>
          <w:rFonts w:ascii="Courier New" w:cs="Courier New" w:eastAsia="Courier New" w:hAnsi="Courier New"/>
          <w:sz w:val="14"/>
          <w:szCs w:val="14"/>
          <w:color w:val="auto"/>
        </w:rPr>
        <w:t>The CRO industry is highly fragmented, consisting of several hundred small, limited-service providers and a limited number of medium-sized and large CROs with global operations. Although there are few barriers to entry for small, limited-service providers, we believe there are significant barriers to becoming a CRO with global capabilities. Some of these barriers include the infrastructure and experience necessary to serve the global demands of clients, the ability to manage simultaneously complex clinical trials in numerous countries,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and expertise to conduct multiple phases of clinical trials on behalf of pharmaceutical, biotechnology and medical device companies. We believe that some large pharmaceutical companies, rather than utilizing many CRO service providers, are selecting a limited number of CROs who are invited to bid for projects. We believe that this trend will further concentrate the market share among CROs with a track record of quality, speed, flexibility, responsiveness, global capabilities and overall development experience and expertise.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Trends Affecting the CRO Industry</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CROs derive substantially all of their revenue from the research and development expenditures of pharmaceutical, biotechnology and medical device companies. Based on industry surveys and investment analyst research, we estimate that clinical development expenditures outsourced by pharmaceutical and biotechnology companies worldwide in 2003 was in excess of $14 billion. We believe that the following trends create further growth opportunities for global CROs, although there is no assurance that growth will materialize.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Drug Development Activity.</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Recent improvements in drug discovery and screening technology, biotechnology and disease pathology have reduced the time to develop new drug candidates. These improvements, combined with the threat of patent expirations on existing drugs, have led drug developers to increase the rate at which they are creating new drug candidates for clinical trials. As the number of trials that need to be performed increases, we believe that drug developers will increasingly rely on CROs to manage these trials in order to continue to focus on drug discovery. In addition, as many biotechnology companies do not have a clinical development infrastructure, we believe that the services offered by CROs will continue to be in demand from such companies.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Pressure to Accelerate Time to Markets; Globalization of the Marketplace.</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Reducing product development time maximizes the client's potential period of patent exclusivity, which in turn maximizes potential economic returns. We believe that clients are increasingly using CROs that have the appropriate expertise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operations and experience in a broad range of therapeutic areas are a key resource to support a global regulatory approval strategy.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Containment Pressures.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Over the last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The CRO industry, by specializing in clinical trials management, is often able to perform the needed services with greater focus and at a lower cost than the client could perform internally.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Number of Large Long-Term Post-Marketing Studies.</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We believe that to establish competitive claims and to encourage drug prescription by physicians in some large and competitive categories, more clients need to conduct outcome studies to demonstrate, for example, that mortality rates are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11" w:name="page12"/>
    <w:bookmarkEnd w:id="11"/>
    <w:p>
      <w:pPr>
        <w:ind w:right="3259"/>
        <w:spacing w:after="0" w:line="238" w:lineRule="auto"/>
        <w:rPr>
          <w:sz w:val="20"/>
          <w:szCs w:val="20"/>
          <w:color w:val="auto"/>
        </w:rPr>
      </w:pPr>
      <w:r>
        <w:rPr>
          <w:rFonts w:ascii="Courier New" w:cs="Courier New" w:eastAsia="Courier New" w:hAnsi="Courier New"/>
          <w:sz w:val="15"/>
          <w:szCs w:val="15"/>
          <w:color w:val="auto"/>
        </w:rPr>
        <w:t>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Regulatory Demands.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believe that regulatory agencies are becoming more demanding with regard to the data required to support new drug approvals and are seeking more evidence that new drugs are safer and more effective than existing products. As a result, the complexity of clinical trials and the size of regulatory submissions are driving the demand for services provided by CROs.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Operating Procedures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have developed a unique operating model for clinical trial projects based on a "dedicated team approach" in which a team of full time professionals, operating out of centralized offices, is assigned exclusively to each project. This contrasts with the approach of many competitors whose staff typically work on multiple projects at once, sometimes operating from non-office bases in remote locations and some of whom may be part-time. We believe that this operating model offers the following advantages:</w:t>
      </w:r>
    </w:p>
    <w:p>
      <w:pPr>
        <w:spacing w:after="0" w:line="177" w:lineRule="exact"/>
        <w:rPr>
          <w:sz w:val="20"/>
          <w:szCs w:val="20"/>
          <w:color w:val="auto"/>
        </w:rPr>
      </w:pPr>
    </w:p>
    <w:p>
      <w:pPr>
        <w:ind w:left="880" w:right="3539" w:hanging="449"/>
        <w:spacing w:after="0" w:line="265"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client's project receives undivided attention and is executed efficiently as team members do not have conflicting demands;</w:t>
      </w:r>
    </w:p>
    <w:p>
      <w:pPr>
        <w:spacing w:after="0" w:line="158" w:lineRule="exact"/>
        <w:rPr>
          <w:rFonts w:ascii="Courier New" w:cs="Courier New" w:eastAsia="Courier New" w:hAnsi="Courier New"/>
          <w:sz w:val="14"/>
          <w:szCs w:val="14"/>
          <w:color w:val="auto"/>
        </w:rPr>
      </w:pPr>
    </w:p>
    <w:p>
      <w:pPr>
        <w:ind w:left="880" w:right="3259" w:hanging="449"/>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conflicting demands on the project team also ensures a high quality service;</w:t>
      </w:r>
    </w:p>
    <w:p>
      <w:pPr>
        <w:spacing w:after="0" w:line="175" w:lineRule="exact"/>
        <w:rPr>
          <w:rFonts w:ascii="Courier New" w:cs="Courier New" w:eastAsia="Courier New" w:hAnsi="Courier New"/>
          <w:sz w:val="15"/>
          <w:szCs w:val="15"/>
          <w:color w:val="auto"/>
        </w:rPr>
      </w:pPr>
    </w:p>
    <w:p>
      <w:pPr>
        <w:ind w:left="880" w:right="3259" w:hanging="449"/>
        <w:spacing w:after="0" w:line="265"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dedicated team approach allows us to develop strong relationships with our clients and to be more responsive to our clients' needs;</w:t>
      </w:r>
    </w:p>
    <w:p>
      <w:pPr>
        <w:spacing w:after="0" w:line="158" w:lineRule="exact"/>
        <w:rPr>
          <w:rFonts w:ascii="Courier New" w:cs="Courier New" w:eastAsia="Courier New" w:hAnsi="Courier New"/>
          <w:sz w:val="14"/>
          <w:szCs w:val="14"/>
          <w:color w:val="auto"/>
        </w:rPr>
      </w:pPr>
    </w:p>
    <w:p>
      <w:pPr>
        <w:ind w:left="880" w:right="3179" w:hanging="449"/>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focused project teams facilitate efficient supervision of the project, enhance productivity and improve cost control; and</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administration is required to co-ordinate assignments, leading to a more streamlined corporate management structure.</w:t>
      </w:r>
    </w:p>
    <w:p>
      <w:pPr>
        <w:spacing w:after="0" w:line="17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We believe our dedicated team approach has led to repeat business and an expanding client base.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believe that our operating model based on dedicated teams differentiates us from our competition in the CRO industry and enables us to deliver high quality services to our clients. Our strategy is to continue to grow by applying this model to penetrate further our existing client base and add new clients. We intend to implement our strategy by continuing to deliver high quality services, by increasing our geographic presence and by expanding the scale and range of our services. We intend to supplement our internal growth with strategic acquisitions.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Continue to Deliver High Quality Services and Customer Satisfaction. We believe that our dedicated team approach allows us to provide high quality, timely and cost effective services that are designed to be highly responsive to our clients' needs. We believe that the resulting customer satisfaction and enhanced reputation in the industry will continue to enable us to penetrate our existing client base and add new clients. In the fiscal year ended May 31, 2005, approximately 97% of our net revenue was derived from second or subsequent projects with clients.</w:t>
      </w:r>
    </w:p>
    <w:p>
      <w:pPr>
        <w:spacing w:after="0" w:line="178"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Expand Geographic Presence. We believe that the capability to provide our services on a global basis in most major and developing pharmaceutical markets enhances our ability to compete for new business from large multinational pharmaceutical, biotechnology and medical device companies. We have expanded geographically through the establishment of 37 offices in 23 countries and intend to continue expanding into regions that have the potential to increase our client base or increase our investigator and patient populations.</w:t>
      </w:r>
    </w:p>
    <w:p>
      <w:pPr>
        <w:spacing w:after="0" w:line="200" w:lineRule="exact"/>
        <w:rPr>
          <w:sz w:val="20"/>
          <w:szCs w:val="20"/>
          <w:color w:val="auto"/>
        </w:rPr>
      </w:pPr>
    </w:p>
    <w:p>
      <w:pPr>
        <w:spacing w:after="0" w:line="30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12" w:name="page13"/>
    <w:bookmarkEnd w:id="12"/>
    <w:p>
      <w:pPr>
        <w:ind w:right="3259"/>
        <w:spacing w:after="0" w:line="238" w:lineRule="auto"/>
        <w:rPr>
          <w:sz w:val="20"/>
          <w:szCs w:val="20"/>
          <w:color w:val="auto"/>
        </w:rPr>
      </w:pPr>
      <w:r>
        <w:rPr>
          <w:rFonts w:ascii="Courier New" w:cs="Courier New" w:eastAsia="Courier New" w:hAnsi="Courier New"/>
          <w:sz w:val="15"/>
          <w:szCs w:val="15"/>
          <w:color w:val="auto"/>
        </w:rPr>
        <w:t>Increase Scale and Range of Services. We seek to enhance our competitive position by increasing the scale and range of our services. We intend to expand our clinical trials, central laboratory, digital imaging, IVRS (interactive voice recognition system), data management, statistical and consulting operations in order to capitalize further on the outsourcing opportunities currently available from our clients.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Consistent high quality performance is what we have come to stand for with our clients, and a large part of our continued success is due to the high quality standards we have set and delivered on projects to date. The achievement of these quality goals is made possible by the implementation and maintenance of an effective quality management system, which not only ensures that our business and quality objectives are achieved, but which is sufficiently dynamic to rapidly respond to changes in the clinical research and regulatory environments.</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maintain an integrated quality management system, which is designed to serve the business needs while complying with Good Corporate Practice ("GCP") guidelines, and which is structured according to the requirements of ISO 9000 international standards. The quality management documentation includes over 700 standard operating procedures ("SOP"s), working procedures and policies that are implemented on a global basis. In addition, our independent quality assurance division has the responsibility for assuring that processes conform to pre-determined quality, ethical and regulatory standards.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One of the driving forces behind our quality performance is management commitment to ISO 9000. Since 1994 when we were first registered to ISO 9002, we have continued to undergo several quality systems surveillance audits each year, in order to maintain global registration. In 2003 we attained the new ISO 9001:2000 standard.</w:t>
      </w:r>
    </w:p>
    <w:p>
      <w:pPr>
        <w:spacing w:after="0" w:line="178" w:lineRule="exact"/>
        <w:rPr>
          <w:sz w:val="20"/>
          <w:szCs w:val="20"/>
          <w:color w:val="auto"/>
        </w:rPr>
      </w:pPr>
    </w:p>
    <w:p>
      <w:pPr>
        <w:ind w:right="3699"/>
        <w:spacing w:after="0" w:line="265" w:lineRule="auto"/>
        <w:rPr>
          <w:sz w:val="20"/>
          <w:szCs w:val="20"/>
          <w:color w:val="auto"/>
        </w:rPr>
      </w:pPr>
      <w:r>
        <w:rPr>
          <w:rFonts w:ascii="Courier New" w:cs="Courier New" w:eastAsia="Courier New" w:hAnsi="Courier New"/>
          <w:sz w:val="14"/>
          <w:szCs w:val="14"/>
          <w:color w:val="auto"/>
        </w:rPr>
        <w:t>This global registration is unique in the industry and demonstrates our commitment to providing exceptional clinical research management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7" w:right="1440" w:bottom="1440" w:gutter="0" w:footer="0" w:header="0"/>
        </w:sectPr>
      </w:pPr>
    </w:p>
    <w:bookmarkStart w:id="13" w:name="page14"/>
    <w:bookmarkEnd w:id="13"/>
    <w:p>
      <w:pPr>
        <w:ind w:left="10" w:right="3359"/>
        <w:spacing w:after="0" w:line="237" w:lineRule="auto"/>
        <w:rPr>
          <w:sz w:val="20"/>
          <w:szCs w:val="20"/>
          <w:color w:val="auto"/>
        </w:rPr>
      </w:pPr>
      <w:r>
        <w:rPr>
          <w:rFonts w:ascii="Courier New" w:cs="Courier New" w:eastAsia="Courier New" w:hAnsi="Courier New"/>
          <w:sz w:val="15"/>
          <w:szCs w:val="15"/>
          <w:color w:val="auto"/>
        </w:rPr>
        <w:t>The range of clinical research services we provide facilitates the collection, analysis and reporting of clinical trials data, which will ultimately become part of a client's drug registration submission. The range of services is outlined below:</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Clinical Pharmacology</w:t>
      </w:r>
    </w:p>
    <w:p>
      <w:pPr>
        <w:spacing w:after="0" w:line="17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A critical step in the clinical development process is the confirmation of safety and efficiency in new drug candidates. This is achieved through the execution of Clinical Pharmacology or Phase I studies. These studies are undertaken to determine the metabolic and pharmacological effects of drug candidates in healthy volunteers.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Bioanalysis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Supporting the clinical development process, bioanalysis is carried to source the data required for pharmacokinetic and pharmacodynamic analysis. Bioanalysis quantifies the drug and its major metabolites in samples collected from cell culture media, plasma, serum, and urine.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Pharmacokinetic and Pharmacodynamic analysis</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Pharmacokinetic analysis is carried out to measure the effects of absorption, distribution and elimination of a drug and its metabolites. Pharmacodynamic analysis assesses the effects of new drug candidates on the physiology of the body.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Study Protocol Preparation</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This study protocol is the critical document provided to the investigator which defines the study and details the procedures which must be followed for the proper conduct of the trial. ICON has extensive experience in preparing study protocols in a broad range of therapeutic areas.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Case Report Form ("CRF") Preparation</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CRF is a study specific document in which the investigator records all relevant information on a trial patient in accordance with the requirements of the protocol. ICON has the capability of producing CRFs for a wide variety of therapeutic indications and in all required languages.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Clinical Trial Approvals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Prior to start-up, all clinical trials must be approved by the relevant government agencies, by institutional review boards and ethics committees and by certain other bodies in accordance with local requirements. ICON has extensive experience in obtaining such approvals on a multinational basis.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Investigator Recruitment</w:t>
      </w:r>
    </w:p>
    <w:p>
      <w:pPr>
        <w:spacing w:after="0" w:line="175"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The success of a clinical trial is dependent upon finding experienced investigators who are capable of performing clinical trials in accordance with the highest ethical and scientific standards. We have a database of several thousand such investigators who are experienced in numerous therapeutic areas and who have successfully completed many clinical trials for us.</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Study Monitoring and Data Collection</w:t>
      </w:r>
    </w:p>
    <w:p>
      <w:pPr>
        <w:spacing w:after="0" w:line="175" w:lineRule="exact"/>
        <w:rPr>
          <w:sz w:val="20"/>
          <w:szCs w:val="20"/>
          <w:color w:val="auto"/>
        </w:rPr>
      </w:pPr>
    </w:p>
    <w:p>
      <w:pPr>
        <w:jc w:val="both"/>
        <w:ind w:left="10" w:right="3879"/>
        <w:spacing w:after="0" w:line="260" w:lineRule="auto"/>
        <w:rPr>
          <w:sz w:val="20"/>
          <w:szCs w:val="20"/>
          <w:color w:val="auto"/>
        </w:rPr>
      </w:pPr>
      <w:r>
        <w:rPr>
          <w:rFonts w:ascii="Courier New" w:cs="Courier New" w:eastAsia="Courier New" w:hAnsi="Courier New"/>
          <w:sz w:val="14"/>
          <w:szCs w:val="14"/>
          <w:color w:val="auto"/>
        </w:rPr>
        <w:t>As patients in a clinical trial are examined and tests are conducted in accordance with the study protocol, patient data is recorded on CRFs and laboratory reports. In order to ensure accurate results, we provide:</w:t>
      </w:r>
    </w:p>
    <w:p>
      <w:pPr>
        <w:spacing w:after="0" w:line="163" w:lineRule="exact"/>
        <w:rPr>
          <w:sz w:val="20"/>
          <w:szCs w:val="20"/>
          <w:color w:val="auto"/>
        </w:rPr>
      </w:pPr>
    </w:p>
    <w:p>
      <w:pPr>
        <w:ind w:left="450" w:right="3439" w:hanging="450"/>
        <w:spacing w:after="0" w:line="237"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Specially trained monitors who visit sites regularly to ensure that the CRFs are completed correctly and that all data specified in the protocol are collected.</w:t>
      </w:r>
    </w:p>
    <w:p>
      <w:pPr>
        <w:spacing w:after="0" w:line="174"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who review CRFs for consistency and accuracy before the data is entered into an electronic database.</w:t>
      </w:r>
    </w:p>
    <w:p>
      <w:pPr>
        <w:spacing w:after="0" w:line="175"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Study monitoring and data collection services which comply with the FDA's good clinical practice guide lines and other relevant regulatory requirements.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Patient Safety Monitoring</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 a clinical trial, patient safety is paramount. We have teams of trained physicians and paramedical staff who review any serious adverse events which may occur during a trial and prepare detailed reports of these events on a timely basis for the pharmaceutical company and regulatory bodies as required.</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Clinical Data Management</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As the study progresses, the data from the CRFs is entered into databases that are designed in accordance with the specifications of the project and the particular needs of the client. We provide:</w:t>
      </w:r>
    </w:p>
    <w:p>
      <w:pPr>
        <w:spacing w:after="0" w:line="175" w:lineRule="exact"/>
        <w:rPr>
          <w:sz w:val="20"/>
          <w:szCs w:val="20"/>
          <w:color w:val="auto"/>
        </w:rPr>
      </w:pPr>
    </w:p>
    <w:p>
      <w:pPr>
        <w:ind w:left="450" w:right="3979" w:hanging="450"/>
        <w:spacing w:after="0" w:line="235"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who screen the data to detect errors, omissions or other deficiencies prior to data entry.</w:t>
      </w:r>
    </w:p>
    <w:p>
      <w:pPr>
        <w:spacing w:after="0" w:line="175"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Study specific computer programs which are written in order to validate the data.</w:t>
      </w:r>
    </w:p>
    <w:p>
      <w:pPr>
        <w:sectPr>
          <w:pgSz w:w="11900" w:h="16838" w:orient="portrait"/>
          <w:cols w:equalWidth="0" w:num="1">
            <w:col w:w="10229"/>
          </w:cols>
          <w:pgMar w:left="230" w:top="966" w:right="1440" w:bottom="0" w:gutter="0" w:footer="0" w:header="0"/>
        </w:sectPr>
      </w:pPr>
    </w:p>
    <w:bookmarkStart w:id="14" w:name="page15"/>
    <w:bookmarkEnd w:id="14"/>
    <w:p>
      <w:pPr>
        <w:ind w:left="450" w:right="3439"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creation of a final database that is electronically transferred to a biostatistical group for subsequent analysis.</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9"/>
          </w:cols>
          <w:pgMar w:left="230" w:top="311" w:right="1440" w:bottom="1440" w:gutter="0" w:footer="0" w:header="0"/>
        </w:sectPr>
      </w:pPr>
    </w:p>
    <w:bookmarkStart w:id="15" w:name="page16"/>
    <w:bookmarkEnd w:id="15"/>
    <w:p>
      <w:pPr>
        <w:ind w:left="10"/>
        <w:spacing w:after="0"/>
        <w:rPr>
          <w:sz w:val="20"/>
          <w:szCs w:val="20"/>
          <w:color w:val="auto"/>
        </w:rPr>
      </w:pPr>
      <w:r>
        <w:rPr>
          <w:rFonts w:ascii="Courier New" w:cs="Courier New" w:eastAsia="Courier New" w:hAnsi="Courier New"/>
          <w:sz w:val="15"/>
          <w:szCs w:val="15"/>
          <w:color w:val="auto"/>
        </w:rPr>
        <w:t>Biostatistical Services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Our biostatistical group primarily provides detailed analyses of data generated from clinical trials. In addition to providing this in-house statistical support, our biostatisticians assist clients with all phases of drug development through biostatistical consulting, database design, data analysis and statistical reporting.</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Medical Reporting</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results of the statistical analysis of the data collected during the trial, together with other clinical data are included in a final clinical trial report, which may then become part of the drug registration submission. ICON's medical reporting team prepare this report and may assist in the presentation of the data in different formats, including for journal publication or for presentation to international symposia.</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Central Laboratory Services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An important element in monitoring patient safety during a clinical trial is the conduct of various laboratory tests on the patient's blood, urine and other bodily fluids at appropriate intervals during the trial. The analysis of these samples must be standardized and the results must be promptly transmitted to the investigator. Our central laboratory operation provides:</w:t>
      </w:r>
    </w:p>
    <w:p>
      <w:pPr>
        <w:spacing w:after="0" w:line="173" w:lineRule="exact"/>
        <w:rPr>
          <w:sz w:val="20"/>
          <w:szCs w:val="20"/>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broad range of sample analyses.</w:t>
      </w:r>
    </w:p>
    <w:p>
      <w:pPr>
        <w:spacing w:after="0" w:line="174"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efficient logistics system to ensure rapid receipt of samples from the investigator.</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of the art analytical technology.</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transmission of test results to the investigator.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IVR (Interactive Voice Response)</w:t>
      </w:r>
    </w:p>
    <w:p>
      <w:pPr>
        <w:spacing w:after="0" w:line="175" w:lineRule="exact"/>
        <w:rPr>
          <w:sz w:val="20"/>
          <w:szCs w:val="20"/>
          <w:color w:val="auto"/>
        </w:rPr>
      </w:pPr>
    </w:p>
    <w:p>
      <w:pPr>
        <w:ind w:left="10" w:right="3539"/>
        <w:spacing w:after="0" w:line="259" w:lineRule="auto"/>
        <w:rPr>
          <w:sz w:val="20"/>
          <w:szCs w:val="20"/>
          <w:color w:val="auto"/>
        </w:rPr>
      </w:pPr>
      <w:r>
        <w:rPr>
          <w:rFonts w:ascii="Courier New" w:cs="Courier New" w:eastAsia="Courier New" w:hAnsi="Courier New"/>
          <w:sz w:val="14"/>
          <w:szCs w:val="14"/>
          <w:color w:val="auto"/>
        </w:rPr>
        <w:t>IVR systems use the global telecommunication networks to transfer data to a single, centrally located database. IVR systems are used in clinical studies primarily for study site administration, enrolling and randomizing patients, management of clinical supplies and collection of patient diaries.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Animal Health</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Animal Health division of ICON has broad capabilities in clinical research for the development of drugs, vaccines, and devices for the global animal health industry. The combination of expertise and geographical reach puts ICON in the top tier of animal CROs globally. This group has been dedicated to animal health clinical research for over 10 years and has experience in all target species and all major pharmacological classes. Capabilities include: Complete clinical project management, contract monitoring, data management, statistical analysis, quality assurance services, final study reports, development consulting and post-marketing survey management.</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Regulatory Consultancy</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Medicinal products are subject to strict regulatory requirements throughout their development, testing and marketing. Authorization by drug regulatory authorities is necessary prior to any product being marketed. The regulatory processes and requirements are lengthy and complex. ICON's regulatory consultancy division provides consultancy on global regulatory requirements during development, advises on suitability of client's documentation for regulatory approvals, prepares and submits applications for regulatory approvals and provides post licensing regulatory support services.</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Strategic Drug Development Services</w:t>
      </w:r>
    </w:p>
    <w:p>
      <w:pPr>
        <w:spacing w:after="0" w:line="175"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The Strategic Development division of ICON has broad expertise and can offer a full range of global services including regulatory affairs, CMC strategy and management, product development strategy, project management though all phases of clinical development, product life cycle management, quality, compliance, pharmacokinetics, biopharmaceutics, biostatistics, clinical research, preclinical research, data management, programming and biostatistics.</w:t>
      </w:r>
    </w:p>
    <w:p>
      <w:pPr>
        <w:spacing w:after="0" w:line="15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Digital Imaging</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Beacon Biosciences, Inc., the digital imaging operation of ICON, has a strong technology platform, focused on the centralized management, processing and reading of digitized medical images generated in clinical trials, including X-ray, MRI, CT, PET, Nuclear Medicine and Ultrasound.</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622"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rPr>
              <w:t>Organizational Structure</w:t>
            </w:r>
          </w:p>
        </w:tc>
        <w:tc>
          <w:tcPr>
            <w:tcW w:w="3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848"/>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Name</w:t>
            </w:r>
          </w:p>
        </w:tc>
        <w:tc>
          <w:tcPr>
            <w:tcW w:w="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Country of incorporation</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Group ownership</w:t>
            </w:r>
          </w:p>
        </w:tc>
      </w:tr>
      <w:tr>
        <w:trPr>
          <w:trHeight w:val="50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(UK) Limited</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United Kingdom</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Inc.</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USA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Limited</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Republic of Ireland</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4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Japan K.K.</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Japan</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GmbH</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Germany</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Pty Limited</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Australia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S.A.</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Argentina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SARL</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France</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Pte.</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Singapore</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Israel Limited</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Israel</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6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Medeval Group</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Limited</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UK</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4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Laboratories, Inc.</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USA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51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Managed Clinical Solutions, Inc.</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USA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(Canada) Inc.</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Canada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16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Globomax LLC</w:t>
            </w:r>
          </w:p>
        </w:tc>
        <w:tc>
          <w:tcPr>
            <w:tcW w:w="3520" w:type="dxa"/>
            <w:vAlign w:val="bottom"/>
          </w:tcPr>
          <w:p>
            <w:pPr>
              <w:spacing w:after="0"/>
              <w:rPr>
                <w:sz w:val="24"/>
                <w:szCs w:val="24"/>
                <w:color w:val="auto"/>
              </w:rPr>
            </w:pP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USA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Espana S.L.</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Spain</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Kft</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Hungary</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51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Beacon Bioscience, Inc.</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USA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India Private Limited</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India</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339"/>
        </w:trPr>
        <w:tc>
          <w:tcPr>
            <w:tcW w:w="820" w:type="dxa"/>
            <w:vAlign w:val="bottom"/>
          </w:tcPr>
          <w:p>
            <w:pPr>
              <w:ind w:left="440"/>
              <w:spacing w:after="0"/>
              <w:rPr>
                <w:sz w:val="20"/>
                <w:szCs w:val="20"/>
                <w:color w:val="auto"/>
              </w:rPr>
            </w:pPr>
            <w:r>
              <w:rPr>
                <w:rFonts w:ascii="Courier New" w:cs="Courier New" w:eastAsia="Courier New" w:hAnsi="Courier New"/>
                <w:sz w:val="15"/>
                <w:szCs w:val="15"/>
                <w:color w:val="auto"/>
                <w:w w:val="99"/>
              </w:rPr>
              <w:t>ICON</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Clinical</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Research Mexico, S.A. de C.V.</w:t>
            </w:r>
          </w:p>
        </w:tc>
        <w:tc>
          <w:tcPr>
            <w:tcW w:w="3400" w:type="dxa"/>
            <w:vAlign w:val="bottom"/>
          </w:tcPr>
          <w:p>
            <w:pPr>
              <w:ind w:left="840"/>
              <w:spacing w:after="0"/>
              <w:rPr>
                <w:sz w:val="20"/>
                <w:szCs w:val="20"/>
                <w:color w:val="auto"/>
              </w:rPr>
            </w:pPr>
            <w:r>
              <w:rPr>
                <w:rFonts w:ascii="Courier New" w:cs="Courier New" w:eastAsia="Courier New" w:hAnsi="Courier New"/>
                <w:sz w:val="15"/>
                <w:szCs w:val="15"/>
                <w:color w:val="auto"/>
              </w:rPr>
              <w:t>Mexico</w:t>
            </w:r>
          </w:p>
        </w:tc>
        <w:tc>
          <w:tcPr>
            <w:tcW w:w="17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w:t>
            </w:r>
          </w:p>
        </w:tc>
      </w:tr>
      <w:tr>
        <w:trPr>
          <w:trHeight w:val="678"/>
        </w:trPr>
        <w:tc>
          <w:tcPr>
            <w:tcW w:w="820" w:type="dxa"/>
            <w:vAlign w:val="bottom"/>
          </w:tcPr>
          <w:p>
            <w:pPr>
              <w:ind w:left="520"/>
              <w:spacing w:after="0"/>
              <w:rPr>
                <w:sz w:val="20"/>
                <w:szCs w:val="20"/>
                <w:color w:val="auto"/>
              </w:rPr>
            </w:pPr>
            <w:r>
              <w:rPr>
                <w:rFonts w:ascii="Courier New" w:cs="Courier New" w:eastAsia="Courier New" w:hAnsi="Courier New"/>
                <w:sz w:val="15"/>
                <w:szCs w:val="15"/>
                <w:color w:val="auto"/>
              </w:rPr>
              <w:t>All</w:t>
            </w:r>
          </w:p>
        </w:tc>
        <w:tc>
          <w:tcPr>
            <w:tcW w:w="4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shareholdings comprise ordinary shares.</w:t>
            </w:r>
          </w:p>
        </w:tc>
        <w:tc>
          <w:tcPr>
            <w:tcW w:w="3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9"/>
        </w:trPr>
        <w:tc>
          <w:tcPr>
            <w:tcW w:w="820" w:type="dxa"/>
            <w:vAlign w:val="bottom"/>
          </w:tcPr>
          <w:p>
            <w:pPr>
              <w:ind w:left="520"/>
              <w:spacing w:after="0"/>
              <w:rPr>
                <w:sz w:val="20"/>
                <w:szCs w:val="20"/>
                <w:color w:val="auto"/>
              </w:rPr>
            </w:pPr>
            <w:r>
              <w:rPr>
                <w:rFonts w:ascii="Courier New" w:cs="Courier New" w:eastAsia="Courier New" w:hAnsi="Courier New"/>
                <w:sz w:val="15"/>
                <w:szCs w:val="15"/>
                <w:color w:val="auto"/>
              </w:rPr>
              <w:t>All</w:t>
            </w:r>
          </w:p>
        </w:tc>
        <w:tc>
          <w:tcPr>
            <w:tcW w:w="7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subsidiary undertakings are involved in the provision of contract</w:t>
            </w:r>
          </w:p>
        </w:tc>
        <w:tc>
          <w:tcPr>
            <w:tcW w:w="1760" w:type="dxa"/>
            <w:vAlign w:val="bottom"/>
          </w:tcPr>
          <w:p>
            <w:pPr>
              <w:spacing w:after="0"/>
              <w:rPr>
                <w:sz w:val="24"/>
                <w:szCs w:val="24"/>
                <w:color w:val="auto"/>
              </w:rPr>
            </w:pPr>
          </w:p>
        </w:tc>
      </w:tr>
    </w:tbl>
    <w:p>
      <w:pPr>
        <w:spacing w:after="0" w:line="5" w:lineRule="exact"/>
        <w:rPr>
          <w:sz w:val="20"/>
          <w:szCs w:val="20"/>
          <w:color w:val="auto"/>
        </w:rPr>
      </w:pPr>
    </w:p>
    <w:p>
      <w:pPr>
        <w:ind w:left="520" w:right="3340"/>
        <w:spacing w:after="0" w:line="235" w:lineRule="auto"/>
        <w:rPr>
          <w:sz w:val="20"/>
          <w:szCs w:val="20"/>
          <w:color w:val="auto"/>
        </w:rPr>
      </w:pPr>
      <w:r>
        <w:rPr>
          <w:rFonts w:ascii="Courier New" w:cs="Courier New" w:eastAsia="Courier New" w:hAnsi="Courier New"/>
          <w:sz w:val="15"/>
          <w:szCs w:val="15"/>
          <w:color w:val="auto"/>
        </w:rPr>
        <w:t>research services to the pharmaceutical, biotechnology and medical device industries.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300"/>
          </w:cols>
          <w:pgMar w:left="240" w:top="622" w:right="1359"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Information Systems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information technology strategy is to build systems that help in the delivery of our business strategy. The focus is to provide ease of access to information for our staff and clients. Our current information systems are built around open standards and leading commercial hardware and software. All critical business systems are formally delivered following a documented approach. Critical clinical information systems which manage clinical data are validated in accordance with the latest FDA regulations and those of other equivalent regulatory bodies throughout the world.</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Recognizing that each client has its own requirements and systems, we seek to ensure an entirely flexible approach to client needs. An example of this flexibility includes linking directly to client systems or for a client to have access to designated ICON systems. Frequently, we have established secure wide area network, or WAN, links to the client's data systems, have trained our staff in those systems and have delivered data on-line to the client's database. We also provide secure remote access to our systems for clients to review their study information.</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have deployed a suite of software applications that assist in the management of our activities. These software applications are both internally developed and commercially available applications from leading vendors in the industry. These include a clinical trials management application that tracks all relevant data in a trial and automates all management and reporting processes and an investigator grants management application which utilizes this tracking data to trigger payments when they become due to investigators. We have also developed an interactive voice response system to increase the efficiency of clinical trials. This system provides features such as centralized patient randomization, drug inventory management, and patient diary collection and provides our clients with a fully flexible data retrieval solution which can be utilized via telephone, internet browser or WAP enabled device.</w:t>
      </w:r>
    </w:p>
    <w:p>
      <w:pPr>
        <w:spacing w:after="0" w:line="16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our central laboratory, we utilize a comprehensive suite of software, including a laboratory information management system (LIMS), a kit/sample management system and a web interface system to allow clients to review results online.</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IT systems are operated from two centralised hubs in Philadelphia and Dublin. Other offices are linked to these hubs through a resilient network that is both internally managed and outsourced to a leading telecommunications provider. Travelling staff can also access all systems via secure remote dial up facilities. A global corporate Intranet portal provides access to all authorized data and applications for our internal staff.</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Our global sales and marketing strategy is to focus our business development efforts on pharmaceutical, biotechnology and medical device companies whose development projects are advancing. By developing and maintaining close relationships with our clients, we gain repeat business and achieve lateral penetration into other therapeutic divisions where applicable. Simultaneously, we are actively establishing new client relationships.</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While our sales and marketing activities are carried out locally by executives in each of our major locations, the sales and marketing process is coordinated centrally. In addition, all of our business development professionals, senior executives and project team leaders share responsibility for the maintenance of key client relationships and business development activities.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Clients</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In 2005 revenue was earned from over 300 clients, including all of the top 20 pharmaceutical companies as ranked by 2004 revenues.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have expanded geographically in order to pursue larger multi-national clinical trials in markets worldwide and have expanded through acquisition to offer a broader range of services. In the fiscal year ended May 31, 2005, 57.2% of our net revenue was generated in the United States, 37.2% in Europe and 5.6% in Rest of World.</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961" w:right="1440" w:bottom="1440" w:gutter="0" w:footer="0" w:header="0"/>
        </w:sectPr>
      </w:pPr>
    </w:p>
    <w:bookmarkStart w:id="18" w:name="page19"/>
    <w:bookmarkEnd w:id="18"/>
    <w:p>
      <w:pPr>
        <w:ind w:right="3179"/>
        <w:spacing w:after="0" w:line="257" w:lineRule="auto"/>
        <w:rPr>
          <w:sz w:val="20"/>
          <w:szCs w:val="20"/>
          <w:color w:val="auto"/>
        </w:rPr>
      </w:pPr>
      <w:r>
        <w:rPr>
          <w:rFonts w:ascii="Courier New" w:cs="Courier New" w:eastAsia="Courier New" w:hAnsi="Courier New"/>
          <w:sz w:val="14"/>
          <w:szCs w:val="14"/>
          <w:color w:val="auto"/>
        </w:rPr>
        <w:t>We have in the past and may in the future derive a significant portion of our net revenue from a relatively limited number of major projects or clients. During the fiscal year ended May 31, 2003, we received 21% of our net revenue from Astra Zeneca, 11% from Sanofi-Synthelabo Inc. and 10% from Pfizer. In fiscal year 2004, we received 17% of our net revenue from Astra Zeneca. In fiscal year 2005, we received 12% of our net revenue from Astra Zeneca. No other client contributed more than 10% of net revenues in fiscal 2005. We believe that the importance of certain clients reflects our success in penetrating our client base. The loss of, or a significant decrease in business from one or more of these key clients could result in a material adverse effect.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Contractual Arrangements</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We are generally awarded contracts based upon our response to requests for proposals received from pharmaceutical, biotechnology and medical device industries.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Most of our revenues are earned from contracts which are fixed price, based on certain activity and performance specifications. Consequently, although we typically bear the cost of overruns, with certain exceptions, we benefit if our costs are lower than anticipated. Payment terms usually provide either for payments based on the achievement of certain identified milestones or activity levels or monthly payments according to a fixed payment schedule over the life of the contract. Where clients request changes in the scope of a trial or in the services to be provided by us, we deal with these by a change order, often resulting in additional revenue to us. We also contract on a "fee-for-service," "days worked" or "time and materials" basis but this accounts for approximately 15% of revenues.</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Contract terms may range from one year to several years depending on the nature of the work to be performed. In most cases, a portion of the contract fee, typically 10% to 20%, is paid at the time the study or trial is started. The balance of the contract fee payable is generally payable in installments over the study or trial duration and may be based on the achievement of certain performance targets or "milestones" or, to a lesser extent, on a fixed monthly payment schedule. For instance, installment payments may be based on patient enrollment or delivery of the database.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client.</w:t>
      </w:r>
    </w:p>
    <w:p>
      <w:pPr>
        <w:spacing w:after="0" w:line="18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Most of our contracts are terminable immediately by the client with cause in certain circumstances and on 30-60 days notice without cause. In the event of termination, we are entitled to all sums owed for work performed through the notice of termination and certain costs associated with termination of the study. Some of our contracts provide for an early termination fee.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Our backlog consists of potential net revenue yet to be earned from projects awarded by clients.</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At May 31, 2005, we had a backlog of $528 million, compared with approximately $464 million at May 31, 2004.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CRO industry is highly fragmented, consisting of several hundred small, limited-service providers and a limited number of medium-sized and large CROs with global operations. We primarily compete against in-house departments of pharmaceutical companies and other CROs with global operations. Some of these competitors have substantially greater capital, technical and other resources than us. CROs generally compete on the basis of previous experience, the quality of contract research, the ability to organize and manage large-scale trials on a global basis, the ability to manage large and complex medical databases, the ability to provide statistical and regulatory services, the ability to recruit suitable investigators, the ability to integrate information technology with systems to improve the efficiency of contract research, an international presence with strategically located facilities, financial viability, medical and scientific expertise in specific therapeutic areas and price. We believe that we compete favorably in these areas. Our principal CRO competitors are Quintiles Transnational Corporation, Covance Inc., PAREXEL International Corp., Kendle International Inc., Ingenix Inc. (United Health), Omnicare, Inc., PRA Inc., MDS Inc, Inveresk Research Group, Inc. and Pharmaceutical Product Development, Inc. The trend toward CRO industry consolidation has resulted in heightened competition among the larger CROs for clients and acquisition candidates.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of Clinical Trials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clinical investigation of new drugs is highly regulated by government agencies. The standard for the conduct of clinical research and development studies is good clinical practice, which stipulates procedures designed to ensure the quality and integrity of data obtained from clinical testing and to protect the rights and safety of clinical subjects. While good clinical practice has not been formally adopted by the FDA or, with certain exceptions, by similar regulatory authorities in other countries, some provisions of good clinical practice have been included in regulations adopted by the FDA. Furthermore, in practice, the FDA and many other regulatory authorities require that study results submitted to such authorities be based on studies conducted in accordance with good clinical practice.</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Regulatory authorities, including the FDA,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by the applicable regulatory authority. We believe that many pharmaceutical companies do not have the resources to comply with all of these regulations and standards and that this has contributed and will continue to contribute to the growth of third-party service providers.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providing our services in the United States, we are obligated to comply with FDA requirements governing such activities. These include obtaining patient informed consents, verifying qualifications of investigators, reporting patients' adverse reactions to drugs and maintaining thorough and accurate records. We must maintain source documents for each study for specified periods, and such documents may be reviewed by the study sponsor and the FDA during audits.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services we provide outside the United States are ultimately subject to similar regulation by the relevant regulatory authority, including the Medicines Control Agency in the United Kingdom and the Bundesinstitut fur Arzneimittel und Medizinprodukte in Germany. In addition, our activities in Europe are affected by the Committee for Proprietary Medicinal Products of the European Union, and its successor, the European Medicines Evaluation Agency, which is based in London, England.</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must also retain records for each study for specified periods for inspection by the client and by the applicable regulatory authority during audits. If such audits document that we have failed to comply adequately with applicable regulations and guidelines, it could result in a material adverse effect. In addition, our failure to comply with applicable regulation and guidelines, depending on the extent of the failure, could result in fines, debarment, termination or suspension of ongoing research or the disqualification of data, any of which could also result in a material adverse effect.</w:t>
      </w: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New Drug Development - An Overview</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Before a new drug may be marketed, the drug must undergo extensive testing and regulatory review in order to determine that the drug is safe and effective. The following discussion primarily relates to the FDA approval process. Similar procedures must be followed for clinical trials in other countries. The stages of this development process are as follows:</w:t>
      </w:r>
    </w:p>
    <w:p>
      <w:pPr>
        <w:spacing w:after="0" w:line="178"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Preclinical Research (1 to 3.5 years). "In vitro" (test tube) and animal studies are conducted to establish the relative toxicity of the drug over a wide range of doses and to detect any potential to cause birth defects or cancer. If results warrant continuing development of the drug, the manufacturer will file for an Investigational New Drug Application, or IND, upon which the FDA may grant permission to begin human trials.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Clinical Trials (3.5 to 6 years)</w:t>
      </w:r>
    </w:p>
    <w:p>
      <w:pPr>
        <w:spacing w:after="0" w:line="175" w:lineRule="exact"/>
        <w:rPr>
          <w:sz w:val="20"/>
          <w:szCs w:val="20"/>
          <w:color w:val="auto"/>
        </w:rPr>
      </w:pPr>
    </w:p>
    <w:p>
      <w:pPr>
        <w:ind w:left="880" w:right="3179"/>
        <w:spacing w:after="0" w:line="258" w:lineRule="auto"/>
        <w:rPr>
          <w:sz w:val="20"/>
          <w:szCs w:val="20"/>
          <w:color w:val="auto"/>
        </w:rPr>
      </w:pPr>
      <w:r>
        <w:rPr>
          <w:rFonts w:ascii="Courier New" w:cs="Courier New" w:eastAsia="Courier New" w:hAnsi="Courier New"/>
          <w:sz w:val="14"/>
          <w:szCs w:val="14"/>
          <w:color w:val="auto"/>
        </w:rPr>
        <w:t>Phase I (6 months to 1 year). Basic safety and pharmacology testing in 20 to 80 human subjects, usually healthy volunteers, includes studies to determine how the drug works, if it is safe, how it is affected by other drugs, where it goes in the body, how long it remains active and how it is broken down and eliminated from the body.</w:t>
      </w:r>
    </w:p>
    <w:p>
      <w:pPr>
        <w:spacing w:after="0" w:line="165"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Phase II (1 to 2 years). Basic efficacy (effectiveness) and dose-range testing in 100 to 200 patients to help determine the best effective dose, confirm that the drug works as expected, and provide additional safety data.</w:t>
      </w:r>
    </w:p>
    <w:p>
      <w:pPr>
        <w:spacing w:after="0" w:line="176" w:lineRule="exact"/>
        <w:rPr>
          <w:sz w:val="20"/>
          <w:szCs w:val="20"/>
          <w:color w:val="auto"/>
        </w:rPr>
      </w:pPr>
    </w:p>
    <w:p>
      <w:pPr>
        <w:ind w:left="880" w:right="3179"/>
        <w:spacing w:after="0" w:line="238" w:lineRule="auto"/>
        <w:rPr>
          <w:sz w:val="20"/>
          <w:szCs w:val="20"/>
          <w:color w:val="auto"/>
        </w:rPr>
      </w:pPr>
      <w:r>
        <w:rPr>
          <w:rFonts w:ascii="Courier New" w:cs="Courier New" w:eastAsia="Courier New" w:hAnsi="Courier New"/>
          <w:sz w:val="15"/>
          <w:szCs w:val="15"/>
          <w:color w:val="auto"/>
        </w:rPr>
        <w:t>Phase III (2 to 3 years). Efficacy and safety studies in hundreds or thousands of patients at many investigational sites (hospitals and clinics). These studies can be placebo-controlled trials, in which the new drug is compared with a "sugar pill", or studies comparing the new drug with one or more drugs with established safety and efficacy profiles in the same therapeutic category.</w:t>
      </w:r>
    </w:p>
    <w:p>
      <w:pPr>
        <w:spacing w:after="0" w:line="176" w:lineRule="exact"/>
        <w:rPr>
          <w:sz w:val="20"/>
          <w:szCs w:val="20"/>
          <w:color w:val="auto"/>
        </w:rPr>
      </w:pPr>
    </w:p>
    <w:p>
      <w:pPr>
        <w:ind w:left="440" w:right="3179"/>
        <w:spacing w:after="0" w:line="257" w:lineRule="auto"/>
        <w:rPr>
          <w:sz w:val="20"/>
          <w:szCs w:val="20"/>
          <w:color w:val="auto"/>
        </w:rPr>
      </w:pPr>
      <w:r>
        <w:rPr>
          <w:rFonts w:ascii="Courier New" w:cs="Courier New" w:eastAsia="Courier New" w:hAnsi="Courier New"/>
          <w:sz w:val="14"/>
          <w:szCs w:val="14"/>
          <w:color w:val="auto"/>
        </w:rPr>
        <w:t>TIND (may span late Phase II, Phase III, and FDA review). When results from Phase II or Phase III show special promise in the treatment of a serious condition for which existing therapeutic options are limited or of minimal value, the FDA may allow the manufacturer to make the new drug available to a larger number of patients through the regulated mechanism of a Treatment Investigational New Drug, or TIND. Although less scientifically rigorous than a controlled clinical trial, a TIND may enroll and collect a substantial amount of data from tens of thousands of patients.</w:t>
      </w:r>
    </w:p>
    <w:p>
      <w:pPr>
        <w:spacing w:after="0" w:line="167" w:lineRule="exact"/>
        <w:rPr>
          <w:sz w:val="20"/>
          <w:szCs w:val="20"/>
          <w:color w:val="auto"/>
        </w:rPr>
      </w:pPr>
    </w:p>
    <w:p>
      <w:pPr>
        <w:jc w:val="both"/>
        <w:ind w:left="440" w:right="3359"/>
        <w:spacing w:after="0" w:line="259" w:lineRule="auto"/>
        <w:rPr>
          <w:sz w:val="20"/>
          <w:szCs w:val="20"/>
          <w:color w:val="auto"/>
        </w:rPr>
      </w:pPr>
      <w:r>
        <w:rPr>
          <w:rFonts w:ascii="Courier New" w:cs="Courier New" w:eastAsia="Courier New" w:hAnsi="Courier New"/>
          <w:sz w:val="14"/>
          <w:szCs w:val="14"/>
          <w:color w:val="auto"/>
        </w:rPr>
        <w:t>NDA Preparation and Submission. Upon completion of Phase III trials, the manufacturer assembles the statistically analyzed data from all phases of development into a single large submission, the New Drug Application, or NDA, which today comprises, on average, approximately 100,000 pages.</w:t>
      </w:r>
    </w:p>
    <w:p>
      <w:pPr>
        <w:spacing w:after="0" w:line="163" w:lineRule="exact"/>
        <w:rPr>
          <w:sz w:val="20"/>
          <w:szCs w:val="20"/>
          <w:color w:val="auto"/>
        </w:rPr>
      </w:pPr>
    </w:p>
    <w:p>
      <w:pPr>
        <w:ind w:left="440" w:right="3179"/>
        <w:spacing w:after="0" w:line="237" w:lineRule="auto"/>
        <w:rPr>
          <w:sz w:val="20"/>
          <w:szCs w:val="20"/>
          <w:color w:val="auto"/>
        </w:rPr>
      </w:pPr>
      <w:r>
        <w:rPr>
          <w:rFonts w:ascii="Courier New" w:cs="Courier New" w:eastAsia="Courier New" w:hAnsi="Courier New"/>
          <w:sz w:val="15"/>
          <w:szCs w:val="15"/>
          <w:color w:val="auto"/>
        </w:rPr>
        <w:t>FDA Review &amp; Approval (1 to 1.5 years). Data from all phases of development (including a TIND) is scrutinized to confirm that the manufacturer has complied with regulations and that the drug is safe and effective for the specific use (or "indication") under study.</w:t>
      </w:r>
    </w:p>
    <w:p>
      <w:pPr>
        <w:spacing w:after="0" w:line="176"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Post-Marketing Surveillance and Phase IV Studies. Federal regulation requires the manufacturer to collect and periodically report to the FDA additional safety and efficacy data on the drug for as long as the manufacturer markets the drug (post-marketing surveillance). If the drug is marketed outside the U.S., these reports must include data from all countries in which the drug is sold. Additional studies (Phase IV) may be undertaken after initial approval to find new uses for the drug, to test new dosage formulations, or to confirm selected non-clinical benefits, e.g., increased cost-effectiveness or improved quality of life.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contract with physicians who serve as investigators in conducting clinical trials to test new drugs on their patients. Such testing creates a risk of liability for personal injury to or death of the patients resulting from adverse reactions to the drugs administered. In addition, although we do not believe we are legally accountable for the medical care rendered by third party investigators, it is possible that we could be subject to claims and expenses arising from any professional malpractice of the investigators with whom we contract. We also could be held liable for errors or omissions in connection with the services we perform.</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2" w:right="1440" w:bottom="1440" w:gutter="0" w:footer="0" w:header="0"/>
        </w:sectPr>
      </w:pPr>
    </w:p>
    <w:bookmarkStart w:id="21" w:name="page22"/>
    <w:bookmarkEnd w:id="21"/>
    <w:p>
      <w:pPr>
        <w:ind w:right="3259" w:firstLine="441"/>
        <w:spacing w:after="0" w:line="238" w:lineRule="auto"/>
        <w:rPr>
          <w:sz w:val="20"/>
          <w:szCs w:val="20"/>
          <w:color w:val="auto"/>
        </w:rPr>
      </w:pPr>
      <w:r>
        <w:rPr>
          <w:rFonts w:ascii="Courier New" w:cs="Courier New" w:eastAsia="Courier New" w:hAnsi="Courier New"/>
          <w:sz w:val="15"/>
          <w:szCs w:val="15"/>
          <w:color w:val="auto"/>
        </w:rPr>
        <w:t>We believe that the risk of liability to patients in clinical trials is mitigated by various regulatory requirements, including the role of institutional review boards and the need to obtain each patient's informed consent. The FDA requires each human clinical trial to be reviewed and approved by the institutional review board at each study site. An institutional review board is an independent committee that includes both medical and non-medical personnel and is obligated to protect the interests of patients enrolled in the trial. After the trial begins, the institutional review board monitors the protocol and measures designed to protect patients, such as the requirement to obtain informed consent.</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further attempt to reduce our risks through contractual indemnification provisions with clients and through insurance maintained by clients, investigators and us. However, the contractual indemnifications generally do not protect us against certain of our own actions such as negligence, the terms and scope of such indemnification vary from client to client and from trial to trial, and the financial performance of these indemnities is not secured. Therefore, we bear the risk that the indemnity may not be sufficient or that the indemnifying party may not have the financial ability to fulfill its indemnification obligations. We maintain worldwide professional liability insurance. We believe that our insurance coverage is adequate. There can be no assurance, however, that we will be able to maintain such insurance coverage on terms acceptable to us, if at all. We could be materially adversely affected if we were required to pay damages or bear the costs of defending any claim outside the scope of or in excess of a contractual indemnification provision or beyond the level of insurance coverage or in the event that an indemnifying party does not fulfill its indemnification obligations.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Property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lease all but one of our facilities under operating leases.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Our principal executive offices are located in South County Business Park, Leopardstown, Dublin, Republic of Ireland, where we own an office facility of approximately 42,000 square feet on approximately two acres. We have also leased an additional office facility of approximately 25,000 square feet in the same business park.</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also maintain U.S. offices in Chicago, two offices in Philadelphia, Nashville, Irvine, San Francisco, Houston, Wilmington, Raleigh, Baltimore, Tampa and two offices in New York. Our European subsidiaries maintain offices in Southampton, Frankfurt, Paris, Moscow, Amsterdam, Marlow, Manchester, Tel Aviv, Stockholm, Riga, Budapest and Barcelona. Our Rest of World offices are located in Tokyo, Singapore, Sydney, Chennai, Buenos Aires, Johannesburg, Montreal, Hong Kong, Mexico City, Taipei and Sao Paulo.</w:t>
      </w:r>
    </w:p>
    <w:p>
      <w:pPr>
        <w:spacing w:after="0" w:line="34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accounting principles generally accepted in the United States.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As of May 31, 2005, we had approximately 2,700 employees and operations in 37 locations in 23 countries, including the United States and major markets in Europe and Rest of World. In fiscal 2005, 57.2%, 37.2% and 5.6% of our net revenue was derived in the United States, Europe and Rest of World, respectively. See Note 17 to the Consolidated Financial Statements.</w:t>
      </w:r>
    </w:p>
    <w:p>
      <w:pPr>
        <w:spacing w:after="0" w:line="200" w:lineRule="exact"/>
        <w:rPr>
          <w:sz w:val="20"/>
          <w:szCs w:val="20"/>
          <w:color w:val="auto"/>
        </w:rPr>
      </w:pPr>
    </w:p>
    <w:p>
      <w:pPr>
        <w:spacing w:after="0" w:line="31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7" w:right="1440" w:bottom="1440" w:gutter="0" w:footer="0" w:header="0"/>
        </w:sectPr>
      </w:pPr>
    </w:p>
    <w:bookmarkStart w:id="22" w:name="page23"/>
    <w:bookmarkEnd w:id="22"/>
    <w:p>
      <w:pPr>
        <w:ind w:right="3179"/>
        <w:spacing w:after="0" w:line="238" w:lineRule="auto"/>
        <w:rPr>
          <w:sz w:val="20"/>
          <w:szCs w:val="20"/>
          <w:color w:val="auto"/>
        </w:rPr>
      </w:pPr>
      <w:r>
        <w:rPr>
          <w:rFonts w:ascii="Courier New" w:cs="Courier New" w:eastAsia="Courier New" w:hAnsi="Courier New"/>
          <w:sz w:val="15"/>
          <w:szCs w:val="15"/>
          <w:color w:val="auto"/>
        </w:rPr>
        <w:t>Revenue consists primarily of fees earned under contracts with third-party clients. In most cases, a portion of the contract fee is paid at the time the study or trial is started, often upon the signing of a letter of intent, and the balance of the contract fee is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 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184"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6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Our backlog consists of potential net revenue yet to be earned from projects awarded by clients. At May 31, 2005, we had a backlog of $528 million, compared with approximately $464 million at May 31, 2004. We believe that our backlog as of any date is not necessarily a meaningful predictor of future results, due to the potential for cancellation or delay of the projects underlying the backlog, and no assurances can be given that we will be able to realize this backlog as net revenue.</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7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ICON, although domiciled in Ireland, reports its results in U.S. dollars. As a consequence, the results of our non-U.S. based operations, when translated into U.S. dollars, could be materially affected by fluctuations in exchange rates between the U.S. dollar and the currencies of those operations.</w:t>
      </w:r>
    </w:p>
    <w:p>
      <w:pPr>
        <w:spacing w:after="0" w:line="176"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In addition to translation exposures, we are also subject to transaction exposures because the currency in which contracts are priced can be different from the currencies in which costs relating to those contracts are incurred. We have 13 operations operating in U.S. dollars, 5 trading in Euros, 3 in pounds Sterling, and 1 each in Australian dollars, Singapore dollars, Yen, Israeli New Shekels, Latvian Lats, Swedish Krona, Argentine Peso, South African Rand, Indian Rupee, Russian Rouble, Canadian dollar, Hungarian Forint, Hong Kong dollar, Taiwan dollar, Mexican Peso and Brazilian Real.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ICON's results of operations. We regularly review our currency exposures and hedge a portion of these, using forward exchange contracts, where they are not covered by natural hedges.</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received capital and revenue grants from Forbairt,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ICON or failing to comply in other respects with the grant agreements. The operating expenditure grant agreements provide for repayment in the event of a downsizing calculated by reference to any reduction in employee numbers. We have not recognized any loss contingency having assessed as remote the likelihood of these events arising. Up to May 31, 2005, we have received $2,580,983 and $1,918,361 under capital grants and operating grants,</w:t>
      </w:r>
    </w:p>
    <w:p>
      <w:pPr>
        <w:spacing w:after="0" w:line="200" w:lineRule="exact"/>
        <w:rPr>
          <w:sz w:val="20"/>
          <w:szCs w:val="20"/>
          <w:color w:val="auto"/>
        </w:rPr>
      </w:pPr>
    </w:p>
    <w:p>
      <w:pPr>
        <w:spacing w:after="0" w:line="31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7" w:right="1440" w:bottom="1440" w:gutter="0" w:footer="0" w:header="0"/>
        </w:sectPr>
      </w:pPr>
    </w:p>
    <w:bookmarkStart w:id="23" w:name="page24"/>
    <w:bookmarkEnd w:id="23"/>
    <w:p>
      <w:pPr>
        <w:ind w:right="780"/>
        <w:spacing w:after="0" w:line="265" w:lineRule="auto"/>
        <w:rPr>
          <w:sz w:val="20"/>
          <w:szCs w:val="20"/>
          <w:color w:val="auto"/>
        </w:rPr>
      </w:pPr>
      <w:r>
        <w:rPr>
          <w:rFonts w:ascii="Courier New" w:cs="Courier New" w:eastAsia="Courier New" w:hAnsi="Courier New"/>
          <w:sz w:val="14"/>
          <w:szCs w:val="14"/>
          <w:color w:val="auto"/>
        </w:rPr>
        <w:t>respectively. Pursuant to the terms of the grant agreements we are restricted from distributing some of these amounts by way of dividend or otherwise.</w:t>
      </w:r>
    </w:p>
    <w:p>
      <w:pPr>
        <w:spacing w:after="0" w:line="158" w:lineRule="exact"/>
        <w:rPr>
          <w:sz w:val="20"/>
          <w:szCs w:val="20"/>
          <w:color w:val="auto"/>
        </w:rPr>
      </w:pPr>
    </w:p>
    <w:p>
      <w:pPr>
        <w:ind w:right="520"/>
        <w:spacing w:after="0" w:line="238"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ICON's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w:t>
      </w:r>
    </w:p>
    <w:p>
      <w:pPr>
        <w:spacing w:after="0" w:line="175" w:lineRule="exact"/>
        <w:rPr>
          <w:sz w:val="20"/>
          <w:szCs w:val="20"/>
          <w:color w:val="auto"/>
        </w:rPr>
      </w:pPr>
    </w:p>
    <w:p>
      <w:pPr>
        <w:ind w:right="520"/>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339"/>
        </w:trPr>
        <w:tc>
          <w:tcPr>
            <w:tcW w:w="3700" w:type="dxa"/>
            <w:vAlign w:val="bottom"/>
          </w:tcPr>
          <w:p>
            <w:pPr>
              <w:spacing w:after="0"/>
              <w:rPr>
                <w:sz w:val="24"/>
                <w:szCs w:val="24"/>
                <w:color w:val="auto"/>
              </w:rPr>
            </w:pPr>
          </w:p>
        </w:tc>
        <w:tc>
          <w:tcPr>
            <w:tcW w:w="31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Percentage of Net Revenue</w:t>
            </w:r>
          </w:p>
        </w:tc>
        <w:tc>
          <w:tcPr>
            <w:tcW w:w="580" w:type="dxa"/>
            <w:vAlign w:val="bottom"/>
          </w:tcPr>
          <w:p>
            <w:pPr>
              <w:spacing w:after="0"/>
              <w:rPr>
                <w:sz w:val="24"/>
                <w:szCs w:val="24"/>
                <w:color w:val="auto"/>
              </w:rPr>
            </w:pPr>
          </w:p>
        </w:tc>
      </w:tr>
      <w:tr>
        <w:trPr>
          <w:trHeight w:val="678"/>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54.2%</w:t>
            </w: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54.7%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31.5%</w:t>
            </w: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w:t>
            </w: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Other charges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w:t>
            </w:r>
          </w:p>
        </w:tc>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May 31, 2005 Compared to Fiscal Year Ended May 31, 2004</w:t>
      </w:r>
    </w:p>
    <w:p>
      <w:pPr>
        <w:spacing w:after="0" w:line="175" w:lineRule="exact"/>
        <w:rPr>
          <w:sz w:val="20"/>
          <w:szCs w:val="20"/>
          <w:color w:val="auto"/>
        </w:rPr>
      </w:pPr>
    </w:p>
    <w:p>
      <w:pPr>
        <w:ind w:right="520"/>
        <w:spacing w:after="0" w:line="238" w:lineRule="auto"/>
        <w:rPr>
          <w:sz w:val="20"/>
          <w:szCs w:val="20"/>
          <w:color w:val="auto"/>
        </w:rPr>
      </w:pPr>
      <w:r>
        <w:rPr>
          <w:rFonts w:ascii="Courier New" w:cs="Courier New" w:eastAsia="Courier New" w:hAnsi="Courier New"/>
          <w:sz w:val="15"/>
          <w:szCs w:val="15"/>
          <w:color w:val="auto"/>
        </w:rPr>
        <w:t>Net revenue increased by $29.7 million, or 10.0%, from $296.9 million to $326.7 million. This improvement arose through a combination of increased business from existing clients, business won from new clients and revenues from acquisitions not included in the comparative period. The additional revenues from acquisitions (GloboMax &amp; Beacon) amounted to $9.1 million for the fiscal year ended May 31, 2005. Including the impact of acquisition, revenues in the United States, Europe and the Rest of World grew by 0.9%, 20.1% and 73.5% respectively. In the twelve months to May 31, 2005, net revenue from our central laboratory business decreased by 5.2% from $26.9 million to $25.5 million while our clinical research segment grew by 11.5% from $270.0 million to $301.2 million over the comparable period. The decrease in net revenue in our central laboratory segment is primarily due to lower testing volumes in fiscal 2005.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187" w:lineRule="exact"/>
        <w:rPr>
          <w:sz w:val="20"/>
          <w:szCs w:val="20"/>
          <w:color w:val="auto"/>
        </w:rPr>
      </w:pPr>
    </w:p>
    <w:p>
      <w:pPr>
        <w:ind w:right="520"/>
        <w:spacing w:after="0" w:line="258" w:lineRule="auto"/>
        <w:rPr>
          <w:sz w:val="20"/>
          <w:szCs w:val="20"/>
          <w:color w:val="auto"/>
        </w:rPr>
      </w:pPr>
      <w:r>
        <w:rPr>
          <w:rFonts w:ascii="Courier New" w:cs="Courier New" w:eastAsia="Courier New" w:hAnsi="Courier New"/>
          <w:sz w:val="14"/>
          <w:szCs w:val="14"/>
          <w:color w:val="auto"/>
        </w:rPr>
        <w:t>Direct costs increased by $17.1 million, or 10.5%, from $162.6 million to $179.7 million, primarily due to increased staff numbers needed to support increased project related activity and increased costs arising from acquisitions amounting to $4.3 million. Direct costs as a percentage of net revenue increased from 54.7% in the twelve months to May 31, 2004 to 55.0% in fiscal 2005.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$15.0 million, or</w:t>
      </w:r>
    </w:p>
    <w:p>
      <w:pPr>
        <w:spacing w:after="0" w:line="5" w:lineRule="exact"/>
        <w:rPr>
          <w:sz w:val="20"/>
          <w:szCs w:val="20"/>
          <w:color w:val="auto"/>
        </w:rPr>
      </w:pPr>
    </w:p>
    <w:p>
      <w:pPr>
        <w:ind w:right="520"/>
        <w:spacing w:after="0" w:line="237" w:lineRule="auto"/>
        <w:rPr>
          <w:sz w:val="20"/>
          <w:szCs w:val="20"/>
          <w:color w:val="auto"/>
        </w:rPr>
      </w:pPr>
      <w:r>
        <w:rPr>
          <w:rFonts w:ascii="Courier New" w:cs="Courier New" w:eastAsia="Courier New" w:hAnsi="Courier New"/>
          <w:sz w:val="15"/>
          <w:szCs w:val="15"/>
          <w:color w:val="auto"/>
        </w:rPr>
        <w:t>16.9%, from $88.8 million to $103.8 million. The increase in costs is due to the continued expansion of our operations and additional selling, general and administrative costs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to 2004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to 2005</w:t>
            </w:r>
          </w:p>
        </w:tc>
      </w:tr>
      <w:tr>
        <w:trPr>
          <w:trHeight w:val="170"/>
        </w:trPr>
        <w:tc>
          <w:tcPr>
            <w:tcW w:w="2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Percentage Increase/</w:t>
            </w:r>
          </w:p>
        </w:tc>
      </w:tr>
      <w:tr>
        <w:trPr>
          <w:trHeight w:val="170"/>
        </w:trPr>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(Decrease)</w:t>
            </w:r>
          </w:p>
        </w:tc>
        <w:tc>
          <w:tcPr>
            <w:tcW w:w="840" w:type="dxa"/>
            <w:vAlign w:val="bottom"/>
          </w:tcPr>
          <w:p>
            <w:pPr>
              <w:spacing w:after="0"/>
              <w:rPr>
                <w:sz w:val="14"/>
                <w:szCs w:val="14"/>
                <w:color w:val="auto"/>
              </w:rPr>
            </w:pPr>
          </w:p>
        </w:tc>
      </w:tr>
      <w:tr>
        <w:trPr>
          <w:trHeight w:val="509"/>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31.5%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509"/>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339"/>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339"/>
        </w:trPr>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r>
    </w:tbl>
    <w:p>
      <w:pPr>
        <w:spacing w:after="0" w:line="175" w:lineRule="exact"/>
        <w:rPr>
          <w:sz w:val="20"/>
          <w:szCs w:val="20"/>
          <w:color w:val="auto"/>
        </w:rPr>
      </w:pPr>
    </w:p>
    <w:p>
      <w:pPr>
        <w:ind w:left="1680" w:hanging="1155"/>
        <w:spacing w:after="0"/>
        <w:tabs>
          <w:tab w:leader="none" w:pos="16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w:t>
      </w:r>
    </w:p>
    <w:p>
      <w:pPr>
        <w:spacing w:after="0" w:line="174"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37.9%</w:t>
      </w:r>
      <w:r>
        <w:rPr>
          <w:rFonts w:ascii="Courier New" w:cs="Courier New" w:eastAsia="Courier New" w:hAnsi="Courier New"/>
          <w:sz w:val="14"/>
          <w:szCs w:val="14"/>
          <w:color w:val="auto"/>
        </w:rPr>
        <w:t>(45.9%)</w:t>
      </w:r>
    </w:p>
    <w:p>
      <w:pPr>
        <w:sectPr>
          <w:pgSz w:w="11900" w:h="16838" w:orient="portrait"/>
          <w:cols w:equalWidth="0" w:num="2">
            <w:col w:w="7560" w:space="720"/>
            <w:col w:w="2200"/>
          </w:cols>
          <w:pgMar w:left="240" w:top="627" w:right="1179" w:bottom="1440" w:gutter="0" w:footer="0" w:header="0"/>
        </w:sectPr>
      </w:pPr>
    </w:p>
    <w:bookmarkStart w:id="24" w:name="page25"/>
    <w:bookmarkEnd w:id="24"/>
    <w:p>
      <w:pPr>
        <w:ind w:right="3439"/>
        <w:spacing w:after="0" w:line="237" w:lineRule="auto"/>
        <w:rPr>
          <w:sz w:val="20"/>
          <w:szCs w:val="20"/>
          <w:color w:val="auto"/>
        </w:rPr>
      </w:pPr>
      <w:r>
        <w:rPr>
          <w:rFonts w:ascii="Courier New" w:cs="Courier New" w:eastAsia="Courier New" w:hAnsi="Courier New"/>
          <w:sz w:val="15"/>
          <w:szCs w:val="15"/>
          <w:color w:val="auto"/>
        </w:rPr>
        <w:t>from acquisition of $3.3 million not included in the comparative period. As a percentage of net revenue, selling, general and administrative expenses, increased from 29.9% in the twelve months to May 31, 2004 to 31.8% for the fiscal year ended May 31, 2005.</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Depreciation and amortization expense increased by $2.1 million, or 19.3%, from $11.2 million to $13.3 million. This increase is due to the continued investment in facilities and information technology to support the growth in activity and in providing for future capacity and increased cost arising from acquisition of $0.4 million. As a percentage of net revenue, depreciation and amortization increased from 3.8% of net revenues in the twelve months to May 31, 2004, to 4.1% for the fiscal year ended May 31, 2005.</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Other charges of $11.3 million were incurred during the year ended May 31, 2005. The principal items classified as other charges include asset impairments, computer software write-off and lease termination and exit costs, as outlined in Note 14 to the Consolidated Financial Statements.</w:t>
      </w:r>
    </w:p>
    <w:p>
      <w:pPr>
        <w:spacing w:after="0" w:line="176"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Income from operations decreased by $15.8 million, or 45.9%, from $34.4 million to $18.6 million, including acquisitions. As a percentage of net revenue, income from operations decreased from 11.6% for the twelve months to May 31, 2004 to</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5.7% of net revenues for the fiscal year ended May 31, 2005. For the fiscal year 2005, losses from operations, as a percentage of net revenue for the central laboratory increased to 59.9%, or 25.6% excluding other charges, from 12.2%, in fiscal 2004 due to an expanded cost base. The central laboratory constitutes approximately 7% of our business revenues. Operating margins for our clinical research segment decreased from 13.9% in the twelve months to May 31, 2004, to 11.3% for the fiscal year ended May 31, 2005.</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Net interest income for the year ended May 31, 2005, was $1.0 million, an increase of $0.7 million on the year ended May 31, 2004. Higher average level of funds invested and higher interest rates in fiscal 2005 over fiscal 2004 contributed to the increased interest income.</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ICON's effective tax rate for the year ended May 31, 2005, was 29.9% compared with 25.8% for the comparable period last year. The increase in the effective rate was primarily due to a change in the geographic distribution of pre-tax earnings.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May 31, 2004 Compared to Fiscal Year Ended May 31, 2003</w:t>
      </w:r>
    </w:p>
    <w:p>
      <w:pPr>
        <w:spacing w:after="0" w:line="17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Net revenue increased by $71.2 million, or 31.5%, from $225.7 million to $296.9 million. This improvement arose through a combination of increased business from existing clients, business won from new clients and revenues from acquisitions not included in the comparative period. The additional revenues from these acquisitions (BPA, MCS, Medeval and GloboMax) amounted to $24.5 million for the fiscal year ended May 31, 2004. Including the impact of acquisitions, revenues in the United States, Europe and the Rest of World grew by 16.8%, 65.6% and</w:t>
      </w:r>
    </w:p>
    <w:p>
      <w:pPr>
        <w:spacing w:after="0" w:line="2"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76.4% respectively. In the twelve months to May 31, 2004, net revenue from our central laboratory business grew by 2.8% from $26.2 million to $26.9 million while our clinical research segment grew by 35.3% from $199.6 million to $270.0 million over the comparable period. The growth in net revenue in our clinical research segment and central laboratory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Direct costs increased by $40.2 million, or 32.8%, from $122.4 million to $162.6 million, primarily due to increased staff numbers needed to support increased project related activity and increased costs arising from the acquisitions amounting to $13.2 million. Direct costs as a percentage of net revenue increased from 54.2% in the twelve months to May 31, 2003 to 54.7% in fiscal 2004.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increased by $17.7 million, or</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24.9%, from $71.1 million to $88.8 million. The increase in costs is due to the continued expansion of our operations and additional selling, general and administrative costs from acquisitions of $9.5 million not included in the comparative period. As a percentage of net revenue, selling, general and administrative expenses, decreased from 31.5% in the twelve months to May 31, 2003 to 29.9% for the fiscal year ended May 31, 2004.</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25" w:name="page26"/>
    <w:bookmarkEnd w:id="25"/>
    <w:p>
      <w:pPr>
        <w:ind w:right="3179"/>
        <w:spacing w:after="0" w:line="238" w:lineRule="auto"/>
        <w:rPr>
          <w:sz w:val="20"/>
          <w:szCs w:val="20"/>
          <w:color w:val="auto"/>
        </w:rPr>
      </w:pPr>
      <w:r>
        <w:rPr>
          <w:rFonts w:ascii="Courier New" w:cs="Courier New" w:eastAsia="Courier New" w:hAnsi="Courier New"/>
          <w:sz w:val="15"/>
          <w:szCs w:val="15"/>
          <w:color w:val="auto"/>
        </w:rPr>
        <w:t>Depreciation expense increased by $3.9 million, or 52.9%, from $7.3 million to $11.2 million. This increase is due to the continued investment in facilities and information technology to support the growth in activity and in providing for future capacity and increased cost arising from acquisitions of $0.6 million. As a percentage of net revenue, depreciation increased from 3.3% of net revenues in the twelve months to May 31, 2003 to 3.8% for the fiscal year ended May 31, 2004.</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Income from operations increased by $9.5 million, or 37.9%, from $24.9 million to $34.4 million, including acquisitions. This improvement is due to increased levels of activity carried out across the Company together with the acquisitions of BPA, MCS, Medeval and GloboMax. As a percentage of net revenue, income from operations increased from 11.0% for the twelve months to May 31, 2003 to 11.6% of net revenues for the fiscal year ended May 31, 2004. For the fiscal year 2004, income from operations, as a percentage of net revenue for the central laboratory fell to (12.2)% from 0.4% in fiscal 2003 due to an expanded cost base. The central laboratory constitutes approximately 9% of our business. Operating margins for our clinical research segment increased from 12.4% in the twelve months to May 31, 2003, to 13.9% for the fiscal year ended May 31, 2004 due principally to improved staff utilization and enhanced leverage of our overhead costs.</w:t>
      </w:r>
    </w:p>
    <w:p>
      <w:pPr>
        <w:spacing w:after="0" w:line="183"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Net interest income for the year ended May 31, 2004, was $0.3 million, a decrease of $0.1 million on the equivalent period last year due primarily to lower then average interest rates during the current fiscal year.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ICON's effective tax rate for the year ended May 31, 2004, was 25.8% compared with 27.7% for the comparable period last year. The decrease in the effective rate was primarily due to a change in the geographic distribution of pre-tax earnings.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investigators. The aggregate amount of employee compensation paid by us and our subsidiaries in the three fiscal years ended May 31, 2003, 2004 and 2005, amounted to $135.2 million, $174.5 million, and $194.1 million, respectively. Investing activities primarily reflect capital expenditures for facilities, information systems enhancements, the purchase of short-term investments and acquisitions.</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18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As of May 31, 2005, our working capital was $125.3 million, compared to $113.8 million at May 31, 2004.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63 days at May 31, 2005, 60 days at May 31, 2004 and 64 days at May 31, 2003.</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Net cash provided by operating activities was $25.2 million in the year ended May 31, 2005, compared with $43.6 million in fiscal 2004 and $21.5 million in the fiscal year ended May 31, 2003. The decrease in cash provided in fiscal 2005 was due primarily to lower net income in fiscal 2005 and higher levels of revenue outstanding, reflective of the increase in revenue and revenue days outstanding in fiscal 2005 over fiscal 2004.</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Net cash used in investing activities was $25.7 million in the year ended May 31, 2005, compared with $47.3 million in the year ended May 31, 2004 and $35.3 million in the year ended May 31, 2003. The decrease in net cash used in fiscal 2005 over fiscal 2004, is due principally to the lower levels of short-term investments purchased in fiscal 2005.</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7" w:right="1440" w:bottom="1440" w:gutter="0" w:footer="0" w:header="0"/>
        </w:sectPr>
      </w:pPr>
    </w:p>
    <w:bookmarkStart w:id="26" w:name="page27"/>
    <w:bookmarkEnd w:id="26"/>
    <w:p>
      <w:pPr>
        <w:ind w:right="3179"/>
        <w:spacing w:after="0" w:line="238" w:lineRule="auto"/>
        <w:rPr>
          <w:sz w:val="20"/>
          <w:szCs w:val="20"/>
          <w:color w:val="auto"/>
        </w:rPr>
      </w:pPr>
      <w:r>
        <w:rPr>
          <w:rFonts w:ascii="Courier New" w:cs="Courier New" w:eastAsia="Courier New" w:hAnsi="Courier New"/>
          <w:sz w:val="15"/>
          <w:szCs w:val="15"/>
          <w:color w:val="auto"/>
        </w:rPr>
        <w:t>Net cash provided by financing activities was $0.9 million in the year ended May 31, 2005, compared with $42.5 million in fiscal 2004 and net cash used in financing activities of $4.6 million in the fiscal year ended May 31, 2003. The main reason for this decrease is the receipt of the net proceeds of $44.3 million, following the issue of 1,500,000 American Depositary Shares by the Company in fiscal 2004.</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As a result of these cash flows, cash and cash equivalents increased by $0.6 million in the year ended May 31, 2005, compared to $37.4 million in the year ended May 31, 2004 and a net decrease of $18.0 million in the year ended May 31, 2003.</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a term loan facility of $40 million and a multi currency overdraft facility of $5 million. As at May 31, 2005, the full amount of these facilities were available to be drawn down. ICON Clinical Research, Inc. (a subsidiary of ICON plc) is entitled to make borrowings under a revolving credit facility of $15 million. As at May 31, 2005, the full amount of this facility was available to be drawn down.</w:t>
      </w:r>
    </w:p>
    <w:p>
      <w:pPr>
        <w:spacing w:after="0" w:line="16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Company entered into an overdraft agreement with Allied Irish Banks, plc ("AIB") whereby the company guarantees any overdraft of its subsidiary ICON Clinical Research GmbH up to an amount (euro)120,000 (U.S.$150,960). As of May 31, 2005, the full facility was available to be drawn down.</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September 9, 2003, we completed the acquisition of Globomax LLC, for an initial cash consideration of U.S.$10.9 million. Earn-out provisions have been built into the acquisition contract requiring the potential payment of additional deferred consideration up to a maximum of U.S.$4.0 million depending on the performance of Globomax over the period from date of acquisition to May 31, 2006.</w:t>
      </w:r>
    </w:p>
    <w:p>
      <w:pPr>
        <w:spacing w:after="0" w:line="176"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We entered into an overdraft agreement with AIB, whereby the company guaranteed any overdraft of our subsidiary ICON Clinical Research Israel Ltd. up to an amount of U.S.$250,000. This facility was terminated on April 20, 2004.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July 1, 2004, we completed the acquisition of 70% of Beacon Biosciences,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an initial cash consideration of U.S.$9.9 million.</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On December 1, 2004, we acquired the workforce of Biomines Research Solutions Private Limited for a total cash consideration of U.S.$0.25 million. The workforce is engaged in the business of clinical trial data management and statistical analysis services and has been transferred to our existing Indian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Contractual obligations table</w:t>
      </w:r>
    </w:p>
    <w:p>
      <w:pPr>
        <w:spacing w:after="0" w:line="175" w:lineRule="exact"/>
        <w:rPr>
          <w:sz w:val="20"/>
          <w:szCs w:val="20"/>
          <w:color w:val="auto"/>
        </w:rPr>
      </w:pPr>
    </w:p>
    <w:p>
      <w:pPr>
        <w:ind w:right="4940"/>
        <w:spacing w:after="0" w:line="235" w:lineRule="auto"/>
        <w:rPr>
          <w:sz w:val="20"/>
          <w:szCs w:val="20"/>
          <w:color w:val="auto"/>
        </w:rPr>
      </w:pPr>
      <w:r>
        <w:rPr>
          <w:rFonts w:ascii="Courier New" w:cs="Courier New" w:eastAsia="Courier New" w:hAnsi="Courier New"/>
          <w:sz w:val="15"/>
          <w:szCs w:val="15"/>
          <w:color w:val="auto"/>
        </w:rPr>
        <w:t>The following table represents the contractual obligations and commercial commitments of ICON plc as of May 31, 2005: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Payments due by period</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509"/>
        </w:trPr>
        <w:tc>
          <w:tcPr>
            <w:tcW w:w="3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Less than 1</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 to 3</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3 to 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More then 5</w:t>
            </w:r>
          </w:p>
        </w:tc>
      </w:tr>
      <w:tr>
        <w:trPr>
          <w:trHeight w:val="170"/>
        </w:trPr>
        <w:tc>
          <w:tcPr>
            <w:tcW w:w="3880" w:type="dxa"/>
            <w:vAlign w:val="bottom"/>
          </w:tcPr>
          <w:p>
            <w:pPr>
              <w:spacing w:after="0"/>
              <w:rPr>
                <w:sz w:val="14"/>
                <w:szCs w:val="14"/>
                <w:color w:val="auto"/>
              </w:rPr>
            </w:pPr>
          </w:p>
        </w:tc>
        <w:tc>
          <w:tcPr>
            <w:tcW w:w="2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year</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years</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(U.S.$ in millions)</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9"/>
        </w:trPr>
        <w:tc>
          <w:tcPr>
            <w:tcW w:w="3880" w:type="dxa"/>
            <w:vAlign w:val="bottom"/>
          </w:tcPr>
          <w:p>
            <w:pPr>
              <w:spacing w:after="0"/>
              <w:rPr>
                <w:sz w:val="20"/>
                <w:szCs w:val="20"/>
                <w:color w:val="auto"/>
              </w:rPr>
            </w:pPr>
            <w:r>
              <w:rPr>
                <w:rFonts w:ascii="Courier New" w:cs="Courier New" w:eastAsia="Courier New" w:hAnsi="Courier New"/>
                <w:sz w:val="15"/>
                <w:szCs w:val="15"/>
                <w:color w:val="auto"/>
              </w:rPr>
              <w:t>Long-Term Debt Obligations</w:t>
            </w:r>
          </w:p>
        </w:tc>
        <w:tc>
          <w:tcPr>
            <w:tcW w:w="2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2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$0.2</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$0.2</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lease Obligations</w:t>
            </w:r>
          </w:p>
        </w:tc>
        <w:tc>
          <w:tcPr>
            <w:tcW w:w="2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143.3</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23.2</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33.7</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58.5</w:t>
            </w:r>
          </w:p>
        </w:tc>
      </w:t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Purchase Obligations (1)</w:t>
            </w:r>
          </w:p>
        </w:tc>
        <w:tc>
          <w:tcPr>
            <w:tcW w:w="2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ind w:left="160"/>
        <w:spacing w:after="0"/>
        <w:rPr>
          <w:sz w:val="20"/>
          <w:szCs w:val="20"/>
          <w:color w:val="auto"/>
        </w:rPr>
      </w:pPr>
      <w:r>
        <w:rPr>
          <w:rFonts w:ascii="Courier New" w:cs="Courier New" w:eastAsia="Courier New" w:hAnsi="Courier New"/>
          <w:sz w:val="15"/>
          <w:szCs w:val="15"/>
          <w:color w:val="auto"/>
        </w:rPr>
        <w:t>--------------------------------------------------- --------------- -------------- ------------- ----------- ---------------</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Total (U.S.$ in millions)</w:t>
            </w:r>
          </w:p>
        </w:tc>
        <w:tc>
          <w:tcPr>
            <w:tcW w:w="2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$149.6</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$36.4</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bl>
    <w:p>
      <w:pPr>
        <w:ind w:left="160"/>
        <w:spacing w:after="0"/>
        <w:rPr>
          <w:sz w:val="20"/>
          <w:szCs w:val="20"/>
          <w:color w:val="auto"/>
        </w:rPr>
      </w:pPr>
      <w:r>
        <w:rPr>
          <w:rFonts w:ascii="Courier New" w:cs="Courier New" w:eastAsia="Courier New" w:hAnsi="Courier New"/>
          <w:sz w:val="15"/>
          <w:szCs w:val="15"/>
          <w:color w:val="auto"/>
        </w:rPr>
        <w:t>--------------------------------------------------- --------------- -------------- ------------- ----------- ---------------</w:t>
      </w:r>
    </w:p>
    <w:p>
      <w:pPr>
        <w:spacing w:after="0" w:line="200" w:lineRule="exact"/>
        <w:rPr>
          <w:sz w:val="20"/>
          <w:szCs w:val="20"/>
          <w:color w:val="auto"/>
        </w:rPr>
      </w:pPr>
    </w:p>
    <w:p>
      <w:pPr>
        <w:spacing w:after="0" w:line="313" w:lineRule="exact"/>
        <w:rPr>
          <w:sz w:val="20"/>
          <w:szCs w:val="20"/>
          <w:color w:val="auto"/>
        </w:rPr>
      </w:pPr>
    </w:p>
    <w:p>
      <w:pPr>
        <w:ind w:left="880" w:right="4400" w:hanging="449"/>
        <w:spacing w:after="0" w:line="237"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figure may be payable under earn out clauses included in acquisitions undertaken in prior periods. Of the $5.9 million, $3.4 million of the earn-out targets have been reached at May 31, 2005 and have been recorded in other liabilities.</w:t>
      </w:r>
    </w:p>
    <w:p>
      <w:pPr>
        <w:spacing w:after="0" w:line="176" w:lineRule="exact"/>
        <w:rPr>
          <w:sz w:val="20"/>
          <w:szCs w:val="20"/>
          <w:color w:val="auto"/>
        </w:rPr>
      </w:pPr>
    </w:p>
    <w:p>
      <w:pPr>
        <w:ind w:right="4320"/>
        <w:spacing w:after="0" w:line="238" w:lineRule="auto"/>
        <w:rPr>
          <w:sz w:val="20"/>
          <w:szCs w:val="20"/>
          <w:color w:val="auto"/>
        </w:rPr>
      </w:pPr>
      <w:r>
        <w:rPr>
          <w:rFonts w:ascii="Courier New" w:cs="Courier New" w:eastAsia="Courier New" w:hAnsi="Courier New"/>
          <w:sz w:val="15"/>
          <w:szCs w:val="15"/>
          <w:color w:val="auto"/>
        </w:rPr>
        <w:t>We expect to spend approximately $40 million in the next twelve months on further investments in information technology, the expansion of existing facilities and the addition of new offices and expect to increase this level of spending in subsequent years. We believe that we will be able to fund our additional foreseeable cash needs for the next twelve months from cash flow from operations and existing cash balances. In the future, we will consider acquiring businesses to enhance our service offerings and global presence. Any such acquisitions may require additional external financing and we may from time to time seek to obtain funds from public or private issues of equity or debt securities. There can be no assurance that such financing will be available on terms acceptable to ICON.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75" w:lineRule="exact"/>
        <w:rPr>
          <w:sz w:val="20"/>
          <w:szCs w:val="20"/>
          <w:color w:val="auto"/>
        </w:rPr>
      </w:pPr>
    </w:p>
    <w:p>
      <w:pPr>
        <w:ind w:right="4320" w:firstLine="441"/>
        <w:spacing w:after="0" w:line="237" w:lineRule="auto"/>
        <w:rPr>
          <w:sz w:val="20"/>
          <w:szCs w:val="20"/>
          <w:color w:val="auto"/>
        </w:rPr>
      </w:pPr>
      <w:r>
        <w:rPr>
          <w:rFonts w:ascii="Courier New" w:cs="Courier New" w:eastAsia="Courier New" w:hAnsi="Courier New"/>
          <w:sz w:val="15"/>
          <w:szCs w:val="15"/>
          <w:color w:val="auto"/>
        </w:rPr>
        <w:t>The preparation of consolidated financial statements in accordance with generally accepted accounting principles in the United States requires management to make estimates and assumptions that affect the reported amounts of assets and liabilities at the date of the financial statements and the reported amounts of revenues and expenses during the reported period.</w:t>
      </w:r>
    </w:p>
    <w:p>
      <w:pPr>
        <w:spacing w:after="0" w:line="178" w:lineRule="exact"/>
        <w:rPr>
          <w:sz w:val="20"/>
          <w:szCs w:val="20"/>
          <w:color w:val="auto"/>
        </w:rPr>
      </w:pPr>
    </w:p>
    <w:p>
      <w:pPr>
        <w:ind w:right="4320" w:firstLine="441"/>
        <w:spacing w:after="0" w:line="238" w:lineRule="auto"/>
        <w:rPr>
          <w:sz w:val="20"/>
          <w:szCs w:val="20"/>
          <w:color w:val="auto"/>
        </w:rPr>
      </w:pPr>
      <w:r>
        <w:rPr>
          <w:rFonts w:ascii="Courier New" w:cs="Courier New" w:eastAsia="Courier New" w:hAnsi="Courier New"/>
          <w:sz w:val="15"/>
          <w:szCs w:val="15"/>
          <w:color w:val="auto"/>
        </w:rPr>
        <w:t>We base our estimates and judgements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judgements by management.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right="4320"/>
        <w:spacing w:after="0" w:line="238" w:lineRule="auto"/>
        <w:rPr>
          <w:sz w:val="20"/>
          <w:szCs w:val="20"/>
          <w:color w:val="auto"/>
        </w:rPr>
      </w:pPr>
      <w:r>
        <w:rPr>
          <w:rFonts w:ascii="Courier New" w:cs="Courier New" w:eastAsia="Courier New" w:hAnsi="Courier New"/>
          <w:sz w:val="15"/>
          <w:szCs w:val="15"/>
          <w:color w:val="auto"/>
        </w:rPr>
        <w:t>Significant management judgements and estimates must be made and used in connection with the recognition of revenue in any accounting period. Material differences in the amount of revenue in any given period may result if these judgements or estimates prove to be incorrect or if management's estimates change on the basis of development of the business or market conditions. To date there has been no material differences arising from these judgements and estimates.</w:t>
      </w:r>
    </w:p>
    <w:p>
      <w:pPr>
        <w:spacing w:after="0" w:line="177" w:lineRule="exact"/>
        <w:rPr>
          <w:sz w:val="20"/>
          <w:szCs w:val="20"/>
          <w:color w:val="auto"/>
        </w:rPr>
      </w:pPr>
    </w:p>
    <w:p>
      <w:pPr>
        <w:ind w:right="4320"/>
        <w:spacing w:after="0" w:line="238" w:lineRule="auto"/>
        <w:rPr>
          <w:sz w:val="20"/>
          <w:szCs w:val="20"/>
          <w:color w:val="auto"/>
        </w:rPr>
      </w:pPr>
      <w:r>
        <w:rPr>
          <w:rFonts w:ascii="Courier New" w:cs="Courier New" w:eastAsia="Courier New" w:hAnsi="Courier New"/>
          <w:sz w:val="15"/>
          <w:szCs w:val="15"/>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360"/>
          </w:cols>
          <w:pgMar w:left="240" w:top="791" w:right="299" w:bottom="1440" w:gutter="0" w:footer="0" w:header="0"/>
        </w:sectPr>
      </w:pPr>
    </w:p>
    <w:bookmarkStart w:id="28" w:name="page29"/>
    <w:bookmarkEnd w:id="28"/>
    <w:p>
      <w:pPr>
        <w:ind w:right="3259"/>
        <w:spacing w:after="0" w:line="237" w:lineRule="auto"/>
        <w:rPr>
          <w:sz w:val="20"/>
          <w:szCs w:val="20"/>
          <w:color w:val="auto"/>
        </w:rPr>
      </w:pPr>
      <w:r>
        <w:rPr>
          <w:rFonts w:ascii="Courier New" w:cs="Courier New" w:eastAsia="Courier New" w:hAnsi="Courier New"/>
          <w:sz w:val="15"/>
          <w:szCs w:val="15"/>
          <w:color w:val="auto"/>
        </w:rPr>
        <w:t>based on the proportionate fair values of the elements. We recognize revenues for the elements on the basis of the number of deliverable units completed in a period.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18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we do not accurately estimate the resources required or the scope of the work to be performed, or do not manage our projects properly within the planned cost or satisfy our obligations under the contracts, then future results may be significantly and negatively affected.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principal judgements and uncertainties affecting our accounting for goodwill relate to carrying values. The carrying values of purchased goodwill are assessed annually, using discounted cash flows and net realizable values. The estimates and judgements used to assess carrying values include those relating to commercial risk, revenue and cost projections, our intention with respect to the acquired goodwill, the impact of competition, the impact of any reorganization or change of our business focus, the level of third party interest in our operations and market conditions.</w:t>
      </w:r>
    </w:p>
    <w:p>
      <w:pPr>
        <w:spacing w:after="0" w:line="178"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If the implied fair value of reporting unit goodwill is lower then its carring amount, goodwill is impaired and written down to its implied fair value. If we were to use different estimates or judgements, particularly with respect to expected revenue and cost projections or the impact of any reorganisation or change of business focus, a material impairment charge to the statement of operations could arise. We believe that we have used reasonable estimates and judgements in assessing the carrying value of our goodwill. For further information, refer to Note 14 to the Consolidated Financial Statements.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We believe that the effects of inflation generally do not have a material adverse impact on our operations or financial conditions.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In December 2004, the FASB issued Statement No. 123R, "Share-Based Payment - An Amendment of FASB Statements No. 123 and 95 ("SFAS No.123R"), which is effective for public companies in periods beginning after June 15, 2005. We will implement the proposed standard no later than the year that begins January 1, 2006. The cumulative effect of adoption, if any, applied on a modified prospective basis, would be measured and recognized on March 31, 2006.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would require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are currently evaluating option valuation methodologies and assumptions in light of SFAS No. 123R related to employee stock options. Current estimates of option values using the Black-Scholes method (as reported) may not be indicative of results from valuation methodologies ultimately adopted.</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w:t>
      </w:r>
    </w:p>
    <w:p>
      <w:pPr>
        <w:spacing w:after="0" w:line="200" w:lineRule="exact"/>
        <w:rPr>
          <w:sz w:val="20"/>
          <w:szCs w:val="20"/>
          <w:color w:val="auto"/>
        </w:rPr>
      </w:pPr>
    </w:p>
    <w:p>
      <w:pPr>
        <w:spacing w:after="0" w:line="30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7" w:right="1440" w:bottom="1440" w:gutter="0" w:footer="0" w:header="0"/>
        </w:sectPr>
      </w:pPr>
    </w:p>
    <w:bookmarkStart w:id="29" w:name="page30"/>
    <w:bookmarkEnd w:id="29"/>
    <w:p>
      <w:pPr>
        <w:ind w:right="3179"/>
        <w:spacing w:after="0" w:line="237" w:lineRule="auto"/>
        <w:rPr>
          <w:sz w:val="20"/>
          <w:szCs w:val="20"/>
          <w:color w:val="auto"/>
        </w:rPr>
      </w:pPr>
      <w:r>
        <w:rPr>
          <w:rFonts w:ascii="Courier New" w:cs="Courier New" w:eastAsia="Courier New" w:hAnsi="Courier New"/>
          <w:sz w:val="15"/>
          <w:szCs w:val="15"/>
          <w:color w:val="auto"/>
        </w:rPr>
        <w:t>capacity of the production facilities. We do not expect that the adoption of SFAS No. 151 will have a material impact on our financial position or results of operations.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We do not expect that the adoption of SFAS No. 153 will have a material impact on our financial position or results of operations.</w:t>
      </w:r>
    </w:p>
    <w:p>
      <w:pPr>
        <w:spacing w:after="0" w:line="18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unrealised losses pertaining to securities classified as available-for-sale or held-to-maturity. In addition, EITF 03-1 requires certain disclosures about cost method investments. The recognition and measurement provisions of EITF 03-1 have been deferred until additional guidance is issued.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7" w:right="1440" w:bottom="1440" w:gutter="0" w:footer="0" w:header="0"/>
        </w:sectPr>
      </w:pPr>
    </w:p>
    <w:bookmarkStart w:id="30" w:name="page31"/>
    <w:bookmarkEnd w:id="30"/>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Directors, Senior Management and Employees.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Directors and Senior Management</w:t>
      </w:r>
    </w:p>
    <w:p>
      <w:pPr>
        <w:spacing w:after="0" w:line="175"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The following table and accompanying biographies set forth certain information concerning each of ICON plc directors, officers and other key employees as of May 31, 2005.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tabs>
          <w:tab w:leader="none" w:pos="3849" w:val="left"/>
          <w:tab w:leader="none" w:pos="464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Position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Dr. John Climax (1)</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Chairman</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of the Board</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Peter Gray (1)</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Chief Executive Officer, Director</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Sean Leech (1)</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34</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Chief Financial Officer</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Dr. Ronan Lambe (1)</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8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Thomas Lynch (2)(3)(4)</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8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Edward Roberts (2)(3)(4)</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70</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8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Shuji Higuchi</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8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Dr. Bruce Given (2)(3)(4)</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Director</w:t>
            </w:r>
          </w:p>
        </w:tc>
        <w:tc>
          <w:tcPr>
            <w:tcW w:w="38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William Taaffe</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President Corporate Development</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Dr. John Hubbard</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48</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7"/>
              </w:rPr>
              <w:t>President and Chief Operating Officer, ICON Clinical</w:t>
            </w:r>
          </w:p>
        </w:tc>
      </w:tr>
      <w:tr>
        <w:trPr>
          <w:trHeight w:val="170"/>
        </w:trPr>
        <w:tc>
          <w:tcPr>
            <w:tcW w:w="3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Research</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 U.S.</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Dr. Peter Sowood</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President of ICON Clinical Research - Europe</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Robert Scott-Edwards</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President of ICON Laboratories</w:t>
            </w: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Dr. Dan Weng</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President of ICON Clinical Research - Rest of</w:t>
            </w:r>
          </w:p>
        </w:tc>
      </w:tr>
      <w:tr>
        <w:trPr>
          <w:trHeight w:val="170"/>
        </w:trPr>
        <w:tc>
          <w:tcPr>
            <w:tcW w:w="3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World</w:t>
            </w:r>
          </w:p>
        </w:tc>
        <w:tc>
          <w:tcPr>
            <w:tcW w:w="38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Dr. Thomas Frey</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52</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Chief Operating Officer, ICON Clinical Research</w:t>
            </w:r>
          </w:p>
        </w:tc>
      </w:tr>
      <w:tr>
        <w:trPr>
          <w:trHeight w:val="170"/>
        </w:trPr>
        <w:tc>
          <w:tcPr>
            <w:tcW w:w="3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 Europe</w:t>
            </w:r>
          </w:p>
        </w:tc>
        <w:tc>
          <w:tcPr>
            <w:tcW w:w="3820" w:type="dxa"/>
            <w:vAlign w:val="bottom"/>
          </w:tcPr>
          <w:p>
            <w:pPr>
              <w:spacing w:after="0"/>
              <w:rPr>
                <w:sz w:val="14"/>
                <w:szCs w:val="14"/>
                <w:color w:val="auto"/>
              </w:rPr>
            </w:pPr>
          </w:p>
        </w:tc>
      </w:tr>
      <w:tr>
        <w:trPr>
          <w:trHeight w:val="170"/>
        </w:trPr>
        <w:tc>
          <w:tcPr>
            <w:tcW w:w="3040" w:type="dxa"/>
            <w:vAlign w:val="bottom"/>
          </w:tcPr>
          <w:p>
            <w:pPr>
              <w:spacing w:after="0"/>
              <w:rPr>
                <w:sz w:val="20"/>
                <w:szCs w:val="20"/>
                <w:color w:val="auto"/>
              </w:rPr>
            </w:pPr>
            <w:r>
              <w:rPr>
                <w:rFonts w:ascii="Courier New" w:cs="Courier New" w:eastAsia="Courier New" w:hAnsi="Courier New"/>
                <w:sz w:val="15"/>
                <w:szCs w:val="15"/>
                <w:color w:val="auto"/>
              </w:rPr>
              <w:t>Josephine Coyle</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Vice President for Corporate Quality Assurance</w:t>
            </w:r>
          </w:p>
        </w:tc>
      </w:tr>
    </w:tbl>
    <w:p>
      <w:pPr>
        <w:spacing w:after="0" w:line="200" w:lineRule="exact"/>
        <w:rPr>
          <w:sz w:val="20"/>
          <w:szCs w:val="20"/>
          <w:color w:val="auto"/>
        </w:rPr>
      </w:pPr>
    </w:p>
    <w:p>
      <w:pPr>
        <w:spacing w:after="0" w:line="308" w:lineRule="exact"/>
        <w:rPr>
          <w:sz w:val="20"/>
          <w:szCs w:val="20"/>
          <w:color w:val="auto"/>
        </w:rPr>
      </w:pP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the Company.</w:t>
      </w: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Compensation Committee.</w:t>
      </w: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Audit Committee.</w:t>
      </w:r>
    </w:p>
    <w:p>
      <w:pPr>
        <w:ind w:left="450" w:hanging="450"/>
        <w:spacing w:after="0"/>
        <w:tabs>
          <w:tab w:leader="none" w:pos="4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Nomination Committee.</w:t>
      </w:r>
    </w:p>
    <w:p>
      <w:pPr>
        <w:spacing w:after="0" w:line="174"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Dr. John Climax, one of the Company's co-founders, has served as a director of the Company and its subsidiaries since June 1990. Dr. Climax served as Chief Executive Officer from June 1990 to October 2002 and was appointed Chairman of the Board in November 2002. Dr. Climax has over 20 years of experience in the contract research industry in both Europe and the United States. Dr. Climax received his primary degree in pharmacy in 1977 from the University of Singapore, his masters in applied pharmacology in 1979 from the University of Wales and his Ph.D. in pharmacology from the National University of Ireland in 1982.</w:t>
      </w:r>
    </w:p>
    <w:p>
      <w:pPr>
        <w:spacing w:after="0" w:line="179"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Peter Gray has served as the Chief Executive Officer of ICON and its subsidiaries since November 2002. He served as the Group Chief Operating Officer of ICON and its subsidiaries from June 2001, and was Chief Financial Officer from June 1997 to June 2001. He has been a director of the Company since June 1997. Mr. Gray has over 14 years experience in the pharmaceutical services industry and has also worked in the engineering and food sectors. Mr. Gray received a degree in Law from Trinity College Dublin in 1977 and became a chartered accountant in 1980.</w:t>
      </w:r>
    </w:p>
    <w:p>
      <w:pPr>
        <w:spacing w:after="0" w:line="178" w:lineRule="exact"/>
        <w:rPr>
          <w:sz w:val="20"/>
          <w:szCs w:val="20"/>
          <w:color w:val="auto"/>
        </w:rPr>
      </w:pPr>
    </w:p>
    <w:p>
      <w:pPr>
        <w:ind w:left="10" w:right="3439"/>
        <w:spacing w:after="0" w:line="256" w:lineRule="auto"/>
        <w:rPr>
          <w:sz w:val="20"/>
          <w:szCs w:val="20"/>
          <w:color w:val="auto"/>
        </w:rPr>
      </w:pPr>
      <w:r>
        <w:rPr>
          <w:rFonts w:ascii="Courier New" w:cs="Courier New" w:eastAsia="Courier New" w:hAnsi="Courier New"/>
          <w:sz w:val="14"/>
          <w:szCs w:val="14"/>
          <w:color w:val="auto"/>
        </w:rPr>
        <w:t>Sean Leech has served as Chief Financial Officer of ICON and its subsidiaries since June 2001 and previously as Group Vice President of Finance from June</w:t>
      </w:r>
    </w:p>
    <w:p>
      <w:pPr>
        <w:spacing w:after="0" w:line="1"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1999. Mr. Leech was Group Financial Controller of Jones Group plc, a shipping, manufacturing and fuel distribution company based in Ireland, from 1997 to 1999. Mr. Leech is an Associate member of the Chartered Institute of Management Accountants.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Dr. Ronan Lambe, one of the Company's co-founders, served as Chairman of the Board of the Company from June 1990 to November 2002. Dr. Lambe has over 23 years of experience in the contract research industry in Europe. Dr. Lambe attended the National University of Ireland where he received his bachelor of science degree in chemistry in 1959, his masters in biochemistry in 1962 and his Ph.D. in pharmacology in 1976. Dr. Lambe continues to serve as a director of the Company.</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1130" w:right="1440" w:bottom="1440" w:gutter="0" w:footer="0" w:header="0"/>
        </w:sectPr>
      </w:pPr>
    </w:p>
    <w:bookmarkStart w:id="31" w:name="page32"/>
    <w:bookmarkEnd w:id="31"/>
    <w:p>
      <w:pPr>
        <w:ind w:left="10" w:right="3259"/>
        <w:spacing w:after="0" w:line="257" w:lineRule="auto"/>
        <w:rPr>
          <w:sz w:val="20"/>
          <w:szCs w:val="20"/>
          <w:color w:val="auto"/>
        </w:rPr>
      </w:pPr>
      <w:r>
        <w:rPr>
          <w:rFonts w:ascii="Courier New" w:cs="Courier New" w:eastAsia="Courier New" w:hAnsi="Courier New"/>
          <w:sz w:val="14"/>
          <w:szCs w:val="14"/>
          <w:color w:val="auto"/>
        </w:rPr>
        <w:t>Thomas Lynch has served as an outside director of the Company since January 1996. Mr. Lynch served as a director of Nanogen Inc., from 1996 to 2000. Mr. Lynch is currently the Chairman of Amarin Corporation plc, a director of Royal Opera House (Covent Garden) and a non-executive director of the Irish Development Authority. In the period from May 1993 to July 2004, Mr. Lynch held several senior positions in Elan Corporation, plc, a specialty pharmaceutical company, including Executive Vice President, Chief Financial Officer, Vice Chairman and Senior Advisor to the Chairman of the Board of Elan Corporation plc. Mr. Lynch was a partner at KPMG from May 1990 to May 1993.</w:t>
      </w:r>
    </w:p>
    <w:p>
      <w:pPr>
        <w:spacing w:after="0" w:line="167"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Edward Roberts has served as an outside director of the Company since February 1998. Mr. Roberts was Managing Director of the Pharmaceutical Division of Merck KGaA from 1990 to 1998. Prior to that, he held a number of senior management positions with Eli Lilly International in Europe and the United States. Mr. Roberts has over 40 years of experience in the pharmaceutical industry. He has been a partner in Global Health Care Partners since June 1998, and also serves as Chairman of Biopartners and Chairman of the Advisory Board of Merz &amp; Co. GmbH.</w:t>
      </w:r>
    </w:p>
    <w:p>
      <w:pPr>
        <w:spacing w:after="0" w:line="17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Mr. Shuji Higuchi has served as an outside Director of the Company since September 2004. Dr. Higuchi has over 40 years of experience in the pharmaceutical industry. Dr. Higuchi is currently Director of R&amp;D and Corporate Integration, Kyoto University Hospital, Japan. Prior to this Dr. Higuchi has served as President of Takeda Pharma GmbH from 1983 to 1992, President of Takeda Europe R&amp;D Centre, Frankfurt / London from 1992 to 2002, and served as a Corporate Officer of Takeda Chemical Industries Limited, Japan from 1999 to 2002.</w:t>
      </w:r>
    </w:p>
    <w:p>
      <w:pPr>
        <w:spacing w:after="0" w:line="178"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Dr. Bruce Given has served as an outside director of the Company since September 2004. Since March 2002, he has served as President and Chief Executive Officer of Encysive Pharmaceuticals Inc. Previously, Dr. Given has held various positions in Johnson &amp; Johnson group companies. Dr. Given obtained his doctorate from the University of Chicago in 1980.</w:t>
      </w:r>
    </w:p>
    <w:p>
      <w:pPr>
        <w:spacing w:after="0" w:line="17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William Taaffe has served as President Corporate Development since April 2005. Prior to this Mr. Taaffe served as President and Chief Executive Officer of ICON Clinical Research - U.S. since 1993. Mr. Taaffe has over 29 years of experience in the contract research and the pharmaceutical industries in Ireland, Canada and the United States. Mr. Taaffe received his bachelor of science degree in 1970 from the University College Dublin.</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Dr. John W. Hubbard has served as President of ICON Clinical Research - U.S. since April 2005 and currently also serves as Chief Operating Officer, U.S Operations, a position he has held since October 1999. Dr. Hubbard has more than 20 years of experience in pharmaceutical research and development. He has held positions of increasing responsibility at Revlon Health Care Group, Hoechst Marion Roussel Pharmaceuticals, Parexel International Corporation, and from July 1997 until joining ICON, he held the position of Senior Vice President of Clinical Research Operations at Clinical Studies, an industry leading site management organization and division of Innovative Clinical Solutions, Ltd. Dr. Hubbard received a B.S. in Psychology/Biology from the University of Santa Clara, a Ph.D. in Cardiovascular Physiology from the University of Tennessee, and was a NIH Postdoctoral Fellow in Cardiovascular Pharmacology at the University of Texas Health Sciences Center.</w:t>
      </w:r>
    </w:p>
    <w:p>
      <w:pPr>
        <w:spacing w:after="0" w:line="183"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Dr. Peter Sowood, has served the company as President of ICON Clinical Research Europe since November 2003. Prior to joining the Company, Dr. Sowood held various positions at Covance Clinical and Periapproval Services, Ltd., including the position of Vice-president Clinical Research. Dr. Sowood was educated at the University of Cambridge in Medical Sciences and followed on to Oxford University where he took Medical Degrees before joining the RAF as a Medical Officer. Dr. Sowood obtained his PhD in 1988 and MBA in 1993.</w:t>
      </w:r>
    </w:p>
    <w:p>
      <w:pPr>
        <w:spacing w:after="0" w:line="177"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Robert Scott-Edwards, has served the company as President of ICON Laboratories since August 2004, having previously held the position of Vice President, Sales</w:t>
      </w:r>
    </w:p>
    <w:p>
      <w:pPr>
        <w:spacing w:after="0" w:line="1" w:lineRule="exact"/>
        <w:rPr>
          <w:sz w:val="20"/>
          <w:szCs w:val="20"/>
          <w:color w:val="auto"/>
        </w:rPr>
      </w:pPr>
    </w:p>
    <w:p>
      <w:pPr>
        <w:jc w:val="both"/>
        <w:ind w:left="10" w:right="3259" w:hanging="10"/>
        <w:spacing w:after="0" w:line="237" w:lineRule="auto"/>
        <w:tabs>
          <w:tab w:leader="none" w:pos="1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for ICON Laboratories since June 2000. Prior to joining ICON, Mr. Scott-Edwards held various senior positions at Bristol-Myers Squibb from 1979 through 1997. Mr. Scott-Edwards began his career in the pharmaceutical industry in 1971 at Wyeth.</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Dr. Dan Weng, has served as President of ICON Clinical Research Rest of World since April 2004, having previously held the position of Senior Vice President - Rest of World since joining the Company in January 2003. Dr. Weng previously worked in the Asia Pacific region for both Pharmanet and Quintiles. Prior to joining the CRO industry in 1997, Dr. Weng</w:t>
      </w:r>
    </w:p>
    <w:p>
      <w:pPr>
        <w:spacing w:after="0" w:line="200" w:lineRule="exact"/>
        <w:rPr>
          <w:sz w:val="20"/>
          <w:szCs w:val="20"/>
          <w:color w:val="auto"/>
        </w:rPr>
      </w:pPr>
    </w:p>
    <w:p>
      <w:pPr>
        <w:spacing w:after="0" w:line="31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627" w:right="1440" w:bottom="1440" w:gutter="0" w:footer="0" w:header="0"/>
        </w:sectPr>
      </w:pPr>
    </w:p>
    <w:bookmarkStart w:id="32" w:name="page33"/>
    <w:bookmarkEnd w:id="32"/>
    <w:p>
      <w:pPr>
        <w:ind w:right="3359"/>
        <w:spacing w:after="0" w:line="265" w:lineRule="auto"/>
        <w:rPr>
          <w:sz w:val="20"/>
          <w:szCs w:val="20"/>
          <w:color w:val="auto"/>
        </w:rPr>
      </w:pPr>
      <w:r>
        <w:rPr>
          <w:rFonts w:ascii="Courier New" w:cs="Courier New" w:eastAsia="Courier New" w:hAnsi="Courier New"/>
          <w:sz w:val="14"/>
          <w:szCs w:val="14"/>
          <w:color w:val="auto"/>
        </w:rPr>
        <w:t>worked in the US at the Harvard Medical School and at UCSF. Educated as a physician in China, Dr. Weng subsequently obtained an MBA and a PhD in the UK.</w:t>
      </w:r>
    </w:p>
    <w:p>
      <w:pPr>
        <w:spacing w:after="0" w:line="15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Dr. Thomas Frey has served as Chief Operating Officer for ICON Clinical Research Europe since June 2001 and previously served as Vice President of ICON Clinical Operations Europe from January 2000 to May 2001. Dr. Frey has 17 years of experience in pharmaceutical research and development. He started his career in 1987 with Hoechst Pharmaceuticals. From 1995 to the end of 1999 he was Senior Director of Clinical Development Europe at Hoechst Marion Roussel. Dr. Frey received his medical degree in 1980 from the University of Heidelberg.</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Josephine Coyle has served as Vice President for Corporate Quality Assurance since April 2000. Ms. Coyle has held positions of increasing responsibility in ICON since August 1992 and previously held the position of director of Quality Assurance.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ICON's Articles of Association provide that, unless otherwise determined by ICON at a general meeting, the number of directors shall not be more than 15 nor less than 3. At each annual general meeting, one third of the directors who are subject to retirement by rotation, rounded down to the next whole number if it is a fractional number, shall retire from office. The directors to retire shall be those who have been longest in office, but as between persons who became or were last re-appointed on the same day, those to retire shall be determined, unless otherwise agreed, by lot. Accordingly, at the annual general meeting of ICON to be held in 2006, it is anticipated that three directors will retire by rotation and offer themselves for re-election, such directors to be determined, unless otherwise agreed, by lot. Any additional director appointed by us shall hold office until the next annual general meeting and will be subject to re-election at that meeting.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5"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We established a compensation committee and an audit committee in 1998 and a nominating committee in 2004, all of which are committees of the Board of Directors and are composed mainly of non-executive directors of ICON plc.</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compensation committee comprises Thomas Lynch (Chairman), Edward Roberts and Dr. Bruce Given. It deals with all aspects of senior executive remuneration. The committee aims to ensure that remuneration packages are competitive so that individuals are appropriately rewarded relative to their responsibility, experience and value to ICON.</w:t>
      </w:r>
    </w:p>
    <w:p>
      <w:pPr>
        <w:spacing w:after="0" w:line="178"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Annual bonuses for executive directors are determined by the committee based on the achievement of ICON's objectives.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committee</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audit committee comprises Edward Roberts (Chairman), Thomas Lynch and Dr. Bruce Given. It reviews the annual report, the quarterly earnings releases, the effectiveness of the system of internal controls, reviews the compliance with our ethical code and legal requirements and approves the appointment and removal of the external auditors. It also addresses all issues raised and recommendations made by the external auditors and pre-approves all auditor services.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Nomination committee</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Nomination committee comprises Thomas Lynch, Edward Roberts and Dr. Bruce Given. On an ongoing basis it reviews the membership of the board of directors and board committees. It identifies and recommends individuals to fill any vacancy that is anticipated or arises on the board of directors. It reviews and recommends the corporate governance principles of the Company. The nominating committee held one formal meeting during 2005.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committee</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Executive Committee comprises Dr. John Climax, Peter Gray, Dr. Ronan Lambe and Sean Leech who holds the position of Chief Financial Officer of the Company. Established in March 2005, this Committee is responsible for the direction of the business and affairs of the Company in intervals between meetings of the Board and exercises business judgement to act in what the Committee members reasonably believe to be in the best interest of the Company and its shareholders. All powers exercised by the Executive Committee are ratified at board meetings. This Committee convenes as often as it determines to be necessary or appropriate.</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7" w:right="1440" w:bottom="1440" w:gutter="0" w:footer="0" w:header="0"/>
        </w:sectPr>
      </w:pPr>
    </w:p>
    <w:bookmarkStart w:id="33" w:name="page34"/>
    <w:bookmarkEnd w:id="33"/>
    <w:p>
      <w:pPr>
        <w:ind w:right="3179"/>
        <w:spacing w:after="0" w:line="257" w:lineRule="auto"/>
        <w:rPr>
          <w:sz w:val="20"/>
          <w:szCs w:val="20"/>
          <w:color w:val="auto"/>
        </w:rPr>
      </w:pPr>
      <w:r>
        <w:rPr>
          <w:rFonts w:ascii="Courier New" w:cs="Courier New" w:eastAsia="Courier New" w:hAnsi="Courier New"/>
          <w:sz w:val="14"/>
          <w:szCs w:val="14"/>
          <w:color w:val="auto"/>
        </w:rPr>
        <w:t>The aggregate compensation paid by ICON to all persons who served in the capacity of director or executive officer in fiscal 2005 (9 persons) was approximately $1.9 million, but does not include expenses reimbursed to directors and executive officers (including business travel, professional and business association dues and expenses). As of May 31, 2005, options granted to directors and executive officers of ICON to purchase an aggregate of 115,900 of our ordinary shares were outstanding. The options are exercisable at prices between $18.00 and $35.50 and expire between May 15, 2006 and February 24, 2013.</w:t>
      </w:r>
    </w:p>
    <w:p>
      <w:pPr>
        <w:spacing w:after="0" w:line="16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 addition, our officers are eligible to participate in ICON's Incentive Share Option Scheme. See Note 10 to the Consolidated Financial Statements.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employed 2,713, 2,432 and 2,280 people for the years ending May 31, 2005, 2004 and 2003, respectively. Our employees are not unionized and we believe that our relations with our employees are good.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following table sets forth certain information regarding beneficial ownership of ICON's ordinary shares (including ADSs) as of July 27, 2005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70" w:lineRule="exact"/>
        <w:rPr>
          <w:sz w:val="20"/>
          <w:szCs w:val="20"/>
          <w:color w:val="auto"/>
        </w:rPr>
      </w:pPr>
    </w:p>
    <w:p>
      <w:pPr>
        <w:spacing w:after="0"/>
        <w:tabs>
          <w:tab w:leader="none" w:pos="3240" w:val="left"/>
          <w:tab w:leader="none" w:pos="5340" w:val="left"/>
        </w:tabs>
        <w:rPr>
          <w:sz w:val="20"/>
          <w:szCs w:val="20"/>
          <w:color w:val="auto"/>
        </w:rPr>
      </w:pPr>
      <w:r>
        <w:rPr>
          <w:rFonts w:ascii="Courier New" w:cs="Courier New" w:eastAsia="Courier New" w:hAnsi="Courier New"/>
          <w:sz w:val="15"/>
          <w:szCs w:val="15"/>
          <w:color w:val="auto"/>
        </w:rPr>
        <w:t>Name of Owner or Identity of Group</w:t>
      </w:r>
      <w:r>
        <w:rPr>
          <w:sz w:val="20"/>
          <w:szCs w:val="20"/>
          <w:color w:val="auto"/>
        </w:rPr>
        <w:tab/>
      </w:r>
      <w:r>
        <w:rPr>
          <w:rFonts w:ascii="Courier New" w:cs="Courier New" w:eastAsia="Courier New" w:hAnsi="Courier New"/>
          <w:sz w:val="15"/>
          <w:szCs w:val="15"/>
          <w:color w:val="auto"/>
        </w:rPr>
        <w:t>No. of Shares (1)</w:t>
      </w:r>
      <w:r>
        <w:rPr>
          <w:sz w:val="20"/>
          <w:szCs w:val="20"/>
          <w:color w:val="auto"/>
        </w:rPr>
        <w:tab/>
      </w:r>
      <w:r>
        <w:rPr>
          <w:rFonts w:ascii="Courier New" w:cs="Courier New" w:eastAsia="Courier New" w:hAnsi="Courier New"/>
          <w:sz w:val="14"/>
          <w:szCs w:val="14"/>
          <w:color w:val="auto"/>
        </w:rPr>
        <w:t>Options</w:t>
      </w: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 John Climax</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1,556,892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 Ronan Lambe</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1,008,470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Mr. Peter Gray</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54,220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Mr. Sean Leech</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52,400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Mr. Thomas Lynch</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40,001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13,500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Mr. Edward Roberts</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9,500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Mr. Shugi Higuchi</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 Bruce Given</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Mr. Lee Jones</w:t>
            </w:r>
          </w:p>
        </w:tc>
        <w:tc>
          <w:tcPr>
            <w:tcW w:w="2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880" w:right="3179" w:hanging="449"/>
        <w:spacing w:after="0" w:line="238"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Share Option Schemes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January 17, 2003, we adopted the Share Option Plan 2003, or the 2003 Plan, pursuant to which the Compensation Committee of the Board may grant options to employees of the Company or its subsidiaries for the purchase of ordinary shares. Each option will be either an incentive stock option, or ISO, described in Section 422 of the Code or an employee stock option, or NSO, not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200" w:lineRule="exact"/>
        <w:rPr>
          <w:sz w:val="20"/>
          <w:szCs w:val="20"/>
          <w:color w:val="auto"/>
        </w:rPr>
      </w:pPr>
    </w:p>
    <w:p>
      <w:pPr>
        <w:spacing w:after="0" w:line="31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7" w:right="1440" w:bottom="1440" w:gutter="0" w:footer="0" w:header="0"/>
        </w:sectPr>
      </w:pPr>
    </w:p>
    <w:bookmarkStart w:id="34" w:name="page35"/>
    <w:bookmarkEnd w:id="34"/>
    <w:p>
      <w:pPr>
        <w:ind w:right="3359"/>
        <w:spacing w:after="0" w:line="238" w:lineRule="auto"/>
        <w:rPr>
          <w:sz w:val="20"/>
          <w:szCs w:val="20"/>
          <w:color w:val="auto"/>
        </w:rPr>
      </w:pPr>
      <w:r>
        <w:rPr>
          <w:rFonts w:ascii="Courier New" w:cs="Courier New" w:eastAsia="Courier New" w:hAnsi="Courier New"/>
          <w:sz w:val="15"/>
          <w:szCs w:val="15"/>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options can be granted after January 17, 2013.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 remuneration</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For the year ended May 31, 2005, the total remuneration paid to our directors and executive officers including salary, bonus, pension and benefits-in-kind (2004: $2,035,499), was as follows:</w:t>
      </w:r>
    </w:p>
    <w:p>
      <w:pPr>
        <w:spacing w:after="0" w:line="169"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U.S.$</w:t>
      </w: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680" w:type="dxa"/>
            <w:vAlign w:val="bottom"/>
          </w:tcPr>
          <w:p>
            <w:pPr>
              <w:spacing w:after="0"/>
              <w:rPr>
                <w:sz w:val="20"/>
                <w:szCs w:val="20"/>
                <w:color w:val="auto"/>
              </w:rPr>
            </w:pPr>
            <w:r>
              <w:rPr>
                <w:rFonts w:ascii="Courier New" w:cs="Courier New" w:eastAsia="Courier New" w:hAnsi="Courier New"/>
                <w:sz w:val="15"/>
                <w:szCs w:val="15"/>
                <w:color w:val="auto"/>
              </w:rPr>
              <w:t>Dr. John Climax</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641,053</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Dr. Ronan Lambe</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243,754</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Mr. Peter Gray</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518,816</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Mr. Sean Leech</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311,861</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Mr. Edward Roberts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Mr. Thomas Lynch</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Mr. Shugi Higuchi</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Dr. Bruce Given</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Mr. Lee Jones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r>
    </w:tbl>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19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$1,867,984</w:t>
            </w:r>
          </w:p>
        </w:tc>
      </w:tr>
    </w:tbl>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Major Shareholders and Related Party Transactions.</w:t>
      </w:r>
    </w:p>
    <w:p>
      <w:pPr>
        <w:spacing w:after="0" w:line="175" w:lineRule="exact"/>
        <w:rPr>
          <w:sz w:val="20"/>
          <w:szCs w:val="20"/>
          <w:color w:val="auto"/>
        </w:rPr>
      </w:pPr>
    </w:p>
    <w:p>
      <w:pPr>
        <w:ind w:left="880" w:right="3799" w:hanging="449"/>
        <w:spacing w:after="0" w:line="235"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ICON plc, is not directly or indirectly, owned or controlled by another corporation or by any government.</w:t>
      </w:r>
    </w:p>
    <w:p>
      <w:pPr>
        <w:spacing w:after="0" w:line="175" w:lineRule="exact"/>
        <w:rPr>
          <w:rFonts w:ascii="Courier New" w:cs="Courier New" w:eastAsia="Courier New" w:hAnsi="Courier New"/>
          <w:sz w:val="15"/>
          <w:szCs w:val="15"/>
          <w:color w:val="auto"/>
        </w:rPr>
      </w:pPr>
    </w:p>
    <w:p>
      <w:pPr>
        <w:ind w:left="880" w:right="3179" w:hanging="449"/>
        <w:spacing w:after="0" w:line="238" w:lineRule="auto"/>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certain information regarding beneficial ownership of ICON's ordinary shares (including ADS's) as of July 27, 2005 (i) by each person that beneficially owns more than 5% of the outstanding ordinary shares, based upon publicly available information; and (ii) by all of our current directors and executive officers as a group. Unless otherwise indicated below, to our knowledge, all persons listed below have sole voting and investment power with respect to their ordinary shares, except to the extent authority is shared by spouses under applicable law.</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4380" w:val="left"/>
          <w:tab w:leader="none" w:pos="7200" w:val="left"/>
        </w:tabs>
        <w:rPr>
          <w:sz w:val="20"/>
          <w:szCs w:val="20"/>
          <w:color w:val="auto"/>
        </w:rPr>
      </w:pPr>
      <w:r>
        <w:rPr>
          <w:rFonts w:ascii="Courier New" w:cs="Courier New" w:eastAsia="Courier New" w:hAnsi="Courier New"/>
          <w:sz w:val="15"/>
          <w:szCs w:val="15"/>
          <w:color w:val="auto"/>
        </w:rPr>
        <w:t>Name of Owner or Identity of Group</w:t>
      </w:r>
      <w:r>
        <w:rPr>
          <w:sz w:val="20"/>
          <w:szCs w:val="20"/>
          <w:color w:val="auto"/>
        </w:rPr>
        <w:tab/>
      </w:r>
      <w:r>
        <w:rPr>
          <w:rFonts w:ascii="Courier New" w:cs="Courier New" w:eastAsia="Courier New" w:hAnsi="Courier New"/>
          <w:sz w:val="15"/>
          <w:szCs w:val="15"/>
          <w:color w:val="auto"/>
        </w:rPr>
        <w:t>No. of Shares (1)</w:t>
      </w:r>
      <w:r>
        <w:rPr>
          <w:sz w:val="20"/>
          <w:szCs w:val="20"/>
          <w:color w:val="auto"/>
        </w:rPr>
        <w:tab/>
      </w:r>
      <w:r>
        <w:rPr>
          <w:rFonts w:ascii="Courier New" w:cs="Courier New" w:eastAsia="Courier New" w:hAnsi="Courier New"/>
          <w:sz w:val="14"/>
          <w:szCs w:val="14"/>
          <w:color w:val="auto"/>
        </w:rPr>
        <w:t>Percent of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Fidelity Group Companies (3)</w:t>
            </w:r>
          </w:p>
        </w:tc>
        <w:tc>
          <w:tcPr>
            <w:tcW w:w="26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2,063,486</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Wasatch Group Companies (3)</w:t>
            </w:r>
          </w:p>
        </w:tc>
        <w:tc>
          <w:tcPr>
            <w:tcW w:w="26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1,734,182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Dr. John Climax (2)</w:t>
            </w:r>
          </w:p>
        </w:tc>
        <w:tc>
          <w:tcPr>
            <w:tcW w:w="26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1,571,892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Dr. Ronan Lambe</w:t>
            </w:r>
          </w:p>
        </w:tc>
        <w:tc>
          <w:tcPr>
            <w:tcW w:w="26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1,015,470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Dalton, Greiner, Hartman, Maher &amp; Co. (3)</w:t>
            </w:r>
          </w:p>
        </w:tc>
        <w:tc>
          <w:tcPr>
            <w:tcW w:w="26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784,955</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All directors and officers as a group (4)</w:t>
            </w:r>
          </w:p>
        </w:tc>
        <w:tc>
          <w:tcPr>
            <w:tcW w:w="26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3,003,364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bl>
    <w:p>
      <w:pPr>
        <w:spacing w:after="0" w:line="200" w:lineRule="exact"/>
        <w:rPr>
          <w:sz w:val="20"/>
          <w:szCs w:val="20"/>
          <w:color w:val="auto"/>
        </w:rPr>
      </w:pPr>
    </w:p>
    <w:p>
      <w:pPr>
        <w:spacing w:after="0" w:line="314" w:lineRule="exact"/>
        <w:rPr>
          <w:sz w:val="20"/>
          <w:szCs w:val="20"/>
          <w:color w:val="auto"/>
        </w:rPr>
      </w:pPr>
    </w:p>
    <w:p>
      <w:pPr>
        <w:ind w:left="880" w:right="3179" w:hanging="449"/>
        <w:spacing w:after="0" w:line="238"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176" w:lineRule="exact"/>
        <w:rPr>
          <w:rFonts w:ascii="Courier New" w:cs="Courier New" w:eastAsia="Courier New" w:hAnsi="Courier New"/>
          <w:sz w:val="15"/>
          <w:szCs w:val="15"/>
          <w:color w:val="auto"/>
        </w:rPr>
      </w:pPr>
    </w:p>
    <w:p>
      <w:pPr>
        <w:ind w:left="880" w:right="3699" w:hanging="449"/>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1,556,852 ADSs held by Poplar Limited, a Jersey company controlled by Dr. Climax.</w:t>
      </w:r>
    </w:p>
    <w:p>
      <w:pPr>
        <w:spacing w:after="0" w:line="175" w:lineRule="exact"/>
        <w:rPr>
          <w:rFonts w:ascii="Courier New" w:cs="Courier New" w:eastAsia="Courier New" w:hAnsi="Courier New"/>
          <w:sz w:val="15"/>
          <w:szCs w:val="15"/>
          <w:color w:val="auto"/>
        </w:rPr>
      </w:pPr>
    </w:p>
    <w:p>
      <w:pPr>
        <w:ind w:left="880" w:right="3359" w:hanging="449"/>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officers, directors or affiliates hold any voting power in this entity.</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7" w:right="1440" w:bottom="1440" w:gutter="0" w:footer="0" w:header="0"/>
        </w:sectPr>
      </w:pPr>
    </w:p>
    <w:bookmarkStart w:id="35" w:name="page36"/>
    <w:bookmarkEnd w:id="35"/>
    <w:p>
      <w:pPr>
        <w:ind w:left="880" w:right="3359" w:hanging="449"/>
        <w:spacing w:after="0" w:line="235" w:lineRule="auto"/>
        <w:tabs>
          <w:tab w:leader="none" w:pos="8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343,780 ordinary shares issuable upon the exercise of stock options granted by the Company.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Parties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February 6, 1998, ICON entered into an Option Agreement ("The Put Option") with Rosa Investment Limited ("Rosa"). Rosa's sole activity was to hold an investment in Clear Investments Limited ("Clear"), the sole activity of which was to hold Mr. Gray's option to exercise 54,000 ordinary shares. Mr. Gray is a director of Rosa and Clear. Rosa is owned by a trust of which Mr. Gray is a beneficiary. On April 21, 2004, Mr. Gray acquired Clear from Rosa and exercised the Put Option in accordance with the terms of the Option Agreement. On April 22, 2004, pursuant to the Option Agreement, ICON purchased the outstanding share capital in Clear from Mr. Gray, the consideration for the acquisition being the issuance of 54,000 fully paid up ordinary shares in ICON, to Mr. Gray, such a sale being the economic equivalent of Mr. Gray exercising his stock options.</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Amarin Corporation plc ("Amarin") is a neuroscience company focused on the research, development and commercialisation of drugs for the treatment of central nervous system disorders. During fiscal 2005, Amarin contracted ICON Clinical Research Limited (a wholly owned subsidiary of ICON plc), to conduct a clinical trial on its behalf. The total potential value of this study is $2.7 million. As at July 27, 2005, Amarin Investment Holding Company Limited (a company controlled by Mr. Thomas Lynch), Sunninghill Limited (a company controlled by Dr. John Climax) and Dr. Ronan Lambe held 9.1 million, 5.6 million and 1.6 million shares respectively in Amarin Corporation plc. These respective holdings equate to approximately 18%, 11% and 3% of Amarin's issued share capital. Thomas Lynch also serves as chairman and non-executive director on the Board of Amarin. At May 31, 2005, $0.4m was outstanding to be received from Amarin on this trial.</w:t>
      </w:r>
    </w:p>
    <w:p>
      <w:pPr>
        <w:spacing w:after="0" w:line="34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item 18.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ICON is not party to any litigation or other legal proceedings that we believe could reasonably be expected to have a material adverse effect on our business, results of operations and financial condition.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We have not paid cash dividends on our ordinary shares and do not intend to pay cash dividends on our ordinary shares in the foreseeable future.</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7" w:right="1440" w:bottom="1440" w:gutter="0" w:footer="0" w:header="0"/>
        </w:sectPr>
      </w:pPr>
    </w:p>
    <w:bookmarkStart w:id="36" w:name="page37"/>
    <w:bookmarkEnd w:id="36"/>
    <w:p>
      <w:pPr>
        <w:spacing w:after="0"/>
        <w:tabs>
          <w:tab w:leader="none" w:pos="7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The Offer and the Listing.</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ICON's ADSs are traded on the Nasdaq National Market under the symbol "ICLR". Our Depository for the ADSs is The Bank of New York. ICON also has a secondary listing on the Official List of the Irish Stock Exchange. No securities of ICON are traded in any other market. The following table sets forth the trading price for the dates indicated for ICON plc ADSs as reported by Nasdaq.</w:t>
      </w:r>
    </w:p>
    <w:p>
      <w:pPr>
        <w:spacing w:after="0" w:line="178" w:lineRule="exact"/>
        <w:rPr>
          <w:sz w:val="20"/>
          <w:szCs w:val="20"/>
          <w:color w:val="auto"/>
        </w:rPr>
      </w:pPr>
    </w:p>
    <w:p>
      <w:pPr>
        <w:ind w:right="4319" w:firstLine="2732"/>
        <w:spacing w:after="0" w:line="235" w:lineRule="auto"/>
        <w:rPr>
          <w:sz w:val="20"/>
          <w:szCs w:val="20"/>
          <w:color w:val="auto"/>
        </w:rPr>
      </w:pPr>
      <w:r>
        <w:rPr>
          <w:rFonts w:ascii="Courier New" w:cs="Courier New" w:eastAsia="Courier New" w:hAnsi="Courier New"/>
          <w:sz w:val="15"/>
          <w:szCs w:val="15"/>
          <w:color w:val="auto"/>
        </w:rPr>
        <w:t>High Sales Price Low Sales Price Year Ending During Period During Period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May 31,</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3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$29.00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$11.87</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May 31,</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23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$29.75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May 31,</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23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$39.58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$22.93</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May 31,</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2003</w:t>
            </w:r>
          </w:p>
        </w:tc>
        <w:tc>
          <w:tcPr>
            <w:tcW w:w="23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$32.87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$14.88</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May 31,</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2004</w:t>
            </w:r>
          </w:p>
        </w:tc>
        <w:tc>
          <w:tcPr>
            <w:tcW w:w="23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$46.05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$25.87</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May 31,</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2005</w:t>
            </w:r>
          </w:p>
        </w:tc>
        <w:tc>
          <w:tcPr>
            <w:tcW w:w="23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$44.92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$30.26</w:t>
            </w:r>
          </w:p>
        </w:tc>
      </w:tr>
      <w:tr>
        <w:trPr>
          <w:trHeight w:val="339"/>
        </w:trPr>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2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8"/>
              </w:rPr>
              <w:t>High Sales Price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Low Sales Price</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Ending</w:t>
            </w:r>
          </w:p>
        </w:tc>
        <w:tc>
          <w:tcPr>
            <w:tcW w:w="2320" w:type="dxa"/>
            <w:vAlign w:val="bottom"/>
          </w:tcPr>
          <w:p>
            <w:pPr>
              <w:ind w:left="840"/>
              <w:spacing w:after="0"/>
              <w:rPr>
                <w:sz w:val="20"/>
                <w:szCs w:val="20"/>
                <w:color w:val="auto"/>
              </w:rPr>
            </w:pPr>
            <w:r>
              <w:rPr>
                <w:rFonts w:ascii="Courier New" w:cs="Courier New" w:eastAsia="Courier New" w:hAnsi="Courier New"/>
                <w:sz w:val="15"/>
                <w:szCs w:val="15"/>
                <w:color w:val="auto"/>
              </w:rPr>
              <w:t>During Period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During Period</w:t>
            </w:r>
          </w:p>
        </w:tc>
      </w:tr>
    </w:tbl>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9"/>
        </w:trPr>
        <w:tc>
          <w:tcPr>
            <w:tcW w:w="1880" w:type="dxa"/>
            <w:vAlign w:val="bottom"/>
          </w:tcPr>
          <w:p>
            <w:pPr>
              <w:spacing w:after="0"/>
              <w:rPr>
                <w:sz w:val="20"/>
                <w:szCs w:val="20"/>
                <w:color w:val="auto"/>
              </w:rPr>
            </w:pPr>
            <w:r>
              <w:rPr>
                <w:rFonts w:ascii="Courier New" w:cs="Courier New" w:eastAsia="Courier New" w:hAnsi="Courier New"/>
                <w:sz w:val="15"/>
                <w:szCs w:val="15"/>
                <w:color w:val="auto"/>
              </w:rPr>
              <w:t>May 31, 2002</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$34.49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$23.87</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Aug 31, 2002</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$30.50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$14.88</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Nov 30, 2002</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$26.00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$18.99</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Feb 28, 2003</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$32.87</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$22.35</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May 31, 2003</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$30.85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$21.36</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Aug 31, 2003</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$36.80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$25.87</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Nov 30, 2003</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$45.04</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$31.20</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Feb 29, 2004</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$46.05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$33.03</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May 31, 2004</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$43.49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$29.74</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Aug 31, 2004</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$44.92</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$31.75</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Nov 30, 2004</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$39.39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$31.04</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Feb 28, 2005</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$38.99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$33.78</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May 31, 2005</w:t>
            </w: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9"/>
              </w:rPr>
              <w:t>$38.95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$30.26</w:t>
            </w:r>
          </w:p>
        </w:tc>
      </w:tr>
      <w:tr>
        <w:trPr>
          <w:trHeight w:val="339"/>
        </w:trPr>
        <w:tc>
          <w:tcPr>
            <w:tcW w:w="1880" w:type="dxa"/>
            <w:vAlign w:val="bottom"/>
          </w:tcPr>
          <w:p>
            <w:pPr>
              <w:spacing w:after="0"/>
              <w:rPr>
                <w:sz w:val="24"/>
                <w:szCs w:val="24"/>
                <w:color w:val="auto"/>
              </w:rPr>
            </w:pPr>
          </w:p>
        </w:tc>
        <w:tc>
          <w:tcPr>
            <w:tcW w:w="242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8"/>
              </w:rPr>
              <w:t>High Sales Price</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Low Sales Price</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Month Ending</w:t>
            </w:r>
          </w:p>
        </w:tc>
        <w:tc>
          <w:tcPr>
            <w:tcW w:w="2420" w:type="dxa"/>
            <w:vAlign w:val="bottom"/>
          </w:tcPr>
          <w:p>
            <w:pPr>
              <w:ind w:left="940"/>
              <w:spacing w:after="0"/>
              <w:rPr>
                <w:sz w:val="20"/>
                <w:szCs w:val="20"/>
                <w:color w:val="auto"/>
              </w:rPr>
            </w:pPr>
            <w:r>
              <w:rPr>
                <w:rFonts w:ascii="Courier New" w:cs="Courier New" w:eastAsia="Courier New" w:hAnsi="Courier New"/>
                <w:sz w:val="15"/>
                <w:szCs w:val="15"/>
                <w:color w:val="auto"/>
              </w:rPr>
              <w:t>During Period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During Period</w:t>
            </w:r>
          </w:p>
        </w:tc>
      </w:tr>
    </w:tbl>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69"/>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Dec 31, 2004</w:t>
            </w:r>
          </w:p>
        </w:tc>
        <w:tc>
          <w:tcPr>
            <w:tcW w:w="2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$38.99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$37.07</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Jan 31, 2005</w:t>
            </w:r>
          </w:p>
        </w:tc>
        <w:tc>
          <w:tcPr>
            <w:tcW w:w="2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$38.04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$34.79</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Feb 28, 2005</w:t>
            </w:r>
          </w:p>
        </w:tc>
        <w:tc>
          <w:tcPr>
            <w:tcW w:w="2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$36.23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$33.78</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March 31, 2005</w:t>
            </w:r>
          </w:p>
        </w:tc>
        <w:tc>
          <w:tcPr>
            <w:tcW w:w="2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$38.95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$34.42</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April 30, 2005</w:t>
            </w:r>
          </w:p>
        </w:tc>
        <w:tc>
          <w:tcPr>
            <w:tcW w:w="2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$32.77</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May 31, 2005</w:t>
            </w:r>
          </w:p>
        </w:tc>
        <w:tc>
          <w:tcPr>
            <w:tcW w:w="21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$34.03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$30.26</w:t>
            </w:r>
          </w:p>
        </w:tc>
      </w:tr>
      <w:tr>
        <w:trPr>
          <w:trHeight w:val="848"/>
        </w:trPr>
        <w:tc>
          <w:tcPr>
            <w:tcW w:w="2200" w:type="dxa"/>
            <w:vAlign w:val="bottom"/>
          </w:tcPr>
          <w:p>
            <w:pPr>
              <w:spacing w:after="0"/>
              <w:rPr>
                <w:sz w:val="24"/>
                <w:szCs w:val="24"/>
                <w:color w:val="auto"/>
              </w:rPr>
            </w:pPr>
          </w:p>
        </w:tc>
        <w:tc>
          <w:tcPr>
            <w:tcW w:w="21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34</w:t>
            </w:r>
          </w:p>
        </w:tc>
        <w:tc>
          <w:tcPr>
            <w:tcW w:w="1180" w:type="dxa"/>
            <w:vAlign w:val="bottom"/>
          </w:tcPr>
          <w:p>
            <w:pPr>
              <w:spacing w:after="0"/>
              <w:rPr>
                <w:sz w:val="24"/>
                <w:szCs w:val="24"/>
                <w:color w:val="auto"/>
              </w:rPr>
            </w:pPr>
          </w:p>
        </w:tc>
      </w:tr>
    </w:tbl>
    <w:p>
      <w:pPr>
        <w:sectPr>
          <w:pgSz w:w="11900" w:h="16838" w:orient="portrait"/>
          <w:cols w:equalWidth="0" w:num="1">
            <w:col w:w="10219"/>
          </w:cols>
          <w:pgMar w:left="240" w:top="1130" w:right="1440" w:bottom="1440" w:gutter="0" w:footer="0" w:header="0"/>
        </w:sectPr>
      </w:pPr>
    </w:p>
    <w:bookmarkStart w:id="37" w:name="page38"/>
    <w:bookmarkEnd w:id="37"/>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Additional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Controls and Other Limitations Affecting Security Holders.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such as ICON. Except as indicated below, dividends and redemption proceeds also continue to be freely transferable to non-resident holders of such securities.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Financial Transfers Act, 1992 gives power to the Minister for Finance of Ireland to make provision for the restriction of financial transfers between Ireland and other countries. Financial transfers are broadly defined, and include all transfers, which would be movements of capital or payments within the meaning of the treaties governing the European Communities. The acquisition or disposal of ADRs representing shares issued by an Irish incorporated company and associated payments may fall within this definition. In addition, dividends or payments on redemption or purchase of shares and payments on a liquidation of an Irish incorporated company would fall within this definition. At present, the Financial Transfers Act, 1992 prohibits certain financial transfers to (or in respect of funds held by the government of) the Federal Republic of Yugoslavia, Slobodan Milosevic and associated persons, persons indicted by the International Criminal Tribunal for the former Yugoslavia, Zimbabwe (including senior members of the Zimbabwean government), Iraq, Liberia, Burma/Myanmar, the Republic of Serbia, Democratic Republic of Congo, Ivory Coast, Al Qaeda, Osama Bin Laden and the Taliban of Afghanistan.</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Any transfer of, or payment in respect of an ADS involving the government of any country which is currently the subject of United Nations sanctions, any person or body controlled by any of the foregoing, or by any person acting on behalf of the foregoing, may be subject to restrictions pursuant to such sanctions as implemented into Irish law. There are no restrictions under ICON's Articles of Association, or under Irish Law, that limit the right of non-residents or foreign owners to hold or vote the ordinary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182"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As used herein, the term "U.S. Holder" means a beneficial owner of ordinary shares that (i) owns the ordinary shares as capital assets; (ii) for U.S. federal income tax purposes, is an individual who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purposes of the discussion under Irish Taxation of U.S. Holders (A) is not a resident of, or ordinarily resident in, Ireland for the purposes of Irish tax; and (B) is not engaged in trade or business in Ireland through a permanent establishment.</w:t>
      </w:r>
    </w:p>
    <w:p>
      <w:pPr>
        <w:spacing w:after="0" w:line="166"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AS USED HEREIN, REFERENCES TO THE ORDINARY SHARES SHALL INCLUDE ADSs REPRESENTING SUCH ORDINARY SHARES AND ADRs EVIDENCING OWNERSHIP OF SUCH ADSs.</w:t>
      </w:r>
    </w:p>
    <w:p>
      <w:pPr>
        <w:spacing w:after="0" w:line="200" w:lineRule="exact"/>
        <w:rPr>
          <w:sz w:val="20"/>
          <w:szCs w:val="20"/>
          <w:color w:val="auto"/>
        </w:rPr>
      </w:pPr>
    </w:p>
    <w:p>
      <w:pPr>
        <w:spacing w:after="0" w:line="2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1130" w:right="1440" w:bottom="1440" w:gutter="0" w:footer="0" w:header="0"/>
        </w:sectPr>
      </w:pPr>
    </w:p>
    <w:bookmarkStart w:id="38" w:name="page39"/>
    <w:bookmarkEnd w:id="38"/>
    <w:p>
      <w:pPr>
        <w:ind w:left="10"/>
        <w:spacing w:after="0"/>
        <w:rPr>
          <w:sz w:val="20"/>
          <w:szCs w:val="20"/>
          <w:color w:val="auto"/>
        </w:rPr>
      </w:pPr>
      <w:r>
        <w:rPr>
          <w:rFonts w:ascii="Courier New" w:cs="Courier New" w:eastAsia="Courier New" w:hAnsi="Courier New"/>
          <w:sz w:val="15"/>
          <w:szCs w:val="15"/>
          <w:color w:val="auto"/>
        </w:rPr>
        <w:t>Irish Taxation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Irish corporation tax on income</w:t>
      </w:r>
    </w:p>
    <w:p>
      <w:pPr>
        <w:spacing w:after="0" w:line="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ICON is a public limited company incorporated and resident for tax purposes in Ireland.</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For Irish tax purposes, the residence of a company is in the jurisdiction where the central management and control of the company is located. Subject to certain exceptions, all Irish incorporated companies are deemed to be Irish tax resident. 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180"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The standard rate of Irish corporation tax on trading income (with certain exceptions) is currently 12.5%.</w:t>
      </w:r>
    </w:p>
    <w:p>
      <w:pPr>
        <w:spacing w:after="0" w:line="34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Patent exemption is available to Irish resident companies whose income derives from qualifying royalties or license fees paid in respect of qualifying patents. The main requirement to qualify for the exemption is that the research, planning, processing, experimentation, testing, devising, designing, developing or similar activity leading to the invention which is the subject of the patent is carried out in Ireland. Under Irish law, income from such qualifying patents is disregarded for taxation purposes. There is no termination date for this relief specified in the legislation.</w:t>
      </w:r>
    </w:p>
    <w:p>
      <w:pPr>
        <w:spacing w:after="0" w:line="17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To the extent that the company is involved in the "manufacture" of goods in Ireland, income from this activity, in respect of its data processing operations carried out in Ireland (which is deemed to be manufacturing for Irish tax purposes) , can qualify for a 10% rate of tax. This relief is available until December 31, 2010 and thereafter the income will be taxed at the standard rate applicable to trading income which is currently 12.5%.</w:t>
      </w:r>
    </w:p>
    <w:p>
      <w:pPr>
        <w:spacing w:after="0" w:line="176"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Corporation tax is charged at the rate of 25% on a company's non-trading income and certain types of trading income not eligible for the lower rates discussed above.</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Irish capital duty, a tax on the issuance of share capital by companies, is payable at the rate of 0.5% of proceeds received by the company in consideration of such issuance.</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Capital gains arising to an Irish resident company are liable to tax at 20%. However, a capital gains tax exemption has been introduced in Ireland in respect of disposals of certain shareholdings. The exemption applies with retrospective effect to disposals occurring on after 2 February 2004.</w:t>
      </w:r>
    </w:p>
    <w:p>
      <w:pPr>
        <w:spacing w:after="0" w:line="17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exemption from capital gains tax on the disposal of shares by an Irish resident company will apply where certain conditions are met. These conditions principally are:</w:t>
      </w:r>
    </w:p>
    <w:p>
      <w:pPr>
        <w:spacing w:after="0" w:line="175" w:lineRule="exact"/>
        <w:rPr>
          <w:sz w:val="20"/>
          <w:szCs w:val="20"/>
          <w:color w:val="auto"/>
        </w:rPr>
      </w:pPr>
    </w:p>
    <w:p>
      <w:pPr>
        <w:ind w:left="450" w:right="3179" w:hanging="450"/>
        <w:spacing w:after="0" w:line="237"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claiming the exemption must hold (directly or indirectly) at least 5% of the ordinary share capital of the company in which the interest in which is being disposed of, for a period of at least one year, within the two year period prior to disposal.</w:t>
      </w:r>
    </w:p>
    <w:p>
      <w:pPr>
        <w:spacing w:after="0" w:line="176" w:lineRule="exact"/>
        <w:rPr>
          <w:rFonts w:ascii="Courier New" w:cs="Courier New" w:eastAsia="Courier New" w:hAnsi="Courier New"/>
          <w:sz w:val="15"/>
          <w:szCs w:val="15"/>
          <w:color w:val="auto"/>
        </w:rPr>
      </w:pPr>
    </w:p>
    <w:p>
      <w:pPr>
        <w:ind w:left="450" w:right="3539" w:hanging="450"/>
        <w:spacing w:after="0" w:line="237"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being disposed of must be in a company, which at the date of disposal, is resident in an EU Member State or in a state with which Ireland has a double tax agreement.</w:t>
      </w:r>
    </w:p>
    <w:p>
      <w:pPr>
        <w:spacing w:after="0" w:line="174" w:lineRule="exact"/>
        <w:rPr>
          <w:rFonts w:ascii="Courier New" w:cs="Courier New" w:eastAsia="Courier New" w:hAnsi="Courier New"/>
          <w:sz w:val="15"/>
          <w:szCs w:val="15"/>
          <w:color w:val="auto"/>
        </w:rPr>
      </w:pPr>
    </w:p>
    <w:p>
      <w:pPr>
        <w:ind w:left="450" w:right="3539" w:hanging="450"/>
        <w:spacing w:after="0" w:line="237"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must be in a company which is primarily a trading company or else the company making the disposal together with its "5% plus subsidiaries" should be primarily a trading group.</w:t>
      </w:r>
    </w:p>
    <w:p>
      <w:pPr>
        <w:spacing w:after="0" w:line="174" w:lineRule="exact"/>
        <w:rPr>
          <w:rFonts w:ascii="Courier New" w:cs="Courier New" w:eastAsia="Courier New" w:hAnsi="Courier New"/>
          <w:sz w:val="15"/>
          <w:szCs w:val="15"/>
          <w:color w:val="auto"/>
        </w:rPr>
      </w:pPr>
    </w:p>
    <w:p>
      <w:pPr>
        <w:ind w:left="450" w:right="3539" w:hanging="450"/>
        <w:spacing w:after="0" w:line="235"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must not derive the greater part of their value from land or mineral rights in the State.</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Taxation of Dividends</w:t>
      </w:r>
    </w:p>
    <w:p>
      <w:pPr>
        <w:spacing w:after="0" w:line="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Unless exempted, all dividends paid by ICON, other than dividends paid entirely out of exempt patent income (subject to conditions), will be subject to Irish withholding tax at the standard rate of income tax in force at the time the dividend is paid, currently 20%. An individual shareholder who is neither resident nor ordinarily resident for tax purposes in Ireland, but is</w:t>
      </w:r>
    </w:p>
    <w:p>
      <w:pPr>
        <w:spacing w:after="0" w:line="200" w:lineRule="exact"/>
        <w:rPr>
          <w:sz w:val="20"/>
          <w:szCs w:val="20"/>
          <w:color w:val="auto"/>
        </w:rPr>
      </w:pPr>
    </w:p>
    <w:p>
      <w:pPr>
        <w:spacing w:after="0" w:line="31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9"/>
          </w:cols>
          <w:pgMar w:left="230" w:top="622" w:right="1440" w:bottom="1440" w:gutter="0" w:footer="0" w:header="0"/>
        </w:sectPr>
      </w:pPr>
    </w:p>
    <w:bookmarkStart w:id="39" w:name="page40"/>
    <w:bookmarkEnd w:id="39"/>
    <w:p>
      <w:pPr>
        <w:ind w:right="3179"/>
        <w:spacing w:after="0" w:line="238" w:lineRule="auto"/>
        <w:rPr>
          <w:sz w:val="20"/>
          <w:szCs w:val="20"/>
          <w:color w:val="auto"/>
        </w:rPr>
      </w:pPr>
      <w:r>
        <w:rPr>
          <w:rFonts w:ascii="Courier New" w:cs="Courier New" w:eastAsia="Courier New" w:hAnsi="Courier New"/>
          <w:sz w:val="15"/>
          <w:szCs w:val="15"/>
          <w:color w:val="auto"/>
        </w:rPr>
        <w:t>resident in a country with which Ireland has a double tax treaty, which includes the United States, or in a member state of the European Union, other than Ireland (together a "Relevant Territory"), will be exempt from withholding tax provided he or she makes the requisite declaration. No dividend withholding tax will apply on the payment of a dividend from an Irish resident company to its Irish resident 51% parent company. Where the Irish company receiving the dividend does not hold at least 51% of the shares of the paying company, the dividend will be exempt if the Irish corporate shareholder makes the requisite declaration.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Non-Irish resident corporate shareholders that:</w:t>
      </w:r>
    </w:p>
    <w:p>
      <w:pPr>
        <w:spacing w:after="0" w:line="169" w:lineRule="exact"/>
        <w:rPr>
          <w:sz w:val="20"/>
          <w:szCs w:val="20"/>
          <w:color w:val="auto"/>
        </w:rPr>
      </w:pPr>
    </w:p>
    <w:p>
      <w:pPr>
        <w:ind w:left="880" w:hanging="449"/>
        <w:spacing w:after="0"/>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ultimately controlled by residents of a Relevant Territory;</w:t>
      </w:r>
    </w:p>
    <w:p>
      <w:pPr>
        <w:spacing w:after="0" w:line="174" w:lineRule="exact"/>
        <w:rPr>
          <w:rFonts w:ascii="Courier New" w:cs="Courier New" w:eastAsia="Courier New" w:hAnsi="Courier New"/>
          <w:sz w:val="15"/>
          <w:szCs w:val="15"/>
          <w:color w:val="auto"/>
        </w:rPr>
      </w:pPr>
    </w:p>
    <w:p>
      <w:pPr>
        <w:ind w:left="880" w:right="3359" w:hanging="449"/>
        <w:spacing w:after="0" w:line="235"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resident in a Relevant Territory and are not controlled by Irish residents;</w:t>
      </w:r>
    </w:p>
    <w:p>
      <w:pPr>
        <w:spacing w:after="0" w:line="175" w:lineRule="exact"/>
        <w:rPr>
          <w:rFonts w:ascii="Courier New" w:cs="Courier New" w:eastAsia="Courier New" w:hAnsi="Courier New"/>
          <w:sz w:val="15"/>
          <w:szCs w:val="15"/>
          <w:color w:val="auto"/>
        </w:rPr>
      </w:pPr>
    </w:p>
    <w:p>
      <w:pPr>
        <w:ind w:left="880" w:right="3359" w:hanging="449"/>
        <w:spacing w:after="0" w:line="260"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the principal class of their shares, or shares of a 75% parent, substantially and regularly traded on one or more recognized stock exchanges in a Relevant Territory or Territories; or</w:t>
      </w:r>
    </w:p>
    <w:p>
      <w:pPr>
        <w:spacing w:after="0" w:line="162" w:lineRule="exact"/>
        <w:rPr>
          <w:rFonts w:ascii="Courier New" w:cs="Courier New" w:eastAsia="Courier New" w:hAnsi="Courier New"/>
          <w:sz w:val="14"/>
          <w:szCs w:val="14"/>
          <w:color w:val="auto"/>
        </w:rPr>
      </w:pPr>
    </w:p>
    <w:p>
      <w:pPr>
        <w:ind w:left="880" w:right="3359" w:hanging="449"/>
        <w:spacing w:after="0" w:line="260" w:lineRule="auto"/>
        <w:tabs>
          <w:tab w:leader="none" w:pos="8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wholly owned by two or more companies, each of whose principal class of shares is substantially and regularly traded on one or more recognized stock exchanges in a Relevant Territory or Territories;</w:t>
      </w:r>
    </w:p>
    <w:p>
      <w:pPr>
        <w:spacing w:after="0" w:line="163"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will be exempt from withholding tax on the production of the appropriate certificates and declarations.</w:t>
      </w:r>
    </w:p>
    <w:p>
      <w:pPr>
        <w:spacing w:after="0" w:line="176"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U.S. Holders of ordinary shares (as opposed to ADSs: see below) should note, however, that these documentation requirements may be burdensome. As described below, these documentation requirements do not apply in the case of ADSs.</w:t>
      </w:r>
    </w:p>
    <w:p>
      <w:pPr>
        <w:spacing w:after="0" w:line="163"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Special arrangements are available in the case of an interest in shares held in Irish companies through American depositary banks using ADSs. The depositary bank will be allowed to receive and pass on a dividend from the Irish company without any deduction for withholding tax in the following circumstances:</w:t>
      </w:r>
    </w:p>
    <w:p>
      <w:pPr>
        <w:spacing w:after="0" w:line="163" w:lineRule="exact"/>
        <w:rPr>
          <w:sz w:val="20"/>
          <w:szCs w:val="20"/>
          <w:color w:val="auto"/>
        </w:rPr>
      </w:pPr>
    </w:p>
    <w:p>
      <w:pPr>
        <w:ind w:left="880" w:right="3179" w:hanging="449"/>
        <w:spacing w:after="0" w:line="237"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has been authorized by the Irish Revenue Commissioners as a qualifying intermediary and such authorization has not expired or revoked; and either</w:t>
      </w:r>
    </w:p>
    <w:p>
      <w:pPr>
        <w:spacing w:after="0" w:line="174"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bank's ADS register shows that the beneficial owner has a U.S. address on the register; or</w:t>
      </w:r>
    </w:p>
    <w:p>
      <w:pPr>
        <w:spacing w:after="0" w:line="175"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further intermediary between the depositary bank and the beneficial owner, where the depositary bank receives confirmation from the intermediary that the beneficial owner's address in the intermediary's records is in the U.S.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Income Tax</w:t>
            </w:r>
          </w:p>
        </w:tc>
        <w:tc>
          <w:tcPr>
            <w:tcW w:w="2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Under certain circumstances,</w:t>
            </w:r>
          </w:p>
        </w:tc>
        <w:tc>
          <w:tcPr>
            <w:tcW w:w="32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non-Irish resident shareholders will</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be subject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Irish income tax on dividend</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income. This liability is</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limited to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tax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at the</w:t>
            </w:r>
          </w:p>
        </w:tc>
        <w:tc>
          <w:tcPr>
            <w:tcW w:w="220" w:type="dxa"/>
            <w:vAlign w:val="bottom"/>
          </w:tcPr>
          <w:p>
            <w:pPr>
              <w:spacing w:after="0"/>
              <w:rPr>
                <w:sz w:val="14"/>
                <w:szCs w:val="14"/>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standard rate and therefore,</w:t>
            </w:r>
          </w:p>
        </w:tc>
        <w:tc>
          <w:tcPr>
            <w:tcW w:w="2300" w:type="dxa"/>
            <w:vAlign w:val="bottom"/>
          </w:tcPr>
          <w:p>
            <w:pPr>
              <w:ind w:left="40"/>
              <w:spacing w:after="0"/>
              <w:rPr>
                <w:sz w:val="20"/>
                <w:szCs w:val="20"/>
                <w:color w:val="auto"/>
              </w:rPr>
            </w:pPr>
            <w:r>
              <w:rPr>
                <w:rFonts w:ascii="Courier New" w:cs="Courier New" w:eastAsia="Courier New" w:hAnsi="Courier New"/>
                <w:sz w:val="15"/>
                <w:szCs w:val="15"/>
                <w:color w:val="auto"/>
                <w:w w:val="99"/>
              </w:rPr>
              <w:t>where withholding tax has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been deducted,</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this will</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satisfy the tax liability.</w:t>
            </w:r>
          </w:p>
        </w:tc>
        <w:tc>
          <w:tcPr>
            <w:tcW w:w="2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However, a non-Irish resident shareholder will not have an Irish income tax liability on dividends from the company if the holder is neither resident nor ordinarily resident in the Republic of Ireland and the holder is:</w:t>
      </w:r>
    </w:p>
    <w:p>
      <w:pPr>
        <w:spacing w:after="0" w:line="175" w:lineRule="exact"/>
        <w:rPr>
          <w:sz w:val="20"/>
          <w:szCs w:val="20"/>
          <w:color w:val="auto"/>
        </w:rPr>
      </w:pPr>
    </w:p>
    <w:p>
      <w:pPr>
        <w:ind w:left="880" w:right="3359" w:hanging="449"/>
        <w:spacing w:after="0" w:line="235"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resident in the U.S. ( or any other country with which Ireland has concluded a double taxation treaty);</w:t>
      </w:r>
    </w:p>
    <w:p>
      <w:pPr>
        <w:spacing w:after="0" w:line="175"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that is ultimately controlled by persons resident in the U.S. (or any other country with which Ireland has concluded a double taxation treaty);</w:t>
      </w:r>
    </w:p>
    <w:p>
      <w:pPr>
        <w:spacing w:after="0" w:line="174" w:lineRule="exact"/>
        <w:rPr>
          <w:rFonts w:ascii="Courier New" w:cs="Courier New" w:eastAsia="Courier New" w:hAnsi="Courier New"/>
          <w:sz w:val="15"/>
          <w:szCs w:val="15"/>
          <w:color w:val="auto"/>
        </w:rPr>
      </w:pPr>
    </w:p>
    <w:p>
      <w:pPr>
        <w:ind w:left="880" w:right="3359" w:hanging="449"/>
        <w:spacing w:after="0" w:line="259" w:lineRule="auto"/>
        <w:tabs>
          <w:tab w:leader="none" w:pos="8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whose principal class of shares (or its 75% or greater parent's principal class of shares) is substantially and regularly traded on a recognized stock exchange in an EU country or a country with which Ireland has concluded a double taxation treaty;</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27" w:right="1440" w:bottom="1440" w:gutter="0" w:footer="0" w:header="0"/>
        </w:sectPr>
      </w:pPr>
    </w:p>
    <w:bookmarkStart w:id="40" w:name="page41"/>
    <w:bookmarkEnd w:id="40"/>
    <w:p>
      <w:pPr>
        <w:ind w:left="880" w:right="3179" w:hanging="449"/>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resident in another EU member state or in a country with which Ireland has concluded a double taxation treaty, which is not controlled directly or indirectly by Irish residents; or</w:t>
      </w:r>
    </w:p>
    <w:p>
      <w:pPr>
        <w:spacing w:after="0" w:line="174"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that is wholly owned by two or more corporations each of whose principal class of shares is substantially and regularly traded on a recognized stock exchange in an EU country or a country with which Ireland has concluded a double taxation treaty.</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U.S. Holders that do not fulfill the documentation requirements or otherwise do not qualify for the withholding tax exemption may be able to claim treaty benefits under the treaty. U.S. Holders that are entitled to benefits under the treaty will be able to claim a partial refund of the 20% withholding tax from the Irish Revenue Commissioners.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of Capital Gains</w:t>
      </w:r>
    </w:p>
    <w:p>
      <w:pPr>
        <w:spacing w:after="0" w:line="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A person who is not resident or ordinarily resident in Ireland, has not been an Irish resident within the past five years and who does not carry on a trade in Ireland through a branch or agency will not be subject to Irish capital gains tax on the disposal of ordinary shares or ADSs, so long as the ordinary shares or ADSs, as the case may be, are either quoted on a stock exchange or do not derive the greater part of their value from Irish land or mineral rights. There are provisions to subject a person who disposes of an interest in a company while temporarily being non-Irish resident, to Irish capital gains tax. This treatment will apply to Irish domiciled individuals -:</w:t>
      </w:r>
    </w:p>
    <w:p>
      <w:pPr>
        <w:spacing w:after="0" w:line="161" w:lineRule="exact"/>
        <w:rPr>
          <w:sz w:val="20"/>
          <w:szCs w:val="20"/>
          <w:color w:val="auto"/>
        </w:rPr>
      </w:pPr>
    </w:p>
    <w:p>
      <w:pPr>
        <w:ind w:left="880" w:hanging="449"/>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cease to be Irish resident;</w:t>
      </w:r>
    </w:p>
    <w:p>
      <w:pPr>
        <w:spacing w:after="0" w:line="169"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own the shares when they cease to be resident;</w:t>
      </w:r>
    </w:p>
    <w:p>
      <w:pPr>
        <w:spacing w:after="0" w:line="174"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are not more than 5 years of assessment between the last year of Irish tax residence prior to becoming temporarily non-resident and the tax year that he/she resumes Irish tax residency;</w:t>
      </w:r>
    </w:p>
    <w:p>
      <w:pPr>
        <w:spacing w:after="0" w:line="174" w:lineRule="exact"/>
        <w:rPr>
          <w:rFonts w:ascii="Courier New" w:cs="Courier New" w:eastAsia="Courier New" w:hAnsi="Courier New"/>
          <w:sz w:val="15"/>
          <w:szCs w:val="15"/>
          <w:color w:val="auto"/>
        </w:rPr>
      </w:pPr>
    </w:p>
    <w:p>
      <w:pPr>
        <w:ind w:left="880" w:right="3979" w:hanging="449"/>
        <w:spacing w:after="0" w:line="235"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dispose of an interest in a company during this temporary non-residence; and</w:t>
      </w:r>
    </w:p>
    <w:p>
      <w:pPr>
        <w:spacing w:after="0" w:line="175" w:lineRule="exact"/>
        <w:rPr>
          <w:rFonts w:ascii="Courier New" w:cs="Courier New" w:eastAsia="Courier New" w:hAnsi="Courier New"/>
          <w:sz w:val="15"/>
          <w:szCs w:val="15"/>
          <w:color w:val="auto"/>
        </w:rPr>
      </w:pPr>
    </w:p>
    <w:p>
      <w:pPr>
        <w:ind w:left="880" w:right="3179" w:hanging="449"/>
        <w:spacing w:after="0" w:line="235"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disposed of represents 5% or greater of the share capital of the company or is worth at least (euro)500,000.</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these circumstances the person will be deemed, for Irish capital gains tax purposes, to have sold and immediately reacquired the interest in the company on the date of his or her departure and will be subject to tax at 20% of the taxable gain.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Capital Acquisitions Tax</w:t>
      </w:r>
    </w:p>
    <w:p>
      <w:pPr>
        <w:spacing w:after="0" w:line="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Irish capital acquisitions tax (referred to as CAT) applies to gifts and inheritances.</w:t>
      </w:r>
    </w:p>
    <w:p>
      <w:pPr>
        <w:spacing w:after="0" w:line="17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Where a gift or inheritance is taken under a disposition made after December 1, 1999, it will be within the charge to CAT:</w:t>
      </w:r>
    </w:p>
    <w:p>
      <w:pPr>
        <w:spacing w:after="0" w:line="176" w:lineRule="exact"/>
        <w:rPr>
          <w:sz w:val="20"/>
          <w:szCs w:val="20"/>
          <w:color w:val="auto"/>
        </w:rPr>
      </w:pPr>
    </w:p>
    <w:p>
      <w:pPr>
        <w:ind w:left="880" w:right="3539" w:hanging="449"/>
        <w:spacing w:after="0" w:line="237"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property of which the gift or inheritance consists is situated in the Republic of Ireland at the date of the gift or inheritance;</w:t>
      </w:r>
    </w:p>
    <w:p>
      <w:pPr>
        <w:spacing w:after="0" w:line="174" w:lineRule="exact"/>
        <w:rPr>
          <w:rFonts w:ascii="Courier New" w:cs="Courier New" w:eastAsia="Courier New" w:hAnsi="Courier New"/>
          <w:sz w:val="15"/>
          <w:szCs w:val="15"/>
          <w:color w:val="auto"/>
        </w:rPr>
      </w:pPr>
    </w:p>
    <w:p>
      <w:pPr>
        <w:ind w:left="880" w:right="3259" w:hanging="449"/>
        <w:spacing w:after="0" w:line="237"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person making the gift or inheritance is or was resident or ordinarily resident in the Republic of Ireland at the date of the disposition under which the gift or inheritance is taken;</w:t>
      </w:r>
    </w:p>
    <w:p>
      <w:pPr>
        <w:spacing w:after="0" w:line="174"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gift taken under a discretionary trust where the person from whom the gift is taken was resident or ordinarily resident in the Republic of Ireland at the date he made the settlement, or at the date of the gift or, if he is dead at the date of the gift, at his death; or</w:t>
      </w:r>
    </w:p>
    <w:p>
      <w:pPr>
        <w:spacing w:after="0" w:line="178"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person receiving the gift or inheritance is resident or ordinarily resident in the Republic of Ireland at the date of the gift or inheritance.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a gift or an inheritance is taken under a disposition made prior to</w:t>
      </w:r>
    </w:p>
    <w:p>
      <w:pPr>
        <w:spacing w:after="0"/>
        <w:rPr>
          <w:sz w:val="20"/>
          <w:szCs w:val="20"/>
          <w:color w:val="auto"/>
        </w:rPr>
      </w:pPr>
      <w:r>
        <w:rPr>
          <w:rFonts w:ascii="Courier New" w:cs="Courier New" w:eastAsia="Courier New" w:hAnsi="Courier New"/>
          <w:sz w:val="15"/>
          <w:szCs w:val="15"/>
          <w:color w:val="auto"/>
        </w:rPr>
        <w:t>December 1, 1999, CAT is chargeable in the following circumstances:</w:t>
      </w:r>
    </w:p>
    <w:p>
      <w:pPr>
        <w:spacing w:after="0" w:line="174" w:lineRule="exact"/>
        <w:rPr>
          <w:sz w:val="20"/>
          <w:szCs w:val="20"/>
          <w:color w:val="auto"/>
        </w:rPr>
      </w:pPr>
    </w:p>
    <w:p>
      <w:pPr>
        <w:ind w:left="880" w:right="3539" w:hanging="449"/>
        <w:spacing w:after="0" w:line="237"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property of which the gift or inheritance consists is situated in the Republic of Ireland at the date of the gift or inheritance;</w:t>
      </w:r>
    </w:p>
    <w:p>
      <w:pPr>
        <w:spacing w:after="0" w:line="174" w:lineRule="exact"/>
        <w:rPr>
          <w:rFonts w:ascii="Courier New" w:cs="Courier New" w:eastAsia="Courier New" w:hAnsi="Courier New"/>
          <w:sz w:val="15"/>
          <w:szCs w:val="15"/>
          <w:color w:val="auto"/>
        </w:rPr>
      </w:pPr>
    </w:p>
    <w:p>
      <w:pPr>
        <w:ind w:left="880" w:right="3179" w:hanging="449"/>
        <w:spacing w:after="0" w:line="237" w:lineRule="auto"/>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person making the gift or inheritance is or was domiciled in Ireland at the date of the disposition under which the gift or inheritance is taken;</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7" w:right="1440" w:bottom="1440" w:gutter="0" w:footer="0" w:header="0"/>
        </w:sectPr>
      </w:pPr>
    </w:p>
    <w:bookmarkStart w:id="41" w:name="page42"/>
    <w:bookmarkEnd w:id="41"/>
    <w:p>
      <w:pPr>
        <w:ind w:left="880" w:right="3359" w:hanging="449"/>
        <w:spacing w:after="0" w:line="237" w:lineRule="auto"/>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gift taken under a discretionary trust, where the disponer, who is usually the settlor, in relation to that trust was domiciled in Ireland at the date he made the settlement, or at the date of the gift or, where the gift is taken after his death, at the date of his death.</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person who receives the gift or inheritance is primarily liable for CAT. A person is secondarily liable if he is the donor, his personal representative or an agent, trustee or other person in whose care the property constituting the gift or inheritance or the income therefrom is placed.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tax-free threshold amounts currently in force are:</w:t>
      </w:r>
    </w:p>
    <w:p>
      <w:pPr>
        <w:spacing w:after="0" w:line="175" w:lineRule="exact"/>
        <w:rPr>
          <w:sz w:val="20"/>
          <w:szCs w:val="20"/>
          <w:color w:val="auto"/>
        </w:rPr>
      </w:pPr>
    </w:p>
    <w:p>
      <w:pPr>
        <w:ind w:left="880" w:right="3879" w:hanging="449"/>
        <w:spacing w:after="0" w:line="235"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(euro)23,336 in the case of persons who are not related to one another;</w:t>
      </w:r>
    </w:p>
    <w:p>
      <w:pPr>
        <w:spacing w:after="0" w:line="175" w:lineRule="exact"/>
        <w:rPr>
          <w:rFonts w:ascii="Courier New" w:cs="Courier New" w:eastAsia="Courier New" w:hAnsi="Courier New"/>
          <w:sz w:val="15"/>
          <w:szCs w:val="15"/>
          <w:color w:val="auto"/>
        </w:rPr>
      </w:pPr>
    </w:p>
    <w:p>
      <w:pPr>
        <w:ind w:left="880" w:right="3259" w:hanging="449"/>
        <w:spacing w:after="0" w:line="237"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(euro)46,673 in the case of gifts or inheritances received from inter alia a brother or sister or from a brother or sister of a parent or from a grandparent; and</w:t>
      </w:r>
    </w:p>
    <w:p>
      <w:pPr>
        <w:spacing w:after="0" w:line="174" w:lineRule="exact"/>
        <w:rPr>
          <w:rFonts w:ascii="Courier New" w:cs="Courier New" w:eastAsia="Courier New" w:hAnsi="Courier New"/>
          <w:sz w:val="15"/>
          <w:szCs w:val="15"/>
          <w:color w:val="auto"/>
        </w:rPr>
      </w:pPr>
    </w:p>
    <w:p>
      <w:pPr>
        <w:jc w:val="both"/>
        <w:ind w:left="880" w:right="3439" w:hanging="449"/>
        <w:spacing w:after="0" w:line="260" w:lineRule="auto"/>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(euro)466,725 in the case of gifts and inheritances received from a parent (or from a grandparent by a minor child of a deceased child) and specified inheritances received by a parent from a child.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Gifts and inheritances passing between spouses are exempt from CAT.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Probate Tax</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Irish probate tax was abolished under the Finance Act, 2001. No probate tax will arise on any assets passing in respect of a death occurring on or after December 6,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Stamp Duty - Ordinary Shares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Irish stamp duty, which is a tax on certain documents, including CREST operator instructions, is payable on all transfers of the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18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 where the transfer contains the appropriate certificate and, in the absence of such certificate, a flat rate of ?(euro)12.70 (the nominal rate) will apply.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Irish Stamp Duty - ADSs Representing Ordinary Shares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 transfer by a shareholder to the depositary or custodian of ordinary shares for deposit under the deposit agreement in return for ADSs and a transfer of ordinary shares from the depositary or the custodian upon surrender of ADSs for the purposes of the withdrawal of the underlying ordinary shares in accordance with the terms of the deposit agreement will be stampable at the ad valorem rate if the transfer relates to a sale or contemplated sale or any other change in the beneficial ownership of such ordinary shares. However, it is not certain whether the mere withdrawal of ordinary shares in exchange for ADSs or ADSs for ordinary shares would be deemed to be a transfer of or change in the beneficial ownership which would be subject to stamp duty at the ad valorem rate. Where the transfer merely relates to a transfer where no change in the beneficial ownership in the underlying ordinary shares is effected or contemplated, no stamp duty arises where the transfer contains the</w:t>
      </w:r>
    </w:p>
    <w:p>
      <w:pPr>
        <w:spacing w:after="0" w:line="200" w:lineRule="exact"/>
        <w:rPr>
          <w:sz w:val="20"/>
          <w:szCs w:val="20"/>
          <w:color w:val="auto"/>
        </w:rPr>
      </w:pPr>
    </w:p>
    <w:p>
      <w:pPr>
        <w:spacing w:after="0" w:line="31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7" w:right="1440" w:bottom="904" w:gutter="0" w:footer="0" w:header="0"/>
        </w:sectPr>
      </w:pPr>
    </w:p>
    <w:bookmarkStart w:id="42" w:name="page43"/>
    <w:bookmarkEnd w:id="42"/>
    <w:p>
      <w:pPr>
        <w:ind w:right="3539"/>
        <w:spacing w:after="0" w:line="235" w:lineRule="auto"/>
        <w:rPr>
          <w:sz w:val="20"/>
          <w:szCs w:val="20"/>
          <w:color w:val="auto"/>
        </w:rPr>
      </w:pPr>
      <w:r>
        <w:rPr>
          <w:rFonts w:ascii="Courier New" w:cs="Courier New" w:eastAsia="Courier New" w:hAnsi="Courier New"/>
          <w:sz w:val="15"/>
          <w:szCs w:val="15"/>
          <w:color w:val="auto"/>
        </w:rPr>
        <w:t>appropriate certificate and, in the absence of such certificate, the nominal rate stamp duty of (euro)12.70 applies.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Transfers of ADSs are exempt from Irish stamp duty as long as the ADSs are dealt in on the Nasdaq National Market or any recognized stock exchange in the United States or Canada.</w:t>
      </w:r>
    </w:p>
    <w:p>
      <w:pPr>
        <w:spacing w:after="0" w:line="17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The person accountable for payment of stamp duty is the transferee or, in the case of a transfer by way of gift, or for a consideration less than the market value, all parties to the transfer. A late or inadequate payment of stamp duty will result in a liability to pay interest, penalties and fines.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U.S. Federal Income Tax Matters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Passive Foreign Investment Company ("PFIC") Status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 foreign corporation generally will be a passive foreign investment company (a"PFIC") for United States federal income tax purposes if in any tax year either 75% or more of its gross income is "passive income" (generally including (without limitation) dividends, interest, royalties, rents and annuities) or the average percentage of its assets that produce passive income or are held for the production of passive income is at least 50%. ICON believes that it is not currently a PFIC and, based on ICON management's current projections of ICON's future income and assets and the manner in which ICON currently intends to manage and conduct its business in the future, that ICON will not become a PFIC in the future. However, the PFIC rules are complex and subject to some uncertainty (given the very limited amount of authority interpreting such rules) and, thus, there can be no assurance that Icon plc is not currently a PFIC or will not become one in the future. If ICON plc were treated as a PFIC for any taxable year in which a U.S. Holder held ordinary shares or ADSs, certain adverse consequences could apply, including a material increase in the amount of tax that the U.S. Holder would owe, an imposition of tax earlier than would otherwise be imposed and additional tax form filing requirements. U.S. Holders should consult with their tax advisors as to the effect of these rules.</w:t>
      </w:r>
    </w:p>
    <w:p>
      <w:pPr>
        <w:spacing w:after="0" w:line="333"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foregoing discussion of U.S federal income tax matters is limited to PFIC status-- U.S.Holders of ordinary shares or ADSs should consult their own tax advisors about the U.S. federal income tax consequences of the ownership and disposition of ordinary shares or ADSs.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Documents on Display</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are subject to the informational requirements of the Securities Exchange Act of 1934, as amended, and file reports and other information with the SEC. You may read and copy any of our reports and other information at, and obtain copies upon payment of prescribed fees from, the Public Reference Room maintained by the SEC at 450 Fifth Street, N.W., Room 1024, Washington, D.C. 20549 and at the SEC's regional office at Northwestern Atrium Center, 500 West Madison Street, Suite 1400, Chicago, IL 60661. In addition, the SEC maintains a Web site that contains reports, proxy and information statements and other information regarding registrants that file electronically with the SEC at http://www.sec.gov. The public may obtain information on the operation of the Public Reference Room by calling the SEC at 1-800-SEC-0330.</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is 333-8704.</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As a foreign private issuer, we are exempt from the rules under the Securities Exchange Act of 1934, as amended, prescribing the furnishing and content of proxy statements to shareholders.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Brian O'Dwyer, telephone number: (353) 1 291 2000.</w:t>
      </w:r>
    </w:p>
    <w:p>
      <w:pPr>
        <w:spacing w:after="0" w:line="347"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Exemptions From Corporate Governance Listing Requirements Under the Nasdaq Marketplace Rules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Nasdaq may provide exemptions from the Nasdaq corporate governance standards to a foreign private issuer when those standards are contrary to a law, rule or regulation of any public authority exercising jurisdiction over such issuer or contrary to generally accepted business practices in the issuer's country of domicile, except to the extent that such exemptions would be contrary to United States federal securities laws. ICON, as a foreign private issuer, was granted an exemption in 1998 from provisions set forth in Nasdaq Rule 4350(f), which requires each issuer to provide for a quorum in its by-laws for any meeting of the holders of common stock, which shall in no case be less than 33.33% of the outstanding shares of the issuer's outstanding voting stock. ICON's Articles of Association require that only 3 members be present at a shareholder meeting to constitute a quorum. This quorum requirement is in accordance with Irish law and generally accepted business practices in Ireland.</w:t>
      </w:r>
    </w:p>
    <w:p>
      <w:pPr>
        <w:sectPr>
          <w:pgSz w:w="11900" w:h="16838" w:orient="portrait"/>
          <w:cols w:equalWidth="0" w:num="1">
            <w:col w:w="10219"/>
          </w:cols>
          <w:pgMar w:left="240" w:top="627" w:right="1440" w:bottom="0" w:gutter="0" w:footer="0" w:header="0"/>
        </w:sectPr>
      </w:pPr>
    </w:p>
    <w:bookmarkStart w:id="43" w:name="page44"/>
    <w:bookmarkEnd w:id="43"/>
    <w:p>
      <w:pPr>
        <w:ind w:left="22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019"/>
          </w:cols>
          <w:pgMar w:left="1440" w:top="305" w:right="1440" w:bottom="1440" w:gutter="0" w:footer="0" w:header="0"/>
        </w:sectPr>
      </w:pPr>
    </w:p>
    <w:bookmarkStart w:id="44" w:name="page45"/>
    <w:bookmarkEnd w:id="44"/>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5" w:lineRule="exact"/>
        <w:rPr>
          <w:sz w:val="20"/>
          <w:szCs w:val="20"/>
          <w:color w:val="auto"/>
        </w:rPr>
      </w:pPr>
    </w:p>
    <w:p>
      <w:pPr>
        <w:ind w:right="880"/>
        <w:spacing w:after="0" w:line="237" w:lineRule="auto"/>
        <w:rPr>
          <w:sz w:val="20"/>
          <w:szCs w:val="20"/>
          <w:color w:val="auto"/>
        </w:rPr>
      </w:pPr>
      <w:r>
        <w:rPr>
          <w:rFonts w:ascii="Courier New" w:cs="Courier New" w:eastAsia="Courier New" w:hAnsi="Courier New"/>
          <w:sz w:val="15"/>
          <w:szCs w:val="15"/>
          <w:color w:val="auto"/>
        </w:rPr>
        <w:t>Qualitative Disclosure of Market Risk. The principal market risks (i.e. risk of loss arising from adverse changes in market rates and prices) to which we are exposed are:</w:t>
      </w:r>
    </w:p>
    <w:p>
      <w:pPr>
        <w:spacing w:after="0" w:line="175" w:lineRule="exact"/>
        <w:rPr>
          <w:sz w:val="20"/>
          <w:szCs w:val="20"/>
          <w:color w:val="auto"/>
        </w:rPr>
      </w:pPr>
    </w:p>
    <w:p>
      <w:pPr>
        <w:jc w:val="both"/>
        <w:ind w:left="880" w:right="980" w:hanging="449"/>
        <w:spacing w:after="0" w:line="237"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changes on short term investments (available for sale) in the form of floating rate notes and medium term minimum "A" rated corporate securities, and</w:t>
      </w:r>
    </w:p>
    <w:p>
      <w:pPr>
        <w:spacing w:after="0" w:line="174" w:lineRule="exact"/>
        <w:rPr>
          <w:rFonts w:ascii="Courier New" w:cs="Courier New" w:eastAsia="Courier New" w:hAnsi="Courier New"/>
          <w:sz w:val="15"/>
          <w:szCs w:val="15"/>
          <w:color w:val="auto"/>
        </w:rPr>
      </w:pPr>
    </w:p>
    <w:p>
      <w:pPr>
        <w:ind w:left="880" w:right="800" w:hanging="449"/>
        <w:spacing w:after="0" w:line="235" w:lineRule="auto"/>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risk on non-U.S. dollar denominated cash and non-U.S. dollar denominated debt.</w:t>
      </w:r>
    </w:p>
    <w:p>
      <w:pPr>
        <w:spacing w:after="0" w:line="176" w:lineRule="exact"/>
        <w:rPr>
          <w:sz w:val="20"/>
          <w:szCs w:val="20"/>
          <w:color w:val="auto"/>
        </w:rPr>
      </w:pPr>
    </w:p>
    <w:p>
      <w:pPr>
        <w:ind w:right="800"/>
        <w:spacing w:after="0" w:line="237" w:lineRule="auto"/>
        <w:rPr>
          <w:sz w:val="20"/>
          <w:szCs w:val="20"/>
          <w:color w:val="auto"/>
        </w:rPr>
      </w:pPr>
      <w:r>
        <w:rPr>
          <w:rFonts w:ascii="Courier New" w:cs="Courier New" w:eastAsia="Courier New" w:hAnsi="Courier New"/>
          <w:sz w:val="15"/>
          <w:szCs w:val="15"/>
          <w:color w:val="auto"/>
        </w:rPr>
        <w:t>We use derivative financial instruments solely to hedge exposure to these market risks and we do not enter into these instruments for trading or speculative purposes.</w:t>
      </w:r>
    </w:p>
    <w:p>
      <w:pPr>
        <w:spacing w:after="0" w:line="175" w:lineRule="exact"/>
        <w:rPr>
          <w:sz w:val="20"/>
          <w:szCs w:val="20"/>
          <w:color w:val="auto"/>
        </w:rPr>
      </w:pPr>
    </w:p>
    <w:p>
      <w:pPr>
        <w:ind w:right="800"/>
        <w:spacing w:after="0" w:line="238" w:lineRule="auto"/>
        <w:rPr>
          <w:sz w:val="20"/>
          <w:szCs w:val="20"/>
          <w:color w:val="auto"/>
        </w:rPr>
      </w:pPr>
      <w:r>
        <w:rPr>
          <w:rFonts w:ascii="Courier New" w:cs="Courier New" w:eastAsia="Courier New" w:hAnsi="Courier New"/>
          <w:sz w:val="15"/>
          <w:szCs w:val="15"/>
          <w:color w:val="auto"/>
        </w:rPr>
        <w:t>Our primary foreign currency exchange risk relates to movements in rates between the U.S. dollar, Sterling and the Euro. At May 31, 2005, we had cash denominated in non-U.S. dollar denominated currencies. In order to reduce the foreign currency exchange risk during the year, we entered into certain derivative instruments to reduce our exposure to adverse changes in exchange rates. These financial instruments comprised of a series of foreign exchange forward contracts all of which were settled during the 2005 fiscal year. At May 31, 2005, we held no foreign exchange forward contracts.</w:t>
      </w:r>
    </w:p>
    <w:p>
      <w:pPr>
        <w:spacing w:after="0" w:line="178" w:lineRule="exact"/>
        <w:rPr>
          <w:sz w:val="20"/>
          <w:szCs w:val="20"/>
          <w:color w:val="auto"/>
        </w:rPr>
      </w:pPr>
    </w:p>
    <w:p>
      <w:pPr>
        <w:ind w:right="980"/>
        <w:spacing w:after="0" w:line="238" w:lineRule="auto"/>
        <w:rPr>
          <w:sz w:val="20"/>
          <w:szCs w:val="20"/>
          <w:color w:val="auto"/>
        </w:rPr>
      </w:pPr>
      <w:r>
        <w:rPr>
          <w:rFonts w:ascii="Courier New" w:cs="Courier New" w:eastAsia="Courier New" w:hAnsi="Courier New"/>
          <w:sz w:val="15"/>
          <w:szCs w:val="15"/>
          <w:color w:val="auto"/>
        </w:rPr>
        <w:t>Quantitative disclosure of Market Risk. The analysis below presents the sensitivity of the market value, or fair value of our financial instruments to selected changes in market rates and prices. The changes chosen represent our view of changes that are reasonable over a one year period. The estimated fair value of the foreign exchange forward contracts is based on quotations from independent third party financial institutions.</w:t>
      </w:r>
    </w:p>
    <w:p>
      <w:pPr>
        <w:spacing w:after="0" w:line="176" w:lineRule="exact"/>
        <w:rPr>
          <w:sz w:val="20"/>
          <w:szCs w:val="20"/>
          <w:color w:val="auto"/>
        </w:rPr>
      </w:pPr>
    </w:p>
    <w:p>
      <w:pPr>
        <w:ind w:right="800"/>
        <w:spacing w:after="0" w:line="238" w:lineRule="auto"/>
        <w:rPr>
          <w:sz w:val="20"/>
          <w:szCs w:val="20"/>
          <w:color w:val="auto"/>
        </w:rPr>
      </w:pPr>
      <w:r>
        <w:rPr>
          <w:rFonts w:ascii="Courier New" w:cs="Courier New" w:eastAsia="Courier New" w:hAnsi="Courier New"/>
          <w:sz w:val="15"/>
          <w:szCs w:val="15"/>
          <w:color w:val="auto"/>
        </w:rPr>
        <w:t>The hypothetical changes in fair value are estimated based on the same methodology used by the third party financial institutions to calculate the fair value of the original instruments, keeping all variables constant except the relevant exchange rate, as the case may be, which has been adjusted to reflect the hypothetical change. Fair value estimates by their nature are subjective and involve uncertainties and matters of significant judgment and therefore cannot be determined precisely.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Risk</w:t>
      </w:r>
    </w:p>
    <w:p>
      <w:pPr>
        <w:spacing w:after="0" w:line="175" w:lineRule="exact"/>
        <w:rPr>
          <w:sz w:val="20"/>
          <w:szCs w:val="20"/>
          <w:color w:val="auto"/>
        </w:rPr>
      </w:pPr>
    </w:p>
    <w:p>
      <w:pPr>
        <w:ind w:right="880"/>
        <w:spacing w:after="0" w:line="235" w:lineRule="auto"/>
        <w:rPr>
          <w:sz w:val="20"/>
          <w:szCs w:val="20"/>
          <w:color w:val="auto"/>
        </w:rPr>
      </w:pPr>
      <w:r>
        <w:rPr>
          <w:rFonts w:ascii="Courier New" w:cs="Courier New" w:eastAsia="Courier New" w:hAnsi="Courier New"/>
          <w:sz w:val="15"/>
          <w:szCs w:val="15"/>
          <w:color w:val="auto"/>
        </w:rPr>
        <w:t>The sensitivity analysis below represents the hypothetical change in fair value based on an immediate 10% movement in the exchange rates.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Fair value Change +10%</w:t>
            </w:r>
          </w:p>
        </w:tc>
      </w:tr>
      <w:tr>
        <w:trPr>
          <w:trHeight w:val="170"/>
        </w:trPr>
        <w:tc>
          <w:tcPr>
            <w:tcW w:w="3300" w:type="dxa"/>
            <w:vAlign w:val="bottom"/>
          </w:tcPr>
          <w:p>
            <w:pPr>
              <w:spacing w:after="0"/>
              <w:rPr>
                <w:sz w:val="14"/>
                <w:szCs w:val="14"/>
                <w:color w:val="auto"/>
              </w:rPr>
            </w:pP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Fair value at</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movement in foreign</w:t>
            </w:r>
          </w:p>
        </w:tc>
      </w:tr>
      <w:tr>
        <w:trPr>
          <w:trHeight w:val="170"/>
        </w:trPr>
        <w:tc>
          <w:tcPr>
            <w:tcW w:w="3300" w:type="dxa"/>
            <w:vAlign w:val="bottom"/>
          </w:tcPr>
          <w:p>
            <w:pPr>
              <w:spacing w:after="0"/>
              <w:rPr>
                <w:sz w:val="14"/>
                <w:szCs w:val="14"/>
                <w:color w:val="auto"/>
              </w:rPr>
            </w:pP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May 31, 2005</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exchange rate</w:t>
            </w:r>
          </w:p>
        </w:tc>
      </w:tr>
      <w:tr>
        <w:trPr>
          <w:trHeight w:val="170"/>
        </w:trPr>
        <w:tc>
          <w:tcPr>
            <w:tcW w:w="3300" w:type="dxa"/>
            <w:vAlign w:val="bottom"/>
          </w:tcPr>
          <w:p>
            <w:pPr>
              <w:spacing w:after="0"/>
              <w:rPr>
                <w:sz w:val="14"/>
                <w:szCs w:val="14"/>
                <w:color w:val="auto"/>
              </w:rPr>
            </w:pP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 thousands)</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509"/>
        </w:trPr>
        <w:tc>
          <w:tcPr>
            <w:tcW w:w="3300" w:type="dxa"/>
            <w:vAlign w:val="bottom"/>
          </w:tcPr>
          <w:p>
            <w:pPr>
              <w:spacing w:after="0"/>
              <w:rPr>
                <w:sz w:val="20"/>
                <w:szCs w:val="20"/>
                <w:color w:val="auto"/>
              </w:rPr>
            </w:pPr>
            <w:r>
              <w:rPr>
                <w:rFonts w:ascii="Courier New" w:cs="Courier New" w:eastAsia="Courier New" w:hAnsi="Courier New"/>
                <w:sz w:val="15"/>
                <w:szCs w:val="15"/>
                <w:color w:val="auto"/>
              </w:rPr>
              <w:t>Non-U.S. Dollar denominated cash</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$7,137</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$ 714</w:t>
            </w:r>
          </w:p>
        </w:tc>
      </w:tr>
      <w:tr>
        <w:trPr>
          <w:trHeight w:val="509"/>
        </w:trPr>
        <w:tc>
          <w:tcPr>
            <w:tcW w:w="3300" w:type="dxa"/>
            <w:vAlign w:val="bottom"/>
          </w:tcPr>
          <w:p>
            <w:pPr>
              <w:spacing w:after="0"/>
              <w:rPr>
                <w:sz w:val="20"/>
                <w:szCs w:val="20"/>
                <w:color w:val="auto"/>
              </w:rPr>
            </w:pPr>
            <w:r>
              <w:rPr>
                <w:rFonts w:ascii="Courier New" w:cs="Courier New" w:eastAsia="Courier New" w:hAnsi="Courier New"/>
                <w:sz w:val="15"/>
                <w:szCs w:val="15"/>
                <w:color w:val="auto"/>
              </w:rPr>
              <w:t>Non-U.S. Dollar denominated</w:t>
            </w:r>
          </w:p>
        </w:tc>
        <w:tc>
          <w:tcPr>
            <w:tcW w:w="2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short term debt</w:t>
            </w:r>
          </w:p>
        </w:tc>
        <w:tc>
          <w:tcPr>
            <w:tcW w:w="2160" w:type="dxa"/>
            <w:vAlign w:val="bottom"/>
          </w:tcPr>
          <w:p>
            <w:pPr>
              <w:spacing w:after="0"/>
              <w:rPr>
                <w:sz w:val="14"/>
                <w:szCs w:val="14"/>
                <w:color w:val="auto"/>
              </w:rPr>
            </w:pPr>
          </w:p>
        </w:tc>
        <w:tc>
          <w:tcPr>
            <w:tcW w:w="23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Description of Securities Other than Equity Securities.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line="237" w:lineRule="auto"/>
        <w:rPr>
          <w:sz w:val="20"/>
          <w:szCs w:val="20"/>
          <w:color w:val="auto"/>
        </w:rPr>
      </w:pPr>
      <w:r>
        <w:rPr>
          <w:rFonts w:ascii="Courier New" w:cs="Courier New" w:eastAsia="Courier New" w:hAnsi="Courier New"/>
          <w:sz w:val="15"/>
          <w:szCs w:val="15"/>
          <w:color w:val="auto"/>
        </w:rPr>
        <w:t>Fair value Change -10% movement in foreign exchange rate (in thousands)</w:t>
      </w:r>
    </w:p>
    <w:p>
      <w:pPr>
        <w:spacing w:after="0" w:line="340"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$(714)</w:t>
      </w:r>
    </w:p>
    <w:p>
      <w:pPr>
        <w:spacing w:after="0" w:line="33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840" w:space="620"/>
            <w:col w:w="1940"/>
          </w:cols>
          <w:pgMar w:left="240" w:top="1130" w:right="1259" w:bottom="1440" w:gutter="0" w:footer="0" w:header="0"/>
        </w:sectPr>
      </w:pPr>
    </w:p>
    <w:bookmarkStart w:id="45" w:name="page46"/>
    <w:bookmarkEnd w:id="45"/>
    <w:p>
      <w:pPr>
        <w:ind w:left="1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13. Defaults, Dividend Arrearages and Delinquencies.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None.</w:t>
      </w:r>
    </w:p>
    <w:p>
      <w:pPr>
        <w:spacing w:after="0" w:line="175" w:lineRule="exact"/>
        <w:rPr>
          <w:sz w:val="20"/>
          <w:szCs w:val="20"/>
          <w:color w:val="auto"/>
        </w:rPr>
      </w:pPr>
    </w:p>
    <w:p>
      <w:pPr>
        <w:ind w:left="790" w:right="3539" w:hanging="792"/>
        <w:spacing w:after="0" w:line="235" w:lineRule="auto"/>
        <w:rPr>
          <w:sz w:val="20"/>
          <w:szCs w:val="20"/>
          <w:color w:val="auto"/>
        </w:rPr>
      </w:pPr>
      <w:r>
        <w:rPr>
          <w:rFonts w:ascii="Courier New" w:cs="Courier New" w:eastAsia="Courier New" w:hAnsi="Courier New"/>
          <w:sz w:val="15"/>
          <w:szCs w:val="15"/>
          <w:color w:val="auto"/>
        </w:rPr>
        <w:t>Item 14. Material Modifications to the Rights of Security Holders and Use of Proceeds.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15. Controls and Procedures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Evaluation of disclosure controls and procedures.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At the end of the fiscal year, an evaluation was carried out under the supervision and with the participation of the Company's management, including the Chief Executive Officer (CEO) and the Chief Financial Officer (CFO), of the effectiveness of our disclosure controls and procedures.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 Changes in internal controls.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There were no changes in the Company's internal controls over financial reporting that occurred during the period covered by this Form 20-F that have materially affected or are reasonably likely to materially affect the Company's internal controls over financial reporting.</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16. Reserved.</w:t>
      </w:r>
    </w:p>
    <w:p>
      <w:pPr>
        <w:spacing w:after="0" w:line="169" w:lineRule="exact"/>
        <w:rPr>
          <w:sz w:val="20"/>
          <w:szCs w:val="20"/>
          <w:color w:val="auto"/>
        </w:rPr>
      </w:pPr>
    </w:p>
    <w:p>
      <w:pPr>
        <w:ind w:left="450" w:hanging="450"/>
        <w:spacing w:after="0"/>
        <w:tabs>
          <w:tab w:leader="none" w:pos="4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Financial Expert</w:t>
      </w:r>
    </w:p>
    <w:p>
      <w:pPr>
        <w:spacing w:after="0" w:line="175" w:lineRule="exact"/>
        <w:rPr>
          <w:sz w:val="20"/>
          <w:szCs w:val="20"/>
          <w:color w:val="auto"/>
        </w:rPr>
      </w:pPr>
    </w:p>
    <w:p>
      <w:pPr>
        <w:ind w:left="10" w:right="3979"/>
        <w:spacing w:after="0" w:line="237" w:lineRule="auto"/>
        <w:rPr>
          <w:sz w:val="20"/>
          <w:szCs w:val="20"/>
          <w:color w:val="auto"/>
        </w:rPr>
      </w:pPr>
      <w:r>
        <w:rPr>
          <w:rFonts w:ascii="Courier New" w:cs="Courier New" w:eastAsia="Courier New" w:hAnsi="Courier New"/>
          <w:sz w:val="15"/>
          <w:szCs w:val="15"/>
          <w:color w:val="auto"/>
        </w:rPr>
        <w:t>During fiscal year 2004 the Company named Mr. Thomas Lynch, as an audit committee financial expert serving on its audit committee and board of directors. Mr. Lynch is independent and serves as one of the company's non-executive directors.</w:t>
      </w:r>
    </w:p>
    <w:p>
      <w:pPr>
        <w:spacing w:after="0" w:line="171" w:lineRule="exact"/>
        <w:rPr>
          <w:sz w:val="20"/>
          <w:szCs w:val="20"/>
          <w:color w:val="auto"/>
        </w:rPr>
      </w:pPr>
    </w:p>
    <w:p>
      <w:pPr>
        <w:ind w:left="450" w:hanging="450"/>
        <w:spacing w:after="0"/>
        <w:tabs>
          <w:tab w:leader="none" w:pos="4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of Ethics</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The Company's Board of Directors adopted a code of ethics in 2003 that applies to the Chief Executive Officer, the Chief Financial Officer and any persons performing similar functions, if any, of the Company.</w:t>
      </w:r>
    </w:p>
    <w:p>
      <w:pPr>
        <w:spacing w:after="0" w:line="17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There are no material modifications to, or waivers from, the provisions of such code, which are required to be disclosed.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This code is available on the Company's website at the following address:</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http://www.iconclinical.com/index.asp?getpage=true&amp;sid=1&amp;ssid=0&amp;sssid=0&amp;page=17</w:t>
      </w:r>
    </w:p>
    <w:p>
      <w:pPr>
        <w:spacing w:after="0" w:line="175" w:lineRule="exact"/>
        <w:rPr>
          <w:sz w:val="20"/>
          <w:szCs w:val="20"/>
          <w:color w:val="auto"/>
        </w:rPr>
      </w:pPr>
    </w:p>
    <w:p>
      <w:pPr>
        <w:ind w:left="450" w:hanging="450"/>
        <w:spacing w:after="0"/>
        <w:tabs>
          <w:tab w:leader="none" w:pos="4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Accountant Fees and Services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Company's principal accountants for the years 2004 and 2005 were KPMG.</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table below summarizes the fees for professional services rendered by KPMG for the audit of the Company's annual financial statements for 2004 and 2005 and fees billed for other services rendered by KPMG.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9"/>
          </w:cols>
          <w:pgMar w:left="230" w:top="622" w:right="1440" w:bottom="1440" w:gutter="0" w:footer="0" w:header="0"/>
        </w:sectPr>
      </w:pPr>
    </w:p>
    <w:bookmarkStart w:id="46" w:name="page47"/>
    <w:bookmarkEnd w:id="46"/>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920" w:type="dxa"/>
            <w:vAlign w:val="bottom"/>
            <w:gridSpan w:val="2"/>
          </w:tcPr>
          <w:p>
            <w:pPr>
              <w:jc w:val="right"/>
              <w:ind w:right="1127"/>
              <w:spacing w:after="0"/>
              <w:rPr>
                <w:sz w:val="20"/>
                <w:szCs w:val="20"/>
                <w:color w:val="auto"/>
              </w:rPr>
            </w:pPr>
            <w:r>
              <w:rPr>
                <w:rFonts w:ascii="Courier New" w:cs="Courier New" w:eastAsia="Courier New" w:hAnsi="Courier New"/>
                <w:sz w:val="15"/>
                <w:szCs w:val="15"/>
                <w:color w:val="auto"/>
                <w:w w:val="99"/>
              </w:rPr>
              <w:t>Year ended May 31st</w:t>
            </w:r>
          </w:p>
        </w:tc>
        <w:tc>
          <w:tcPr>
            <w:tcW w:w="66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160" w:type="dxa"/>
            <w:vAlign w:val="bottom"/>
          </w:tcPr>
          <w:p>
            <w:pPr>
              <w:spacing w:after="0"/>
              <w:rPr>
                <w:sz w:val="14"/>
                <w:szCs w:val="14"/>
                <w:color w:val="auto"/>
              </w:rPr>
            </w:pP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2005</w:t>
            </w:r>
          </w:p>
        </w:tc>
        <w:tc>
          <w:tcPr>
            <w:tcW w:w="66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Audit fees (1)</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$647</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$719</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Audit related fees (2)</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Tax fees (3)</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249</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All other fees (4)</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r>
      <w:tr>
        <w:trPr>
          <w:trHeight w:val="339"/>
        </w:trPr>
        <w:tc>
          <w:tcPr>
            <w:tcW w:w="9820" w:type="dxa"/>
            <w:vAlign w:val="bottom"/>
            <w:gridSpan w:val="4"/>
          </w:tcPr>
          <w:p>
            <w:pPr>
              <w:spacing w:after="0"/>
              <w:rPr>
                <w:sz w:val="20"/>
                <w:szCs w:val="20"/>
                <w:color w:val="auto"/>
              </w:rPr>
            </w:pPr>
            <w:r>
              <w:rPr>
                <w:rFonts w:ascii="Courier New" w:cs="Courier New" w:eastAsia="Courier New" w:hAnsi="Courier New"/>
                <w:sz w:val="15"/>
                <w:szCs w:val="15"/>
                <w:color w:val="auto"/>
                <w:w w:val="98"/>
              </w:rPr>
              <w:t>- ------------------------------------------------------------ ------------------ ---------- ------------------</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$1,075</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$992</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0" w:right="3620" w:hanging="450"/>
        <w:spacing w:after="0" w:line="235"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fees include annual audit fees for ICON plc and its subsidiaries as well as fees for the registration statement filed in 2004.</w:t>
      </w:r>
    </w:p>
    <w:p>
      <w:pPr>
        <w:spacing w:after="0" w:line="175" w:lineRule="exact"/>
        <w:rPr>
          <w:rFonts w:ascii="Courier New" w:cs="Courier New" w:eastAsia="Courier New" w:hAnsi="Courier New"/>
          <w:sz w:val="15"/>
          <w:szCs w:val="15"/>
          <w:color w:val="auto"/>
        </w:rPr>
      </w:pPr>
    </w:p>
    <w:p>
      <w:pPr>
        <w:ind w:left="450" w:right="3620" w:hanging="450"/>
        <w:spacing w:after="0" w:line="237"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related fees principally consisted of fees for financial due diligence services and fees for audit of financial statements of employee benefit plans.</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fees are fees for tax compliance and tax consultation services.</w:t>
      </w:r>
    </w:p>
    <w:p>
      <w:pPr>
        <w:spacing w:after="0" w:line="174" w:lineRule="exact"/>
        <w:rPr>
          <w:rFonts w:ascii="Courier New" w:cs="Courier New" w:eastAsia="Courier New" w:hAnsi="Courier New"/>
          <w:sz w:val="15"/>
          <w:szCs w:val="15"/>
          <w:color w:val="auto"/>
        </w:rPr>
      </w:pPr>
    </w:p>
    <w:p>
      <w:pPr>
        <w:ind w:left="450" w:right="4240" w:hanging="450"/>
        <w:spacing w:after="0" w:line="235" w:lineRule="auto"/>
        <w:tabs>
          <w:tab w:leader="none" w:pos="4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fees are fees for secretarial assistance rendered by the Company's auditors.</w:t>
      </w:r>
    </w:p>
    <w:p>
      <w:pPr>
        <w:spacing w:after="0" w:line="176" w:lineRule="exact"/>
        <w:rPr>
          <w:sz w:val="20"/>
          <w:szCs w:val="20"/>
          <w:color w:val="auto"/>
        </w:rPr>
      </w:pPr>
    </w:p>
    <w:p>
      <w:pPr>
        <w:ind w:left="10" w:right="3880"/>
        <w:spacing w:after="0" w:line="235" w:lineRule="auto"/>
        <w:rPr>
          <w:sz w:val="20"/>
          <w:szCs w:val="20"/>
          <w:color w:val="auto"/>
        </w:rPr>
      </w:pPr>
      <w:r>
        <w:rPr>
          <w:rFonts w:ascii="Courier New" w:cs="Courier New" w:eastAsia="Courier New" w:hAnsi="Courier New"/>
          <w:sz w:val="15"/>
          <w:szCs w:val="15"/>
          <w:color w:val="auto"/>
        </w:rPr>
        <w:t>The Audit Committee pre-approves on an annual basis the audit and non-audit services provided to the Company by its auditors.</w:t>
      </w:r>
    </w:p>
    <w:p>
      <w:pPr>
        <w:spacing w:after="0" w:line="176" w:lineRule="exact"/>
        <w:rPr>
          <w:sz w:val="20"/>
          <w:szCs w:val="20"/>
          <w:color w:val="auto"/>
        </w:rPr>
      </w:pPr>
    </w:p>
    <w:p>
      <w:pPr>
        <w:ind w:left="10" w:right="3440"/>
        <w:spacing w:after="0" w:line="237" w:lineRule="auto"/>
        <w:rPr>
          <w:sz w:val="20"/>
          <w:szCs w:val="20"/>
          <w:color w:val="auto"/>
        </w:rPr>
      </w:pPr>
      <w:r>
        <w:rPr>
          <w:rFonts w:ascii="Courier New" w:cs="Courier New" w:eastAsia="Courier New" w:hAnsi="Courier New"/>
          <w:sz w:val="15"/>
          <w:szCs w:val="15"/>
          <w:color w:val="auto"/>
        </w:rPr>
        <w:t>Such annual pre-approval is given with respect to particular services. The Audit Committee, on a case-by-case basis, may approve additional services not covered by the annual pre-approval, as the need for such services arises.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17.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18.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Reference is made to pages 45 to 76 of this Form 20-F.</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19. Financial Statements and Exhibits.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Financial statements of ICON plc and subsidiaries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Consolidated Balance Sheets at May 31, 2004, and May 31, 2005</w:t>
      </w:r>
    </w:p>
    <w:p>
      <w:pPr>
        <w:spacing w:after="0" w:line="175" w:lineRule="exact"/>
        <w:rPr>
          <w:sz w:val="20"/>
          <w:szCs w:val="20"/>
          <w:color w:val="auto"/>
        </w:rPr>
      </w:pPr>
    </w:p>
    <w:p>
      <w:pPr>
        <w:ind w:left="450" w:right="3800"/>
        <w:spacing w:after="0" w:line="235" w:lineRule="auto"/>
        <w:rPr>
          <w:sz w:val="20"/>
          <w:szCs w:val="20"/>
          <w:color w:val="auto"/>
        </w:rPr>
      </w:pPr>
      <w:r>
        <w:rPr>
          <w:rFonts w:ascii="Courier New" w:cs="Courier New" w:eastAsia="Courier New" w:hAnsi="Courier New"/>
          <w:sz w:val="15"/>
          <w:szCs w:val="15"/>
          <w:color w:val="auto"/>
        </w:rPr>
        <w:t>Consolidated Statements of Operations for the years ended May 31, 2003, 2004 and 2005</w:t>
      </w:r>
    </w:p>
    <w:p>
      <w:pPr>
        <w:spacing w:after="0" w:line="176" w:lineRule="exact"/>
        <w:rPr>
          <w:sz w:val="20"/>
          <w:szCs w:val="20"/>
          <w:color w:val="auto"/>
        </w:rPr>
      </w:pPr>
    </w:p>
    <w:p>
      <w:pPr>
        <w:ind w:left="450" w:right="3700"/>
        <w:spacing w:after="0" w:line="235" w:lineRule="auto"/>
        <w:rPr>
          <w:sz w:val="20"/>
          <w:szCs w:val="20"/>
          <w:color w:val="auto"/>
        </w:rPr>
      </w:pPr>
      <w:r>
        <w:rPr>
          <w:rFonts w:ascii="Courier New" w:cs="Courier New" w:eastAsia="Courier New" w:hAnsi="Courier New"/>
          <w:sz w:val="15"/>
          <w:szCs w:val="15"/>
          <w:color w:val="auto"/>
        </w:rPr>
        <w:t>Consolidated Statements of Shareholders' Equity and Comprehensive Income for the years ended May 31, 2003, 2004 and 2005.</w:t>
      </w:r>
    </w:p>
    <w:p>
      <w:pPr>
        <w:spacing w:after="0" w:line="176" w:lineRule="exact"/>
        <w:rPr>
          <w:sz w:val="20"/>
          <w:szCs w:val="20"/>
          <w:color w:val="auto"/>
        </w:rPr>
      </w:pPr>
    </w:p>
    <w:p>
      <w:pPr>
        <w:ind w:left="450" w:right="3800"/>
        <w:spacing w:after="0" w:line="235" w:lineRule="auto"/>
        <w:rPr>
          <w:sz w:val="20"/>
          <w:szCs w:val="20"/>
          <w:color w:val="auto"/>
        </w:rPr>
      </w:pPr>
      <w:r>
        <w:rPr>
          <w:rFonts w:ascii="Courier New" w:cs="Courier New" w:eastAsia="Courier New" w:hAnsi="Courier New"/>
          <w:sz w:val="15"/>
          <w:szCs w:val="15"/>
          <w:color w:val="auto"/>
        </w:rPr>
        <w:t>Consolidated Statements of Cash Flows for the years ended May 31, 2003, 2004 and 2005</w:t>
      </w:r>
    </w:p>
    <w:p>
      <w:pPr>
        <w:spacing w:after="0" w:line="200" w:lineRule="exact"/>
        <w:rPr>
          <w:sz w:val="20"/>
          <w:szCs w:val="20"/>
          <w:color w:val="auto"/>
        </w:rPr>
      </w:pPr>
    </w:p>
    <w:p>
      <w:pPr>
        <w:spacing w:after="0" w:line="30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490"/>
          </w:cols>
          <w:pgMar w:left="230" w:top="1440" w:right="1179" w:bottom="1440" w:gutter="0" w:footer="0" w:header="0"/>
        </w:sectPr>
      </w:pPr>
    </w:p>
    <w:bookmarkStart w:id="47" w:name="page48"/>
    <w:bookmarkEnd w:id="47"/>
    <w:p>
      <w:pPr>
        <w:ind w:left="440"/>
        <w:spacing w:after="0"/>
        <w:rPr>
          <w:sz w:val="20"/>
          <w:szCs w:val="20"/>
          <w:color w:val="auto"/>
        </w:rPr>
      </w:pPr>
      <w:r>
        <w:rPr>
          <w:rFonts w:ascii="Courier New" w:cs="Courier New" w:eastAsia="Courier New" w:hAnsi="Courier New"/>
          <w:sz w:val="14"/>
          <w:szCs w:val="14"/>
          <w:color w:val="auto"/>
        </w:rPr>
        <w:t>Notes to the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of ICON plc and subsidiaries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Significant subsidiaries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906 certifications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7" w:right="1440" w:bottom="1440" w:gutter="0" w:footer="0" w:header="0"/>
        </w:sectPr>
      </w:pPr>
    </w:p>
    <w:bookmarkStart w:id="48" w:name="page49"/>
    <w:bookmarkEnd w:id="48"/>
    <w:p>
      <w:pPr>
        <w:ind w:left="114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and Shareholders of ICON plc</w:t>
      </w:r>
    </w:p>
    <w:p>
      <w:pPr>
        <w:spacing w:after="0" w:line="200" w:lineRule="exact"/>
        <w:rPr>
          <w:sz w:val="20"/>
          <w:szCs w:val="20"/>
          <w:color w:val="auto"/>
        </w:rPr>
      </w:pPr>
    </w:p>
    <w:p>
      <w:pPr>
        <w:spacing w:after="0" w:line="314"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ICON plc and subsidiaries as of May 31, 2004 and 2005 and the related consolidated statements of operations, shareholders' equity and comprehensive income and cash flows for each of the years in the three-year period ended May 31, 2005.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left="440" w:right="3179"/>
        <w:spacing w:after="0" w:line="257"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Ireland and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left="440" w:right="3259"/>
        <w:spacing w:after="0" w:line="258"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ICON plc and subsidiaries as of May 31, 2004 and 2005, and the consolidated results of their operations and their cash flows for each of the years in the three-year period ended May 31, 2005 in conformity with accounting principles generally accepted in the United States.</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KPMG</w:t>
      </w:r>
    </w:p>
    <w:p>
      <w:pPr>
        <w:ind w:left="440"/>
        <w:spacing w:after="0"/>
        <w:rPr>
          <w:sz w:val="20"/>
          <w:szCs w:val="20"/>
          <w:color w:val="auto"/>
        </w:rPr>
      </w:pPr>
      <w:r>
        <w:rPr>
          <w:rFonts w:ascii="Courier New" w:cs="Courier New" w:eastAsia="Courier New" w:hAnsi="Courier New"/>
          <w:sz w:val="15"/>
          <w:szCs w:val="15"/>
          <w:color w:val="auto"/>
        </w:rPr>
        <w:t>Public Accounting Firm</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Dublin, Ireland</w:t>
      </w:r>
    </w:p>
    <w:p>
      <w:pPr>
        <w:ind w:left="440"/>
        <w:spacing w:after="0"/>
        <w:rPr>
          <w:sz w:val="20"/>
          <w:szCs w:val="20"/>
          <w:color w:val="auto"/>
        </w:rPr>
      </w:pPr>
      <w:r>
        <w:rPr>
          <w:rFonts w:ascii="Courier New" w:cs="Courier New" w:eastAsia="Courier New" w:hAnsi="Courier New"/>
          <w:sz w:val="15"/>
          <w:szCs w:val="15"/>
          <w:color w:val="auto"/>
        </w:rPr>
        <w:t>July 27,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1130" w:right="1440" w:bottom="1440" w:gutter="0" w:footer="0" w:header="0"/>
        </w:sectPr>
      </w:pPr>
    </w:p>
    <w:bookmarkStart w:id="49" w:name="page50"/>
    <w:bookmarkEnd w:id="49"/>
    <w:p>
      <w:pPr>
        <w:spacing w:after="0" w:line="30"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ICON plc</w:t>
      </w:r>
    </w:p>
    <w:p>
      <w:pPr>
        <w:jc w:val="center"/>
        <w:ind w:right="3360"/>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6240" w:type="dxa"/>
            <w:vAlign w:val="bottom"/>
          </w:tcPr>
          <w:p>
            <w:pPr>
              <w:spacing w:after="0"/>
              <w:rPr>
                <w:sz w:val="14"/>
                <w:szCs w:val="14"/>
                <w:color w:val="auto"/>
              </w:rPr>
            </w:pP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2004</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6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9"/>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$55,678</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$56,341</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Short term investments - available for sale (Note 3)</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23,085</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22,034</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74,079</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80,486</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Unbilled revenue</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59,861</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56,762</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Other receivables</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4,306</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5,662</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Deferred tax asset (Note 13)</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1,684</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2,637</w:t>
            </w:r>
          </w:p>
        </w:tc>
      </w:tr>
      <w:tr>
        <w:trPr>
          <w:trHeight w:val="170"/>
        </w:trPr>
        <w:tc>
          <w:tcPr>
            <w:tcW w:w="6240" w:type="dxa"/>
            <w:vAlign w:val="bottom"/>
          </w:tcPr>
          <w:p>
            <w:pPr>
              <w:ind w:left="340"/>
              <w:spacing w:after="0"/>
              <w:rPr>
                <w:sz w:val="20"/>
                <w:szCs w:val="20"/>
                <w:color w:val="auto"/>
              </w:rPr>
            </w:pPr>
            <w:r>
              <w:rPr>
                <w:rFonts w:ascii="Courier New" w:cs="Courier New" w:eastAsia="Courier New" w:hAnsi="Courier New"/>
                <w:sz w:val="15"/>
                <w:szCs w:val="15"/>
                <w:color w:val="auto"/>
              </w:rPr>
              <w:t>Prepayments and other current assets</w:t>
            </w: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9,468</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10,717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30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228,161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234,639</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0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Property, plant and equipment, net (Note 6)</w:t>
            </w:r>
          </w:p>
        </w:tc>
        <w:tc>
          <w:tcPr>
            <w:tcW w:w="30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42,936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45,286</w:t>
            </w:r>
          </w:p>
        </w:tc>
      </w:t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Goodwill (Note 4)</w:t>
            </w:r>
          </w:p>
        </w:tc>
        <w:tc>
          <w:tcPr>
            <w:tcW w:w="30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64,226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67,440</w:t>
            </w:r>
          </w:p>
        </w:tc>
      </w:t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Intangible assets (Note 5)</w:t>
            </w:r>
          </w:p>
        </w:tc>
        <w:tc>
          <w:tcPr>
            <w:tcW w:w="30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$335,323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$347,553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35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$12,801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$10,379</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Payments on account</w:t>
            </w:r>
          </w:p>
        </w:tc>
        <w:tc>
          <w:tcPr>
            <w:tcW w:w="35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61,960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52,583</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Other liabilities (Note 7)</w:t>
            </w:r>
          </w:p>
        </w:tc>
        <w:tc>
          <w:tcPr>
            <w:tcW w:w="35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35,091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39,890</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Deferred tax liability (Note 13)</w:t>
            </w:r>
          </w:p>
        </w:tc>
        <w:tc>
          <w:tcPr>
            <w:tcW w:w="35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Income taxes payable</w:t>
            </w:r>
          </w:p>
        </w:tc>
        <w:tc>
          <w:tcPr>
            <w:tcW w:w="35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4,496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6,189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114,348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109,351</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5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Long term government grants (Note 11)</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1,411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Long term finance</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leases</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Non-current deferred tax liability (Note 13)</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2,637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2,747</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Minority interest</w:t>
            </w:r>
          </w:p>
        </w:tc>
        <w:tc>
          <w:tcPr>
            <w:tcW w:w="5240" w:type="dxa"/>
            <w:vAlign w:val="bottom"/>
          </w:tcPr>
          <w:p>
            <w:pPr>
              <w:spacing w:after="0"/>
              <w:rPr>
                <w:sz w:val="14"/>
                <w:szCs w:val="14"/>
                <w:color w:val="auto"/>
              </w:rPr>
            </w:pP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884</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5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authorized, 13,838,476 shares issued and outstanding at May 31, 2004 and</w:t>
            </w:r>
          </w:p>
        </w:tc>
        <w:tc>
          <w:tcPr>
            <w:tcW w:w="1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13,899,096 shares</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issued and outstanding at May 31, 2005 (Note 12)</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980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985</w:t>
            </w:r>
          </w:p>
        </w:tc>
      </w:tr>
      <w:tr>
        <w:trPr>
          <w:trHeight w:val="170"/>
        </w:trPr>
        <w:tc>
          <w:tcPr>
            <w:tcW w:w="71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112,936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114,447</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Accumulated other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comprehensive income</w:t>
            </w: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9,984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11,229</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rPr>
              <w:t>Merger reserve</w:t>
            </w:r>
          </w:p>
        </w:tc>
        <w:tc>
          <w:tcPr>
            <w:tcW w:w="5240" w:type="dxa"/>
            <w:vAlign w:val="bottom"/>
          </w:tcPr>
          <w:p>
            <w:pPr>
              <w:spacing w:after="0"/>
              <w:rPr>
                <w:sz w:val="14"/>
                <w:szCs w:val="14"/>
                <w:color w:val="auto"/>
              </w:rPr>
            </w:pP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0"/>
        </w:trPr>
        <w:tc>
          <w:tcPr>
            <w:tcW w:w="1880" w:type="dxa"/>
            <w:vAlign w:val="bottom"/>
          </w:tcPr>
          <w:p>
            <w:pPr>
              <w:ind w:left="340"/>
              <w:spacing w:after="0"/>
              <w:rPr>
                <w:sz w:val="20"/>
                <w:szCs w:val="20"/>
                <w:color w:val="auto"/>
              </w:rPr>
            </w:pPr>
            <w:r>
              <w:rPr>
                <w:rFonts w:ascii="Courier New" w:cs="Courier New" w:eastAsia="Courier New" w:hAnsi="Courier New"/>
                <w:sz w:val="15"/>
                <w:szCs w:val="15"/>
                <w:color w:val="auto"/>
                <w:w w:val="99"/>
              </w:rPr>
              <w:t>Retained earnings</w:t>
            </w:r>
          </w:p>
        </w:tc>
        <w:tc>
          <w:tcPr>
            <w:tcW w:w="5240" w:type="dxa"/>
            <w:vAlign w:val="bottom"/>
          </w:tcPr>
          <w:p>
            <w:pPr>
              <w:spacing w:after="0"/>
              <w:rPr>
                <w:sz w:val="14"/>
                <w:szCs w:val="14"/>
                <w:color w:val="auto"/>
              </w:rPr>
            </w:pPr>
          </w:p>
        </w:tc>
        <w:tc>
          <w:tcPr>
            <w:tcW w:w="17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92,813</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106,358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38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216,760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233,066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0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$335,323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$347,553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ind w:right="3440" w:firstLine="441"/>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480"/>
          </w:cols>
          <w:pgMar w:left="240" w:top="1440" w:right="1179" w:bottom="1440" w:gutter="0" w:footer="0" w:header="0"/>
        </w:sectPr>
      </w:pPr>
    </w:p>
    <w:bookmarkStart w:id="50" w:name="page51"/>
    <w:bookmarkEnd w:id="50"/>
    <w:p>
      <w:pPr>
        <w:spacing w:after="0" w:line="30"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ICON plc</w:t>
      </w:r>
    </w:p>
    <w:p>
      <w:pPr>
        <w:jc w:val="center"/>
        <w:ind w:right="33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Year Ended May 31,</w:t>
            </w:r>
          </w:p>
        </w:tc>
        <w:tc>
          <w:tcPr>
            <w:tcW w:w="94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3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040" w:type="dxa"/>
            <w:vAlign w:val="bottom"/>
          </w:tcPr>
          <w:p>
            <w:pPr>
              <w:spacing w:after="0"/>
              <w:rPr>
                <w:sz w:val="14"/>
                <w:szCs w:val="14"/>
                <w:color w:val="auto"/>
              </w:rPr>
            </w:pPr>
          </w:p>
        </w:tc>
        <w:tc>
          <w:tcPr>
            <w:tcW w:w="6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 share and per share data)</w:t>
            </w:r>
          </w:p>
        </w:tc>
      </w:tr>
      <w:tr>
        <w:trPr>
          <w:trHeight w:val="509"/>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9"/>
        </w:trPr>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Gross revenue</w:t>
            </w:r>
          </w:p>
        </w:tc>
        <w:tc>
          <w:tcPr>
            <w:tcW w:w="3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$340,971</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$443,875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$469,583</w:t>
            </w:r>
          </w:p>
        </w:tc>
      </w:tr>
      <w:tr>
        <w:trPr>
          <w:trHeight w:val="170"/>
        </w:trPr>
        <w:tc>
          <w:tcPr>
            <w:tcW w:w="4040" w:type="dxa"/>
            <w:vAlign w:val="bottom"/>
          </w:tcPr>
          <w:p>
            <w:pPr>
              <w:ind w:left="340"/>
              <w:spacing w:after="0"/>
              <w:rPr>
                <w:sz w:val="20"/>
                <w:szCs w:val="20"/>
                <w:color w:val="auto"/>
              </w:rPr>
            </w:pPr>
            <w:r>
              <w:rPr>
                <w:rFonts w:ascii="Courier New" w:cs="Courier New" w:eastAsia="Courier New" w:hAnsi="Courier New"/>
                <w:sz w:val="15"/>
                <w:szCs w:val="15"/>
                <w:color w:val="auto"/>
              </w:rPr>
              <w:t>Subcontractor costs</w:t>
            </w:r>
          </w:p>
        </w:tc>
        <w:tc>
          <w:tcPr>
            <w:tcW w:w="3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(115,246)</w:t>
            </w:r>
          </w:p>
        </w:tc>
        <w:tc>
          <w:tcPr>
            <w:tcW w:w="18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(146,952)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(142,925)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Net revenue</w:t>
            </w:r>
          </w:p>
        </w:tc>
        <w:tc>
          <w:tcPr>
            <w:tcW w:w="2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225,725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296,923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326,658</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Direct costs</w:t>
            </w:r>
          </w:p>
        </w:tc>
        <w:tc>
          <w:tcPr>
            <w:tcW w:w="2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122,373</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162,562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179,661</w:t>
            </w:r>
          </w:p>
        </w:tc>
      </w:tr>
      <w:tr>
        <w:trPr>
          <w:trHeight w:val="170"/>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2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71,118</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88,807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103,784</w:t>
            </w:r>
          </w:p>
        </w:tc>
      </w:tr>
      <w:tr>
        <w:trPr>
          <w:trHeight w:val="170"/>
        </w:trPr>
        <w:tc>
          <w:tcPr>
            <w:tcW w:w="510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2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7,305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13,331</w:t>
            </w:r>
          </w:p>
        </w:tc>
      </w:tr>
      <w:tr>
        <w:trPr>
          <w:trHeight w:val="170"/>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Other charges (Note 14)</w:t>
            </w:r>
          </w:p>
        </w:tc>
        <w:tc>
          <w:tcPr>
            <w:tcW w:w="2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11,275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Total costs and expenses</w:t>
            </w:r>
          </w:p>
        </w:tc>
        <w:tc>
          <w:tcPr>
            <w:tcW w:w="3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200,796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262,540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308,051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24,929</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34,383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18,607</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633</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490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3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(279)</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Income before</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provision for income taxes</w:t>
            </w:r>
          </w:p>
        </w:tc>
        <w:tc>
          <w:tcPr>
            <w:tcW w:w="2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25,283</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34,671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19,586</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Provision for</w:t>
            </w:r>
          </w:p>
        </w:tc>
        <w:tc>
          <w:tcPr>
            <w:tcW w:w="3960" w:type="dxa"/>
            <w:vAlign w:val="bottom"/>
          </w:tcPr>
          <w:p>
            <w:pPr>
              <w:ind w:left="40"/>
              <w:spacing w:after="0"/>
              <w:rPr>
                <w:sz w:val="20"/>
                <w:szCs w:val="20"/>
                <w:color w:val="auto"/>
              </w:rPr>
            </w:pPr>
            <w:r>
              <w:rPr>
                <w:rFonts w:ascii="Courier New" w:cs="Courier New" w:eastAsia="Courier New" w:hAnsi="Courier New"/>
                <w:sz w:val="15"/>
                <w:szCs w:val="15"/>
                <w:color w:val="auto"/>
              </w:rPr>
              <w:t>income taxes (Note 13)</w:t>
            </w:r>
          </w:p>
        </w:tc>
        <w:tc>
          <w:tcPr>
            <w:tcW w:w="2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(7,000)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(8,929)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(5,852)</w:t>
            </w:r>
          </w:p>
        </w:tc>
      </w:tr>
      <w:tr>
        <w:trPr>
          <w:trHeight w:val="170"/>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2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$18,283</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$25,742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$13,545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ind w:left="340"/>
              <w:spacing w:after="0"/>
              <w:rPr>
                <w:sz w:val="20"/>
                <w:szCs w:val="20"/>
                <w:color w:val="auto"/>
              </w:rPr>
            </w:pPr>
            <w:r>
              <w:rPr>
                <w:rFonts w:ascii="Courier New" w:cs="Courier New" w:eastAsia="Courier New" w:hAnsi="Courier New"/>
                <w:sz w:val="15"/>
                <w:szCs w:val="15"/>
                <w:color w:val="auto"/>
              </w:rPr>
              <w:t>Net income per ordinary share:</w:t>
            </w:r>
          </w:p>
        </w:tc>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$1.55</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$1.50</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ind w:left="340"/>
              <w:spacing w:after="0"/>
              <w:rPr>
                <w:sz w:val="20"/>
                <w:szCs w:val="20"/>
                <w:color w:val="auto"/>
              </w:rPr>
            </w:pPr>
            <w:r>
              <w:rPr>
                <w:rFonts w:ascii="Courier New" w:cs="Courier New" w:eastAsia="Courier New" w:hAnsi="Courier New"/>
                <w:sz w:val="15"/>
                <w:szCs w:val="15"/>
                <w:color w:val="auto"/>
              </w:rPr>
              <w:t>Weighted average number of ordinary shares outstanding:</w:t>
            </w:r>
          </w:p>
        </w:tc>
        <w:tc>
          <w:tcPr>
            <w:tcW w:w="1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11,813,788</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13,267,531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13,860,203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4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12,181,094</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13,703,163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14,153,445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8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480"/>
          </w:cols>
          <w:pgMar w:left="240" w:top="1440" w:right="1179" w:bottom="1440" w:gutter="0" w:footer="0" w:header="0"/>
        </w:sectPr>
      </w:pPr>
    </w:p>
    <w:bookmarkStart w:id="51" w:name="page52"/>
    <w:bookmarkEnd w:id="51"/>
    <w:p>
      <w:pPr>
        <w:spacing w:after="0" w:line="19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ICON plc</w:t>
      </w:r>
    </w:p>
    <w:p>
      <w:pPr>
        <w:ind w:left="1320"/>
        <w:spacing w:after="0"/>
        <w:rPr>
          <w:sz w:val="20"/>
          <w:szCs w:val="20"/>
          <w:color w:val="auto"/>
        </w:rPr>
      </w:pPr>
      <w:r>
        <w:rPr>
          <w:rFonts w:ascii="Courier New" w:cs="Courier New" w:eastAsia="Courier New" w:hAnsi="Courier New"/>
          <w:sz w:val="15"/>
          <w:szCs w:val="15"/>
          <w:color w:val="auto"/>
        </w:rPr>
        <w:t>CONSOLIDATED STATEMENTS OF SHAREHOLDERS' EQUITY AND COMPREHENSIVE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Accumulated</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Additional</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Paid-in</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Comprehensive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Retained</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Merger</w:t>
            </w:r>
          </w:p>
        </w:tc>
        <w:tc>
          <w:tcPr>
            <w:tcW w:w="126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Capital</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Income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Reserve</w:t>
            </w: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80" w:type="dxa"/>
            <w:vAlign w:val="bottom"/>
            <w:gridSpan w:val="4"/>
          </w:tcPr>
          <w:p>
            <w:pPr>
              <w:jc w:val="right"/>
              <w:ind w:right="687"/>
              <w:spacing w:after="0"/>
              <w:rPr>
                <w:sz w:val="20"/>
                <w:szCs w:val="20"/>
                <w:color w:val="auto"/>
              </w:rPr>
            </w:pPr>
            <w:r>
              <w:rPr>
                <w:rFonts w:ascii="Courier New" w:cs="Courier New" w:eastAsia="Courier New" w:hAnsi="Courier New"/>
                <w:sz w:val="15"/>
                <w:szCs w:val="15"/>
                <w:color w:val="auto"/>
                <w:w w:val="99"/>
              </w:rPr>
              <w:t>(in thousands, except share and per share data)</w:t>
            </w:r>
          </w:p>
        </w:tc>
        <w:tc>
          <w:tcPr>
            <w:tcW w:w="1260" w:type="dxa"/>
            <w:vAlign w:val="bottom"/>
          </w:tcPr>
          <w:p>
            <w:pPr>
              <w:spacing w:after="0"/>
              <w:rPr>
                <w:sz w:val="14"/>
                <w:szCs w:val="14"/>
                <w:color w:val="auto"/>
              </w:rPr>
            </w:pP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8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 --------- ------------- ----------------</w:t>
            </w:r>
          </w:p>
        </w:tc>
        <w:tc>
          <w:tcPr>
            <w:tcW w:w="32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 ---------- --------------</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at May 31, 2002</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11,798,501</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$60,348</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$(2,461)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$48,788</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12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$107,561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18,283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18,283</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10,248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10,248</w:t>
            </w:r>
          </w:p>
        </w:tc>
      </w:tr>
      <w:tr>
        <w:trPr>
          <w:trHeight w:val="170"/>
        </w:trPr>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28,531</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39,360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728</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Shares issued</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3,696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77</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Share issue costs</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(35)</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Tax benefit on exercise of options</w:t>
            </w: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48</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1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 --------- ------------- ---------------- ----------- ---------- --------------</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at May 31, 2003</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11,841,557</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$841</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$61,164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$7,787</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$67,071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$136,910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25,742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25,742</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2,197</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2,197</w:t>
            </w:r>
          </w:p>
        </w:tc>
      </w:tr>
      <w:tr>
        <w:trPr>
          <w:trHeight w:val="170"/>
        </w:trPr>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27,939</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496,919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5,323</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5,358</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Shares issued</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1,500,000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45,601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45,705</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Share issue costs</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(1,428)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(1,428)</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Tax benefit on exercise of options</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2,276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2,276</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81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8"/>
              </w:rPr>
              <w:t>------------- --------- ------------- ---------------- ----------- ---------- --------------</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at May 31, 2004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13,838,476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$980</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$112,936</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$9,984</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$92,813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$216,760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13,545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13,545</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Currency translation adjustment</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1,245</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1,245</w:t>
            </w:r>
          </w:p>
        </w:tc>
      </w:tr>
      <w:tr>
        <w:trPr>
          <w:trHeight w:val="170"/>
        </w:trPr>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14,790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Exercise of share options</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60,620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1,402</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1,407</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Share issue costs</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Tax benefit on exercise of options</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169</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169</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 --------- ------------- ----------------</w:t>
            </w:r>
          </w:p>
        </w:tc>
        <w:tc>
          <w:tcPr>
            <w:tcW w:w="3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 ---------- --------------</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Balance at May 31, 2005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13,899,096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$985</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$114,447</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$11,229</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$106,358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w:t>
            </w:r>
          </w:p>
        </w:tc>
        <w:tc>
          <w:tcPr>
            <w:tcW w:w="14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$233,066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 ---------- --------------</w:t>
      </w:r>
    </w:p>
    <w:p>
      <w:pPr>
        <w:spacing w:after="0" w:line="200" w:lineRule="exact"/>
        <w:rPr>
          <w:sz w:val="20"/>
          <w:szCs w:val="20"/>
          <w:color w:val="auto"/>
        </w:rPr>
      </w:pPr>
    </w:p>
    <w:p>
      <w:pPr>
        <w:spacing w:after="0" w:line="319" w:lineRule="exact"/>
        <w:rPr>
          <w:sz w:val="20"/>
          <w:szCs w:val="20"/>
          <w:color w:val="auto"/>
        </w:rPr>
      </w:pPr>
    </w:p>
    <w:p>
      <w:pPr>
        <w:ind w:right="492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1520"/>
          </w:cols>
          <w:pgMar w:left="240" w:top="1440" w:right="1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0"/>
        </w:trPr>
        <w:tc>
          <w:tcPr>
            <w:tcW w:w="5800" w:type="dxa"/>
            <w:vAlign w:val="bottom"/>
          </w:tcPr>
          <w:p>
            <w:pPr>
              <w:ind w:left="3160"/>
              <w:spacing w:after="0"/>
              <w:rPr>
                <w:sz w:val="20"/>
                <w:szCs w:val="20"/>
                <w:color w:val="auto"/>
              </w:rPr>
            </w:pPr>
            <w:r>
              <w:rPr>
                <w:rFonts w:ascii="Courier New" w:cs="Courier New" w:eastAsia="Courier New" w:hAnsi="Courier New"/>
                <w:sz w:val="15"/>
                <w:szCs w:val="15"/>
                <w:color w:val="auto"/>
              </w:rPr>
              <w:t>ICON plc</w:t>
            </w: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800" w:type="dxa"/>
            <w:vAlign w:val="bottom"/>
          </w:tcPr>
          <w:p>
            <w:pPr>
              <w:ind w:left="1920"/>
              <w:spacing w:after="0"/>
              <w:rPr>
                <w:sz w:val="20"/>
                <w:szCs w:val="20"/>
                <w:color w:val="auto"/>
              </w:rPr>
            </w:pPr>
            <w:r>
              <w:rPr>
                <w:rFonts w:ascii="Courier New" w:cs="Courier New" w:eastAsia="Courier New" w:hAnsi="Courier New"/>
                <w:sz w:val="15"/>
                <w:szCs w:val="15"/>
                <w:color w:val="auto"/>
              </w:rPr>
              <w:t>CONSOLIDATED STATEMENTS OF CASH FLOWS</w:t>
            </w: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 May 31,</w:t>
            </w:r>
          </w:p>
        </w:tc>
        <w:tc>
          <w:tcPr>
            <w:tcW w:w="78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2003</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5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$18,283</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$25,742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$13,545</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provided by operating activities:</w:t>
            </w: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Loss on disposal of property, plant and equipment</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222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7,305</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11,171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13,331</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Amortization of grants</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(569)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Deferred taxes</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985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(532)</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Other Charges</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11,275</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(Increase)/decrease in accounts receivable</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(23,232)</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4,089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(4,930)</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(Increase)/decrease in unbilled revenue</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(14,480)</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(15,329)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3,071</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Decrease in other receivables</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7,515</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4,307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1,383</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Increase in prepayments and other current assets</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(1,965)</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(778)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(994)</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Increase/ (decrease) in payments on account</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25,485</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14,228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(9,515)</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Decrease in other liabilities</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(1,787)</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(1,654)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(446)</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Increase in income taxes payable</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2,237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1,420</w:t>
            </w:r>
          </w:p>
        </w:tc>
      </w:tr>
      <w:tr>
        <w:trPr>
          <w:trHeight w:val="170"/>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Increase/(decrease) in accounts payable</w:t>
            </w:r>
          </w:p>
        </w:tc>
        <w:tc>
          <w:tcPr>
            <w:tcW w:w="1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3,768</w:t>
            </w:r>
          </w:p>
        </w:tc>
        <w:tc>
          <w:tcPr>
            <w:tcW w:w="1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(1,009)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(2,455)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21,485</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43,642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25,209</w:t>
            </w:r>
          </w:p>
        </w:tc>
      </w:tr>
      <w:tr>
        <w:trPr>
          <w:trHeight w:val="170"/>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Purchase of property, plant and equipment</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(15,788)</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(13,097)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(15,595)</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Purchase of intangible asset</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Purchase of subsidiary undertakings and acquisition costs</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(36,873)</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(10,052)</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Cash acquired with subsidiary undertakings</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1,910</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1,658</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Deferred payments in respect of historical acquisitions</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(3,078)</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(2,514)</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Sale of short term investments</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18,551</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12,022</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Purchase of short term investments</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(23,085)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(10,971)</w:t>
            </w:r>
          </w:p>
        </w:tc>
      </w:tr>
      <w:tr>
        <w:trPr>
          <w:trHeight w:val="170"/>
        </w:trPr>
        <w:tc>
          <w:tcPr>
            <w:tcW w:w="5900" w:type="dxa"/>
            <w:vAlign w:val="bottom"/>
          </w:tcPr>
          <w:p>
            <w:pPr>
              <w:ind w:left="340"/>
              <w:spacing w:after="0"/>
              <w:rPr>
                <w:sz w:val="20"/>
                <w:szCs w:val="20"/>
                <w:color w:val="auto"/>
              </w:rPr>
            </w:pPr>
            <w:r>
              <w:rPr>
                <w:rFonts w:ascii="Courier New" w:cs="Courier New" w:eastAsia="Courier New" w:hAnsi="Courier New"/>
                <w:sz w:val="15"/>
                <w:szCs w:val="15"/>
                <w:color w:val="auto"/>
              </w:rPr>
              <w:t>Receipt of government grant</w:t>
            </w:r>
          </w:p>
        </w:tc>
        <w:tc>
          <w:tcPr>
            <w:tcW w:w="16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945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2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(35,278)</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(47,337)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(25,702)</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Repayment of bank overdraft</w:t>
            </w:r>
          </w:p>
        </w:tc>
        <w:tc>
          <w:tcPr>
            <w:tcW w:w="22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(5,319)</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(7,126)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Proceeds from exercise of share options</w:t>
            </w:r>
          </w:p>
        </w:tc>
        <w:tc>
          <w:tcPr>
            <w:tcW w:w="22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693</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1,407</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Proceeds from the issuance of share capital</w:t>
            </w:r>
          </w:p>
        </w:tc>
        <w:tc>
          <w:tcPr>
            <w:tcW w:w="22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45,705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Share Issuance Costs</w:t>
            </w:r>
          </w:p>
        </w:tc>
        <w:tc>
          <w:tcPr>
            <w:tcW w:w="22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0"/>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Repayment of other liabilities</w:t>
            </w:r>
          </w:p>
        </w:tc>
        <w:tc>
          <w:tcPr>
            <w:tcW w:w="22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Net cash (used in)</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/provided by financing</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activities</w:t>
            </w: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(4,626)</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42,525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938</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Effect of exchange</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rate movements on cash</w:t>
            </w:r>
          </w:p>
        </w:tc>
        <w:tc>
          <w:tcPr>
            <w:tcW w:w="190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439</w:t>
            </w:r>
          </w:p>
        </w:tc>
        <w:tc>
          <w:tcPr>
            <w:tcW w:w="16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(1,463)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Net (decrease) /increase in cash and cash</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equivalents</w:t>
            </w:r>
          </w:p>
        </w:tc>
        <w:tc>
          <w:tcPr>
            <w:tcW w:w="2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(17,980)</w:t>
            </w: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37,367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663</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w w:val="98"/>
              </w:rPr>
              <w:t>Cash and cash equivalents at beginning of</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c>
          <w:tcPr>
            <w:tcW w:w="2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36,291</w:t>
            </w:r>
          </w:p>
        </w:tc>
        <w:tc>
          <w:tcPr>
            <w:tcW w:w="15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18,311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55,678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2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$18,311</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$55,678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$56,341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00" w:lineRule="exact"/>
        <w:rPr>
          <w:sz w:val="20"/>
          <w:szCs w:val="20"/>
          <w:color w:val="auto"/>
        </w:rPr>
      </w:pPr>
    </w:p>
    <w:p>
      <w:pPr>
        <w:spacing w:after="0" w:line="319" w:lineRule="exact"/>
        <w:rPr>
          <w:sz w:val="20"/>
          <w:szCs w:val="20"/>
          <w:color w:val="auto"/>
        </w:rPr>
      </w:pPr>
    </w:p>
    <w:p>
      <w:pPr>
        <w:ind w:right="3800"/>
        <w:spacing w:after="0" w:line="235"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400"/>
          </w:cols>
          <w:pgMar w:left="240" w:top="1300" w:right="1259" w:bottom="1440" w:gutter="0" w:footer="0" w:header="0"/>
        </w:sectPr>
      </w:pPr>
    </w:p>
    <w:bookmarkStart w:id="53" w:name="page54"/>
    <w:bookmarkEnd w:id="53"/>
    <w:p>
      <w:pPr>
        <w:jc w:val="center"/>
        <w:ind w:right="3179"/>
        <w:spacing w:after="0"/>
        <w:rPr>
          <w:sz w:val="20"/>
          <w:szCs w:val="20"/>
          <w:color w:val="auto"/>
        </w:rPr>
      </w:pPr>
      <w:r>
        <w:rPr>
          <w:rFonts w:ascii="Courier New" w:cs="Courier New" w:eastAsia="Courier New" w:hAnsi="Courier New"/>
          <w:sz w:val="15"/>
          <w:szCs w:val="15"/>
          <w:color w:val="auto"/>
        </w:rPr>
        <w:t>ICON plc</w:t>
      </w:r>
    </w:p>
    <w:p>
      <w:pPr>
        <w:jc w:val="center"/>
        <w:ind w:right="3179"/>
        <w:spacing w:after="0"/>
        <w:rPr>
          <w:sz w:val="20"/>
          <w:szCs w:val="20"/>
          <w:color w:val="auto"/>
        </w:rPr>
      </w:pPr>
      <w:r>
        <w:rPr>
          <w:rFonts w:ascii="Courier New" w:cs="Courier New" w:eastAsia="Courier New" w:hAnsi="Courier New"/>
          <w:sz w:val="15"/>
          <w:szCs w:val="15"/>
          <w:color w:val="auto"/>
        </w:rPr>
        <w:t>NOTES TO THE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Description of business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ICON plc and subsidiaries ("The Company") is a Contract Research Organization ("CRO") providing clinical research and development services on a global basis to the pharmaceutical, biotechnology and medical device industries. The Company specializes in the management, execution and analysis of complex, multinational clinical trials in most major therapeutic areas. The Company believes that it is one of a select group of CROs with the capability and expertise to conduct clinical trials on a global basis. As of May 31, 2005, the Company had approximately 2,700 employees and operations in 37 locations in 23 countries, including the United States and major markets in Europe and Rest of World and has managed clinical trials in over 55 countries. For the fiscal year ended May 31, 2005, we derived approximately 57.2%, 37.2% and 5.6% of our net revenue in the United States, Europe and Rest of World,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75" w:lineRule="exact"/>
        <w:rPr>
          <w:sz w:val="20"/>
          <w:szCs w:val="20"/>
          <w:color w:val="auto"/>
        </w:rPr>
      </w:pPr>
    </w:p>
    <w:p>
      <w:pPr>
        <w:jc w:val="both"/>
        <w:ind w:right="3619"/>
        <w:spacing w:after="0" w:line="260" w:lineRule="auto"/>
        <w:rPr>
          <w:sz w:val="20"/>
          <w:szCs w:val="20"/>
          <w:color w:val="auto"/>
        </w:rPr>
      </w:pPr>
      <w:r>
        <w:rPr>
          <w:rFonts w:ascii="Courier New" w:cs="Courier New" w:eastAsia="Courier New" w:hAnsi="Courier New"/>
          <w:sz w:val="14"/>
          <w:szCs w:val="14"/>
          <w:color w:val="auto"/>
        </w:rPr>
        <w:t>The accounting policies noted below were applied in the preparation of the accompanying financial statements of the Company and are in conformity with accounting principles generally accepted in the United States.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Basis of consolidation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financial statements of ICON plc and all of its subsidiaries. All significant intercompany profits, transactions and account balances have been eliminated. The results of subsidiary undertakings acquired in the year are included in the consolidated statement of operations from the date of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Use of estimates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Revenue recognition</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primarily earns revenues by providing a number of different services to its customers. These services include clinical trials management, biometric activities, consulting and laboratory services. Contracts range in duration from a number of months to several years.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Clinical trials management revenue is earned on the basis of the relationship between time incurred and the total estimated duration of the trial. Biometrics revenue is recognized on a fee-for-service method on the basis of the number of units completed in a period as a percentage of the total number of contracted units. Consulting revenue is recognized on a fee-for-service basis as the related service is performed. Laboratory service revenue is recognized on a fee-for-service basis. The 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recognized on the basis of the number of deliverable units completed in the period.</w:t>
      </w:r>
    </w:p>
    <w:p>
      <w:pPr>
        <w:spacing w:after="0" w:line="18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Contracts generally contain provisions for renegotiation in the event of changes in the scope, nature, duration, volume of services or conditions of the contract. Renegotiated amounts are recognized as revenue by revision to the total contract value arising as a result of an authorized customer change order. Provisions for losses to be incurred on contracts are recognized in full in the period in which it is determined that a loss will result from performance of the contractual arrangement.</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22" w:right="1440" w:bottom="1440" w:gutter="0" w:footer="0" w:header="0"/>
        </w:sectPr>
      </w:pPr>
    </w:p>
    <w:bookmarkStart w:id="54" w:name="page55"/>
    <w:bookmarkEnd w:id="54"/>
    <w:p>
      <w:pPr>
        <w:ind w:right="3179"/>
        <w:spacing w:after="0" w:line="238" w:lineRule="auto"/>
        <w:rPr>
          <w:sz w:val="20"/>
          <w:szCs w:val="20"/>
          <w:color w:val="auto"/>
        </w:rPr>
      </w:pPr>
      <w:r>
        <w:rPr>
          <w:rFonts w:ascii="Courier New" w:cs="Courier New" w:eastAsia="Courier New" w:hAnsi="Courier New"/>
          <w:sz w:val="15"/>
          <w:szCs w:val="15"/>
          <w:color w:val="auto"/>
        </w:rPr>
        <w:t>The difference between the amount of revenue recognized and the amount billed on a particular contract is included in the balance sheet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recognized over the period in which the specified contractual obligations are fulfilled. Amounts included in unbilled revenue are expected to be collected within one year and are included within current assets. Advance billings to customers, for which revenue has not been recognized, are recognized as payments on account within current liabilities.</w:t>
      </w:r>
    </w:p>
    <w:p>
      <w:pPr>
        <w:spacing w:after="0" w:line="18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the event of contract termination, if the value of work performed and recognized as revenue is greater than aggregate milestone billings at the date of termination, cancellation clauses ensure that the Company is paid for all work performed to the termination 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Subcontractor costs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Subcontractor costs comprise investigator payments and certain other costs which are reimbursed by clients under terms specific to each contract and are deducted from gross revenue in arriving at net revenue. Investigator payments are accrued based on patient enrollment over the life of the contract. Investigator payments are made based on predetermined contractual arrangements, which may differ from the accrual of the expense. Payments to investigators in excess of the accrued expense are classified as prepaid expenses and accrued expense in excess of amounts paid are classified as accounts payable.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Direct costs</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Direct costs consist of compensation and associated employee benefits for project-related employees and other direct project-related costs.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Advertising costs</w:t>
      </w:r>
    </w:p>
    <w:p>
      <w:pPr>
        <w:spacing w:after="0" w:line="175"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All costs associated with advertising and promotion are expensed as incurred. The advertising and promotion expense was U.S.$1,336,000, U.S.$1,596,000 and U.S.$2,401,000 for the years ended May 31, 2003, 2004 and 2005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Foreign currencies and translation of subsidiaries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Company's financial statements are prepared in United States dollars. Transactions in currencies other than United States dollars are recorded at the rate ruling at the date of the transactions. Monetary assets and liabilities denominated in currencies other than United States dollars are translated into United States dollars at exchange rates prevailing at the balance sheet date. Adjustments resulting from these translations are charged or credited to income and where material are separately disclosed. For the years ended May 31, 2003, 2004 and 2005 amounts charged/(credited) to income amounted to U.S.$1,968,000, (U.S.$2,445,000) and U.S.$433,000 respectively.</w:t>
      </w:r>
    </w:p>
    <w:p>
      <w:pPr>
        <w:spacing w:after="0" w:line="17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financial statements of subsidiaries with other functional currencies are translated at year end rates for the balance sheet and average rates for the income statement. Translation gains and losses arising are reported as a movement on accumulated other comprehensive income.</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the year, the Company entered into foreign exchange currency contracts to manage its exposure against currency fluctuations on anticipated Euro denominated cashflows. Currency gains and losses arising in the year under these arrangements were recorded in the statement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Disclosure about fair value of financial instruments</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following methods and assumptions were used to estimate the fair value of each material class of financial instrument:</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Cash, cash equivalents, unbilled revenue, other receivables, short term investments, prepayments and other current assets, accounts receivable, accounts payable, investigator payments, payments received on account, accrued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7" w:right="1440" w:bottom="1440" w:gutter="0" w:footer="0" w:header="0"/>
        </w:sectPr>
      </w:pPr>
    </w:p>
    <w:bookmarkStart w:id="55" w:name="page56"/>
    <w:bookmarkEnd w:id="55"/>
    <w:p>
      <w:pPr>
        <w:ind w:right="3439"/>
        <w:spacing w:after="0" w:line="237" w:lineRule="auto"/>
        <w:rPr>
          <w:sz w:val="20"/>
          <w:szCs w:val="20"/>
          <w:color w:val="auto"/>
        </w:rPr>
      </w:pPr>
      <w:r>
        <w:rPr>
          <w:rFonts w:ascii="Courier New" w:cs="Courier New" w:eastAsia="Courier New" w:hAnsi="Courier New"/>
          <w:sz w:val="15"/>
          <w:szCs w:val="15"/>
          <w:color w:val="auto"/>
        </w:rPr>
        <w:t>liabilities, accrued bonuses, bank overdraft and taxes payable have carrying amounts that approximate fair value due to the short term maturities of these instruments.</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Long-term debt and other liabilities carrying amounts approximate fair value based on net present value of estimated future cash flows.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Leased Assets</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Costs in respect of operating leases are charged to the statement of operations on a straight line basis over the lease term.</w:t>
      </w:r>
    </w:p>
    <w:p>
      <w:pPr>
        <w:spacing w:after="0" w:line="176"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Assets acquired under capital finance leases are included in the balance sheet at the present value of the future minimum lease payments and are depreciated over the shorter of the lease term and their remaining useful lives. The corresponding liabilities are recorded in the balance sheet and the interest element of the capital lease rental is charged to interest expense.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Goodwill</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Goodwill represents the excess of the cost of acquired entities over the net of amounts assigned to assets acquired and liabilities assumed. Goodwill is stated net of any provision for impairment. The Company tests goodwill annually for any impairments. The first step is to compare the carrying amount of the reporting units' assets to the fair value of the reporting unit. If the carrying amount exceeds the fair value then a second step is completed which involves the fair value of the reporting unit being allocated to each asset and liability with the excess being implied goodwill. The impairment loss is the amount by which the recorded goodwill exceeds the implied goodwill. The Company's annual test for impairment performed for 2005 identified an impairment charge to be taken against the central laboratory segment. For further information, refer to Note 14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Other intangible assets</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Other intangible assets are amortized on a straight line basis over their estimated useful life.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Cash and cash equivalents</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Cash and cash equivalents include cash and highly liquid investments with initial maturities of three months or less and is stated at cost, which approximates market value.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Short term investments - available for sale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has classified short-term investments as available for sale in accordance with the terms of SFAS No.115 "Accounting for Certain Investments in Debt and Equity Securities". Realized gains and losses are determined using specific identification. The investments are reported at fair value, with unrealized gains or losses reported in a separate component of shareholders' equity. Any differences between the cost and fair value of the investments are represented by accrued interest.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 Inventory</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Inventory is valued at the lower of cost and net market value and after provisions for obsolescence. Cost in the case of raw materials comprises the purchase price and attributable costs, less trade discounts. Cost in the case of work in progress and finished goods, comprises fixed labor, raw materials costs and attributable overheads.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2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(o) Property, plant and equipment</w:t>
      </w:r>
    </w:p>
    <w:p>
      <w:pPr>
        <w:spacing w:after="0" w:line="175"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Property, plant and equipment are stated at cost less accumulated depreciation. Depreciation of property, plant and equipment is computed using the straight line method based on the estimated useful lives of the assets as listed below:</w:t>
      </w:r>
    </w:p>
    <w:p>
      <w:pPr>
        <w:spacing w:after="0" w:line="200" w:lineRule="exact"/>
        <w:rPr>
          <w:sz w:val="20"/>
          <w:szCs w:val="20"/>
          <w:color w:val="auto"/>
        </w:rPr>
      </w:pPr>
    </w:p>
    <w:p>
      <w:pPr>
        <w:spacing w:after="0" w:line="296"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170"/>
        </w:trPr>
        <w:tc>
          <w:tcPr>
            <w:tcW w:w="3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0" w:type="dxa"/>
            <w:vAlign w:val="bottom"/>
          </w:tcPr>
          <w:p>
            <w:pPr>
              <w:spacing w:after="0"/>
              <w:rPr>
                <w:sz w:val="20"/>
                <w:szCs w:val="20"/>
                <w:color w:val="auto"/>
              </w:rPr>
            </w:pPr>
            <w:r>
              <w:rPr>
                <w:rFonts w:ascii="Courier New" w:cs="Courier New" w:eastAsia="Courier New" w:hAnsi="Courier New"/>
                <w:sz w:val="15"/>
                <w:szCs w:val="15"/>
                <w:color w:val="auto"/>
              </w:rPr>
              <w:t>Building</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Computer equipment and software</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Office furniture and fixtures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Laboratory equipment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Motor vehicles</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r>
    </w:tbl>
    <w:p>
      <w:pPr>
        <w:spacing w:after="0" w:line="175"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Leasehold improvements are amortized using the straight-line method over the estimated useful life of the asset or the lease term, whichever is shorter.</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Income taxes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applies Statement of Financial Accounting Standard ("SFAS") No. 109, "Accounting for Income Taxes," which requires the asset and liability method of accounting for income taxes. Under the asset and liability method of SFAS No. 109,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recognised in income in the period that includes the enactment date.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Government grants</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Government grants received relating to capital expenditure are shown as deferred income and credited to income on a basis consistent with the depreciation policy of the relevant assets.</w:t>
      </w:r>
    </w:p>
    <w:p>
      <w:pPr>
        <w:spacing w:after="0" w:line="175"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Grants relating to categories of operating expenditures are credited to income in the period in which the expenditure to which they relate is charged.</w:t>
      </w:r>
    </w:p>
    <w:p>
      <w:pPr>
        <w:spacing w:after="0" w:line="158"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w:t>
      </w:r>
    </w:p>
    <w:p>
      <w:pPr>
        <w:spacing w:after="0" w:line="163"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Company has not recognized any loss contingency having assessed as remote the likelihood of these events arising.</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 Pension costs</w:t>
      </w:r>
    </w:p>
    <w:p>
      <w:pPr>
        <w:spacing w:after="0" w:line="175"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operates, through a subsidiary, a defined benefit plan for certain of its United Kingdom employees. The Company accounts for the costs of this plan using actuarial models required by SFAS No.87, "Employers Accounting for Pensions". Disclosures are presented in accordance with the requirements of SFAS No.132(R), "Employers' Disclosures about Pensions and Other Post-retirement Benefits".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2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(s) Net income per ordinary share</w:t>
      </w:r>
    </w:p>
    <w:p>
      <w:pPr>
        <w:spacing w:after="0" w:line="175" w:lineRule="exact"/>
        <w:rPr>
          <w:sz w:val="20"/>
          <w:szCs w:val="20"/>
          <w:color w:val="auto"/>
        </w:rPr>
      </w:pPr>
    </w:p>
    <w:p>
      <w:pPr>
        <w:ind w:right="3440"/>
        <w:spacing w:after="0" w:line="257" w:lineRule="auto"/>
        <w:rPr>
          <w:sz w:val="20"/>
          <w:szCs w:val="20"/>
          <w:color w:val="auto"/>
        </w:rPr>
      </w:pPr>
      <w:r>
        <w:rPr>
          <w:rFonts w:ascii="Courier New" w:cs="Courier New" w:eastAsia="Courier New" w:hAnsi="Courier New"/>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67" w:lineRule="exact"/>
        <w:rPr>
          <w:sz w:val="20"/>
          <w:szCs w:val="20"/>
          <w:color w:val="auto"/>
        </w:rPr>
      </w:pPr>
    </w:p>
    <w:p>
      <w:pPr>
        <w:ind w:right="3620"/>
        <w:spacing w:after="0" w:line="260" w:lineRule="auto"/>
        <w:rPr>
          <w:sz w:val="20"/>
          <w:szCs w:val="20"/>
          <w:color w:val="auto"/>
        </w:rPr>
      </w:pPr>
      <w:r>
        <w:rPr>
          <w:rFonts w:ascii="Courier New" w:cs="Courier New" w:eastAsia="Courier New" w:hAnsi="Courier New"/>
          <w:sz w:val="14"/>
          <w:szCs w:val="14"/>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 May 31,</w:t>
            </w:r>
          </w:p>
        </w:tc>
        <w:tc>
          <w:tcPr>
            <w:tcW w:w="1020" w:type="dxa"/>
            <w:vAlign w:val="bottom"/>
          </w:tcPr>
          <w:p>
            <w:pPr>
              <w:spacing w:after="0"/>
              <w:rPr>
                <w:sz w:val="14"/>
                <w:szCs w:val="14"/>
                <w:color w:val="auto"/>
              </w:rPr>
            </w:pPr>
          </w:p>
        </w:tc>
      </w:tr>
      <w:tr>
        <w:trPr>
          <w:trHeight w:val="170"/>
        </w:trPr>
        <w:tc>
          <w:tcPr>
            <w:tcW w:w="3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2003</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339"/>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w w:val="99"/>
              </w:rPr>
              <w:t>Weighted average number of ordinary</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w w:val="98"/>
              </w:rPr>
              <w:t>outstanding for basic net income per</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ordinary share</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11,813,788</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13,267,531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13,860,203</w:t>
            </w:r>
          </w:p>
        </w:tc>
      </w:tr>
      <w:tr>
        <w:trPr>
          <w:trHeight w:val="170"/>
        </w:trPr>
        <w:tc>
          <w:tcPr>
            <w:tcW w:w="5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Effect of dilutive share options outstanding</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367,306</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435,632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293,242</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Weighted average number of ordinary shares for</w:t>
            </w:r>
          </w:p>
        </w:tc>
        <w:tc>
          <w:tcPr>
            <w:tcW w:w="1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diluted net income per ordinary share</w:t>
            </w: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12,181,094</w:t>
            </w:r>
          </w:p>
        </w:tc>
        <w:tc>
          <w:tcPr>
            <w:tcW w:w="14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13,703,163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14,153,445</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 Stock-based compensation</w:t>
      </w:r>
    </w:p>
    <w:p>
      <w:pPr>
        <w:spacing w:after="0" w:line="175" w:lineRule="exact"/>
        <w:rPr>
          <w:sz w:val="20"/>
          <w:szCs w:val="20"/>
          <w:color w:val="auto"/>
        </w:rPr>
      </w:pPr>
    </w:p>
    <w:p>
      <w:pPr>
        <w:ind w:right="3440"/>
        <w:spacing w:after="0" w:line="257" w:lineRule="auto"/>
        <w:rPr>
          <w:sz w:val="20"/>
          <w:szCs w:val="20"/>
          <w:color w:val="auto"/>
        </w:rPr>
      </w:pPr>
      <w:r>
        <w:rPr>
          <w:rFonts w:ascii="Courier New" w:cs="Courier New" w:eastAsia="Courier New" w:hAnsi="Courier New"/>
          <w:sz w:val="14"/>
          <w:szCs w:val="14"/>
          <w:color w:val="auto"/>
        </w:rPr>
        <w:t>The Company accounts for its share options in accordance with the provisions of SFAS No. 123, "Accounting for Stock-Based Compensation". SFAS No. 123 allows entities to continue to apply the provisions of Accounting Principles Board ("APB") Opinion No. 25, "Accounting for Stock Issued to Employees", and provide pro forma net income and pro forma earnings per share disclosures for employee stock option grants as if the fair-value-based method defined in SFAS No. 123 had been applied. APB No. 25 permits entities to recognize as expense, over the vesting period, the intrinsic value of all stock- based awards determined on the measurement date. The Company has elected to apply the provisions of APB Opinion No. 25 and provide the pro forma disclosure provisions of SFAS No. 123.</w:t>
      </w:r>
    </w:p>
    <w:p>
      <w:pPr>
        <w:spacing w:after="0" w:line="166" w:lineRule="exact"/>
        <w:rPr>
          <w:sz w:val="20"/>
          <w:szCs w:val="20"/>
          <w:color w:val="auto"/>
        </w:rPr>
      </w:pPr>
    </w:p>
    <w:p>
      <w:pPr>
        <w:jc w:val="both"/>
        <w:ind w:right="3520"/>
        <w:spacing w:after="0" w:line="237" w:lineRule="auto"/>
        <w:rPr>
          <w:sz w:val="20"/>
          <w:szCs w:val="20"/>
          <w:color w:val="auto"/>
        </w:rPr>
      </w:pPr>
      <w:r>
        <w:rPr>
          <w:rFonts w:ascii="Courier New" w:cs="Courier New" w:eastAsia="Courier New" w:hAnsi="Courier New"/>
          <w:sz w:val="15"/>
          <w:szCs w:val="15"/>
          <w:color w:val="auto"/>
        </w:rPr>
        <w:t>The following table illustrates the effect on net income and earnings per share as if the fair value method of SFAS No. 123 had been applied to all outstanding and unvested stock options in each 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Year Ended May 31,</w:t>
            </w:r>
          </w:p>
        </w:tc>
        <w:tc>
          <w:tcPr>
            <w:tcW w:w="840" w:type="dxa"/>
            <w:vAlign w:val="bottom"/>
          </w:tcPr>
          <w:p>
            <w:pPr>
              <w:spacing w:after="0"/>
              <w:rPr>
                <w:sz w:val="14"/>
                <w:szCs w:val="14"/>
                <w:color w:val="auto"/>
              </w:rPr>
            </w:pPr>
          </w:p>
        </w:tc>
      </w:tr>
      <w:tr>
        <w:trPr>
          <w:trHeight w:val="170"/>
        </w:trPr>
        <w:tc>
          <w:tcPr>
            <w:tcW w:w="2500" w:type="dxa"/>
            <w:vAlign w:val="bottom"/>
          </w:tcPr>
          <w:p>
            <w:pPr>
              <w:spacing w:after="0"/>
              <w:rPr>
                <w:sz w:val="14"/>
                <w:szCs w:val="14"/>
                <w:color w:val="auto"/>
              </w:rPr>
            </w:pPr>
          </w:p>
        </w:tc>
        <w:tc>
          <w:tcPr>
            <w:tcW w:w="4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2003</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5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170"/>
        </w:trPr>
        <w:tc>
          <w:tcPr>
            <w:tcW w:w="2500" w:type="dxa"/>
            <w:vAlign w:val="bottom"/>
          </w:tcPr>
          <w:p>
            <w:pPr>
              <w:spacing w:after="0"/>
              <w:rPr>
                <w:sz w:val="14"/>
                <w:szCs w:val="14"/>
                <w:color w:val="auto"/>
              </w:rPr>
            </w:pPr>
          </w:p>
        </w:tc>
        <w:tc>
          <w:tcPr>
            <w:tcW w:w="6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(except per share data)</w:t>
            </w:r>
          </w:p>
        </w:tc>
        <w:tc>
          <w:tcPr>
            <w:tcW w:w="840" w:type="dxa"/>
            <w:vAlign w:val="bottom"/>
          </w:tcPr>
          <w:p>
            <w:pPr>
              <w:spacing w:after="0"/>
              <w:rPr>
                <w:sz w:val="14"/>
                <w:szCs w:val="14"/>
                <w:color w:val="auto"/>
              </w:rPr>
            </w:pP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4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$18,283</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$25,742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$13,545</w:t>
            </w: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Deduct:  Total  stock-based</w:t>
            </w:r>
          </w:p>
        </w:tc>
        <w:tc>
          <w:tcPr>
            <w:tcW w:w="4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employee   compensation  expense</w:t>
            </w:r>
          </w:p>
        </w:tc>
        <w:tc>
          <w:tcPr>
            <w:tcW w:w="1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6880" w:type="dxa"/>
            <w:vAlign w:val="bottom"/>
            <w:gridSpan w:val="2"/>
          </w:tcPr>
          <w:p>
            <w:pPr>
              <w:spacing w:after="0"/>
              <w:rPr>
                <w:sz w:val="20"/>
                <w:szCs w:val="20"/>
                <w:color w:val="auto"/>
              </w:rPr>
            </w:pPr>
            <w:r>
              <w:rPr>
                <w:rFonts w:ascii="Courier New" w:cs="Courier New" w:eastAsia="Courier New" w:hAnsi="Courier New"/>
                <w:sz w:val="15"/>
                <w:szCs w:val="15"/>
                <w:color w:val="auto"/>
              </w:rPr>
              <w:t>determined  under fair value based method for all awards,  net</w:t>
            </w:r>
          </w:p>
        </w:tc>
        <w:tc>
          <w:tcPr>
            <w:tcW w:w="1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of related tax effects</w:t>
            </w:r>
          </w:p>
        </w:tc>
        <w:tc>
          <w:tcPr>
            <w:tcW w:w="4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(2,096)</w:t>
            </w:r>
          </w:p>
        </w:tc>
        <w:tc>
          <w:tcPr>
            <w:tcW w:w="1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(2,358)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(2,729)</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3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$16,187</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$23,384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$10,816</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w:t>
      </w:r>
    </w:p>
    <w:p>
      <w:pPr>
        <w:spacing w:after="0" w:line="5"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100" w:type="dxa"/>
            <w:vAlign w:val="bottom"/>
            <w:gridSpan w:val="3"/>
          </w:tcPr>
          <w:p>
            <w:pPr>
              <w:spacing w:after="0"/>
              <w:rPr>
                <w:sz w:val="20"/>
                <w:szCs w:val="20"/>
                <w:color w:val="auto"/>
              </w:rPr>
            </w:pPr>
            <w:r>
              <w:rPr>
                <w:rFonts w:ascii="Courier New" w:cs="Courier New" w:eastAsia="Courier New" w:hAnsi="Courier New"/>
                <w:sz w:val="15"/>
                <w:szCs w:val="15"/>
                <w:color w:val="auto"/>
                <w:w w:val="99"/>
              </w:rPr>
              <w:t>Earnings per</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share (in $):</w:t>
            </w:r>
          </w:p>
        </w:tc>
        <w:tc>
          <w:tcPr>
            <w:tcW w:w="2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as reported</w:t>
            </w:r>
          </w:p>
        </w:tc>
        <w:tc>
          <w:tcPr>
            <w:tcW w:w="2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$1.55</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3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pro forma</w:t>
            </w:r>
          </w:p>
        </w:tc>
        <w:tc>
          <w:tcPr>
            <w:tcW w:w="2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1.37</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0.78</w:t>
            </w:r>
          </w:p>
        </w:tc>
      </w:tr>
      <w:tr>
        <w:trPr>
          <w:trHeight w:val="170"/>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Diluted -</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reported</w:t>
            </w:r>
          </w:p>
        </w:tc>
        <w:tc>
          <w:tcPr>
            <w:tcW w:w="2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r>
        <w:trPr>
          <w:trHeight w:val="170"/>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Diluted -</w:t>
            </w: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 forma</w:t>
            </w:r>
          </w:p>
        </w:tc>
        <w:tc>
          <w:tcPr>
            <w:tcW w:w="2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1.33</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0.76</w:t>
            </w:r>
          </w:p>
        </w:tc>
      </w:tr>
    </w:tbl>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480"/>
          </w:cols>
          <w:pgMar w:left="240" w:top="791" w:right="1179" w:bottom="1440" w:gutter="0" w:footer="0" w:header="0"/>
        </w:sectPr>
      </w:pPr>
    </w:p>
    <w:bookmarkStart w:id="58" w:name="page59"/>
    <w:bookmarkEnd w:id="58"/>
    <w:p>
      <w:pPr>
        <w:ind w:left="10"/>
        <w:spacing w:after="0"/>
        <w:rPr>
          <w:sz w:val="20"/>
          <w:szCs w:val="20"/>
          <w:color w:val="auto"/>
        </w:rPr>
      </w:pPr>
      <w:r>
        <w:rPr>
          <w:rFonts w:ascii="Courier New" w:cs="Courier New" w:eastAsia="Courier New" w:hAnsi="Courier New"/>
          <w:sz w:val="15"/>
          <w:szCs w:val="15"/>
          <w:color w:val="auto"/>
        </w:rPr>
        <w:t>(u) Impairment of long-lived assets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Long 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selling costs.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3. Short term investments - available for sale</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Company has classified its entire investment portfolio comprising floating rate and medium term minimum "A" rated corporate securities, as available for sale. The investments are reported at fair value, with unrealized gains or losses reported in a separate component of shareholders' equity. In the years to May 31, 2003, 2004 and 2005 no unrealized gains or losses arose. Any differences between the cost and fair value of the investments are represented by accrued interest.</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4. Goodwill</w:t>
            </w:r>
          </w:p>
        </w:tc>
        <w:tc>
          <w:tcPr>
            <w:tcW w:w="18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4360" w:type="dxa"/>
            <w:vAlign w:val="bottom"/>
          </w:tcPr>
          <w:p>
            <w:pPr>
              <w:spacing w:after="0"/>
              <w:rPr>
                <w:sz w:val="24"/>
                <w:szCs w:val="24"/>
                <w:color w:val="auto"/>
              </w:rPr>
            </w:pPr>
          </w:p>
        </w:tc>
        <w:tc>
          <w:tcPr>
            <w:tcW w:w="25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4360" w:type="dxa"/>
            <w:vAlign w:val="bottom"/>
          </w:tcPr>
          <w:p>
            <w:pPr>
              <w:spacing w:after="0"/>
              <w:rPr>
                <w:sz w:val="14"/>
                <w:szCs w:val="14"/>
                <w:color w:val="auto"/>
              </w:rPr>
            </w:pP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36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Opening Goodwill</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$45,029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$64,226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Arising during the year</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13,134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8,463</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Arising on earn-out (prior year acquisitions)</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3,215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1,856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Goodwill impairment (Note 14)</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(7,017)</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Foreign exchange movement</w:t>
            </w:r>
          </w:p>
        </w:tc>
        <w:tc>
          <w:tcPr>
            <w:tcW w:w="1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2,848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Closing Goodwill</w:t>
            </w:r>
          </w:p>
        </w:tc>
        <w:tc>
          <w:tcPr>
            <w:tcW w:w="2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$64,226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$67,440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distribution of goodwill by business segment was as follows: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rPr>
              <w:t>Year Ended May 31,</w:t>
            </w:r>
          </w:p>
        </w:tc>
        <w:tc>
          <w:tcPr>
            <w:tcW w:w="52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3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2004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160" w:type="dxa"/>
            <w:vAlign w:val="bottom"/>
          </w:tcPr>
          <w:p>
            <w:pPr>
              <w:spacing w:after="0"/>
              <w:rPr>
                <w:sz w:val="14"/>
                <w:szCs w:val="14"/>
                <w:color w:val="auto"/>
              </w:rPr>
            </w:pPr>
          </w:p>
        </w:tc>
        <w:tc>
          <w:tcPr>
            <w:tcW w:w="3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 thousands)</w:t>
            </w:r>
          </w:p>
        </w:tc>
        <w:tc>
          <w:tcPr>
            <w:tcW w:w="52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3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$ 7,017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31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57,209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67,440</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$64,226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$67,440</w:t>
            </w:r>
          </w:p>
        </w:tc>
      </w:tr>
    </w:tbl>
    <w:p>
      <w:pPr>
        <w:spacing w:after="0" w:line="5" w:lineRule="exact"/>
        <w:rPr>
          <w:sz w:val="20"/>
          <w:szCs w:val="20"/>
          <w:color w:val="auto"/>
        </w:rPr>
      </w:pPr>
    </w:p>
    <w:p>
      <w:pPr>
        <w:ind w:left="170" w:hanging="170"/>
        <w:spacing w:after="0"/>
        <w:tabs>
          <w:tab w:leader="none" w:pos="17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4"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 Acquisition of Medeval Group Ltd</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On January 24, 2003, the Company acquired 100% of the outstanding shares of Medeval Group Limited ("Medeval"), a company based in Manchester, England, for an initial cash consideration of Stg(pound)9.5 million (U.S.$15.5 million), excluding costs of acquisition which amounted to U.S.$1.0 million. Earn-out provisions have been built into the acquisition contract requiring the potential payment of additional deferred consideration up to a maximum of Stg(pound)4.3 million (U.S.$6.9 million) depending on the performance of Medeval over the period to May 31, 2004. Such additional consideration has been accounted for as goodwill.</w:t>
      </w:r>
    </w:p>
    <w:p>
      <w:pPr>
        <w:spacing w:after="0" w:line="179"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On May 31, 2003, an amount of Stg(pound)1.4 million (U.S.$2.0 million) was accrued in relation to the Medeval acquisition, as the first earn-out target identified in the acquisition contract was reached on this date. It was provided in the applicable acquisition agreement that the form of the earn-out would consist of cash payable to one specific named selling shareholder, with the balance due to the other selling shareholders being in the form of guaranteed loan notes. These guaranteed loan notes</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9"/>
          </w:cols>
          <w:pgMar w:left="230" w:top="791" w:right="1440" w:bottom="1440" w:gutter="0" w:footer="0" w:header="0"/>
        </w:sectPr>
      </w:pPr>
    </w:p>
    <w:bookmarkStart w:id="59" w:name="page60"/>
    <w:bookmarkEnd w:id="59"/>
    <w:p>
      <w:pPr>
        <w:ind w:right="3179"/>
        <w:spacing w:after="0" w:line="257" w:lineRule="auto"/>
        <w:rPr>
          <w:sz w:val="20"/>
          <w:szCs w:val="20"/>
          <w:color w:val="auto"/>
        </w:rPr>
      </w:pPr>
      <w:r>
        <w:rPr>
          <w:rFonts w:ascii="Courier New" w:cs="Courier New" w:eastAsia="Courier New" w:hAnsi="Courier New"/>
          <w:sz w:val="14"/>
          <w:szCs w:val="14"/>
          <w:color w:val="auto"/>
        </w:rPr>
        <w:t>have a repayment date of three years from the date of issue but are exercisable six months from that date. On September 30, 2003, Stg(pound)0.472 million (U.S.$0.8 million) was paid in cash to a specific named selling shareholder. On the same date, Stg(pound)0.753 million (U.S.$1.403 million) of guaranteed loan notes were issued to the remaining selling shareholders and were included in other liabilities. The guaranteed loan note holders issued redemption notices to the Company, which required the Company to redeem all the guaranteed loan notes on June 30, 2004, in consideration for a cash payment of Stg(pound)0.753 million (U.S.$1.380 million), the total amount of which was accrued at May 31, 2004.</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September 30, 2004, cash consideration of Stg(pound)0.54 million (U.S.$0.97 million) was paid to a number of the former shareholders of Medeval and guaranteed loan notes with a value of Stg(pound)1.08 million (U.S.$1.93 million) were issued to the remaining selling shareholders. At May 31, 2004, Stg(pound)1.37 million (U.S.$2.5 million) of this amount had been provided, therefore an additional Stg(pound)0.253 million (U.S.$0.452 million) has been accounted for under goodwill in the current year. These guaranteed loan notes have a repayment date of three years from the date of issue but are exercisable nine months from the date of issue. The guaranteed loan note holders issued redemption notices to the Company, which required the Company to redeem all the guaranteed loan notes on June 30, 2005, in consideration of a cash payment of Stg(pound)1.08 million (U.S.$1.93 million), the total amount of which was accrued for at May 31, 2005.</w:t>
      </w:r>
    </w:p>
    <w:p>
      <w:pPr>
        <w:spacing w:after="0" w:line="183"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The acquisition of Medeval has been accounted for as a purchase in accordance with SFAS No. 141, "Business Combinations". The following table summarises the fair values of the assets acquired and the liabilities assumed at the date of acquisition.</w:t>
      </w:r>
    </w:p>
    <w:p>
      <w:pPr>
        <w:spacing w:after="0" w:line="171"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At May 31,</w:t>
            </w:r>
          </w:p>
        </w:tc>
      </w:tr>
      <w:tr>
        <w:trPr>
          <w:trHeight w:val="170"/>
        </w:trPr>
        <w:tc>
          <w:tcPr>
            <w:tcW w:w="3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$1,632</w:t>
            </w:r>
          </w:p>
        </w:tc>
      </w:t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22,824</w:t>
            </w:r>
          </w:p>
        </w:tc>
      </w:t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2,738</w:t>
            </w:r>
          </w:p>
        </w:tc>
      </w:t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Pension liabilities</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(2,588)</w:t>
            </w:r>
          </w:p>
        </w:tc>
      </w:t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(3,113)</w:t>
            </w:r>
          </w:p>
        </w:tc>
      </w:tr>
    </w:tbl>
    <w:p>
      <w:pPr>
        <w:ind w:left="600"/>
        <w:spacing w:after="0"/>
        <w:rPr>
          <w:sz w:val="20"/>
          <w:szCs w:val="20"/>
          <w:color w:val="auto"/>
        </w:rPr>
      </w:pPr>
      <w:r>
        <w:rPr>
          <w:rFonts w:ascii="Courier New" w:cs="Courier New" w:eastAsia="Courier New" w:hAnsi="Courier New"/>
          <w:sz w:val="15"/>
          <w:szCs w:val="15"/>
          <w:color w:val="auto"/>
        </w:rPr>
        <w:t>-------------------------------------------------------------</w:t>
      </w:r>
    </w:p>
    <w:tbl>
      <w:tblPr>
        <w:tblLayout w:type="fixed"/>
        <w:tblInd w:w="600" w:type="dxa"/>
        <w:tblCellMar>
          <w:top w:w="0" w:type="dxa"/>
          <w:left w:w="0" w:type="dxa"/>
          <w:bottom w:w="0" w:type="dxa"/>
          <w:right w:w="0" w:type="dxa"/>
        </w:tblCellMar>
      </w:tblPr>
      <w:tr>
        <w:trPr>
          <w:trHeight w:val="169"/>
        </w:trPr>
        <w:tc>
          <w:tcPr>
            <w:tcW w:w="296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$21,493</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The results of Medeval have been included in the consolidated financial statements from January 24, 2003.</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Acquisition of GloboMax LLC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September 9, 2003, the Company acquired 100% of the outstanding shares of</w:t>
      </w:r>
    </w:p>
    <w:p>
      <w:pPr>
        <w:spacing w:after="0"/>
        <w:rPr>
          <w:sz w:val="20"/>
          <w:szCs w:val="20"/>
          <w:color w:val="auto"/>
        </w:rPr>
      </w:pPr>
      <w:r>
        <w:rPr>
          <w:rFonts w:ascii="Courier New" w:cs="Courier New" w:eastAsia="Courier New" w:hAnsi="Courier New"/>
          <w:sz w:val="15"/>
          <w:szCs w:val="15"/>
          <w:color w:val="auto"/>
        </w:rPr>
        <w:t>Globomax LLC, based in Maryland, USA, for an initial cash consideration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U.S.$10.9 million, excluding costs of acquisition. Earn-out provisions have been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built into the acquisition contract requiring the potential 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deferred consideration up to a maximum of U.S.$4.0 million depending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performance of Globomax over the period from date of acquisition to May</w:t>
      </w:r>
    </w:p>
    <w:p>
      <w:pPr>
        <w:spacing w:after="0"/>
        <w:rPr>
          <w:sz w:val="20"/>
          <w:szCs w:val="20"/>
          <w:color w:val="auto"/>
        </w:rPr>
      </w:pPr>
      <w:r>
        <w:rPr>
          <w:rFonts w:ascii="Courier New" w:cs="Courier New" w:eastAsia="Courier New" w:hAnsi="Courier New"/>
          <w:sz w:val="15"/>
          <w:szCs w:val="15"/>
          <w:color w:val="auto"/>
        </w:rPr>
        <w:t>31, 2006. Such potential additional consideration will be accounted for as</w:t>
      </w:r>
    </w:p>
    <w:p>
      <w:pPr>
        <w:spacing w:after="0"/>
        <w:rPr>
          <w:sz w:val="20"/>
          <w:szCs w:val="20"/>
          <w:color w:val="auto"/>
        </w:rPr>
      </w:pPr>
      <w:r>
        <w:rPr>
          <w:rFonts w:ascii="Courier New" w:cs="Courier New" w:eastAsia="Courier New" w:hAnsi="Courier New"/>
          <w:sz w:val="15"/>
          <w:szCs w:val="15"/>
          <w:color w:val="auto"/>
        </w:rPr>
        <w:t>goodwill. The total amount of goodwill is expected to be tax deductible.</w:t>
      </w:r>
    </w:p>
    <w:p>
      <w:pPr>
        <w:spacing w:after="0" w:line="17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On May 31, 2005, an amount of U.S.$1.4 million was accrued as the first earn-out target in the acquisition contract was reached on this date.</w:t>
      </w:r>
    </w:p>
    <w:p>
      <w:pPr>
        <w:spacing w:after="0" w:line="17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The acquisition of Globomax has been accounted for as a purchase in accordance with SFAS No. 141, "Business Combinations". The following table summarises the fair values of the assets acquired and the liabilities assumed at the date of acquisition.</w:t>
      </w:r>
    </w:p>
    <w:p>
      <w:pPr>
        <w:spacing w:after="0" w:line="171"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At May 31,</w:t>
      </w:r>
    </w:p>
    <w:p>
      <w:pPr>
        <w:ind w:left="5460"/>
        <w:spacing w:after="0"/>
        <w:rPr>
          <w:sz w:val="20"/>
          <w:szCs w:val="20"/>
          <w:color w:val="auto"/>
        </w:rPr>
      </w:pPr>
      <w:r>
        <w:rPr>
          <w:rFonts w:ascii="Courier New" w:cs="Courier New" w:eastAsia="Courier New" w:hAnsi="Courier New"/>
          <w:sz w:val="15"/>
          <w:szCs w:val="15"/>
          <w:color w:val="auto"/>
        </w:rPr>
        <w:t>----------</w:t>
      </w:r>
    </w:p>
    <w:p>
      <w:pPr>
        <w:ind w:left="5980"/>
        <w:spacing w:after="0"/>
        <w:rPr>
          <w:sz w:val="20"/>
          <w:szCs w:val="20"/>
          <w:color w:val="auto"/>
        </w:rPr>
      </w:pPr>
      <w:r>
        <w:rPr>
          <w:rFonts w:ascii="Courier New" w:cs="Courier New" w:eastAsia="Courier New" w:hAnsi="Courier New"/>
          <w:sz w:val="15"/>
          <w:szCs w:val="15"/>
          <w:color w:val="auto"/>
        </w:rPr>
        <w:t>2005</w:t>
      </w:r>
    </w:p>
    <w:p>
      <w:pPr>
        <w:ind w:left="5980"/>
        <w:spacing w:after="0" w:line="238" w:lineRule="auto"/>
        <w:rPr>
          <w:sz w:val="20"/>
          <w:szCs w:val="20"/>
          <w:color w:val="auto"/>
        </w:rPr>
      </w:pPr>
      <w:r>
        <w:rPr>
          <w:rFonts w:ascii="Courier New" w:cs="Courier New" w:eastAsia="Courier New" w:hAnsi="Courier New"/>
          <w:sz w:val="15"/>
          <w:szCs w:val="15"/>
          <w:color w:val="auto"/>
        </w:rPr>
        <w:t>----</w:t>
      </w:r>
    </w:p>
    <w:p>
      <w:pPr>
        <w:ind w:left="5100"/>
        <w:spacing w:after="0"/>
        <w:rPr>
          <w:sz w:val="20"/>
          <w:szCs w:val="20"/>
          <w:color w:val="auto"/>
        </w:rPr>
      </w:pPr>
      <w:r>
        <w:rPr>
          <w:rFonts w:ascii="Courier New" w:cs="Courier New" w:eastAsia="Courier New" w:hAnsi="Courier New"/>
          <w:sz w:val="15"/>
          <w:szCs w:val="15"/>
          <w:color w:val="auto"/>
        </w:rPr>
        <w:t>(in thousands)</w:t>
      </w:r>
    </w:p>
    <w:p>
      <w:pPr>
        <w:ind w:left="600"/>
        <w:spacing w:after="0"/>
        <w:tabs>
          <w:tab w:leader="none" w:pos="6060" w:val="left"/>
        </w:tabs>
        <w:rPr>
          <w:sz w:val="20"/>
          <w:szCs w:val="20"/>
          <w:color w:val="auto"/>
        </w:rPr>
      </w:pPr>
      <w:r>
        <w:rPr>
          <w:rFonts w:ascii="Courier New" w:cs="Courier New" w:eastAsia="Courier New" w:hAnsi="Courier New"/>
          <w:sz w:val="15"/>
          <w:szCs w:val="15"/>
          <w:color w:val="auto"/>
        </w:rPr>
        <w:t>Property, Plant and Equipment</w:t>
      </w:r>
      <w:r>
        <w:rPr>
          <w:sz w:val="20"/>
          <w:szCs w:val="20"/>
          <w:color w:val="auto"/>
        </w:rPr>
        <w:tab/>
      </w:r>
      <w:r>
        <w:rPr>
          <w:rFonts w:ascii="Courier New" w:cs="Courier New" w:eastAsia="Courier New" w:hAnsi="Courier New"/>
          <w:sz w:val="14"/>
          <w:szCs w:val="14"/>
          <w:color w:val="auto"/>
        </w:rPr>
        <w:t>352</w:t>
      </w:r>
    </w:p>
    <w:p>
      <w:pPr>
        <w:ind w:left="600"/>
        <w:spacing w:after="0" w:line="238" w:lineRule="auto"/>
        <w:tabs>
          <w:tab w:leader="none" w:pos="5780" w:val="left"/>
        </w:tabs>
        <w:rPr>
          <w:sz w:val="20"/>
          <w:szCs w:val="20"/>
          <w:color w:val="auto"/>
        </w:rPr>
      </w:pPr>
      <w:r>
        <w:rPr>
          <w:rFonts w:ascii="Courier New" w:cs="Courier New" w:eastAsia="Courier New" w:hAnsi="Courier New"/>
          <w:sz w:val="15"/>
          <w:szCs w:val="15"/>
          <w:color w:val="auto"/>
        </w:rPr>
        <w:t>Goodwill</w:t>
      </w:r>
      <w:r>
        <w:rPr>
          <w:sz w:val="20"/>
          <w:szCs w:val="20"/>
          <w:color w:val="auto"/>
        </w:rPr>
        <w:tab/>
      </w:r>
      <w:r>
        <w:rPr>
          <w:rFonts w:ascii="Courier New" w:cs="Courier New" w:eastAsia="Courier New" w:hAnsi="Courier New"/>
          <w:sz w:val="15"/>
          <w:szCs w:val="15"/>
          <w:color w:val="auto"/>
        </w:rPr>
        <w:t>14,538</w:t>
      </w:r>
    </w:p>
    <w:p>
      <w:pPr>
        <w:ind w:left="600"/>
        <w:spacing w:after="0"/>
        <w:tabs>
          <w:tab w:leader="none" w:pos="6060" w:val="left"/>
        </w:tabs>
        <w:rPr>
          <w:sz w:val="20"/>
          <w:szCs w:val="20"/>
          <w:color w:val="auto"/>
        </w:rPr>
      </w:pPr>
      <w:r>
        <w:rPr>
          <w:rFonts w:ascii="Courier New" w:cs="Courier New" w:eastAsia="Courier New" w:hAnsi="Courier New"/>
          <w:sz w:val="15"/>
          <w:szCs w:val="15"/>
          <w:color w:val="auto"/>
        </w:rPr>
        <w:t>Cash</w:t>
      </w:r>
      <w:r>
        <w:rPr>
          <w:sz w:val="20"/>
          <w:szCs w:val="20"/>
          <w:color w:val="auto"/>
        </w:rPr>
        <w:tab/>
      </w:r>
      <w:r>
        <w:rPr>
          <w:rFonts w:ascii="Courier New" w:cs="Courier New" w:eastAsia="Courier New" w:hAnsi="Courier New"/>
          <w:sz w:val="14"/>
          <w:szCs w:val="14"/>
          <w:color w:val="auto"/>
        </w:rPr>
        <w:t>891</w:t>
      </w:r>
    </w:p>
    <w:p>
      <w:pPr>
        <w:ind w:left="600"/>
        <w:spacing w:after="0"/>
        <w:tabs>
          <w:tab w:leader="none" w:pos="5880" w:val="left"/>
        </w:tabs>
        <w:rPr>
          <w:sz w:val="20"/>
          <w:szCs w:val="20"/>
          <w:color w:val="auto"/>
        </w:rPr>
      </w:pPr>
      <w:r>
        <w:rPr>
          <w:rFonts w:ascii="Courier New" w:cs="Courier New" w:eastAsia="Courier New" w:hAnsi="Courier New"/>
          <w:sz w:val="15"/>
          <w:szCs w:val="15"/>
          <w:color w:val="auto"/>
        </w:rPr>
        <w:t>Other Current Assets</w:t>
      </w:r>
      <w:r>
        <w:rPr>
          <w:sz w:val="20"/>
          <w:szCs w:val="20"/>
          <w:color w:val="auto"/>
        </w:rPr>
        <w:tab/>
      </w:r>
      <w:r>
        <w:rPr>
          <w:rFonts w:ascii="Courier New" w:cs="Courier New" w:eastAsia="Courier New" w:hAnsi="Courier New"/>
          <w:sz w:val="14"/>
          <w:szCs w:val="14"/>
          <w:color w:val="auto"/>
        </w:rPr>
        <w:t>2,487</w:t>
      </w:r>
    </w:p>
    <w:p>
      <w:pPr>
        <w:ind w:left="600"/>
        <w:spacing w:after="0"/>
        <w:tabs>
          <w:tab w:leader="none" w:pos="5700" w:val="left"/>
        </w:tabs>
        <w:rPr>
          <w:sz w:val="20"/>
          <w:szCs w:val="20"/>
          <w:color w:val="auto"/>
        </w:rPr>
      </w:pPr>
      <w:r>
        <w:rPr>
          <w:rFonts w:ascii="Courier New" w:cs="Courier New" w:eastAsia="Courier New" w:hAnsi="Courier New"/>
          <w:sz w:val="15"/>
          <w:szCs w:val="15"/>
          <w:color w:val="auto"/>
        </w:rPr>
        <w:t>Current liabilities</w:t>
      </w:r>
      <w:r>
        <w:rPr>
          <w:sz w:val="20"/>
          <w:szCs w:val="20"/>
          <w:color w:val="auto"/>
        </w:rPr>
        <w:tab/>
      </w:r>
      <w:r>
        <w:rPr>
          <w:rFonts w:ascii="Courier New" w:cs="Courier New" w:eastAsia="Courier New" w:hAnsi="Courier New"/>
          <w:sz w:val="14"/>
          <w:szCs w:val="14"/>
          <w:color w:val="auto"/>
        </w:rPr>
        <w:t>(5,539)</w:t>
      </w:r>
    </w:p>
    <w:p>
      <w:pPr>
        <w:ind w:left="600"/>
        <w:spacing w:after="0" w:line="238" w:lineRule="auto"/>
        <w:rPr>
          <w:sz w:val="20"/>
          <w:szCs w:val="20"/>
          <w:color w:val="auto"/>
        </w:rPr>
      </w:pPr>
      <w:r>
        <w:rPr>
          <w:rFonts w:ascii="Courier New" w:cs="Courier New" w:eastAsia="Courier New" w:hAnsi="Courier New"/>
          <w:sz w:val="15"/>
          <w:szCs w:val="15"/>
          <w:color w:val="auto"/>
        </w:rPr>
        <w:t>------------------------------------------------------------------</w:t>
      </w:r>
    </w:p>
    <w:p>
      <w:pPr>
        <w:ind w:left="600"/>
        <w:spacing w:after="0"/>
        <w:tabs>
          <w:tab w:leader="none" w:pos="5700"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4"/>
          <w:szCs w:val="14"/>
          <w:color w:val="auto"/>
        </w:rPr>
        <w:t>$12,729</w:t>
      </w:r>
    </w:p>
    <w:p>
      <w:pPr>
        <w:ind w:left="60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27" w:right="1440" w:bottom="1440" w:gutter="0" w:footer="0" w:header="0"/>
        </w:sectPr>
      </w:pPr>
    </w:p>
    <w:bookmarkStart w:id="60" w:name="page61"/>
    <w:bookmarkEnd w:id="60"/>
    <w:p>
      <w:pPr>
        <w:ind w:right="3879"/>
        <w:spacing w:after="0" w:line="235" w:lineRule="auto"/>
        <w:rPr>
          <w:sz w:val="20"/>
          <w:szCs w:val="20"/>
          <w:color w:val="auto"/>
        </w:rPr>
      </w:pPr>
      <w:r>
        <w:rPr>
          <w:rFonts w:ascii="Courier New" w:cs="Courier New" w:eastAsia="Courier New" w:hAnsi="Courier New"/>
          <w:sz w:val="15"/>
          <w:szCs w:val="15"/>
          <w:color w:val="auto"/>
        </w:rPr>
        <w:t>The results of Globomax have been included in the consolidated financial statements from September 9, 2003.</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Acquisition of Beacon Biosciences, Inc</w:t>
      </w:r>
    </w:p>
    <w:p>
      <w:pPr>
        <w:spacing w:after="0" w:line="175" w:lineRule="exact"/>
        <w:rPr>
          <w:sz w:val="20"/>
          <w:szCs w:val="20"/>
          <w:color w:val="auto"/>
        </w:rPr>
      </w:pPr>
    </w:p>
    <w:p>
      <w:pPr>
        <w:jc w:val="both"/>
        <w:ind w:right="3439"/>
        <w:spacing w:after="0" w:line="260" w:lineRule="auto"/>
        <w:rPr>
          <w:sz w:val="20"/>
          <w:szCs w:val="20"/>
          <w:color w:val="auto"/>
        </w:rPr>
      </w:pPr>
      <w:r>
        <w:rPr>
          <w:rFonts w:ascii="Courier New" w:cs="Courier New" w:eastAsia="Courier New" w:hAnsi="Courier New"/>
          <w:sz w:val="14"/>
          <w:szCs w:val="14"/>
          <w:color w:val="auto"/>
        </w:rPr>
        <w:t>On July 1, 2004, the Company acquired 70% of the outstanding shares of Beacon Biosciences, inc. ("Beacon"), based in Pennsylvania, USA, for an initial cash consideration of U.S.$9.9 million, excluding costs of acquisition.</w:t>
      </w:r>
    </w:p>
    <w:p>
      <w:pPr>
        <w:spacing w:after="0" w:line="163" w:lineRule="exact"/>
        <w:rPr>
          <w:sz w:val="20"/>
          <w:szCs w:val="20"/>
          <w:color w:val="auto"/>
        </w:rPr>
      </w:pPr>
    </w:p>
    <w:p>
      <w:pPr>
        <w:jc w:val="both"/>
        <w:ind w:right="3439"/>
        <w:spacing w:after="0" w:line="235" w:lineRule="auto"/>
        <w:rPr>
          <w:sz w:val="20"/>
          <w:szCs w:val="20"/>
          <w:color w:val="auto"/>
        </w:rPr>
      </w:pPr>
      <w:r>
        <w:rPr>
          <w:rFonts w:ascii="Courier New" w:cs="Courier New" w:eastAsia="Courier New" w:hAnsi="Courier New"/>
          <w:sz w:val="15"/>
          <w:szCs w:val="15"/>
          <w:color w:val="auto"/>
        </w:rPr>
        <w:t>The following table summarises the fair values of the assets acquired and the liabilities assumed at the date of acquisition.</w:t>
      </w:r>
    </w:p>
    <w:p>
      <w:pPr>
        <w:spacing w:after="0" w:line="170"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At July 1,</w:t>
            </w:r>
          </w:p>
        </w:tc>
      </w:tr>
      <w:tr>
        <w:trPr>
          <w:trHeight w:val="170"/>
        </w:trPr>
        <w:tc>
          <w:tcPr>
            <w:tcW w:w="3360" w:type="dxa"/>
            <w:vAlign w:val="bottom"/>
          </w:tcPr>
          <w:p>
            <w:pPr>
              <w:spacing w:after="0"/>
              <w:rPr>
                <w:sz w:val="14"/>
                <w:szCs w:val="14"/>
                <w:color w:val="auto"/>
              </w:rPr>
            </w:pP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60" w:type="dxa"/>
            <w:vAlign w:val="bottom"/>
          </w:tcPr>
          <w:p>
            <w:pPr>
              <w:spacing w:after="0"/>
              <w:rPr>
                <w:sz w:val="14"/>
                <w:szCs w:val="14"/>
                <w:color w:val="auto"/>
              </w:rPr>
            </w:pP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3360" w:type="dxa"/>
            <w:vAlign w:val="bottom"/>
          </w:tcPr>
          <w:p>
            <w:pPr>
              <w:spacing w:after="0"/>
              <w:rPr>
                <w:sz w:val="14"/>
                <w:szCs w:val="14"/>
                <w:color w:val="auto"/>
              </w:rPr>
            </w:pP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60" w:type="dxa"/>
            <w:vAlign w:val="bottom"/>
          </w:tcPr>
          <w:p>
            <w:pPr>
              <w:spacing w:after="0"/>
              <w:rPr>
                <w:sz w:val="14"/>
                <w:szCs w:val="14"/>
                <w:color w:val="auto"/>
              </w:rPr>
            </w:pP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$792</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8,463</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1,658</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935</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(718)</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Long term liabilities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w:t>
            </w:r>
          </w:p>
        </w:tc>
      </w:tr>
      <w:tr>
        <w:trPr>
          <w:trHeight w:val="170"/>
        </w:trPr>
        <w:tc>
          <w:tcPr>
            <w:tcW w:w="336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60" w:type="dxa"/>
            <w:vAlign w:val="bottom"/>
          </w:tcPr>
          <w:p>
            <w:pPr>
              <w:spacing w:after="0"/>
              <w:rPr>
                <w:sz w:val="14"/>
                <w:szCs w:val="14"/>
                <w:color w:val="auto"/>
              </w:rPr>
            </w:pP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10,778</w:t>
            </w:r>
          </w:p>
        </w:tc>
      </w:t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(695)</w:t>
            </w:r>
          </w:p>
        </w:tc>
      </w:tr>
    </w:tbl>
    <w:p>
      <w:pPr>
        <w:ind w:left="600"/>
        <w:spacing w:after="0"/>
        <w:rPr>
          <w:sz w:val="20"/>
          <w:szCs w:val="20"/>
          <w:color w:val="auto"/>
        </w:rPr>
      </w:pPr>
      <w:r>
        <w:rPr>
          <w:rFonts w:ascii="Courier New" w:cs="Courier New" w:eastAsia="Courier New" w:hAnsi="Courier New"/>
          <w:sz w:val="15"/>
          <w:szCs w:val="15"/>
          <w:color w:val="auto"/>
        </w:rPr>
        <w:t>---------------------------------------------- ---------------------</w:t>
      </w:r>
    </w:p>
    <w:tbl>
      <w:tblPr>
        <w:tblLayout w:type="fixed"/>
        <w:tblInd w:w="600" w:type="dxa"/>
        <w:tblCellMar>
          <w:top w:w="0" w:type="dxa"/>
          <w:left w:w="0" w:type="dxa"/>
          <w:bottom w:w="0" w:type="dxa"/>
          <w:right w:w="0" w:type="dxa"/>
        </w:tblCellMar>
      </w:tblPr>
      <w:tr>
        <w:trPr>
          <w:trHeight w:val="169"/>
        </w:trPr>
        <w:tc>
          <w:tcPr>
            <w:tcW w:w="326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$10,083</w:t>
            </w:r>
          </w:p>
        </w:tc>
      </w:tr>
    </w:tbl>
    <w:p>
      <w:pPr>
        <w:ind w:left="600"/>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The results of Beacon have been included in the consolidated financial statements from July 1, 2004.</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proforma effect of the Globomax and Beacon acquisitions if completed on June 1, 2003 would have resulted in net revenue, net income and earnings per share for the fiscal years ended May 31, 2004 and 2005 as follows:</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3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Year Ended May 31,</w:t>
            </w:r>
          </w:p>
        </w:tc>
        <w:tc>
          <w:tcPr>
            <w:tcW w:w="840" w:type="dxa"/>
            <w:vAlign w:val="bottom"/>
          </w:tcPr>
          <w:p>
            <w:pPr>
              <w:spacing w:after="0"/>
              <w:rPr>
                <w:sz w:val="14"/>
                <w:szCs w:val="14"/>
                <w:color w:val="auto"/>
              </w:rPr>
            </w:pPr>
          </w:p>
        </w:tc>
      </w:tr>
      <w:tr>
        <w:trPr>
          <w:trHeight w:val="170"/>
        </w:trPr>
        <w:tc>
          <w:tcPr>
            <w:tcW w:w="2600" w:type="dxa"/>
            <w:vAlign w:val="bottom"/>
          </w:tcPr>
          <w:p>
            <w:pPr>
              <w:spacing w:after="0"/>
              <w:rPr>
                <w:sz w:val="14"/>
                <w:szCs w:val="14"/>
                <w:color w:val="auto"/>
              </w:rPr>
            </w:pPr>
          </w:p>
        </w:tc>
        <w:tc>
          <w:tcPr>
            <w:tcW w:w="30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2004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600" w:type="dxa"/>
            <w:vAlign w:val="bottom"/>
          </w:tcPr>
          <w:p>
            <w:pPr>
              <w:spacing w:after="0"/>
              <w:rPr>
                <w:sz w:val="14"/>
                <w:szCs w:val="14"/>
                <w:color w:val="auto"/>
              </w:rPr>
            </w:pPr>
          </w:p>
        </w:tc>
        <w:tc>
          <w:tcPr>
            <w:tcW w:w="30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14"/>
                <w:szCs w:val="14"/>
                <w:color w:val="auto"/>
              </w:rPr>
            </w:pPr>
          </w:p>
        </w:tc>
        <w:tc>
          <w:tcPr>
            <w:tcW w:w="38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30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$304,595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$327,040</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26,121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13,498</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0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$0.97</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00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1.91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0.95</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Intangible Assets</w:t>
      </w:r>
    </w:p>
    <w:p>
      <w:pPr>
        <w:spacing w:after="0" w:line="175" w:lineRule="exact"/>
        <w:rPr>
          <w:sz w:val="20"/>
          <w:szCs w:val="20"/>
          <w:color w:val="auto"/>
        </w:rPr>
      </w:pPr>
    </w:p>
    <w:p>
      <w:pPr>
        <w:jc w:val="both"/>
        <w:ind w:right="3539"/>
        <w:spacing w:after="0" w:line="237" w:lineRule="auto"/>
        <w:rPr>
          <w:sz w:val="20"/>
          <w:szCs w:val="20"/>
          <w:color w:val="auto"/>
        </w:rPr>
      </w:pPr>
      <w:r>
        <w:rPr>
          <w:rFonts w:ascii="Courier New" w:cs="Courier New" w:eastAsia="Courier New" w:hAnsi="Courier New"/>
          <w:sz w:val="15"/>
          <w:szCs w:val="15"/>
          <w:color w:val="auto"/>
        </w:rPr>
        <w:t>On December 1, 2004, the Company acquired the workforce of Biomines Research Solutions Private Limited, ("Biomines"), based in Chennai, India, for a cash consideration of U.S.$250,000.</w:t>
      </w:r>
    </w:p>
    <w:p>
      <w:pPr>
        <w:spacing w:after="0" w:line="169"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5"/>
          <w:szCs w:val="15"/>
          <w:color w:val="auto"/>
        </w:rPr>
        <w:t>At December 1,</w:t>
      </w:r>
    </w:p>
    <w:p>
      <w:pPr>
        <w:jc w:val="right"/>
        <w:ind w:right="4139"/>
        <w:spacing w:after="0"/>
        <w:rPr>
          <w:sz w:val="20"/>
          <w:szCs w:val="20"/>
          <w:color w:val="auto"/>
        </w:rPr>
      </w:pPr>
      <w:r>
        <w:rPr>
          <w:rFonts w:ascii="Courier New" w:cs="Courier New" w:eastAsia="Courier New" w:hAnsi="Courier New"/>
          <w:sz w:val="15"/>
          <w:szCs w:val="15"/>
          <w:color w:val="auto"/>
        </w:rPr>
        <w:t>--------------</w:t>
      </w:r>
    </w:p>
    <w:p>
      <w:pPr>
        <w:jc w:val="right"/>
        <w:ind w:right="4139"/>
        <w:spacing w:after="0"/>
        <w:rPr>
          <w:sz w:val="20"/>
          <w:szCs w:val="20"/>
          <w:color w:val="auto"/>
        </w:rPr>
      </w:pPr>
      <w:r>
        <w:rPr>
          <w:rFonts w:ascii="Courier New" w:cs="Courier New" w:eastAsia="Courier New" w:hAnsi="Courier New"/>
          <w:sz w:val="15"/>
          <w:szCs w:val="15"/>
          <w:color w:val="auto"/>
        </w:rPr>
        <w:t>2004</w:t>
      </w:r>
    </w:p>
    <w:p>
      <w:pPr>
        <w:jc w:val="right"/>
        <w:ind w:right="4139"/>
        <w:spacing w:after="0" w:line="238" w:lineRule="auto"/>
        <w:rPr>
          <w:sz w:val="20"/>
          <w:szCs w:val="20"/>
          <w:color w:val="auto"/>
        </w:rPr>
      </w:pPr>
      <w:r>
        <w:rPr>
          <w:rFonts w:ascii="Courier New" w:cs="Courier New" w:eastAsia="Courier New" w:hAnsi="Courier New"/>
          <w:sz w:val="15"/>
          <w:szCs w:val="15"/>
          <w:color w:val="auto"/>
        </w:rPr>
        <w:t>----</w:t>
      </w:r>
    </w:p>
    <w:p>
      <w:pPr>
        <w:jc w:val="right"/>
        <w:ind w:right="4139"/>
        <w:spacing w:after="0"/>
        <w:rPr>
          <w:sz w:val="20"/>
          <w:szCs w:val="20"/>
          <w:color w:val="auto"/>
        </w:rPr>
      </w:pPr>
      <w:r>
        <w:rPr>
          <w:rFonts w:ascii="Courier New" w:cs="Courier New" w:eastAsia="Courier New" w:hAnsi="Courier New"/>
          <w:sz w:val="15"/>
          <w:szCs w:val="15"/>
          <w:color w:val="auto"/>
        </w:rPr>
        <w:t>(in thousands)</w:t>
      </w:r>
    </w:p>
    <w:p>
      <w:pPr>
        <w:spacing w:after="0" w:line="169" w:lineRule="exact"/>
        <w:rPr>
          <w:sz w:val="20"/>
          <w:szCs w:val="20"/>
          <w:color w:val="auto"/>
        </w:rPr>
      </w:pPr>
    </w:p>
    <w:p>
      <w:pPr>
        <w:ind w:left="600"/>
        <w:spacing w:after="0"/>
        <w:tabs>
          <w:tab w:leader="none" w:pos="5700" w:val="left"/>
        </w:tabs>
        <w:rPr>
          <w:sz w:val="20"/>
          <w:szCs w:val="20"/>
          <w:color w:val="auto"/>
        </w:rPr>
      </w:pPr>
      <w:r>
        <w:rPr>
          <w:rFonts w:ascii="Courier New" w:cs="Courier New" w:eastAsia="Courier New" w:hAnsi="Courier New"/>
          <w:sz w:val="15"/>
          <w:szCs w:val="15"/>
          <w:color w:val="auto"/>
        </w:rPr>
        <w:t>Acquired workforce - intangible asset</w:t>
      </w:r>
      <w:r>
        <w:rPr>
          <w:sz w:val="20"/>
          <w:szCs w:val="20"/>
          <w:color w:val="auto"/>
        </w:rPr>
        <w:tab/>
      </w:r>
      <w:r>
        <w:rPr>
          <w:rFonts w:ascii="Courier New" w:cs="Courier New" w:eastAsia="Courier New" w:hAnsi="Courier New"/>
          <w:sz w:val="15"/>
          <w:szCs w:val="15"/>
          <w:color w:val="auto"/>
        </w:rPr>
        <w:t>$250</w:t>
      </w:r>
    </w:p>
    <w:p>
      <w:pPr>
        <w:ind w:left="600"/>
        <w:spacing w:after="0"/>
        <w:rPr>
          <w:sz w:val="20"/>
          <w:szCs w:val="20"/>
          <w:color w:val="auto"/>
        </w:rPr>
      </w:pPr>
      <w:r>
        <w:rPr>
          <w:rFonts w:ascii="Courier New" w:cs="Courier New" w:eastAsia="Courier New" w:hAnsi="Courier New"/>
          <w:sz w:val="15"/>
          <w:szCs w:val="15"/>
          <w:color w:val="auto"/>
        </w:rPr>
        <w:t>---------------------------------------------------------------</w:t>
      </w:r>
    </w:p>
    <w:tbl>
      <w:tblPr>
        <w:tblLayout w:type="fixed"/>
        <w:tblInd w:w="600" w:type="dxa"/>
        <w:tblCellMar>
          <w:top w:w="0" w:type="dxa"/>
          <w:left w:w="0" w:type="dxa"/>
          <w:bottom w:w="0" w:type="dxa"/>
          <w:right w:w="0" w:type="dxa"/>
        </w:tblCellMar>
      </w:tblPr>
      <w:tr>
        <w:trPr>
          <w:trHeight w:val="169"/>
        </w:trPr>
        <w:tc>
          <w:tcPr>
            <w:tcW w:w="318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bl>
    <w:p>
      <w:pPr>
        <w:ind w:left="6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27" w:right="1440" w:bottom="1440" w:gutter="0" w:footer="0" w:header="0"/>
        </w:sectPr>
      </w:pPr>
    </w:p>
    <w:bookmarkStart w:id="61" w:name="page62"/>
    <w:bookmarkEnd w:id="61"/>
    <w:p>
      <w:pPr>
        <w:ind w:left="10" w:right="3439"/>
        <w:spacing w:after="0" w:line="260" w:lineRule="auto"/>
        <w:rPr>
          <w:sz w:val="20"/>
          <w:szCs w:val="20"/>
          <w:color w:val="auto"/>
        </w:rPr>
      </w:pPr>
      <w:r>
        <w:rPr>
          <w:rFonts w:ascii="Courier New" w:cs="Courier New" w:eastAsia="Courier New" w:hAnsi="Courier New"/>
          <w:sz w:val="14"/>
          <w:szCs w:val="14"/>
          <w:color w:val="auto"/>
        </w:rPr>
        <w:t>The cost of the acquired workforce is being amortized over 24 months in line with the life of the non-compete service contracts of the acquired employees. U.S.$62,000 has been amortized in the period since the date of acquisition.</w:t>
      </w:r>
    </w:p>
    <w:p>
      <w:pPr>
        <w:spacing w:after="0" w:line="32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326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At May 31,</w:t>
            </w:r>
          </w:p>
        </w:tc>
        <w:tc>
          <w:tcPr>
            <w:tcW w:w="176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326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326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2005</w:t>
            </w:r>
          </w:p>
        </w:tc>
        <w:tc>
          <w:tcPr>
            <w:tcW w:w="176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326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3260" w:type="dxa"/>
            <w:vAlign w:val="bottom"/>
          </w:tcPr>
          <w:p>
            <w:pPr>
              <w:jc w:val="right"/>
              <w:ind w:right="1967"/>
              <w:spacing w:after="0"/>
              <w:rPr>
                <w:sz w:val="20"/>
                <w:szCs w:val="20"/>
                <w:color w:val="auto"/>
              </w:rPr>
            </w:pPr>
            <w:r>
              <w:rPr>
                <w:rFonts w:ascii="Courier New" w:cs="Courier New" w:eastAsia="Courier New" w:hAnsi="Courier New"/>
                <w:sz w:val="15"/>
                <w:szCs w:val="15"/>
                <w:color w:val="auto"/>
                <w:w w:val="95"/>
              </w:rPr>
              <w:t>(in thousands)</w:t>
            </w:r>
          </w:p>
        </w:tc>
        <w:tc>
          <w:tcPr>
            <w:tcW w:w="1760" w:type="dxa"/>
            <w:vAlign w:val="bottom"/>
          </w:tcPr>
          <w:p>
            <w:pPr>
              <w:spacing w:after="0"/>
              <w:rPr>
                <w:sz w:val="14"/>
                <w:szCs w:val="14"/>
                <w:color w:val="auto"/>
              </w:rPr>
            </w:pPr>
          </w:p>
        </w:tc>
      </w:tr>
      <w:tr>
        <w:trPr>
          <w:trHeight w:val="339"/>
        </w:trPr>
        <w:tc>
          <w:tcPr>
            <w:tcW w:w="4760" w:type="dxa"/>
            <w:vAlign w:val="bottom"/>
          </w:tcPr>
          <w:p>
            <w:pPr>
              <w:ind w:left="600"/>
              <w:spacing w:after="0"/>
              <w:rPr>
                <w:sz w:val="20"/>
                <w:szCs w:val="20"/>
                <w:color w:val="auto"/>
              </w:rPr>
            </w:pPr>
            <w:r>
              <w:rPr>
                <w:rFonts w:ascii="Courier New" w:cs="Courier New" w:eastAsia="Courier New" w:hAnsi="Courier New"/>
                <w:sz w:val="15"/>
                <w:szCs w:val="15"/>
                <w:color w:val="auto"/>
              </w:rPr>
              <w:t>Cost</w:t>
            </w:r>
          </w:p>
        </w:tc>
        <w:tc>
          <w:tcPr>
            <w:tcW w:w="326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$250</w:t>
            </w:r>
          </w:p>
        </w:tc>
        <w:tc>
          <w:tcPr>
            <w:tcW w:w="1760" w:type="dxa"/>
            <w:vAlign w:val="bottom"/>
          </w:tcPr>
          <w:p>
            <w:pPr>
              <w:spacing w:after="0"/>
              <w:rPr>
                <w:sz w:val="24"/>
                <w:szCs w:val="24"/>
                <w:color w:val="auto"/>
              </w:rPr>
            </w:pPr>
          </w:p>
        </w:tc>
      </w:tr>
      <w:tr>
        <w:trPr>
          <w:trHeight w:val="170"/>
        </w:trPr>
        <w:tc>
          <w:tcPr>
            <w:tcW w:w="4760" w:type="dxa"/>
            <w:vAlign w:val="bottom"/>
          </w:tcPr>
          <w:p>
            <w:pPr>
              <w:ind w:left="600"/>
              <w:spacing w:after="0"/>
              <w:rPr>
                <w:sz w:val="20"/>
                <w:szCs w:val="20"/>
                <w:color w:val="auto"/>
              </w:rPr>
            </w:pPr>
            <w:r>
              <w:rPr>
                <w:rFonts w:ascii="Courier New" w:cs="Courier New" w:eastAsia="Courier New" w:hAnsi="Courier New"/>
                <w:sz w:val="15"/>
                <w:szCs w:val="15"/>
                <w:color w:val="auto"/>
              </w:rPr>
              <w:t>Accumulated amortization</w:t>
            </w:r>
          </w:p>
        </w:tc>
        <w:tc>
          <w:tcPr>
            <w:tcW w:w="326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(62)</w:t>
            </w:r>
          </w:p>
        </w:tc>
        <w:tc>
          <w:tcPr>
            <w:tcW w:w="1760" w:type="dxa"/>
            <w:vAlign w:val="bottom"/>
          </w:tcPr>
          <w:p>
            <w:pPr>
              <w:spacing w:after="0"/>
              <w:rPr>
                <w:sz w:val="14"/>
                <w:szCs w:val="14"/>
                <w:color w:val="auto"/>
              </w:rPr>
            </w:pPr>
          </w:p>
        </w:tc>
      </w:tr>
      <w:tr>
        <w:trPr>
          <w:trHeight w:val="170"/>
        </w:trPr>
        <w:tc>
          <w:tcPr>
            <w:tcW w:w="80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r>
      <w:tr>
        <w:trPr>
          <w:trHeight w:val="170"/>
        </w:trPr>
        <w:tc>
          <w:tcPr>
            <w:tcW w:w="4760" w:type="dxa"/>
            <w:vAlign w:val="bottom"/>
          </w:tcPr>
          <w:p>
            <w:pPr>
              <w:ind w:left="600"/>
              <w:spacing w:after="0"/>
              <w:rPr>
                <w:sz w:val="20"/>
                <w:szCs w:val="20"/>
                <w:color w:val="auto"/>
              </w:rPr>
            </w:pPr>
            <w:r>
              <w:rPr>
                <w:rFonts w:ascii="Courier New" w:cs="Courier New" w:eastAsia="Courier New" w:hAnsi="Courier New"/>
                <w:sz w:val="15"/>
                <w:szCs w:val="15"/>
                <w:color w:val="auto"/>
              </w:rPr>
              <w:t>Net book value</w:t>
            </w:r>
          </w:p>
        </w:tc>
        <w:tc>
          <w:tcPr>
            <w:tcW w:w="326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$188</w:t>
            </w:r>
          </w:p>
        </w:tc>
        <w:tc>
          <w:tcPr>
            <w:tcW w:w="1760" w:type="dxa"/>
            <w:vAlign w:val="bottom"/>
          </w:tcPr>
          <w:p>
            <w:pPr>
              <w:spacing w:after="0"/>
              <w:rPr>
                <w:sz w:val="14"/>
                <w:szCs w:val="14"/>
                <w:color w:val="auto"/>
              </w:rPr>
            </w:pPr>
          </w:p>
        </w:tc>
      </w:tr>
      <w:tr>
        <w:trPr>
          <w:trHeight w:val="170"/>
        </w:trPr>
        <w:tc>
          <w:tcPr>
            <w:tcW w:w="80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spacing w:after="0"/>
              <w:rPr>
                <w:sz w:val="14"/>
                <w:szCs w:val="14"/>
                <w:color w:val="auto"/>
              </w:rPr>
            </w:pPr>
          </w:p>
        </w:tc>
      </w:tr>
      <w:tr>
        <w:trPr>
          <w:trHeight w:val="509"/>
        </w:trPr>
        <w:tc>
          <w:tcPr>
            <w:tcW w:w="4760" w:type="dxa"/>
            <w:vAlign w:val="bottom"/>
          </w:tcPr>
          <w:p>
            <w:pPr>
              <w:spacing w:after="0"/>
              <w:rPr>
                <w:sz w:val="20"/>
                <w:szCs w:val="20"/>
                <w:color w:val="auto"/>
              </w:rPr>
            </w:pPr>
            <w:r>
              <w:rPr>
                <w:rFonts w:ascii="Courier New" w:cs="Courier New" w:eastAsia="Courier New" w:hAnsi="Courier New"/>
                <w:sz w:val="15"/>
                <w:szCs w:val="15"/>
                <w:color w:val="auto"/>
              </w:rPr>
              <w:t>6. Property, Plant and Equipment, net</w:t>
            </w:r>
          </w:p>
        </w:tc>
        <w:tc>
          <w:tcPr>
            <w:tcW w:w="3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848"/>
        </w:trPr>
        <w:tc>
          <w:tcPr>
            <w:tcW w:w="47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4760" w:type="dxa"/>
            <w:vAlign w:val="bottom"/>
          </w:tcPr>
          <w:p>
            <w:pPr>
              <w:spacing w:after="0"/>
              <w:rPr>
                <w:sz w:val="14"/>
                <w:szCs w:val="14"/>
                <w:color w:val="auto"/>
              </w:rPr>
            </w:pPr>
          </w:p>
        </w:tc>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2004</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w w:val="79"/>
              </w:rPr>
              <w:t>Land..............................................................</w:t>
            </w:r>
          </w:p>
        </w:tc>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$748</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79"/>
              </w:rPr>
              <w:t>Building..........................................................</w:t>
            </w:r>
          </w:p>
        </w:tc>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9,502</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11,358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79"/>
              </w:rPr>
              <w:t>Computer equipment and software...................................</w:t>
            </w:r>
          </w:p>
        </w:tc>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42,469</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51,867</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79"/>
              </w:rPr>
              <w:t>Office furniture and fixtures.....................................</w:t>
            </w:r>
          </w:p>
        </w:tc>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17,071</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20,031</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79"/>
              </w:rPr>
              <w:t>Laboratory equipment..............................................</w:t>
            </w:r>
          </w:p>
        </w:tc>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5,009</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5,538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79"/>
              </w:rPr>
              <w:t>Leasehold improvements............................................</w:t>
            </w:r>
          </w:p>
        </w:tc>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6,116</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5,684</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79"/>
              </w:rPr>
              <w:t>Motor vehicles....................................................</w:t>
            </w:r>
          </w:p>
        </w:tc>
        <w:tc>
          <w:tcPr>
            <w:tcW w:w="3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80,952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95,297</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asset write off.................</w:t>
            </w:r>
          </w:p>
        </w:tc>
        <w:tc>
          <w:tcPr>
            <w:tcW w:w="19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(38,016)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(50,011)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$42,936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$45,286</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19" w:lineRule="exact"/>
        <w:rPr>
          <w:sz w:val="20"/>
          <w:szCs w:val="20"/>
          <w:color w:val="auto"/>
        </w:rPr>
      </w:pPr>
    </w:p>
    <w:p>
      <w:pPr>
        <w:jc w:val="both"/>
        <w:ind w:left="10" w:right="3359"/>
        <w:spacing w:after="0" w:line="260" w:lineRule="auto"/>
        <w:rPr>
          <w:sz w:val="20"/>
          <w:szCs w:val="20"/>
          <w:color w:val="auto"/>
        </w:rPr>
      </w:pPr>
      <w:r>
        <w:rPr>
          <w:rFonts w:ascii="Courier New" w:cs="Courier New" w:eastAsia="Courier New" w:hAnsi="Courier New"/>
          <w:sz w:val="14"/>
          <w:szCs w:val="14"/>
          <w:color w:val="auto"/>
        </w:rPr>
        <w:t>Total cost above at May 31, 2005 includes U.S.$725,643 (2004: U.S.$1,580,127), which relates to assets held under capital finance leases. Related accumulated depreciation amounted to U.S.$305,867 (2004: U.S.$252,039).</w:t>
      </w:r>
    </w:p>
    <w:p>
      <w:pPr>
        <w:spacing w:after="0" w:line="32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7. Other Liabilities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May 31,</w:t>
            </w:r>
          </w:p>
        </w:tc>
      </w:tr>
      <w:tr>
        <w:trPr>
          <w:trHeight w:val="339"/>
        </w:trPr>
        <w:tc>
          <w:tcPr>
            <w:tcW w:w="6600" w:type="dxa"/>
            <w:vAlign w:val="bottom"/>
          </w:tcPr>
          <w:p>
            <w:pPr>
              <w:spacing w:after="0"/>
              <w:rPr>
                <w:sz w:val="24"/>
                <w:szCs w:val="24"/>
                <w:color w:val="auto"/>
              </w:rPr>
            </w:pP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2004</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6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509"/>
        </w:trPr>
        <w:tc>
          <w:tcPr>
            <w:tcW w:w="660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$18,483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$23,183</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Accrued bonuses...................................................</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8,828</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7,331</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Accrued social welfare costs......................................</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1,899</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2,016</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Contingent purchase consideration payable.........................</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2,506</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3,374</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Short term government grants......................................</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195</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Accrued pension liability ........................................</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2,927</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3,585</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Short term finance leases (note 16)...............................</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7410"/>
        <w:spacing w:after="0"/>
        <w:tabs>
          <w:tab w:leader="none" w:pos="9229" w:val="left"/>
        </w:tabs>
        <w:rPr>
          <w:sz w:val="20"/>
          <w:szCs w:val="20"/>
          <w:color w:val="auto"/>
        </w:rPr>
      </w:pPr>
      <w:r>
        <w:rPr>
          <w:rFonts w:ascii="Courier New" w:cs="Courier New" w:eastAsia="Courier New" w:hAnsi="Courier New"/>
          <w:sz w:val="15"/>
          <w:szCs w:val="15"/>
          <w:color w:val="auto"/>
        </w:rPr>
        <w:t>$35,091</w:t>
      </w:r>
      <w:r>
        <w:rPr>
          <w:sz w:val="20"/>
          <w:szCs w:val="20"/>
          <w:color w:val="auto"/>
        </w:rPr>
        <w:tab/>
      </w:r>
      <w:r>
        <w:rPr>
          <w:rFonts w:ascii="Courier New" w:cs="Courier New" w:eastAsia="Courier New" w:hAnsi="Courier New"/>
          <w:sz w:val="14"/>
          <w:szCs w:val="14"/>
          <w:color w:val="auto"/>
        </w:rPr>
        <w:t>$39,890</w:t>
      </w:r>
    </w:p>
    <w:p>
      <w:pPr>
        <w:spacing w:after="0" w:line="5" w:lineRule="exact"/>
        <w:rPr>
          <w:sz w:val="20"/>
          <w:szCs w:val="20"/>
          <w:color w:val="auto"/>
        </w:rPr>
      </w:pPr>
    </w:p>
    <w:p>
      <w:pPr>
        <w:ind w:left="170" w:hanging="170"/>
        <w:spacing w:after="0"/>
        <w:tabs>
          <w:tab w:leader="none" w:pos="17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83" w:lineRule="exact"/>
        <w:rPr>
          <w:rFonts w:ascii="Courier New" w:cs="Courier New" w:eastAsia="Courier New" w:hAnsi="Courier New"/>
          <w:sz w:val="14"/>
          <w:szCs w:val="14"/>
          <w:color w:val="auto"/>
        </w:rPr>
      </w:pPr>
    </w:p>
    <w:p>
      <w:pPr>
        <w:ind w:left="34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58</w:t>
      </w:r>
    </w:p>
    <w:p>
      <w:pPr>
        <w:sectPr>
          <w:pgSz w:w="11900" w:h="16838" w:orient="portrait"/>
          <w:cols w:equalWidth="0" w:num="1">
            <w:col w:w="10229"/>
          </w:cols>
          <w:pgMar w:left="230" w:top="627"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8. Bank Loans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short-term bank loan facilities as follows: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The obligations of the borrowers under the Facilities are secured by certain composite guarantees and indemnities and pledges in favour of each of the banks. This facility bears interest at an annual rate equal to the Banks' Prime Rate plus three quarters of one percent. As at May 31, 2005, the full amount of these facilities were available to be drawn down. ICON Clinical Research, Inc. (a subsidiary of ICON plc) is entitled to make borrowings under a revolving credit facility of $15 million. As at May 31, 2005, the full amount of this facility was available to be drawn down.</w:t>
      </w:r>
    </w:p>
    <w:p>
      <w:pPr>
        <w:spacing w:after="0" w:line="18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Company entered into an overdraft agreement with Allied Irish Banks, plc ("AIB") whereby the company guarantees any overdraft of the subsidiary ICON Clinical Research GmbH up to an amount (euro)120,000 (U.S.$150,960). As of May 31, 2005, the full facility was available to be drawn down.</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also entered into an overdraft agreement with AIB, whereby the company guaranteed any overdraft of the subsidiary ICON Clinical Research Israel Ltd. up to an amount of U.S.$250,000. This facility was terminated on April 20, 2004.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Employee Benefits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Certain Company employees are eligible to participate in a defined contribution plan (the "Plan"). Participants in the Plan may elect to defer a portion of their pre-tax earnings into a pension plan, which is run by an independent party. The Company matches each participant's contributions up to 6% of the participant's annual compensation. Contributions to this plan are recorded, as expense in the Consolidated Statement of Operations. Contributions for the years ended May 31, 2003, 2004 and 2005 were U.S.$1,649,793, and U.S.$2,297,928, and U.S.$3,443,374 respectively.</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Statement of Operations. Contributions for the years ended May 31, 2003, 2004 and 2005 were U.S.$ 1,811,156, U.S.$2,389,757, and U.S.$2,539,760 respectively.</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One of the Company's subsidiaries which was acquired during the 2003 fiscal year, Medeval Group Limited, operates a defined benefit pension plan in the United Kingdom for its employees. The plan is managed externally and the related pension costs and liabilities are assessed in accordance with the advice of a professionally qualified actuary. Plan assets at May 31, 2004 and 2005 consist of units held in independently administered funds. The pension costs of this plan are presented in the following tables in accordance with the requirements of SFAS No.132(R), "Employees' Disclosures about Pensions and Other Post-retirement Benefits".</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791" w:right="1440" w:bottom="1440" w:gutter="0" w:footer="0" w:header="0"/>
        </w:sectPr>
      </w:pPr>
    </w:p>
    <w:bookmarkStart w:id="63" w:name="page64"/>
    <w:bookmarkEnd w:id="63"/>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25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May 31,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May 31,</w:t>
            </w:r>
          </w:p>
        </w:tc>
      </w:tr>
      <w:tr>
        <w:trPr>
          <w:trHeight w:val="170"/>
        </w:trPr>
        <w:tc>
          <w:tcPr>
            <w:tcW w:w="4260" w:type="dxa"/>
            <w:vAlign w:val="bottom"/>
          </w:tcPr>
          <w:p>
            <w:pPr>
              <w:spacing w:after="0"/>
              <w:rPr>
                <w:sz w:val="14"/>
                <w:szCs w:val="14"/>
                <w:color w:val="auto"/>
              </w:rPr>
            </w:pPr>
          </w:p>
        </w:tc>
        <w:tc>
          <w:tcPr>
            <w:tcW w:w="25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260" w:type="dxa"/>
            <w:vAlign w:val="bottom"/>
          </w:tcPr>
          <w:p>
            <w:pPr>
              <w:spacing w:after="0"/>
              <w:rPr>
                <w:sz w:val="14"/>
                <w:szCs w:val="14"/>
                <w:color w:val="auto"/>
              </w:rPr>
            </w:pP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Benefit obligation at beginning of year</w:t>
            </w:r>
          </w:p>
        </w:tc>
        <w:tc>
          <w:tcPr>
            <w:tcW w:w="25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$7,207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$9,056</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5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714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832</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25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388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559</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25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267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25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(62)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Actuarial (loss) /gain</w:t>
            </w:r>
          </w:p>
        </w:tc>
        <w:tc>
          <w:tcPr>
            <w:tcW w:w="25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819</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Foreign currency exchange rate changes</w:t>
            </w:r>
          </w:p>
        </w:tc>
        <w:tc>
          <w:tcPr>
            <w:tcW w:w="25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927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Benefit obligation at end of year</w:t>
            </w: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$9,056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$11,323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May 31,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4580" w:type="dxa"/>
            <w:vAlign w:val="bottom"/>
          </w:tcPr>
          <w:p>
            <w:pPr>
              <w:spacing w:after="0"/>
              <w:rPr>
                <w:sz w:val="14"/>
                <w:szCs w:val="14"/>
                <w:color w:val="auto"/>
              </w:rPr>
            </w:pP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580" w:type="dxa"/>
            <w:vAlign w:val="bottom"/>
          </w:tcPr>
          <w:p>
            <w:pPr>
              <w:spacing w:after="0"/>
              <w:rPr>
                <w:sz w:val="14"/>
                <w:szCs w:val="14"/>
                <w:color w:val="auto"/>
              </w:rPr>
            </w:pPr>
          </w:p>
        </w:tc>
        <w:tc>
          <w:tcPr>
            <w:tcW w:w="28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beginning of year</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$4,378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$6,129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657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Plan participants' contributions</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Foreign currency exchange rate changes</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Fair value of plan assets at end of year</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$6,129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$7,354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Funded</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status</w:t>
            </w:r>
          </w:p>
        </w:tc>
        <w:tc>
          <w:tcPr>
            <w:tcW w:w="2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May 31,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9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Funded</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status</w:t>
            </w:r>
          </w:p>
        </w:tc>
        <w:tc>
          <w:tcPr>
            <w:tcW w:w="2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$(2,927)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$(3,969)</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net loss</w:t>
            </w:r>
          </w:p>
        </w:tc>
        <w:tc>
          <w:tcPr>
            <w:tcW w:w="2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Pension liability</w:t>
            </w:r>
          </w:p>
        </w:tc>
        <w:tc>
          <w:tcPr>
            <w:tcW w:w="2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$(3,969)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May 31,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Amounts</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recognized in the balance sheet consists of:</w:t>
            </w: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Accrued</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benefit cost</w:t>
            </w:r>
          </w:p>
        </w:tc>
        <w:tc>
          <w:tcPr>
            <w:tcW w:w="16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$(3,037)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$(3,969)</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2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$(3,037)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$(3,969)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gridSpan w:val="2"/>
          </w:tcPr>
          <w:p>
            <w:pPr>
              <w:spacing w:after="0"/>
              <w:rPr>
                <w:sz w:val="20"/>
                <w:szCs w:val="20"/>
                <w:color w:val="auto"/>
              </w:rPr>
            </w:pPr>
            <w:r>
              <w:rPr>
                <w:rFonts w:ascii="Courier New" w:cs="Courier New" w:eastAsia="Courier New" w:hAnsi="Courier New"/>
                <w:sz w:val="15"/>
                <w:szCs w:val="15"/>
                <w:color w:val="auto"/>
              </w:rPr>
              <w:t>Information for pension plans with an accumulated benefit</w:t>
            </w:r>
          </w:p>
        </w:tc>
        <w:tc>
          <w:tcPr>
            <w:tcW w:w="66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obligation in excess of plan assets</w:t>
            </w:r>
          </w:p>
        </w:tc>
        <w:tc>
          <w:tcPr>
            <w:tcW w:w="2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28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May 31,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3260" w:type="dxa"/>
            <w:vAlign w:val="bottom"/>
          </w:tcPr>
          <w:p>
            <w:pPr>
              <w:spacing w:after="0"/>
              <w:rPr>
                <w:sz w:val="14"/>
                <w:szCs w:val="14"/>
                <w:color w:val="auto"/>
              </w:rPr>
            </w:pPr>
          </w:p>
        </w:tc>
        <w:tc>
          <w:tcPr>
            <w:tcW w:w="28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2004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26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28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$9,056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$11,323</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Accumulated benefit obligation</w:t>
            </w:r>
          </w:p>
        </w:tc>
        <w:tc>
          <w:tcPr>
            <w:tcW w:w="28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9,056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11,323</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Fair value of assets</w:t>
            </w:r>
          </w:p>
        </w:tc>
        <w:tc>
          <w:tcPr>
            <w:tcW w:w="28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6,129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7,354</w:t>
            </w:r>
          </w:p>
        </w:tc>
      </w:tr>
      <w:tr>
        <w:trPr>
          <w:trHeight w:val="848"/>
        </w:trPr>
        <w:tc>
          <w:tcPr>
            <w:tcW w:w="3260" w:type="dxa"/>
            <w:vAlign w:val="bottom"/>
          </w:tcPr>
          <w:p>
            <w:pPr>
              <w:spacing w:after="0"/>
              <w:rPr>
                <w:sz w:val="24"/>
                <w:szCs w:val="24"/>
                <w:color w:val="auto"/>
              </w:rPr>
            </w:pPr>
          </w:p>
        </w:tc>
        <w:tc>
          <w:tcPr>
            <w:tcW w:w="2860" w:type="dxa"/>
            <w:vAlign w:val="bottom"/>
          </w:tcPr>
          <w:p>
            <w:pPr>
              <w:jc w:val="right"/>
              <w:ind w:right="2447"/>
              <w:spacing w:after="0"/>
              <w:rPr>
                <w:sz w:val="20"/>
                <w:szCs w:val="20"/>
                <w:color w:val="auto"/>
              </w:rPr>
            </w:pPr>
            <w:r>
              <w:rPr>
                <w:rFonts w:ascii="Courier New" w:cs="Courier New" w:eastAsia="Courier New" w:hAnsi="Courier New"/>
                <w:sz w:val="15"/>
                <w:szCs w:val="15"/>
                <w:color w:val="auto"/>
              </w:rPr>
              <w:t>60</w:t>
            </w:r>
          </w:p>
        </w:tc>
        <w:tc>
          <w:tcPr>
            <w:tcW w:w="660" w:type="dxa"/>
            <w:vAlign w:val="bottom"/>
          </w:tcPr>
          <w:p>
            <w:pPr>
              <w:spacing w:after="0"/>
              <w:rPr>
                <w:sz w:val="24"/>
                <w:szCs w:val="24"/>
                <w:color w:val="auto"/>
              </w:rPr>
            </w:pPr>
          </w:p>
        </w:tc>
      </w:tr>
    </w:tbl>
    <w:p>
      <w:pPr>
        <w:sectPr>
          <w:pgSz w:w="11900" w:h="16838" w:orient="portrait"/>
          <w:cols w:equalWidth="0" w:num="1">
            <w:col w:w="10219"/>
          </w:cols>
          <w:pgMar w:left="240" w:top="1440" w:right="1440" w:bottom="1440" w:gutter="0" w:footer="0" w:header="0"/>
        </w:sectPr>
      </w:pPr>
    </w:p>
    <w:bookmarkStart w:id="64" w:name="page65"/>
    <w:bookmarkEnd w:id="64"/>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The net periodic pension cost was comprised of the</w:t>
            </w:r>
          </w:p>
        </w:tc>
        <w:tc>
          <w:tcPr>
            <w:tcW w:w="20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May 31,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following:</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920" w:type="dxa"/>
            <w:vAlign w:val="bottom"/>
          </w:tcPr>
          <w:p>
            <w:pPr>
              <w:spacing w:after="0"/>
              <w:rPr>
                <w:sz w:val="14"/>
                <w:szCs w:val="14"/>
                <w:color w:val="auto"/>
              </w:rPr>
            </w:pPr>
          </w:p>
        </w:tc>
        <w:tc>
          <w:tcPr>
            <w:tcW w:w="20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$714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$832</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388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20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(329)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(429)</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70"/>
        </w:trPr>
        <w:tc>
          <w:tcPr>
            <w:tcW w:w="5200" w:type="dxa"/>
            <w:vAlign w:val="bottom"/>
            <w:gridSpan w:val="3"/>
          </w:tcPr>
          <w:p>
            <w:pPr>
              <w:spacing w:after="0"/>
              <w:rPr>
                <w:sz w:val="20"/>
                <w:szCs w:val="20"/>
                <w:color w:val="auto"/>
              </w:rPr>
            </w:pPr>
            <w:r>
              <w:rPr>
                <w:rFonts w:ascii="Courier New" w:cs="Courier New" w:eastAsia="Courier New" w:hAnsi="Courier New"/>
                <w:sz w:val="15"/>
                <w:szCs w:val="15"/>
                <w:color w:val="auto"/>
              </w:rPr>
              <w:t>Net periodic pension cost</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773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Amount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curtailment gain recognized</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Amount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380" w:type="dxa"/>
            <w:vAlign w:val="bottom"/>
          </w:tcPr>
          <w:p>
            <w:pPr>
              <w:ind w:left="60"/>
              <w:spacing w:after="0"/>
              <w:rPr>
                <w:sz w:val="20"/>
                <w:szCs w:val="20"/>
                <w:color w:val="auto"/>
              </w:rPr>
            </w:pPr>
            <w:r>
              <w:rPr>
                <w:rFonts w:ascii="Courier New" w:cs="Courier New" w:eastAsia="Courier New" w:hAnsi="Courier New"/>
                <w:sz w:val="15"/>
                <w:szCs w:val="15"/>
                <w:color w:val="auto"/>
              </w:rPr>
              <w:t>settlement gain recognized</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gridSpan w:val="3"/>
          </w:tcPr>
          <w:p>
            <w:pPr>
              <w:spacing w:after="0"/>
              <w:rPr>
                <w:sz w:val="20"/>
                <w:szCs w:val="20"/>
                <w:color w:val="auto"/>
              </w:rPr>
            </w:pPr>
            <w:r>
              <w:rPr>
                <w:rFonts w:ascii="Courier New" w:cs="Courier New" w:eastAsia="Courier New" w:hAnsi="Courier New"/>
                <w:sz w:val="15"/>
                <w:szCs w:val="15"/>
                <w:color w:val="auto"/>
              </w:rPr>
              <w:t>Cost of special or contractual termination benefits</w:t>
            </w: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200" w:type="dxa"/>
            <w:vAlign w:val="bottom"/>
            <w:gridSpan w:val="3"/>
          </w:tcPr>
          <w:p>
            <w:pPr>
              <w:spacing w:after="0"/>
              <w:rPr>
                <w:sz w:val="20"/>
                <w:szCs w:val="20"/>
                <w:color w:val="auto"/>
              </w:rPr>
            </w:pPr>
            <w:r>
              <w:rPr>
                <w:rFonts w:ascii="Courier New" w:cs="Courier New" w:eastAsia="Courier New" w:hAnsi="Courier New"/>
                <w:sz w:val="15"/>
                <w:szCs w:val="15"/>
                <w:color w:val="auto"/>
              </w:rPr>
              <w:t>recognized</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w:t>
      </w: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Total pension cost</w:t>
            </w:r>
          </w:p>
        </w:tc>
        <w:tc>
          <w:tcPr>
            <w:tcW w:w="3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Amount included in other comprehensive loss arising from</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May 31,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a change in excess of additional minimum pension</w:t>
            </w:r>
          </w:p>
        </w:tc>
        <w:tc>
          <w:tcPr>
            <w:tcW w:w="226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2004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liability over intangible asset:</w:t>
            </w: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7700" w:type="dxa"/>
            <w:vAlign w:val="bottom"/>
          </w:tcPr>
          <w:p>
            <w:pPr>
              <w:spacing w:after="0"/>
              <w:rPr>
                <w:sz w:val="14"/>
                <w:szCs w:val="14"/>
                <w:color w:val="auto"/>
              </w:rPr>
            </w:pPr>
          </w:p>
        </w:tc>
        <w:tc>
          <w:tcPr>
            <w:tcW w:w="22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 thousands)</w:t>
            </w:r>
          </w:p>
        </w:tc>
        <w:tc>
          <w:tcPr>
            <w:tcW w:w="1040" w:type="dxa"/>
            <w:vAlign w:val="bottom"/>
          </w:tcPr>
          <w:p>
            <w:pPr>
              <w:spacing w:after="0"/>
              <w:rPr>
                <w:sz w:val="14"/>
                <w:szCs w:val="14"/>
                <w:color w:val="auto"/>
              </w:rPr>
            </w:pPr>
          </w:p>
        </w:tc>
      </w:tr>
      <w:tr>
        <w:trPr>
          <w:trHeight w:val="339"/>
        </w:trPr>
        <w:tc>
          <w:tcPr>
            <w:tcW w:w="7700" w:type="dxa"/>
            <w:vAlign w:val="bottom"/>
          </w:tcPr>
          <w:p>
            <w:pPr>
              <w:spacing w:after="0"/>
              <w:rPr>
                <w:sz w:val="20"/>
                <w:szCs w:val="20"/>
                <w:color w:val="auto"/>
              </w:rPr>
            </w:pPr>
            <w:r>
              <w:rPr>
                <w:rFonts w:ascii="Courier New" w:cs="Courier New" w:eastAsia="Courier New" w:hAnsi="Courier New"/>
                <w:sz w:val="15"/>
                <w:szCs w:val="15"/>
                <w:color w:val="auto"/>
              </w:rPr>
              <w:t>Increase in additional minimum liability</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$257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7700" w:type="dxa"/>
            <w:vAlign w:val="bottom"/>
          </w:tcPr>
          <w:p>
            <w:pPr>
              <w:spacing w:after="0"/>
              <w:rPr>
                <w:sz w:val="20"/>
                <w:szCs w:val="20"/>
                <w:color w:val="auto"/>
              </w:rPr>
            </w:pPr>
            <w:r>
              <w:rPr>
                <w:rFonts w:ascii="Courier New" w:cs="Courier New" w:eastAsia="Courier New" w:hAnsi="Courier New"/>
                <w:sz w:val="15"/>
                <w:szCs w:val="15"/>
                <w:color w:val="auto"/>
              </w:rPr>
              <w:t>Weighted average assumptions to determine benefit</w:t>
            </w: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obligation</w:t>
            </w: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9"/>
        </w:trPr>
        <w:tc>
          <w:tcPr>
            <w:tcW w:w="7700" w:type="dxa"/>
            <w:vAlign w:val="bottom"/>
          </w:tcPr>
          <w:p>
            <w:pPr>
              <w:spacing w:after="0"/>
              <w:rPr>
                <w:sz w:val="24"/>
                <w:szCs w:val="24"/>
                <w:color w:val="auto"/>
              </w:rPr>
            </w:pP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May 31,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7700" w:type="dxa"/>
            <w:vAlign w:val="bottom"/>
          </w:tcPr>
          <w:p>
            <w:pPr>
              <w:spacing w:after="0"/>
              <w:rPr>
                <w:sz w:val="14"/>
                <w:szCs w:val="14"/>
                <w:color w:val="auto"/>
              </w:rPr>
            </w:pP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5.8%</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Rate of compensation increase</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Expected rate of return on plan assets</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w:t>
            </w:r>
          </w:p>
        </w:tc>
      </w:tr>
      <w:tr>
        <w:trPr>
          <w:trHeight w:val="339"/>
        </w:trPr>
        <w:tc>
          <w:tcPr>
            <w:tcW w:w="7700" w:type="dxa"/>
            <w:vAlign w:val="bottom"/>
          </w:tcPr>
          <w:p>
            <w:pPr>
              <w:spacing w:after="0"/>
              <w:rPr>
                <w:sz w:val="20"/>
                <w:szCs w:val="20"/>
                <w:color w:val="auto"/>
              </w:rPr>
            </w:pPr>
            <w:r>
              <w:rPr>
                <w:rFonts w:ascii="Courier New" w:cs="Courier New" w:eastAsia="Courier New" w:hAnsi="Courier New"/>
                <w:sz w:val="15"/>
                <w:szCs w:val="15"/>
                <w:color w:val="auto"/>
              </w:rPr>
              <w:t>The assets of the scheme are invested in a unitized with profits policy. The</w:t>
            </w:r>
          </w:p>
        </w:tc>
        <w:tc>
          <w:tcPr>
            <w:tcW w:w="2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expected long-term rate of return on assets of 6.5% was calculated as the value</w:t>
            </w: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of the unitized with profits fund after application of a market value reduction</w:t>
            </w: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factor. The underlying asset split of the fund is shown below.</w:t>
            </w:r>
          </w:p>
        </w:tc>
        <w:tc>
          <w:tcPr>
            <w:tcW w:w="2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7700" w:type="dxa"/>
            <w:vAlign w:val="bottom"/>
          </w:tcPr>
          <w:p>
            <w:pPr>
              <w:spacing w:after="0"/>
              <w:rPr>
                <w:sz w:val="20"/>
                <w:szCs w:val="20"/>
                <w:color w:val="auto"/>
              </w:rPr>
            </w:pPr>
            <w:r>
              <w:rPr>
                <w:rFonts w:ascii="Courier New" w:cs="Courier New" w:eastAsia="Courier New" w:hAnsi="Courier New"/>
                <w:sz w:val="15"/>
                <w:szCs w:val="15"/>
                <w:color w:val="auto"/>
              </w:rPr>
              <w:t>Asset Category</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May 31,</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May 31,</w:t>
            </w:r>
          </w:p>
        </w:tc>
      </w:tr>
      <w:tr>
        <w:trPr>
          <w:trHeight w:val="170"/>
        </w:trPr>
        <w:tc>
          <w:tcPr>
            <w:tcW w:w="7700" w:type="dxa"/>
            <w:vAlign w:val="bottom"/>
          </w:tcPr>
          <w:p>
            <w:pPr>
              <w:spacing w:after="0"/>
              <w:rPr>
                <w:sz w:val="14"/>
                <w:szCs w:val="14"/>
                <w:color w:val="auto"/>
              </w:rPr>
            </w:pP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2005</w:t>
            </w:r>
          </w:p>
        </w:tc>
      </w:tr>
      <w:tr>
        <w:trPr>
          <w:trHeight w:val="339"/>
        </w:trPr>
        <w:tc>
          <w:tcPr>
            <w:tcW w:w="770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29%</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Bonds</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18%</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w:t>
            </w:r>
          </w:p>
        </w:tc>
      </w:tr>
      <w:tr>
        <w:trPr>
          <w:trHeight w:val="170"/>
        </w:trPr>
        <w:tc>
          <w:tcPr>
            <w:tcW w:w="7700" w:type="dxa"/>
            <w:vAlign w:val="bottom"/>
          </w:tcPr>
          <w:p>
            <w:pPr>
              <w:spacing w:after="0"/>
              <w:rPr>
                <w:sz w:val="20"/>
                <w:szCs w:val="20"/>
                <w:color w:val="auto"/>
              </w:rPr>
            </w:pPr>
            <w:r>
              <w:rPr>
                <w:rFonts w:ascii="Courier New" w:cs="Courier New" w:eastAsia="Courier New" w:hAnsi="Courier New"/>
                <w:sz w:val="15"/>
                <w:szCs w:val="15"/>
                <w:color w:val="auto"/>
              </w:rPr>
              <w:t>Cash/ other</w:t>
            </w:r>
          </w:p>
        </w:tc>
        <w:tc>
          <w:tcPr>
            <w:tcW w:w="22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left="8800"/>
        <w:spacing w:after="0"/>
        <w:tabs>
          <w:tab w:leader="none" w:pos="10460"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200" w:lineRule="exact"/>
        <w:rPr>
          <w:sz w:val="20"/>
          <w:szCs w:val="20"/>
          <w:color w:val="auto"/>
        </w:rPr>
      </w:pPr>
    </w:p>
    <w:p>
      <w:pPr>
        <w:spacing w:after="0" w:line="319" w:lineRule="exact"/>
        <w:rPr>
          <w:sz w:val="20"/>
          <w:szCs w:val="20"/>
          <w:color w:val="auto"/>
        </w:rPr>
      </w:pPr>
    </w:p>
    <w:p>
      <w:pPr>
        <w:ind w:right="4060" w:firstLine="441"/>
        <w:spacing w:after="0" w:line="237" w:lineRule="auto"/>
        <w:rPr>
          <w:sz w:val="20"/>
          <w:szCs w:val="20"/>
          <w:color w:val="auto"/>
        </w:rPr>
      </w:pPr>
      <w:r>
        <w:rPr>
          <w:rFonts w:ascii="Courier New" w:cs="Courier New" w:eastAsia="Courier New" w:hAnsi="Courier New"/>
          <w:sz w:val="15"/>
          <w:szCs w:val="15"/>
          <w:color w:val="auto"/>
        </w:rPr>
        <w:t>The accumulated benefit obligation for all defined pension plans was $10.9 million at May 31, 2005 (2004: $9.1 million). With effect from July 1, 2003, the scheme was closed to new entrants. The company expects to contribute $1.16 million to its pension fund in fiscal 2006.</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1100"/>
          </w:cols>
          <w:pgMar w:left="240" w:top="1440" w:right="559" w:bottom="1440" w:gutter="0" w:footer="0" w:header="0"/>
        </w:sectPr>
      </w:pPr>
    </w:p>
    <w:bookmarkStart w:id="65" w:name="page66"/>
    <w:bookmarkEnd w:id="65"/>
    <w:p>
      <w:pPr>
        <w:ind w:right="3799" w:firstLine="441"/>
        <w:spacing w:after="0" w:line="235" w:lineRule="auto"/>
        <w:rPr>
          <w:sz w:val="20"/>
          <w:szCs w:val="20"/>
          <w:color w:val="auto"/>
        </w:rPr>
      </w:pPr>
      <w:r>
        <w:rPr>
          <w:rFonts w:ascii="Courier New" w:cs="Courier New" w:eastAsia="Courier New" w:hAnsi="Courier New"/>
          <w:sz w:val="15"/>
          <w:szCs w:val="15"/>
          <w:color w:val="auto"/>
        </w:rPr>
        <w:t>The following annual benefit payments, which reflect expected future service, as appropriate, are expected to be paid.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Estimated Future benefit payments</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0"/>
        </w:trPr>
        <w:tc>
          <w:tcPr>
            <w:tcW w:w="33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1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1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2009</w:t>
            </w:r>
          </w:p>
        </w:tc>
        <w:tc>
          <w:tcPr>
            <w:tcW w:w="1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2010</w:t>
            </w:r>
          </w:p>
        </w:tc>
        <w:tc>
          <w:tcPr>
            <w:tcW w:w="14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Years 2011 - 2015</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365</w:t>
            </w:r>
          </w:p>
        </w:tc>
      </w:tr>
    </w:tbl>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expected cash flows are estimated figures based on the members expected to retire over the next 10 years assuming no early retirements plus an additional amount in respect of recent average withdrawal experience. At the present time it is not clear whether annuities will be purchased when members reach retirement or whether pensions will be paid each month out of the Scheme assets. The above cash flows have been estimated on the assumption that pension will be paid monthly out of the Scheme assets. If annuities are purchased, then the expected benefit payments will be significantly different to those shown above.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Details of the Medeval Group Limited pension and life assurance scheme.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assets of the Scheme are invested in the Norwich Union With-Profit Fund. The aim of the With-Profits Fund is to provide good investment returns through steady growth over the duration of the policy. Although market fluctuations of investment return are evened through the declaration of bonuses, the investment objective is to provide payments which reflects the actual investment returns achieved by the Scheme over the long term.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Asset Allocation</w:t>
            </w:r>
          </w:p>
        </w:tc>
        <w:tc>
          <w:tcPr>
            <w:tcW w:w="2860" w:type="dxa"/>
            <w:vAlign w:val="bottom"/>
          </w:tcPr>
          <w:p>
            <w:pPr>
              <w:spacing w:after="0"/>
              <w:rPr>
                <w:sz w:val="14"/>
                <w:szCs w:val="14"/>
                <w:color w:val="auto"/>
              </w:rPr>
            </w:pP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Asset Category</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30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rPr>
              <w:t>UK Equities</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Overseas Equities</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UK Fixed Interest</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Overseas Bonds</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8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1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Bonuses paid under the Unitised With-Profits policy which is invested in the Norwich Union With-Profit Fund consist of regular bonuses and final bonuses which are explained below in further detail.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Regular Bonus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Premiums paid under the policy are used to buy units which increase in price daily in line with the current Regular Bonus rate. The Regular Bonus rate is normally declared at the end of each calendar year and remains in force until the rate is amended.</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1136"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Regular Bonuses have been declared at the following levels: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Regular Bonus %</w:t>
            </w:r>
          </w:p>
        </w:tc>
      </w:tr>
      <w:tr>
        <w:trPr>
          <w:trHeight w:val="170"/>
        </w:trPr>
        <w:tc>
          <w:tcPr>
            <w:tcW w:w="294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per annum</w:t>
            </w: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rPr>
              <w:t>August 1, 2002</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December 31, 2002</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December 31, 2003</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December 31, 2004</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Final Bonus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purpose of the Final Bonus is to enable the investment return provided by the policy to reflect more closely what has actually been earned over its lifetime. Final Bonus is added when units are cashed and is taken into account in calculating the market value of the policy. The last units purchased are the first units cashed. The amount of Final Bonus depends on the year units were purchased. A scale of bonus rates is normally declared at the end of each calendar year and remains in force until further notice. The scale can be altered during the year.</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When units are cashed a Market Value Reduction ("MFR") scale may be applied instead of a Final Bonus Scale. This reduction may be applied at any time except when units are cashed to provide a member's normal retirement benefits or because of a member's death before retirement.</w:t>
      </w:r>
    </w:p>
    <w:p>
      <w:pPr>
        <w:spacing w:after="0" w:line="176"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A MVR is applied when the value of the units plus the Final Bonus is significantly greater than the value of the underlying investments. It is applied so that non-contracted encashments do not result in more than the fair share of the fund being taken in times of poor performance in the stock market and other asset types in which Norwich Union's With-Profits Fund is invested.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Year units purchased</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Final Bonus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Final Bonus</w:t>
            </w:r>
          </w:p>
        </w:tc>
      </w:tr>
      <w:tr>
        <w:trPr>
          <w:trHeight w:val="170"/>
        </w:trPr>
        <w:tc>
          <w:tcPr>
            <w:tcW w:w="25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(including MVR)</w:t>
            </w:r>
          </w:p>
        </w:tc>
      </w:tr>
      <w:tr>
        <w:trPr>
          <w:trHeight w:val="339"/>
        </w:trPr>
        <w:tc>
          <w:tcPr>
            <w:tcW w:w="25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 Rate of Return</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At December 31, 2004, UK gilts were yielding around 4.6% per annum. This is often referred to as the risk free rate of return as UK gilts have a negligible risk of default and the income payments and capital on redemption are guaranteed by the UK Government. Overseas bonds have been assumed to produce returns in line with UK gilts.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 long term equity "risk-premium" of 3.5% per annum has been assumed. This being the expected long term out-performance of equities over UK gilts. Property has been assumed to provide a return in line with equities over the long term. A outperformance of 1% per annum over the long term for corporate bonds over UK gilts has been taken into account.</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791" w:right="1440" w:bottom="1440" w:gutter="0" w:footer="0" w:header="0"/>
        </w:sectPr>
      </w:pPr>
    </w:p>
    <w:bookmarkStart w:id="67" w:name="page68"/>
    <w:bookmarkEnd w:id="67"/>
    <w:p>
      <w:pPr>
        <w:jc w:val="both"/>
        <w:ind w:right="3259"/>
        <w:spacing w:after="0" w:line="235" w:lineRule="auto"/>
        <w:rPr>
          <w:sz w:val="20"/>
          <w:szCs w:val="20"/>
          <w:color w:val="auto"/>
        </w:rPr>
      </w:pPr>
      <w:r>
        <w:rPr>
          <w:rFonts w:ascii="Courier New" w:cs="Courier New" w:eastAsia="Courier New" w:hAnsi="Courier New"/>
          <w:sz w:val="15"/>
          <w:szCs w:val="15"/>
          <w:color w:val="auto"/>
        </w:rPr>
        <w:t>The expected long term rates of return on different asset classes over the long term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Asset Category</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Expected long-term</w:t>
            </w:r>
          </w:p>
        </w:tc>
      </w:tr>
      <w:tr>
        <w:trPr>
          <w:trHeight w:val="170"/>
        </w:trPr>
        <w:tc>
          <w:tcPr>
            <w:tcW w:w="2820" w:type="dxa"/>
            <w:vAlign w:val="bottom"/>
          </w:tcPr>
          <w:p>
            <w:pPr>
              <w:spacing w:after="0"/>
              <w:rPr>
                <w:sz w:val="14"/>
                <w:szCs w:val="14"/>
                <w:color w:val="auto"/>
              </w:rPr>
            </w:pP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return per annum</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UK equities</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Overseas equities</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Property</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UK Gilts</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Overseas bonds</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pacing w:after="0" w:line="344"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Applying the above expected long term rates of return to the asset distribution of the With-Profits Fund at December 31, 2004 gives rise to an expected overall rate of return of scheme assets of around 6.5% per annum.</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Share Options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option will be either an incentive stock option, or ISO, as described in Section 422 of the Code or an employee stock option, or NSO, as described in Section 422 or 423 of the Code. Each grant of an option under the 2003 Plan will be evidenced by a Stock Option Agreement between the optionee and the Company. The exercise price will be specified in each Stock Option Agreement, however option prices for an ISO will not be less than 100% of the fair market value of an ordinary share on the date the option is granted.</w:t>
      </w:r>
    </w:p>
    <w:p>
      <w:pPr>
        <w:spacing w:after="0" w:line="16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An aggregate of 1.5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100,000 ordinary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options can be granted after January 17, 2013.</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27" w:right="1440" w:bottom="1440" w:gutter="0" w:footer="0" w:header="0"/>
        </w:sectPr>
      </w:pPr>
    </w:p>
    <w:bookmarkStart w:id="68" w:name="page69"/>
    <w:bookmarkEnd w:id="68"/>
    <w:p>
      <w:pPr>
        <w:ind w:right="4240"/>
        <w:spacing w:after="0" w:line="235" w:lineRule="auto"/>
        <w:rPr>
          <w:sz w:val="20"/>
          <w:szCs w:val="20"/>
          <w:color w:val="auto"/>
        </w:rPr>
      </w:pPr>
      <w:r>
        <w:rPr>
          <w:rFonts w:ascii="Courier New" w:cs="Courier New" w:eastAsia="Courier New" w:hAnsi="Courier New"/>
          <w:sz w:val="15"/>
          <w:szCs w:val="15"/>
          <w:color w:val="auto"/>
        </w:rPr>
        <w:t>The following table summarizes the transactions for the Company's share option plans for the three year period ended May 31, 2005: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Options Granted</w:t>
            </w:r>
          </w:p>
        </w:tc>
        <w:tc>
          <w:tcPr>
            <w:tcW w:w="2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2920" w:type="dxa"/>
            <w:vAlign w:val="bottom"/>
          </w:tcPr>
          <w:p>
            <w:pPr>
              <w:spacing w:after="0"/>
              <w:rPr>
                <w:sz w:val="14"/>
                <w:szCs w:val="14"/>
                <w:color w:val="auto"/>
              </w:rPr>
            </w:pPr>
          </w:p>
        </w:tc>
        <w:tc>
          <w:tcPr>
            <w:tcW w:w="2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Prior to</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Options Granted</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2920" w:type="dxa"/>
            <w:vAlign w:val="bottom"/>
          </w:tcPr>
          <w:p>
            <w:pPr>
              <w:spacing w:after="0"/>
              <w:rPr>
                <w:sz w:val="14"/>
                <w:szCs w:val="14"/>
                <w:color w:val="auto"/>
              </w:rPr>
            </w:pPr>
          </w:p>
        </w:tc>
        <w:tc>
          <w:tcPr>
            <w:tcW w:w="2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Jan 15, 1998</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Under Plans</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339"/>
        </w:trPr>
        <w:tc>
          <w:tcPr>
            <w:tcW w:w="2920" w:type="dxa"/>
            <w:vAlign w:val="bottom"/>
          </w:tcPr>
          <w:p>
            <w:pPr>
              <w:spacing w:after="0"/>
              <w:rPr>
                <w:sz w:val="20"/>
                <w:szCs w:val="20"/>
                <w:color w:val="auto"/>
              </w:rPr>
            </w:pPr>
            <w:r>
              <w:rPr>
                <w:rFonts w:ascii="Courier New" w:cs="Courier New" w:eastAsia="Courier New" w:hAnsi="Courier New"/>
                <w:sz w:val="15"/>
                <w:szCs w:val="15"/>
                <w:color w:val="auto"/>
              </w:rPr>
              <w:t>Outstanding at May 31, 2002</w:t>
            </w:r>
          </w:p>
        </w:tc>
        <w:tc>
          <w:tcPr>
            <w:tcW w:w="2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292,030</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727,590</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1,019,620</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$15.85</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283,445</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283,445</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$27.96</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(39,360)</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(39,360)</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$18.51</w:t>
            </w:r>
          </w:p>
        </w:tc>
      </w:t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2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(78,060)</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(78,060)</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$22.22</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Outstanding at May 31, 2003</w:t>
            </w:r>
          </w:p>
        </w:tc>
        <w:tc>
          <w:tcPr>
            <w:tcW w:w="23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292,030</w:t>
            </w:r>
          </w:p>
        </w:tc>
        <w:tc>
          <w:tcPr>
            <w:tcW w:w="19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893,615</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1,185,645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$18.24</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31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372,926</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372,926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$35.53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31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(244,960)</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(251,959)</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(496,919)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$10.78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31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(68,080)</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(68,080)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$26.51</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Outstanding at May 31, 2004</w:t>
            </w:r>
          </w:p>
        </w:tc>
        <w:tc>
          <w:tcPr>
            <w:tcW w:w="22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47,070</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946,502</w:t>
            </w:r>
          </w:p>
        </w:tc>
        <w:tc>
          <w:tcPr>
            <w:tcW w:w="1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993,572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427,730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427,730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$34.39</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(60,620)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(60,620)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$23.11</w:t>
            </w:r>
          </w:p>
        </w:tc>
      </w:tr>
      <w:tr>
        <w:trPr>
          <w:trHeight w:val="170"/>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28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(72,440)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(72,440)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$31.07</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Outstanding at May 31, 2005</w:t>
            </w:r>
          </w:p>
        </w:tc>
        <w:tc>
          <w:tcPr>
            <w:tcW w:w="220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47,070</w:t>
            </w:r>
          </w:p>
        </w:tc>
        <w:tc>
          <w:tcPr>
            <w:tcW w:w="1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1,241,172</w:t>
            </w:r>
          </w:p>
        </w:tc>
        <w:tc>
          <w:tcPr>
            <w:tcW w:w="17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1,288,242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$30.10</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 ----------------</w:t>
      </w:r>
    </w:p>
    <w:p>
      <w:pPr>
        <w:spacing w:after="0" w:line="200" w:lineRule="exact"/>
        <w:rPr>
          <w:sz w:val="20"/>
          <w:szCs w:val="20"/>
          <w:color w:val="auto"/>
        </w:rPr>
      </w:pPr>
    </w:p>
    <w:p>
      <w:pPr>
        <w:spacing w:after="0" w:line="319" w:lineRule="exact"/>
        <w:rPr>
          <w:sz w:val="20"/>
          <w:szCs w:val="20"/>
          <w:color w:val="auto"/>
        </w:rPr>
      </w:pPr>
    </w:p>
    <w:p>
      <w:pPr>
        <w:ind w:right="4060"/>
        <w:spacing w:after="0" w:line="237" w:lineRule="auto"/>
        <w:rPr>
          <w:sz w:val="20"/>
          <w:szCs w:val="20"/>
          <w:color w:val="auto"/>
        </w:rPr>
      </w:pPr>
      <w:r>
        <w:rPr>
          <w:rFonts w:ascii="Courier New" w:cs="Courier New" w:eastAsia="Courier New" w:hAnsi="Courier New"/>
          <w:sz w:val="15"/>
          <w:szCs w:val="15"/>
          <w:color w:val="auto"/>
        </w:rPr>
        <w:t>None of the share option grants summarized in the above table resulted in compensation expense in the current year, as the option grant price was equal to or greater than the estimated fair value of ordinary shares on the measurement date.</w:t>
      </w:r>
    </w:p>
    <w:p>
      <w:pPr>
        <w:spacing w:after="0" w:line="176" w:lineRule="exact"/>
        <w:rPr>
          <w:sz w:val="20"/>
          <w:szCs w:val="20"/>
          <w:color w:val="auto"/>
        </w:rPr>
      </w:pPr>
    </w:p>
    <w:p>
      <w:pPr>
        <w:ind w:right="5020"/>
        <w:spacing w:after="0" w:line="235" w:lineRule="auto"/>
        <w:rPr>
          <w:sz w:val="20"/>
          <w:szCs w:val="20"/>
          <w:color w:val="auto"/>
        </w:rPr>
      </w:pPr>
      <w:r>
        <w:rPr>
          <w:rFonts w:ascii="Courier New" w:cs="Courier New" w:eastAsia="Courier New" w:hAnsi="Courier New"/>
          <w:sz w:val="15"/>
          <w:szCs w:val="15"/>
          <w:color w:val="auto"/>
        </w:rPr>
        <w:t>The following table summarizes information concerning outstanding and exercisable share options as of May 31, 2005: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 Outstanding</w:t>
            </w:r>
          </w:p>
        </w:tc>
        <w:tc>
          <w:tcPr>
            <w:tcW w:w="186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Options Exercisable</w:t>
            </w: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Weighted Average</w:t>
            </w:r>
          </w:p>
        </w:tc>
        <w:tc>
          <w:tcPr>
            <w:tcW w:w="2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Range</w:t>
            </w:r>
          </w:p>
        </w:tc>
        <w:tc>
          <w:tcPr>
            <w:tcW w:w="1980" w:type="dxa"/>
            <w:vAlign w:val="bottom"/>
          </w:tcPr>
          <w:p>
            <w:pPr>
              <w:spacing w:after="0"/>
              <w:rPr>
                <w:sz w:val="14"/>
                <w:szCs w:val="14"/>
                <w:color w:val="auto"/>
              </w:rPr>
            </w:pP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Remaining</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Weighted Average</w:t>
            </w: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Exercise</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Contractual Life</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Number of</w:t>
            </w:r>
          </w:p>
        </w:tc>
        <w:tc>
          <w:tcPr>
            <w:tcW w:w="1540" w:type="dxa"/>
            <w:vAlign w:val="bottom"/>
          </w:tcPr>
          <w:p>
            <w:pPr>
              <w:spacing w:after="0"/>
              <w:rPr>
                <w:sz w:val="14"/>
                <w:szCs w:val="14"/>
                <w:color w:val="auto"/>
              </w:rPr>
            </w:pP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Price</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w:t>
            </w:r>
          </w:p>
        </w:tc>
        <w:tc>
          <w:tcPr>
            <w:tcW w:w="18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339"/>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$0.07</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47,070</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$0.07</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47,070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$15.63</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7,000</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$15.63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$17.00</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1,600</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$17.00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$18.00</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87,660</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$18.00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87,660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$21.25</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55,260</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$21.25</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34,960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$21.25</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$26.50</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8,000</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$26.50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$26.50</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$27.39</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$27.39</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$27.39</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$29.00</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118,840</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$29.00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63,720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$29.00</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$28.00</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207,296</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$28.00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74,459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$42.71</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1,798</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$42.71</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1,798</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$42.71</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$35.50</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329,388</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$35.50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74,446</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$35.50</w:t>
            </w:r>
          </w:p>
        </w:tc>
      </w:tr>
      <w:tr>
        <w:trPr>
          <w:trHeight w:val="170"/>
        </w:trPr>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$34.40</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423,330</w:t>
            </w:r>
          </w:p>
        </w:tc>
        <w:tc>
          <w:tcPr>
            <w:tcW w:w="1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w:t>
            </w:r>
          </w:p>
        </w:tc>
        <w:tc>
          <w:tcPr>
            <w:tcW w:w="26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$34.40</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24,300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$34.40</w:t>
            </w:r>
          </w:p>
        </w:tc>
      </w:tr>
    </w:tbl>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 -------------------- -------------------- -------------------- --------------------</w:t>
      </w:r>
    </w:p>
    <w:p>
      <w:pPr>
        <w:spacing w:after="0" w:line="175" w:lineRule="exact"/>
        <w:rPr>
          <w:sz w:val="20"/>
          <w:szCs w:val="20"/>
          <w:color w:val="auto"/>
        </w:rPr>
      </w:pPr>
    </w:p>
    <w:p>
      <w:pPr>
        <w:ind w:left="520"/>
        <w:spacing w:after="0"/>
        <w:tabs>
          <w:tab w:leader="none" w:pos="2800" w:val="left"/>
          <w:tab w:leader="none" w:pos="5180" w:val="left"/>
          <w:tab w:leader="none" w:pos="6760" w:val="left"/>
          <w:tab w:leader="none" w:pos="8520" w:val="left"/>
          <w:tab w:leader="none" w:pos="10460" w:val="left"/>
        </w:tabs>
        <w:rPr>
          <w:sz w:val="20"/>
          <w:szCs w:val="20"/>
          <w:color w:val="auto"/>
        </w:rPr>
      </w:pPr>
      <w:r>
        <w:rPr>
          <w:rFonts w:ascii="Courier New" w:cs="Courier New" w:eastAsia="Courier New" w:hAnsi="Courier New"/>
          <w:sz w:val="15"/>
          <w:szCs w:val="15"/>
          <w:color w:val="auto"/>
        </w:rPr>
        <w:t>$0.07 - $42.71</w:t>
      </w:r>
      <w:r>
        <w:rPr>
          <w:sz w:val="20"/>
          <w:szCs w:val="20"/>
          <w:color w:val="auto"/>
        </w:rPr>
        <w:tab/>
      </w:r>
      <w:r>
        <w:rPr>
          <w:rFonts w:ascii="Courier New" w:cs="Courier New" w:eastAsia="Courier New" w:hAnsi="Courier New"/>
          <w:sz w:val="15"/>
          <w:szCs w:val="15"/>
          <w:color w:val="auto"/>
        </w:rPr>
        <w:t>1,288,242</w:t>
      </w:r>
      <w:r>
        <w:rPr>
          <w:sz w:val="20"/>
          <w:szCs w:val="20"/>
          <w:color w:val="auto"/>
        </w:rPr>
        <w:tab/>
      </w:r>
      <w:r>
        <w:rPr>
          <w:rFonts w:ascii="Courier New" w:cs="Courier New" w:eastAsia="Courier New" w:hAnsi="Courier New"/>
          <w:sz w:val="15"/>
          <w:szCs w:val="15"/>
          <w:color w:val="auto"/>
        </w:rPr>
        <w:t>6.0</w:t>
      </w:r>
      <w:r>
        <w:rPr>
          <w:sz w:val="20"/>
          <w:szCs w:val="20"/>
          <w:color w:val="auto"/>
        </w:rPr>
        <w:tab/>
      </w:r>
      <w:r>
        <w:rPr>
          <w:rFonts w:ascii="Courier New" w:cs="Courier New" w:eastAsia="Courier New" w:hAnsi="Courier New"/>
          <w:sz w:val="15"/>
          <w:szCs w:val="15"/>
          <w:color w:val="auto"/>
        </w:rPr>
        <w:t>$30.05</w:t>
      </w:r>
      <w:r>
        <w:rPr>
          <w:sz w:val="20"/>
          <w:szCs w:val="20"/>
          <w:color w:val="auto"/>
        </w:rPr>
        <w:tab/>
      </w:r>
      <w:r>
        <w:rPr>
          <w:rFonts w:ascii="Courier New" w:cs="Courier New" w:eastAsia="Courier New" w:hAnsi="Courier New"/>
          <w:sz w:val="15"/>
          <w:szCs w:val="15"/>
          <w:color w:val="auto"/>
        </w:rPr>
        <w:t>422,013</w:t>
      </w:r>
      <w:r>
        <w:rPr>
          <w:sz w:val="20"/>
          <w:szCs w:val="20"/>
          <w:color w:val="auto"/>
        </w:rPr>
        <w:tab/>
      </w:r>
      <w:r>
        <w:rPr>
          <w:rFonts w:ascii="Courier New" w:cs="Courier New" w:eastAsia="Courier New" w:hAnsi="Courier New"/>
          <w:sz w:val="14"/>
          <w:szCs w:val="14"/>
          <w:color w:val="auto"/>
        </w:rPr>
        <w:t>$23.89</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 -------------------- -------------------- -------------------- -------------------- --------------------</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all of the options granted at exercise prices from $21.25 to</w:t>
      </w:r>
    </w:p>
    <w:p>
      <w:pPr>
        <w:spacing w:after="0" w:line="5" w:lineRule="exact"/>
        <w:rPr>
          <w:sz w:val="20"/>
          <w:szCs w:val="20"/>
          <w:color w:val="auto"/>
        </w:rPr>
      </w:pPr>
    </w:p>
    <w:p>
      <w:pPr>
        <w:ind w:right="4320"/>
        <w:spacing w:after="0" w:line="235" w:lineRule="auto"/>
        <w:rPr>
          <w:sz w:val="20"/>
          <w:szCs w:val="20"/>
          <w:color w:val="auto"/>
        </w:rPr>
      </w:pPr>
      <w:r>
        <w:rPr>
          <w:rFonts w:ascii="Courier New" w:cs="Courier New" w:eastAsia="Courier New" w:hAnsi="Courier New"/>
          <w:sz w:val="15"/>
          <w:szCs w:val="15"/>
          <w:color w:val="auto"/>
        </w:rPr>
        <w:t>$42.71 vest over a five year period from the date of grant. All other options have fully vested as of May 31, 2005.</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1100"/>
          </w:cols>
          <w:pgMar w:left="240" w:top="966" w:right="559" w:bottom="1440" w:gutter="0" w:footer="0" w:header="0"/>
        </w:sectPr>
      </w:pPr>
    </w:p>
    <w:bookmarkStart w:id="69" w:name="page70"/>
    <w:bookmarkEnd w:id="69"/>
    <w:p>
      <w:pPr>
        <w:ind w:right="4140"/>
        <w:spacing w:after="0" w:line="237" w:lineRule="auto"/>
        <w:rPr>
          <w:sz w:val="20"/>
          <w:szCs w:val="20"/>
          <w:color w:val="auto"/>
        </w:rPr>
      </w:pPr>
      <w:r>
        <w:rPr>
          <w:rFonts w:ascii="Courier New" w:cs="Courier New" w:eastAsia="Courier New" w:hAnsi="Courier New"/>
          <w:sz w:val="15"/>
          <w:szCs w:val="15"/>
          <w:color w:val="auto"/>
        </w:rPr>
        <w:t>The weighted average fair value of stock options granted during fiscal 2003, calculated using the Black-Scholes option pricing model, was $15.84 using the following assumptions; expected dividend yield - 0%, risk free interest rate - 3.39%, expected volatility - 50% and expected life - 8 years.</w:t>
      </w:r>
    </w:p>
    <w:p>
      <w:pPr>
        <w:spacing w:after="0" w:line="176" w:lineRule="exact"/>
        <w:rPr>
          <w:sz w:val="20"/>
          <w:szCs w:val="20"/>
          <w:color w:val="auto"/>
        </w:rPr>
      </w:pPr>
    </w:p>
    <w:p>
      <w:pPr>
        <w:ind w:right="4140"/>
        <w:spacing w:after="0" w:line="237" w:lineRule="auto"/>
        <w:rPr>
          <w:sz w:val="20"/>
          <w:szCs w:val="20"/>
          <w:color w:val="auto"/>
        </w:rPr>
      </w:pPr>
      <w:r>
        <w:rPr>
          <w:rFonts w:ascii="Courier New" w:cs="Courier New" w:eastAsia="Courier New" w:hAnsi="Courier New"/>
          <w:sz w:val="15"/>
          <w:szCs w:val="15"/>
          <w:color w:val="auto"/>
        </w:rPr>
        <w:t>The weighted average fair value of stock options granted during fiscal 2004, calculated using the Black-Scholes option pricing model, was $24.58 using the following assumptions; expected dividend yield - 0%, risk free interest rate - 4.87%, expected volatility - 50% and expected life - 8 years.</w:t>
      </w:r>
    </w:p>
    <w:p>
      <w:pPr>
        <w:spacing w:after="0" w:line="176" w:lineRule="exact"/>
        <w:rPr>
          <w:sz w:val="20"/>
          <w:szCs w:val="20"/>
          <w:color w:val="auto"/>
        </w:rPr>
      </w:pPr>
    </w:p>
    <w:p>
      <w:pPr>
        <w:ind w:right="4140"/>
        <w:spacing w:after="0" w:line="237" w:lineRule="auto"/>
        <w:rPr>
          <w:sz w:val="20"/>
          <w:szCs w:val="20"/>
          <w:color w:val="auto"/>
        </w:rPr>
      </w:pPr>
      <w:r>
        <w:rPr>
          <w:rFonts w:ascii="Courier New" w:cs="Courier New" w:eastAsia="Courier New" w:hAnsi="Courier New"/>
          <w:sz w:val="15"/>
          <w:szCs w:val="15"/>
          <w:color w:val="auto"/>
        </w:rPr>
        <w:t>The weighted average fair value of stock options granted during fiscal 2005, calculated using the Black-Scholes option pricing model, was $17.09 using the following assumptions; expected dividend yield - 0%, risk free interest rate - 4.02%, expected volatility - 50% and expected life - 8 years.</w:t>
      </w:r>
    </w:p>
    <w:p>
      <w:pPr>
        <w:spacing w:after="0" w:line="176" w:lineRule="exact"/>
        <w:rPr>
          <w:sz w:val="20"/>
          <w:szCs w:val="20"/>
          <w:color w:val="auto"/>
        </w:rPr>
      </w:pPr>
    </w:p>
    <w:p>
      <w:pPr>
        <w:ind w:right="4040"/>
        <w:spacing w:after="0" w:line="237" w:lineRule="auto"/>
        <w:rPr>
          <w:sz w:val="20"/>
          <w:szCs w:val="20"/>
          <w:color w:val="auto"/>
        </w:rPr>
      </w:pPr>
      <w:r>
        <w:rPr>
          <w:rFonts w:ascii="Courier New" w:cs="Courier New" w:eastAsia="Courier New" w:hAnsi="Courier New"/>
          <w:sz w:val="15"/>
          <w:szCs w:val="15"/>
          <w:color w:val="auto"/>
        </w:rPr>
        <w:t>On February 7, 2005, 120,000 share options, with an exercise price of $34.40, were granted to certain key employees of the Company. These options will vest between 2008 and 2013 subject to the Company's diluted earnings achieving $4.00 per share. If the Company does not achieve diluted earnings of $4.00 per share before February 6, 2013, the option grant expires.</w:t>
      </w:r>
    </w:p>
    <w:p>
      <w:pPr>
        <w:spacing w:after="0" w:line="178" w:lineRule="exact"/>
        <w:rPr>
          <w:sz w:val="20"/>
          <w:szCs w:val="20"/>
          <w:color w:val="auto"/>
        </w:rPr>
      </w:pPr>
    </w:p>
    <w:p>
      <w:pPr>
        <w:ind w:right="4140"/>
        <w:spacing w:after="0" w:line="237" w:lineRule="auto"/>
        <w:rPr>
          <w:sz w:val="20"/>
          <w:szCs w:val="20"/>
          <w:color w:val="auto"/>
        </w:rPr>
      </w:pPr>
      <w:r>
        <w:rPr>
          <w:rFonts w:ascii="Courier New" w:cs="Courier New" w:eastAsia="Courier New" w:hAnsi="Courier New"/>
          <w:sz w:val="15"/>
          <w:szCs w:val="15"/>
          <w:color w:val="auto"/>
        </w:rPr>
        <w:t>Had the Company determined compensation expense based on the fair value at the grant date for these options under SFAS No.123, "Accounting for Stock-Based Compensation", the Company's net income for fiscal 2003, 2004 and 2005 would have been reduced to the pro-forma amounts indicated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3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400" w:type="dxa"/>
            <w:vAlign w:val="bottom"/>
          </w:tcPr>
          <w:p>
            <w:pPr>
              <w:spacing w:after="0"/>
              <w:rPr>
                <w:sz w:val="14"/>
                <w:szCs w:val="14"/>
                <w:color w:val="auto"/>
              </w:rPr>
            </w:pP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as reported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$18,283</w:t>
            </w:r>
          </w:p>
        </w:tc>
        <w:tc>
          <w:tcPr>
            <w:tcW w:w="3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$25,742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$13,545</w:t>
            </w:r>
          </w:p>
        </w:tc>
      </w:tr>
      <w:tr>
        <w:trPr>
          <w:trHeight w:val="170"/>
        </w:trPr>
        <w:tc>
          <w:tcPr>
            <w:tcW w:w="3600" w:type="dxa"/>
            <w:vAlign w:val="bottom"/>
          </w:tcPr>
          <w:p>
            <w:pPr>
              <w:spacing w:after="0"/>
              <w:rPr>
                <w:sz w:val="14"/>
                <w:szCs w:val="1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pro-forma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16,187</w:t>
            </w:r>
          </w:p>
        </w:tc>
        <w:tc>
          <w:tcPr>
            <w:tcW w:w="3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23,384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10,816</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 per ordinary share</w:t>
            </w: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as reported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c>
          <w:tcPr>
            <w:tcW w:w="3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r>
      <w:tr>
        <w:trPr>
          <w:trHeight w:val="170"/>
        </w:trPr>
        <w:tc>
          <w:tcPr>
            <w:tcW w:w="3600" w:type="dxa"/>
            <w:vAlign w:val="bottom"/>
          </w:tcPr>
          <w:p>
            <w:pPr>
              <w:spacing w:after="0"/>
              <w:rPr>
                <w:sz w:val="14"/>
                <w:szCs w:val="1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pro-forma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3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1.76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0.78</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as reported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3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$1.88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$0.96</w:t>
            </w:r>
          </w:p>
        </w:tc>
      </w:tr>
      <w:tr>
        <w:trPr>
          <w:trHeight w:val="170"/>
        </w:trPr>
        <w:tc>
          <w:tcPr>
            <w:tcW w:w="3600" w:type="dxa"/>
            <w:vAlign w:val="bottom"/>
          </w:tcPr>
          <w:p>
            <w:pPr>
              <w:spacing w:after="0"/>
              <w:rPr>
                <w:sz w:val="14"/>
                <w:szCs w:val="1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pro-forma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34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1.71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0.76</w:t>
            </w:r>
          </w:p>
        </w:tc>
      </w:tr>
      <w:tr>
        <w:trPr>
          <w:trHeight w:val="848"/>
        </w:trPr>
        <w:tc>
          <w:tcPr>
            <w:tcW w:w="3600" w:type="dxa"/>
            <w:vAlign w:val="bottom"/>
          </w:tcPr>
          <w:p>
            <w:pPr>
              <w:spacing w:after="0"/>
              <w:rPr>
                <w:sz w:val="20"/>
                <w:szCs w:val="20"/>
                <w:color w:val="auto"/>
              </w:rPr>
            </w:pPr>
            <w:r>
              <w:rPr>
                <w:rFonts w:ascii="Courier New" w:cs="Courier New" w:eastAsia="Courier New" w:hAnsi="Courier New"/>
                <w:sz w:val="15"/>
                <w:szCs w:val="15"/>
                <w:color w:val="auto"/>
              </w:rPr>
              <w:t>11. Government Grants</w:t>
            </w: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848"/>
        </w:trPr>
        <w:tc>
          <w:tcPr>
            <w:tcW w:w="3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May 31,</w:t>
            </w:r>
          </w:p>
        </w:tc>
        <w:tc>
          <w:tcPr>
            <w:tcW w:w="1400" w:type="dxa"/>
            <w:vAlign w:val="bottom"/>
          </w:tcPr>
          <w:p>
            <w:pPr>
              <w:spacing w:after="0"/>
              <w:rPr>
                <w:sz w:val="24"/>
                <w:szCs w:val="24"/>
                <w:color w:val="auto"/>
              </w:rPr>
            </w:pPr>
          </w:p>
        </w:tc>
      </w:tr>
      <w:tr>
        <w:trPr>
          <w:trHeight w:val="170"/>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2004</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thousands)</w:t>
            </w:r>
          </w:p>
        </w:tc>
        <w:tc>
          <w:tcPr>
            <w:tcW w:w="1400" w:type="dxa"/>
            <w:vAlign w:val="bottom"/>
          </w:tcPr>
          <w:p>
            <w:pPr>
              <w:spacing w:after="0"/>
              <w:rPr>
                <w:sz w:val="14"/>
                <w:szCs w:val="14"/>
                <w:color w:val="auto"/>
              </w:rPr>
            </w:pPr>
          </w:p>
        </w:tc>
      </w:tr>
      <w:tr>
        <w:trPr>
          <w:trHeight w:val="339"/>
        </w:trPr>
        <w:tc>
          <w:tcPr>
            <w:tcW w:w="3600" w:type="dxa"/>
            <w:vAlign w:val="bottom"/>
          </w:tcPr>
          <w:p>
            <w:pPr>
              <w:ind w:left="700"/>
              <w:spacing w:after="0"/>
              <w:rPr>
                <w:sz w:val="20"/>
                <w:szCs w:val="20"/>
                <w:color w:val="auto"/>
              </w:rPr>
            </w:pPr>
            <w:r>
              <w:rPr>
                <w:rFonts w:ascii="Courier New" w:cs="Courier New" w:eastAsia="Courier New" w:hAnsi="Courier New"/>
                <w:sz w:val="15"/>
                <w:szCs w:val="15"/>
                <w:color w:val="auto"/>
              </w:rPr>
              <w:t>Received and receivable</w:t>
            </w: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$2,225</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$2,225</w:t>
            </w:r>
          </w:p>
        </w:tc>
      </w:tr>
      <w:tr>
        <w:trPr>
          <w:trHeight w:val="170"/>
        </w:trPr>
        <w:tc>
          <w:tcPr>
            <w:tcW w:w="3600" w:type="dxa"/>
            <w:vAlign w:val="bottom"/>
          </w:tcPr>
          <w:p>
            <w:pPr>
              <w:ind w:left="700"/>
              <w:spacing w:after="0"/>
              <w:rPr>
                <w:sz w:val="20"/>
                <w:szCs w:val="20"/>
                <w:color w:val="auto"/>
              </w:rPr>
            </w:pPr>
            <w:r>
              <w:rPr>
                <w:rFonts w:ascii="Courier New" w:cs="Courier New" w:eastAsia="Courier New" w:hAnsi="Courier New"/>
                <w:sz w:val="15"/>
                <w:szCs w:val="15"/>
                <w:color w:val="auto"/>
              </w:rPr>
              <w:t>Less accumulated amortization</w:t>
            </w: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(849)</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(1,048)</w:t>
            </w:r>
          </w:p>
        </w:tc>
      </w:tr>
      <w:tr>
        <w:trPr>
          <w:trHeight w:val="170"/>
        </w:trPr>
        <w:tc>
          <w:tcPr>
            <w:tcW w:w="524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Foreign exchange translation adjustment</w:t>
            </w:r>
          </w:p>
        </w:tc>
        <w:tc>
          <w:tcPr>
            <w:tcW w:w="960" w:type="dxa"/>
            <w:vAlign w:val="bottom"/>
          </w:tcPr>
          <w:p>
            <w:pPr>
              <w:spacing w:after="0"/>
              <w:rPr>
                <w:sz w:val="14"/>
                <w:szCs w:val="14"/>
                <w:color w:val="auto"/>
              </w:rPr>
            </w:pPr>
          </w:p>
        </w:tc>
        <w:tc>
          <w:tcPr>
            <w:tcW w:w="34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230</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279</w:t>
            </w:r>
          </w:p>
        </w:tc>
      </w:tr>
      <w:tr>
        <w:trPr>
          <w:trHeight w:val="170"/>
        </w:trPr>
        <w:tc>
          <w:tcPr>
            <w:tcW w:w="11000" w:type="dxa"/>
            <w:vAlign w:val="bottom"/>
            <w:gridSpan w:val="5"/>
          </w:tcPr>
          <w:p>
            <w:pPr>
              <w:ind w:left="700"/>
              <w:spacing w:after="0"/>
              <w:rPr>
                <w:sz w:val="20"/>
                <w:szCs w:val="20"/>
                <w:color w:val="auto"/>
              </w:rPr>
            </w:pPr>
            <w:r>
              <w:rPr>
                <w:rFonts w:ascii="Courier New" w:cs="Courier New" w:eastAsia="Courier New" w:hAnsi="Courier New"/>
                <w:sz w:val="15"/>
                <w:szCs w:val="15"/>
                <w:color w:val="auto"/>
              </w:rPr>
              <w:t>--------------------------------------------------- ------------------------------ ---------------------------</w:t>
            </w:r>
          </w:p>
        </w:tc>
      </w:tr>
      <w:tr>
        <w:trPr>
          <w:trHeight w:val="170"/>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1,606</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1,456</w:t>
            </w:r>
          </w:p>
        </w:tc>
      </w:tr>
      <w:tr>
        <w:trPr>
          <w:trHeight w:val="170"/>
        </w:trPr>
        <w:tc>
          <w:tcPr>
            <w:tcW w:w="3600" w:type="dxa"/>
            <w:vAlign w:val="bottom"/>
          </w:tcPr>
          <w:p>
            <w:pPr>
              <w:ind w:left="700"/>
              <w:spacing w:after="0"/>
              <w:rPr>
                <w:sz w:val="20"/>
                <w:szCs w:val="20"/>
                <w:color w:val="auto"/>
              </w:rPr>
            </w:pPr>
            <w:r>
              <w:rPr>
                <w:rFonts w:ascii="Courier New" w:cs="Courier New" w:eastAsia="Courier New" w:hAnsi="Courier New"/>
                <w:sz w:val="15"/>
                <w:szCs w:val="15"/>
                <w:color w:val="auto"/>
              </w:rPr>
              <w:t>Less current portion</w:t>
            </w: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(195)</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w:t>
            </w:r>
          </w:p>
        </w:tc>
      </w:tr>
      <w:tr>
        <w:trPr>
          <w:trHeight w:val="170"/>
        </w:trPr>
        <w:tc>
          <w:tcPr>
            <w:tcW w:w="11000" w:type="dxa"/>
            <w:vAlign w:val="bottom"/>
            <w:gridSpan w:val="5"/>
          </w:tcPr>
          <w:p>
            <w:pPr>
              <w:ind w:left="700"/>
              <w:spacing w:after="0"/>
              <w:rPr>
                <w:sz w:val="20"/>
                <w:szCs w:val="20"/>
                <w:color w:val="auto"/>
              </w:rPr>
            </w:pPr>
            <w:r>
              <w:rPr>
                <w:rFonts w:ascii="Courier New" w:cs="Courier New" w:eastAsia="Courier New" w:hAnsi="Courier New"/>
                <w:sz w:val="15"/>
                <w:szCs w:val="15"/>
                <w:color w:val="auto"/>
              </w:rPr>
              <w:t>--------------------------------------------------- ------------------------------ ---------------------------</w:t>
            </w:r>
          </w:p>
        </w:tc>
      </w:tr>
      <w:tr>
        <w:trPr>
          <w:trHeight w:val="170"/>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$1,411</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$1,257</w:t>
            </w:r>
          </w:p>
        </w:tc>
      </w:tr>
    </w:tbl>
    <w:p>
      <w:pPr>
        <w:ind w:left="700"/>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grants amortized to the profit and loss account amounted to</w:t>
      </w:r>
    </w:p>
    <w:p>
      <w:pPr>
        <w:spacing w:after="0" w:line="5" w:lineRule="exact"/>
        <w:rPr>
          <w:sz w:val="20"/>
          <w:szCs w:val="20"/>
          <w:color w:val="auto"/>
        </w:rPr>
      </w:pPr>
    </w:p>
    <w:p>
      <w:pPr>
        <w:ind w:right="4320"/>
        <w:spacing w:after="0" w:line="235" w:lineRule="auto"/>
        <w:rPr>
          <w:sz w:val="20"/>
          <w:szCs w:val="20"/>
          <w:color w:val="auto"/>
        </w:rPr>
      </w:pPr>
      <w:r>
        <w:rPr>
          <w:rFonts w:ascii="Courier New" w:cs="Courier New" w:eastAsia="Courier New" w:hAnsi="Courier New"/>
          <w:sz w:val="15"/>
          <w:szCs w:val="15"/>
          <w:color w:val="auto"/>
        </w:rPr>
        <w:t>U.S.$36,000, U.S.$569,000 and U.S.$199,000 for the years ended May 31, 2003, 2004 and 2005, respectively.</w:t>
      </w:r>
    </w:p>
    <w:p>
      <w:pPr>
        <w:spacing w:after="0" w:line="176" w:lineRule="exact"/>
        <w:rPr>
          <w:sz w:val="20"/>
          <w:szCs w:val="20"/>
          <w:color w:val="auto"/>
        </w:rPr>
      </w:pPr>
    </w:p>
    <w:p>
      <w:pPr>
        <w:ind w:right="4660"/>
        <w:spacing w:after="0" w:line="235" w:lineRule="auto"/>
        <w:rPr>
          <w:sz w:val="20"/>
          <w:szCs w:val="20"/>
          <w:color w:val="auto"/>
        </w:rPr>
      </w:pPr>
      <w:r>
        <w:rPr>
          <w:rFonts w:ascii="Courier New" w:cs="Courier New" w:eastAsia="Courier New" w:hAnsi="Courier New"/>
          <w:sz w:val="15"/>
          <w:szCs w:val="15"/>
          <w:color w:val="auto"/>
        </w:rPr>
        <w:t>As of May 31, 2005 the Company had U.S.$1,351,000 in restricted retained earnings, pursuant to the terms of the grant agreements.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1000"/>
          </w:cols>
          <w:pgMar w:left="240" w:top="627" w:right="659"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12. Share Capital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ADSs and ordinary shares not otherwise represented by ADRs. Holders of ordinary shares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16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On November 22, 2000, the ordinary share capital of the Company was redenominated from IR5p per share to (euro)0.06 per share. The renominalization generated a capital conversion reserve fund of (euro)39,499 (U.S.$47,277) which was recorded within additional paid in capital.</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the year to May 31, 2003, 39,360 options were exercised by employees at an average exercise price of U.S.$18.51 per share for total proceeds of U.S.$0.7 million.</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On August 8, 2003 the Company issued 1,500,000 ordinary shares in a public offering at $30.47 (net of underwriting discount) per share. The proceeds of this offering were U.S.$44.3 million (after deducting U.S.$1.4 million in costs).</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During the year to May 31, 2004, a further 496,919 options were exercised by employees at an average exercise price of U.S.$10.78 per share for total proceeds of U.S.$5.4 million.</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During the year to May 31, 2005, a further 60,620 options were exercised by employees at an average exercise price of U.S.$23.11 per share for total proceeds of U.S.$1.4 million.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22"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13. Income Taxes</w:t>
      </w:r>
    </w:p>
    <w:p>
      <w:pPr>
        <w:spacing w:after="0" w:line="175" w:lineRule="exact"/>
        <w:rPr>
          <w:sz w:val="20"/>
          <w:szCs w:val="20"/>
          <w:color w:val="auto"/>
        </w:rPr>
      </w:pPr>
    </w:p>
    <w:p>
      <w:pPr>
        <w:jc w:val="both"/>
        <w:ind w:right="3699"/>
        <w:spacing w:after="0" w:line="237" w:lineRule="auto"/>
        <w:rPr>
          <w:sz w:val="20"/>
          <w:szCs w:val="20"/>
          <w:color w:val="auto"/>
        </w:rPr>
      </w:pPr>
      <w:r>
        <w:rPr>
          <w:rFonts w:ascii="Courier New" w:cs="Courier New" w:eastAsia="Courier New" w:hAnsi="Courier New"/>
          <w:sz w:val="15"/>
          <w:szCs w:val="15"/>
          <w:color w:val="auto"/>
        </w:rPr>
        <w:t>The U.S. based and Irish-based subsidiaries file tax returns in the United States and Ireland, respectively. The other foreign subsidiaries are taxed separately under the laws of their respective countries.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components of income before provision for income tax expense are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 Ended May 31,</w:t>
            </w:r>
          </w:p>
        </w:tc>
        <w:tc>
          <w:tcPr>
            <w:tcW w:w="106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r>
      <w:tr>
        <w:trPr>
          <w:trHeight w:val="509"/>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Ireland</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$6,556</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$12,674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$13,795</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18,727</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21,997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5,791</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 ------------------</w:t>
            </w:r>
          </w:p>
        </w:tc>
      </w:tr>
      <w:tr>
        <w:trPr>
          <w:trHeight w:val="339"/>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w w:val="99"/>
              </w:rPr>
              <w:t>Income before provision for income taxes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$25,283</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$34,671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$19,586</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 ------------------</w:t>
            </w:r>
          </w:p>
        </w:tc>
      </w:tr>
      <w:tr>
        <w:trPr>
          <w:trHeight w:val="339"/>
        </w:trPr>
        <w:tc>
          <w:tcPr>
            <w:tcW w:w="6860" w:type="dxa"/>
            <w:vAlign w:val="bottom"/>
            <w:gridSpan w:val="2"/>
          </w:tcPr>
          <w:p>
            <w:pPr>
              <w:spacing w:after="0"/>
              <w:rPr>
                <w:sz w:val="20"/>
                <w:szCs w:val="20"/>
                <w:color w:val="auto"/>
              </w:rPr>
            </w:pPr>
            <w:r>
              <w:rPr>
                <w:rFonts w:ascii="Courier New" w:cs="Courier New" w:eastAsia="Courier New" w:hAnsi="Courier New"/>
                <w:sz w:val="15"/>
                <w:szCs w:val="15"/>
                <w:color w:val="auto"/>
              </w:rPr>
              <w:t>The components of total income tax expense are as follows: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4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 Ended May 31,</w:t>
            </w:r>
          </w:p>
        </w:tc>
        <w:tc>
          <w:tcPr>
            <w:tcW w:w="1060" w:type="dxa"/>
            <w:vAlign w:val="bottom"/>
          </w:tcPr>
          <w:p>
            <w:pPr>
              <w:spacing w:after="0"/>
              <w:rPr>
                <w:sz w:val="24"/>
                <w:szCs w:val="24"/>
                <w:color w:val="auto"/>
              </w:rPr>
            </w:pPr>
          </w:p>
        </w:tc>
      </w:tr>
      <w:tr>
        <w:trPr>
          <w:trHeight w:val="170"/>
        </w:trPr>
        <w:tc>
          <w:tcPr>
            <w:tcW w:w="4220" w:type="dxa"/>
            <w:vAlign w:val="bottom"/>
          </w:tcPr>
          <w:p>
            <w:pPr>
              <w:spacing w:after="0"/>
              <w:rPr>
                <w:sz w:val="14"/>
                <w:szCs w:val="14"/>
                <w:color w:val="auto"/>
              </w:rPr>
            </w:pP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4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Provision for income taxes</w:t>
            </w:r>
          </w:p>
        </w:tc>
        <w:tc>
          <w:tcPr>
            <w:tcW w:w="2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Current:</w:t>
            </w:r>
          </w:p>
        </w:tc>
        <w:tc>
          <w:tcPr>
            <w:tcW w:w="2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Ireland</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$1,158</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$1,365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$1,821</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United States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4,334</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3,339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1,872</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1,132</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3,209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2,885</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 ------------------</w:t>
            </w:r>
          </w:p>
        </w:tc>
      </w:tr>
      <w:tr>
        <w:trPr>
          <w:trHeight w:val="339"/>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Total current tax</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6,624</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7,913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6,578</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Deferred expenses/(benefit):</w:t>
            </w:r>
          </w:p>
        </w:tc>
        <w:tc>
          <w:tcPr>
            <w:tcW w:w="2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Ireland</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United States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345</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1,016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(614)</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 ------------------</w:t>
            </w:r>
          </w:p>
        </w:tc>
      </w:tr>
      <w:tr>
        <w:trPr>
          <w:trHeight w:val="339"/>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Total deferred tax / (benefit)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1,016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w:t>
            </w: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Provision for income taxes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7,000</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8,929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5,852</w:t>
            </w:r>
          </w:p>
        </w:tc>
      </w:tr>
      <w:tr>
        <w:trPr>
          <w:trHeight w:val="339"/>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Shareholders'  equity for  compensation</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expense for tax</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w w:val="97"/>
              </w:rPr>
              <w:t>purposes in excess of amounts  recognized</w:t>
            </w:r>
          </w:p>
        </w:tc>
        <w:tc>
          <w:tcPr>
            <w:tcW w:w="26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for financial</w:t>
            </w:r>
          </w:p>
        </w:tc>
        <w:tc>
          <w:tcPr>
            <w:tcW w:w="2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reporting purposes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(2,276)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 ------------------</w:t>
            </w:r>
          </w:p>
        </w:tc>
      </w:tr>
      <w:tr>
        <w:trPr>
          <w:trHeight w:val="339"/>
        </w:trPr>
        <w:tc>
          <w:tcPr>
            <w:tcW w:w="4220" w:type="dxa"/>
            <w:vAlign w:val="bottom"/>
          </w:tcPr>
          <w:p>
            <w:pPr>
              <w:ind w:left="600"/>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$6,952</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$6,653</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$5,683</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961" w:right="1440" w:bottom="1440" w:gutter="0" w:footer="0" w:header="0"/>
        </w:sectPr>
      </w:pPr>
    </w:p>
    <w:bookmarkStart w:id="72" w:name="page73"/>
    <w:bookmarkEnd w:id="72"/>
    <w:p>
      <w:pPr>
        <w:ind w:right="3439"/>
        <w:spacing w:after="0" w:line="256" w:lineRule="auto"/>
        <w:rPr>
          <w:sz w:val="20"/>
          <w:szCs w:val="20"/>
          <w:color w:val="auto"/>
        </w:rPr>
      </w:pPr>
      <w:r>
        <w:rPr>
          <w:rFonts w:ascii="Courier New" w:cs="Courier New" w:eastAsia="Courier New" w:hAnsi="Courier New"/>
          <w:sz w:val="14"/>
          <w:szCs w:val="14"/>
          <w:color w:val="auto"/>
        </w:rPr>
        <w:t>On January 1, 2001, Ireland's statutory income tax rate decreased from 24% to 20%, on January 1, 2002 from 20% to 16% and on January 1, 2003, from 16% to</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12.5%. Certain activities carried out by the Irish company, principally data processing services, are taxed at a reduced rate of 10%. The Company's consolidated effective tax rate differed from the blended statutory rate as set forth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Year Ended May 31,</w:t>
            </w:r>
          </w:p>
        </w:tc>
        <w:tc>
          <w:tcPr>
            <w:tcW w:w="122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5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 thousands)</w:t>
            </w:r>
          </w:p>
        </w:tc>
        <w:tc>
          <w:tcPr>
            <w:tcW w:w="1220" w:type="dxa"/>
            <w:vAlign w:val="bottom"/>
          </w:tcPr>
          <w:p>
            <w:pPr>
              <w:spacing w:after="0"/>
              <w:rPr>
                <w:sz w:val="14"/>
                <w:szCs w:val="14"/>
                <w:color w:val="auto"/>
              </w:rPr>
            </w:pPr>
          </w:p>
        </w:tc>
      </w:tr>
      <w:tr>
        <w:trPr>
          <w:trHeight w:val="339"/>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Taxes at Irish statutory rate of 12.50% (12.50% in</w:t>
            </w:r>
          </w:p>
        </w:tc>
        <w:tc>
          <w:tcPr>
            <w:tcW w:w="1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2004; 14.54% in 2003)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$3,676</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$4,334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$2,448</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Foreign and other income taxed at higher/(reduced) rates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1,874</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3,333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(1,068)</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United States state tax net of United States Federal</w:t>
            </w:r>
          </w:p>
        </w:tc>
        <w:tc>
          <w:tcPr>
            <w:tcW w:w="1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benefit and other foreign taxes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556</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403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Movement in valuation allowance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374</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1,445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2,473</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Current year under-provision in respect of foreign taxes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(547)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Reversal of prior year over-provision in respect of</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(1,319)</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foreign taxes</w:t>
            </w:r>
          </w:p>
        </w:tc>
        <w:tc>
          <w:tcPr>
            <w:tcW w:w="1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Non deductible expenses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2,491</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485</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 ------------------</w:t>
            </w:r>
          </w:p>
        </w:tc>
      </w:tr>
      <w:tr>
        <w:trPr>
          <w:trHeight w:val="339"/>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Total provision for income taxes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$7,000</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$8,929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$5,852</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 ------------------</w:t>
            </w:r>
          </w:p>
        </w:tc>
      </w:tr>
      <w:tr>
        <w:trPr>
          <w:trHeight w:val="678"/>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w w:val="97"/>
              </w:rPr>
              <w:t>The tax effects of temporary differences that give rise to significant portions</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of deferred tax assets and deferred tax liabilities are presented below:</w:t>
            </w: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8"/>
        </w:trPr>
        <w:tc>
          <w:tcPr>
            <w:tcW w:w="5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5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May 31,</w:t>
            </w:r>
          </w:p>
        </w:tc>
        <w:tc>
          <w:tcPr>
            <w:tcW w:w="1220" w:type="dxa"/>
            <w:vAlign w:val="bottom"/>
          </w:tcPr>
          <w:p>
            <w:pPr>
              <w:spacing w:after="0"/>
              <w:rPr>
                <w:sz w:val="14"/>
                <w:szCs w:val="14"/>
                <w:color w:val="auto"/>
              </w:rPr>
            </w:pPr>
          </w:p>
        </w:tc>
      </w:tr>
      <w:tr>
        <w:trPr>
          <w:trHeight w:val="170"/>
        </w:trPr>
        <w:tc>
          <w:tcPr>
            <w:tcW w:w="5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5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(in</w:t>
            </w:r>
          </w:p>
        </w:tc>
      </w:tr>
      <w:tr>
        <w:trPr>
          <w:trHeight w:val="170"/>
        </w:trPr>
        <w:tc>
          <w:tcPr>
            <w:tcW w:w="5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thousands)</w:t>
            </w:r>
          </w:p>
        </w:tc>
        <w:tc>
          <w:tcPr>
            <w:tcW w:w="1220" w:type="dxa"/>
            <w:vAlign w:val="bottom"/>
          </w:tcPr>
          <w:p>
            <w:pPr>
              <w:spacing w:after="0"/>
              <w:rPr>
                <w:sz w:val="14"/>
                <w:szCs w:val="14"/>
                <w:color w:val="auto"/>
              </w:rPr>
            </w:pP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Deferred tax liabilities:</w:t>
            </w:r>
          </w:p>
        </w:tc>
        <w:tc>
          <w:tcPr>
            <w:tcW w:w="1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Property, plant and equipment</w:t>
            </w:r>
          </w:p>
        </w:tc>
        <w:tc>
          <w:tcPr>
            <w:tcW w:w="1060" w:type="dxa"/>
            <w:vAlign w:val="bottom"/>
          </w:tcPr>
          <w:p>
            <w:pPr>
              <w:spacing w:after="0"/>
              <w:rPr>
                <w:sz w:val="24"/>
                <w:szCs w:val="2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$2,180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$1,914</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Goodwill and related assets</w:t>
            </w:r>
          </w:p>
        </w:tc>
        <w:tc>
          <w:tcPr>
            <w:tcW w:w="10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1,023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1,575</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w:t>
            </w:r>
          </w:p>
        </w:tc>
      </w:tr>
      <w:tr>
        <w:trPr>
          <w:trHeight w:val="339"/>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Total deferred tax liabilities</w:t>
            </w:r>
          </w:p>
        </w:tc>
        <w:tc>
          <w:tcPr>
            <w:tcW w:w="1060" w:type="dxa"/>
            <w:vAlign w:val="bottom"/>
          </w:tcPr>
          <w:p>
            <w:pPr>
              <w:spacing w:after="0"/>
              <w:rPr>
                <w:sz w:val="24"/>
                <w:szCs w:val="2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3,203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4,013</w:t>
            </w:r>
          </w:p>
        </w:tc>
      </w:tr>
      <w:tr>
        <w:trPr>
          <w:trHeight w:val="339"/>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Deferred tax assets:</w:t>
            </w:r>
          </w:p>
        </w:tc>
        <w:tc>
          <w:tcPr>
            <w:tcW w:w="1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9"/>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Net operating loss carryforwards</w:t>
            </w:r>
          </w:p>
        </w:tc>
        <w:tc>
          <w:tcPr>
            <w:tcW w:w="1060" w:type="dxa"/>
            <w:vAlign w:val="bottom"/>
          </w:tcPr>
          <w:p>
            <w:pPr>
              <w:spacing w:after="0"/>
              <w:rPr>
                <w:sz w:val="24"/>
                <w:szCs w:val="2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3,880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5,891</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Property, plant and other equipment</w:t>
            </w:r>
          </w:p>
        </w:tc>
        <w:tc>
          <w:tcPr>
            <w:tcW w:w="10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853</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Accrued expenses and payments on account</w:t>
            </w:r>
          </w:p>
        </w:tc>
        <w:tc>
          <w:tcPr>
            <w:tcW w:w="10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1,565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4,354</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Deferred compensation expense</w:t>
            </w:r>
          </w:p>
        </w:tc>
        <w:tc>
          <w:tcPr>
            <w:tcW w:w="10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166</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451</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w:t>
            </w:r>
          </w:p>
        </w:tc>
      </w:tr>
      <w:tr>
        <w:trPr>
          <w:trHeight w:val="339"/>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Total deferred tax assets</w:t>
            </w:r>
          </w:p>
        </w:tc>
        <w:tc>
          <w:tcPr>
            <w:tcW w:w="1060" w:type="dxa"/>
            <w:vAlign w:val="bottom"/>
          </w:tcPr>
          <w:p>
            <w:pPr>
              <w:spacing w:after="0"/>
              <w:rPr>
                <w:sz w:val="24"/>
                <w:szCs w:val="2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5,611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11,870</w:t>
            </w:r>
          </w:p>
        </w:tc>
      </w:tr>
      <w:tr>
        <w:trPr>
          <w:trHeight w:val="170"/>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Valuation allowance for deferred tax assets</w:t>
            </w:r>
          </w:p>
        </w:tc>
        <w:tc>
          <w:tcPr>
            <w:tcW w:w="106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(3,361)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(8,277)</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w:t>
            </w:r>
          </w:p>
        </w:tc>
      </w:tr>
      <w:tr>
        <w:trPr>
          <w:trHeight w:val="339"/>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Deferred tax assets recognized</w:t>
            </w:r>
          </w:p>
        </w:tc>
        <w:tc>
          <w:tcPr>
            <w:tcW w:w="1060" w:type="dxa"/>
            <w:vAlign w:val="bottom"/>
          </w:tcPr>
          <w:p>
            <w:pPr>
              <w:spacing w:after="0"/>
              <w:rPr>
                <w:sz w:val="24"/>
                <w:szCs w:val="2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$2,250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$3,593</w:t>
            </w:r>
          </w:p>
        </w:tc>
      </w:tr>
      <w:tr>
        <w:trPr>
          <w:trHeight w:val="170"/>
        </w:trPr>
        <w:tc>
          <w:tcPr>
            <w:tcW w:w="10120" w:type="dxa"/>
            <w:vAlign w:val="bottom"/>
            <w:gridSpan w:val="4"/>
          </w:tcPr>
          <w:p>
            <w:pPr>
              <w:ind w:left="600"/>
              <w:spacing w:after="0"/>
              <w:rPr>
                <w:sz w:val="20"/>
                <w:szCs w:val="20"/>
                <w:color w:val="auto"/>
              </w:rPr>
            </w:pPr>
            <w:r>
              <w:rPr>
                <w:rFonts w:ascii="Courier New" w:cs="Courier New" w:eastAsia="Courier New" w:hAnsi="Courier New"/>
                <w:sz w:val="15"/>
                <w:szCs w:val="15"/>
                <w:color w:val="auto"/>
                <w:w w:val="97"/>
              </w:rPr>
              <w:t>--------------------------------------------------------- ------------------------------ -------------------</w:t>
            </w:r>
          </w:p>
        </w:tc>
      </w:tr>
      <w:tr>
        <w:trPr>
          <w:trHeight w:val="339"/>
        </w:trPr>
        <w:tc>
          <w:tcPr>
            <w:tcW w:w="5900" w:type="dxa"/>
            <w:vAlign w:val="bottom"/>
          </w:tcPr>
          <w:p>
            <w:pPr>
              <w:ind w:left="600"/>
              <w:spacing w:after="0"/>
              <w:rPr>
                <w:sz w:val="20"/>
                <w:szCs w:val="20"/>
                <w:color w:val="auto"/>
              </w:rPr>
            </w:pPr>
            <w:r>
              <w:rPr>
                <w:rFonts w:ascii="Courier New" w:cs="Courier New" w:eastAsia="Courier New" w:hAnsi="Courier New"/>
                <w:sz w:val="15"/>
                <w:szCs w:val="15"/>
                <w:color w:val="auto"/>
              </w:rPr>
              <w:t>Net deferred tax asset / (liability)</w:t>
            </w:r>
          </w:p>
        </w:tc>
        <w:tc>
          <w:tcPr>
            <w:tcW w:w="1060" w:type="dxa"/>
            <w:vAlign w:val="bottom"/>
          </w:tcPr>
          <w:p>
            <w:pPr>
              <w:spacing w:after="0"/>
              <w:rPr>
                <w:sz w:val="24"/>
                <w:szCs w:val="2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$(953)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966" w:right="1440" w:bottom="1440" w:gutter="0" w:footer="0" w:header="0"/>
        </w:sectPr>
      </w:pPr>
    </w:p>
    <w:bookmarkStart w:id="73" w:name="page74"/>
    <w:bookmarkEnd w:id="73"/>
    <w:p>
      <w:pPr>
        <w:ind w:left="10" w:right="3259"/>
        <w:spacing w:after="0" w:line="237" w:lineRule="auto"/>
        <w:rPr>
          <w:sz w:val="20"/>
          <w:szCs w:val="20"/>
          <w:color w:val="auto"/>
        </w:rPr>
      </w:pPr>
      <w:r>
        <w:rPr>
          <w:rFonts w:ascii="Courier New" w:cs="Courier New" w:eastAsia="Courier New" w:hAnsi="Courier New"/>
          <w:sz w:val="15"/>
          <w:szCs w:val="15"/>
          <w:color w:val="auto"/>
        </w:rPr>
        <w:t>U.S.$956,000 of the deferred tax asset of U.S.$3,593,000 above is non-current. This amount has been offset against the deferred tax liabilities of U.S.$3,703,000 above (all of which are non-current) resulting in a net non-current deferred tax liability of U.S.$2,747,000. The remaining $310,000 of the deferred tax liability of (pound)4,013,000 is current.</w:t>
      </w:r>
    </w:p>
    <w:p>
      <w:pPr>
        <w:spacing w:after="0" w:line="178" w:lineRule="exact"/>
        <w:rPr>
          <w:sz w:val="20"/>
          <w:szCs w:val="20"/>
          <w:color w:val="auto"/>
        </w:rPr>
      </w:pPr>
    </w:p>
    <w:p>
      <w:pPr>
        <w:ind w:left="10" w:right="3259"/>
        <w:spacing w:after="0" w:line="260" w:lineRule="auto"/>
        <w:rPr>
          <w:sz w:val="20"/>
          <w:szCs w:val="20"/>
          <w:color w:val="auto"/>
        </w:rPr>
      </w:pPr>
      <w:r>
        <w:rPr>
          <w:rFonts w:ascii="Courier New" w:cs="Courier New" w:eastAsia="Courier New" w:hAnsi="Courier New"/>
          <w:sz w:val="14"/>
          <w:szCs w:val="14"/>
          <w:color w:val="auto"/>
        </w:rPr>
        <w:t>At May 31, 2005, European subsidiaries had operating loss carryforwards for income tax purposes that may be carried forward indefinitely, available to offset against future taxable income, if any, of approximately U.S.$1.7 million</w:t>
      </w:r>
    </w:p>
    <w:p>
      <w:pPr>
        <w:spacing w:after="0" w:line="163" w:lineRule="exact"/>
        <w:rPr>
          <w:sz w:val="20"/>
          <w:szCs w:val="20"/>
          <w:color w:val="auto"/>
        </w:rPr>
      </w:pPr>
    </w:p>
    <w:p>
      <w:pPr>
        <w:jc w:val="both"/>
        <w:ind w:left="10" w:right="3359"/>
        <w:spacing w:after="0" w:line="259" w:lineRule="auto"/>
        <w:rPr>
          <w:sz w:val="20"/>
          <w:szCs w:val="20"/>
          <w:color w:val="auto"/>
        </w:rPr>
      </w:pPr>
      <w:r>
        <w:rPr>
          <w:rFonts w:ascii="Courier New" w:cs="Courier New" w:eastAsia="Courier New" w:hAnsi="Courier New"/>
          <w:sz w:val="14"/>
          <w:szCs w:val="14"/>
          <w:color w:val="auto"/>
        </w:rPr>
        <w:t>At May 31, 2005, a U.S. subsidiary had a net operating loss carryforwards for U.S. Federal and State income tax purposes, available to offset against future taxable income if any of approximately U.S.$10.8 million for U.S. Federal and U.S.$12.4 million for State income tax, which expire between 2009 and 2025.</w:t>
      </w:r>
    </w:p>
    <w:p>
      <w:pPr>
        <w:spacing w:after="0" w:line="163"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Of the U.S.$10.8 million U.S. Federal and U.S.$12.4 million State net operating losses, approximately U.S.$9.0 million and U.S.$10.9 million respectively will be available for offset against future taxable income, if any, of future accounting periods. The subsidiary's ability to use the remaining net operating loss carryforward of U.S.$1.8 million for Federal and U.S.$1.5 million for State taxes is limited to U.S.$113,000 per year due to the subsidiary experiencing a change of ownership in 2000, as defined by Section 382 of the Internal Revenue Code of 1986, as amended.</w:t>
      </w:r>
    </w:p>
    <w:p>
      <w:pPr>
        <w:spacing w:after="0" w:line="178"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A valuation allowance is provided when it is more likely than not that some portion or all of the deferred tax assets will not be realized. The Company has provided a valuation allowance for the years ended May 31, 2005, May 31, 2004 and 2003 of U.S.$8,277,000, U.S.$3,361,000 and U.S.$1,916,000 respectively. This valuation allowance is based on management's belief that it is more likely than not that the European and US entities' losses and other deferred tax assets will not be utilized given their history of operating losses. The valuation allowance was U.S.$1.6 million as of June 1, 2002 and increased by U.S.$298,000, U.S.$1.4 million and U.S.$4.9 million for the years ended May 31, 2003, 2004 and 2005 respectively. Subsequent recognized tax benefits relating to the valuation allowance for deferred tax assets in the amount of U.S.$800,000 as of May 31, 2005 will be allocated to goodwill and other non-current intangible assets.</w:t>
      </w:r>
    </w:p>
    <w:p>
      <w:pPr>
        <w:spacing w:after="0" w:line="33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 Other charges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principal items classified as other charges include, asset impairments, computer software write-off and lease termination and exit costs. These charges were expensed to the statement of operations in fiscal 2005.</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w w:val="99"/>
              </w:rPr>
              <w:t>Goodwill</w:t>
            </w:r>
          </w:p>
        </w:tc>
        <w:tc>
          <w:tcPr>
            <w:tcW w:w="25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impairment charge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$7,017</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w w:val="99"/>
              </w:rPr>
              <w:t>Computer</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software</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write-off</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1,031</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68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Lease termination</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and exit costs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3,227</w:t>
            </w:r>
          </w:p>
        </w:tc>
      </w:tr>
    </w:tbl>
    <w:p>
      <w:pPr>
        <w:ind w:left="170" w:hanging="170"/>
        <w:spacing w:after="0"/>
        <w:tabs>
          <w:tab w:leader="none" w:pos="17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8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$11,275</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Goodwill impairment charge</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Under SFAS No.142, goodwill and intangible assets with indefinite lives are no longer amortized, but instead are tested for impairment at least annually. Given the pattern of operating losses in recent years, slowdown in growth and future outlook in our central laboratory reporting unit, management determined that the carrying value of the reporting unit exceeded its fair value at February 28, 2005. After allocating the fair value of the reporting unit to all of the assets and liabilities of that unit, management determined that the carrying value of the central laboratory goodwill was impaired. The fair value of the central laboratory segment was determined using discounted cash flows and net realizable values. The central laboratory segment was formed by the combination of our existing central laboratory operation in Dublin, Ireland and by the acquisition in June 2000 of UCT (U.S.) Inc. ("UCT"), a central laboratory company based in New York, USA.</w:t>
      </w:r>
    </w:p>
    <w:p>
      <w:pPr>
        <w:spacing w:after="0" w:line="34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9"/>
          </w:cols>
          <w:pgMar w:left="230" w:top="627"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(B) Computer software write-off</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This charge represents the write off of the carrying value of computer software costs, which did not provide a reasonable economic return.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Lease termination and exit costs</w:t>
      </w:r>
    </w:p>
    <w:p>
      <w:pPr>
        <w:spacing w:after="0" w:line="17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This charge represents the lease termination and exit costs associated with the close of a facility in Irvine, California and the termination of two redundant leases in New York following the relocation of the central laboratory. Total costs expected to be incurred in association with these lease termination and exit costs have been accrued. Of the total $1.2 million relates to the central laboratory segment and $2.1 million to the clinical research segment.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Significant Concentrations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does business with most major international pharmaceutical companies (see note 17). As at May 31, 2005 the balance for doubtful debts was $476,000 (2004: $355,000). During the year ended May 31, 2005 an additional reserve for doubtful debts of $246,000 was created and $125,000 was released.</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Commitments and Contingencies</w:t>
      </w:r>
    </w:p>
    <w:p>
      <w:pPr>
        <w:spacing w:after="0" w:line="175"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has several non-cancelable operating leases, primarily for facilities, that expire over the next 10 years. These leases generally contain renewal options and require the Company to pay all executory costs such as maintenance and insurance. The Company paid U.S.$15,743,000, U.S.$22,179,000 and U.S.$26,158,000 in rental expense for the fiscal years ended May 31, 2003, 2004 and 2005, respectively. Future minimum rental commitments for operating leases with non-cancelable terms in excess of one year are as follows:</w:t>
      </w:r>
    </w:p>
    <w:p>
      <w:pPr>
        <w:spacing w:after="0" w:line="171"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Minimum rental payments</w:t>
            </w:r>
          </w:p>
        </w:tc>
      </w:tr>
      <w:tr>
        <w:trPr>
          <w:trHeight w:val="170"/>
        </w:trPr>
        <w:tc>
          <w:tcPr>
            <w:tcW w:w="1800" w:type="dxa"/>
            <w:vAlign w:val="bottom"/>
          </w:tcPr>
          <w:p>
            <w:pPr>
              <w:spacing w:after="0"/>
              <w:rPr>
                <w:sz w:val="14"/>
                <w:szCs w:val="14"/>
                <w:color w:val="auto"/>
              </w:rPr>
            </w:pPr>
          </w:p>
        </w:tc>
        <w:tc>
          <w:tcPr>
            <w:tcW w:w="2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1800" w:type="dxa"/>
            <w:vAlign w:val="bottom"/>
          </w:tcPr>
          <w:p>
            <w:pPr>
              <w:jc w:val="center"/>
              <w:ind w:right="847"/>
              <w:spacing w:after="0"/>
              <w:rPr>
                <w:sz w:val="20"/>
                <w:szCs w:val="20"/>
                <w:color w:val="auto"/>
              </w:rPr>
            </w:pPr>
            <w:r>
              <w:rPr>
                <w:rFonts w:ascii="Courier New" w:cs="Courier New" w:eastAsia="Courier New" w:hAnsi="Courier New"/>
                <w:sz w:val="15"/>
                <w:szCs w:val="15"/>
                <w:color w:val="auto"/>
                <w:w w:val="99"/>
              </w:rPr>
              <w:t>2006</w:t>
            </w:r>
          </w:p>
        </w:tc>
        <w:tc>
          <w:tcPr>
            <w:tcW w:w="29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$23,177</w:t>
            </w:r>
          </w:p>
        </w:tc>
      </w:tr>
      <w:tr>
        <w:trPr>
          <w:trHeight w:val="170"/>
        </w:trPr>
        <w:tc>
          <w:tcPr>
            <w:tcW w:w="1800" w:type="dxa"/>
            <w:vAlign w:val="bottom"/>
          </w:tcPr>
          <w:p>
            <w:pPr>
              <w:jc w:val="center"/>
              <w:ind w:right="847"/>
              <w:spacing w:after="0"/>
              <w:rPr>
                <w:sz w:val="20"/>
                <w:szCs w:val="20"/>
                <w:color w:val="auto"/>
              </w:rPr>
            </w:pPr>
            <w:r>
              <w:rPr>
                <w:rFonts w:ascii="Courier New" w:cs="Courier New" w:eastAsia="Courier New" w:hAnsi="Courier New"/>
                <w:sz w:val="15"/>
                <w:szCs w:val="15"/>
                <w:color w:val="auto"/>
                <w:w w:val="99"/>
              </w:rPr>
              <w:t>2007</w:t>
            </w:r>
          </w:p>
        </w:tc>
        <w:tc>
          <w:tcPr>
            <w:tcW w:w="29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18,468</w:t>
            </w:r>
          </w:p>
        </w:tc>
      </w:tr>
      <w:tr>
        <w:trPr>
          <w:trHeight w:val="170"/>
        </w:trPr>
        <w:tc>
          <w:tcPr>
            <w:tcW w:w="1800" w:type="dxa"/>
            <w:vAlign w:val="bottom"/>
          </w:tcPr>
          <w:p>
            <w:pPr>
              <w:jc w:val="center"/>
              <w:ind w:right="847"/>
              <w:spacing w:after="0"/>
              <w:rPr>
                <w:sz w:val="20"/>
                <w:szCs w:val="20"/>
                <w:color w:val="auto"/>
              </w:rPr>
            </w:pPr>
            <w:r>
              <w:rPr>
                <w:rFonts w:ascii="Courier New" w:cs="Courier New" w:eastAsia="Courier New" w:hAnsi="Courier New"/>
                <w:sz w:val="15"/>
                <w:szCs w:val="15"/>
                <w:color w:val="auto"/>
                <w:w w:val="99"/>
              </w:rPr>
              <w:t>2008</w:t>
            </w:r>
          </w:p>
        </w:tc>
        <w:tc>
          <w:tcPr>
            <w:tcW w:w="29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15,269</w:t>
            </w:r>
          </w:p>
        </w:tc>
      </w:tr>
      <w:tr>
        <w:trPr>
          <w:trHeight w:val="170"/>
        </w:trPr>
        <w:tc>
          <w:tcPr>
            <w:tcW w:w="1800" w:type="dxa"/>
            <w:vAlign w:val="bottom"/>
          </w:tcPr>
          <w:p>
            <w:pPr>
              <w:jc w:val="center"/>
              <w:ind w:right="847"/>
              <w:spacing w:after="0"/>
              <w:rPr>
                <w:sz w:val="20"/>
                <w:szCs w:val="20"/>
                <w:color w:val="auto"/>
              </w:rPr>
            </w:pPr>
            <w:r>
              <w:rPr>
                <w:rFonts w:ascii="Courier New" w:cs="Courier New" w:eastAsia="Courier New" w:hAnsi="Courier New"/>
                <w:sz w:val="15"/>
                <w:szCs w:val="15"/>
                <w:color w:val="auto"/>
                <w:w w:val="99"/>
              </w:rPr>
              <w:t>2009</w:t>
            </w:r>
          </w:p>
        </w:tc>
        <w:tc>
          <w:tcPr>
            <w:tcW w:w="29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14,051</w:t>
            </w:r>
          </w:p>
        </w:tc>
      </w:tr>
      <w:tr>
        <w:trPr>
          <w:trHeight w:val="170"/>
        </w:trPr>
        <w:tc>
          <w:tcPr>
            <w:tcW w:w="1800" w:type="dxa"/>
            <w:vAlign w:val="bottom"/>
          </w:tcPr>
          <w:p>
            <w:pPr>
              <w:jc w:val="center"/>
              <w:ind w:right="847"/>
              <w:spacing w:after="0"/>
              <w:rPr>
                <w:sz w:val="20"/>
                <w:szCs w:val="20"/>
                <w:color w:val="auto"/>
              </w:rPr>
            </w:pPr>
            <w:r>
              <w:rPr>
                <w:rFonts w:ascii="Courier New" w:cs="Courier New" w:eastAsia="Courier New" w:hAnsi="Courier New"/>
                <w:sz w:val="15"/>
                <w:szCs w:val="15"/>
                <w:color w:val="auto"/>
                <w:w w:val="99"/>
              </w:rPr>
              <w:t>2010</w:t>
            </w:r>
          </w:p>
        </w:tc>
        <w:tc>
          <w:tcPr>
            <w:tcW w:w="29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13,848</w:t>
            </w:r>
          </w:p>
        </w:tc>
      </w:tr>
      <w:tr>
        <w:trPr>
          <w:trHeight w:val="170"/>
        </w:trPr>
        <w:tc>
          <w:tcPr>
            <w:tcW w:w="1800" w:type="dxa"/>
            <w:vAlign w:val="bottom"/>
          </w:tcPr>
          <w:p>
            <w:pPr>
              <w:jc w:val="center"/>
              <w:ind w:right="847"/>
              <w:spacing w:after="0"/>
              <w:rPr>
                <w:sz w:val="20"/>
                <w:szCs w:val="20"/>
                <w:color w:val="auto"/>
              </w:rPr>
            </w:pPr>
            <w:r>
              <w:rPr>
                <w:rFonts w:ascii="Courier New" w:cs="Courier New" w:eastAsia="Courier New" w:hAnsi="Courier New"/>
                <w:sz w:val="15"/>
                <w:szCs w:val="15"/>
                <w:color w:val="auto"/>
                <w:w w:val="97"/>
              </w:rPr>
              <w:t>Thereafter</w:t>
            </w:r>
          </w:p>
        </w:tc>
        <w:tc>
          <w:tcPr>
            <w:tcW w:w="29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$58,470</w:t>
            </w:r>
          </w:p>
        </w:tc>
      </w:tr>
    </w:tbl>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The Company has a number of finance leases, primarily over furniture and equipment, that expire over the next three years. Future commitments are as follows:</w:t>
      </w:r>
    </w:p>
    <w:p>
      <w:pPr>
        <w:spacing w:after="0" w:line="169" w:lineRule="exact"/>
        <w:rPr>
          <w:sz w:val="20"/>
          <w:szCs w:val="20"/>
          <w:color w:val="auto"/>
        </w:rPr>
      </w:pPr>
    </w:p>
    <w:tbl>
      <w:tblPr>
        <w:tblLayout w:type="fixed"/>
        <w:tblInd w:w="166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Lease payments</w:t>
            </w:r>
          </w:p>
        </w:tc>
      </w:tr>
      <w:tr>
        <w:trPr>
          <w:trHeight w:val="170"/>
        </w:trPr>
        <w:tc>
          <w:tcPr>
            <w:tcW w:w="26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$238</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2008</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96</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2009</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Less future finance charges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w:t>
            </w:r>
          </w:p>
        </w:tc>
      </w:tr>
    </w:tbl>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660" w:type="dxa"/>
        <w:tblCellMar>
          <w:top w:w="0" w:type="dxa"/>
          <w:left w:w="0" w:type="dxa"/>
          <w:bottom w:w="0" w:type="dxa"/>
          <w:right w:w="0" w:type="dxa"/>
        </w:tblCellMar>
      </w:tblPr>
      <w:tr>
        <w:trPr>
          <w:trHeight w:val="170"/>
        </w:trPr>
        <w:tc>
          <w:tcPr>
            <w:tcW w:w="18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bl>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961" w:right="1440" w:bottom="1440" w:gutter="0" w:footer="0" w:header="0"/>
        </w:sectPr>
      </w:pPr>
    </w:p>
    <w:bookmarkStart w:id="75" w:name="page76"/>
    <w:bookmarkEnd w:id="75"/>
    <w:p>
      <w:pPr>
        <w:ind w:left="10" w:right="3179"/>
        <w:spacing w:after="0" w:line="237" w:lineRule="auto"/>
        <w:rPr>
          <w:sz w:val="20"/>
          <w:szCs w:val="20"/>
          <w:color w:val="auto"/>
        </w:rPr>
      </w:pPr>
      <w:r>
        <w:rPr>
          <w:rFonts w:ascii="Courier New" w:cs="Courier New" w:eastAsia="Courier New" w:hAnsi="Courier New"/>
          <w:sz w:val="15"/>
          <w:szCs w:val="15"/>
          <w:color w:val="auto"/>
        </w:rPr>
        <w:t>The Company made a number of acquisitions in recent years with earn-out provisions built into the purchase contracts, which may require cash payments of U.S.$2,500,000 to be made during fiscal 2007.</w:t>
      </w:r>
    </w:p>
    <w:p>
      <w:pPr>
        <w:spacing w:after="0" w:line="339" w:lineRule="exact"/>
        <w:rPr>
          <w:sz w:val="20"/>
          <w:szCs w:val="20"/>
          <w:color w:val="auto"/>
        </w:rPr>
      </w:pPr>
    </w:p>
    <w:p>
      <w:pPr>
        <w:ind w:left="450" w:hanging="450"/>
        <w:spacing w:after="0"/>
        <w:tabs>
          <w:tab w:leader="none" w:pos="4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 Information</w:t>
      </w:r>
    </w:p>
    <w:p>
      <w:pPr>
        <w:spacing w:after="0" w:line="175"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The Company operates predominantly in the contract clinical research industry providing a broad range of clinical research and integrated product development services on a global basis for the pharmaceutical and biotechnology industries. The Company's also has a central laboratory segment primarily based in New York, USA. This, together with laboratory services based in Dublin, form the central laboratory segment information disclosed below.</w:t>
      </w:r>
    </w:p>
    <w:p>
      <w:pPr>
        <w:spacing w:after="0" w:line="16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Kingdom, United States, Germany, Australia, Argentina, France, Japan, Israel, Singapore, Canada, Sweden, The Netherlands, Latvia, South Africa, India, Hong Kong, Taiwan, Mexico, Brazil, Russia, Hungary and Spain. Segment information for the fiscal years ended May 31, 2003, 2004 and 2005 is as follows:</w:t>
      </w:r>
    </w:p>
    <w:p>
      <w:pPr>
        <w:spacing w:after="0" w:line="33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 Ended May 31,</w:t>
            </w:r>
          </w:p>
        </w:tc>
        <w:tc>
          <w:tcPr>
            <w:tcW w:w="980" w:type="dxa"/>
            <w:vAlign w:val="bottom"/>
          </w:tcPr>
          <w:p>
            <w:pPr>
              <w:spacing w:after="0"/>
              <w:rPr>
                <w:sz w:val="14"/>
                <w:szCs w:val="14"/>
                <w:color w:val="auto"/>
              </w:rPr>
            </w:pPr>
          </w:p>
        </w:tc>
      </w:tr>
      <w:tr>
        <w:trPr>
          <w:trHeight w:val="170"/>
        </w:trPr>
        <w:tc>
          <w:tcPr>
            <w:tcW w:w="3400" w:type="dxa"/>
            <w:vAlign w:val="bottom"/>
          </w:tcPr>
          <w:p>
            <w:pPr>
              <w:spacing w:after="0"/>
              <w:rPr>
                <w:sz w:val="14"/>
                <w:szCs w:val="14"/>
                <w:color w:val="auto"/>
              </w:rPr>
            </w:pP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r>
      <w:tr>
        <w:trPr>
          <w:trHeight w:val="339"/>
        </w:trPr>
        <w:tc>
          <w:tcPr>
            <w:tcW w:w="34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$26,293</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$35,109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$37,242</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34,727</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65,930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84,140</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158,707</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185,301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186,919</w:t>
            </w:r>
          </w:p>
        </w:tc>
      </w:t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5,998</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10,583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18,357</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$225,725</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$296,923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$326,658</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14"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 All sales shown for Ireland are export sales.</w:t>
      </w:r>
    </w:p>
    <w:p>
      <w:pPr>
        <w:spacing w:after="0" w:line="33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b) The distribution of net revenue by business segment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 Ended May 31,</w:t>
            </w:r>
          </w:p>
        </w:tc>
        <w:tc>
          <w:tcPr>
            <w:tcW w:w="980" w:type="dxa"/>
            <w:vAlign w:val="bottom"/>
          </w:tcPr>
          <w:p>
            <w:pPr>
              <w:spacing w:after="0"/>
              <w:rPr>
                <w:sz w:val="14"/>
                <w:szCs w:val="14"/>
                <w:color w:val="auto"/>
              </w:rPr>
            </w:pPr>
          </w:p>
        </w:tc>
      </w:tr>
      <w:tr>
        <w:trPr>
          <w:trHeight w:val="170"/>
        </w:trPr>
        <w:tc>
          <w:tcPr>
            <w:tcW w:w="3580" w:type="dxa"/>
            <w:vAlign w:val="bottom"/>
          </w:tcPr>
          <w:p>
            <w:pPr>
              <w:spacing w:after="0"/>
              <w:rPr>
                <w:sz w:val="14"/>
                <w:szCs w:val="14"/>
                <w:color w:val="auto"/>
              </w:rPr>
            </w:pPr>
          </w:p>
        </w:tc>
        <w:tc>
          <w:tcPr>
            <w:tcW w:w="2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r>
      <w:tr>
        <w:trPr>
          <w:trHeight w:val="339"/>
        </w:trPr>
        <w:tc>
          <w:tcPr>
            <w:tcW w:w="358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$26,168</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$26,905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$25,499</w:t>
            </w:r>
          </w:p>
        </w:tc>
      </w:t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199,557</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270,018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301,159</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9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$225,725</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$296,923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$326,658</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9"/>
          </w:cols>
          <w:pgMar w:left="230" w:top="627" w:right="1440" w:bottom="1440" w:gutter="0" w:footer="0" w:header="0"/>
        </w:sectPr>
      </w:pPr>
    </w:p>
    <w:bookmarkStart w:id="76" w:name="page77"/>
    <w:bookmarkEnd w:id="76"/>
    <w:p>
      <w:pPr>
        <w:ind w:left="700" w:hanging="269"/>
        <w:spacing w:after="0"/>
        <w:tabs>
          <w:tab w:leader="none" w:pos="7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 Ended May 31,</w:t>
            </w:r>
          </w:p>
        </w:tc>
        <w:tc>
          <w:tcPr>
            <w:tcW w:w="980" w:type="dxa"/>
            <w:vAlign w:val="bottom"/>
          </w:tcPr>
          <w:p>
            <w:pPr>
              <w:spacing w:after="0"/>
              <w:rPr>
                <w:sz w:val="14"/>
                <w:szCs w:val="14"/>
                <w:color w:val="auto"/>
              </w:rPr>
            </w:pPr>
          </w:p>
        </w:tc>
      </w:tr>
      <w:tr>
        <w:trPr>
          <w:trHeight w:val="170"/>
        </w:trPr>
        <w:tc>
          <w:tcPr>
            <w:tcW w:w="3440" w:type="dxa"/>
            <w:vAlign w:val="bottom"/>
          </w:tcPr>
          <w:p>
            <w:pPr>
              <w:spacing w:after="0"/>
              <w:rPr>
                <w:sz w:val="14"/>
                <w:szCs w:val="14"/>
                <w:color w:val="auto"/>
              </w:rPr>
            </w:pPr>
          </w:p>
        </w:tc>
        <w:tc>
          <w:tcPr>
            <w:tcW w:w="2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 thousands)</w:t>
            </w:r>
          </w:p>
        </w:tc>
        <w:tc>
          <w:tcPr>
            <w:tcW w:w="980" w:type="dxa"/>
            <w:vAlign w:val="bottom"/>
          </w:tcPr>
          <w:p>
            <w:pPr>
              <w:spacing w:after="0"/>
              <w:rPr>
                <w:sz w:val="14"/>
                <w:szCs w:val="14"/>
                <w:color w:val="auto"/>
              </w:rPr>
            </w:pPr>
          </w:p>
        </w:tc>
      </w:tr>
      <w:tr>
        <w:trPr>
          <w:trHeight w:val="339"/>
        </w:trPr>
        <w:tc>
          <w:tcPr>
            <w:tcW w:w="344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$6,532</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$9,363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$6,223</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1,192</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10,209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14,033</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17,091</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13,023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(4,130)</w:t>
            </w:r>
          </w:p>
        </w:tc>
      </w:t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w:t>
            </w:r>
          </w:p>
        </w:tc>
        <w:tc>
          <w:tcPr>
            <w:tcW w:w="22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1,788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2,481</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$24,929</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$34,383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$18,607</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80" w:hanging="273"/>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Year Ended May 31,</w:t>
            </w:r>
          </w:p>
        </w:tc>
        <w:tc>
          <w:tcPr>
            <w:tcW w:w="1060" w:type="dxa"/>
            <w:vAlign w:val="bottom"/>
          </w:tcPr>
          <w:p>
            <w:pPr>
              <w:spacing w:after="0"/>
              <w:rPr>
                <w:sz w:val="14"/>
                <w:szCs w:val="14"/>
                <w:color w:val="auto"/>
              </w:rPr>
            </w:pPr>
          </w:p>
        </w:tc>
      </w:tr>
      <w:tr>
        <w:trPr>
          <w:trHeight w:val="170"/>
        </w:trPr>
        <w:tc>
          <w:tcPr>
            <w:tcW w:w="3620" w:type="dxa"/>
            <w:vAlign w:val="bottom"/>
          </w:tcPr>
          <w:p>
            <w:pPr>
              <w:spacing w:after="0"/>
              <w:rPr>
                <w:sz w:val="14"/>
                <w:szCs w:val="14"/>
                <w:color w:val="auto"/>
              </w:rPr>
            </w:pP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1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3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thousands)</w:t>
            </w:r>
          </w:p>
        </w:tc>
        <w:tc>
          <w:tcPr>
            <w:tcW w:w="1060" w:type="dxa"/>
            <w:vAlign w:val="bottom"/>
          </w:tcPr>
          <w:p>
            <w:pPr>
              <w:spacing w:after="0"/>
              <w:rPr>
                <w:sz w:val="14"/>
                <w:szCs w:val="14"/>
                <w:color w:val="auto"/>
              </w:rPr>
            </w:pPr>
          </w:p>
        </w:tc>
      </w:tr>
      <w:tr>
        <w:trPr>
          <w:trHeight w:val="339"/>
        </w:trPr>
        <w:tc>
          <w:tcPr>
            <w:tcW w:w="36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w:t>
            </w:r>
          </w:p>
        </w:tc>
        <w:tc>
          <w:tcPr>
            <w:tcW w:w="21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($3,274)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($15,284)</w:t>
            </w:r>
          </w:p>
        </w:tc>
      </w:tr>
      <w:tr>
        <w:trPr>
          <w:trHeight w:val="170"/>
        </w:trPr>
        <w:tc>
          <w:tcPr>
            <w:tcW w:w="36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24,814</w:t>
            </w:r>
          </w:p>
        </w:tc>
        <w:tc>
          <w:tcPr>
            <w:tcW w:w="21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37,657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33,891</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3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$24,929</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$34,383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$18,607</w:t>
            </w:r>
          </w:p>
        </w:tc>
      </w:tr>
    </w:tbl>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319" w:lineRule="exact"/>
        <w:rPr>
          <w:sz w:val="20"/>
          <w:szCs w:val="20"/>
          <w:color w:val="auto"/>
        </w:rPr>
      </w:pPr>
    </w:p>
    <w:p>
      <w:pPr>
        <w:ind w:right="3259" w:firstLine="431"/>
        <w:spacing w:after="0" w:line="235" w:lineRule="auto"/>
        <w:tabs>
          <w:tab w:leader="none" w:pos="70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0"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600" w:type="dxa"/>
            <w:vAlign w:val="bottom"/>
            <w:gridSpan w:val="2"/>
          </w:tcPr>
          <w:p>
            <w:pPr>
              <w:ind w:left="1360"/>
              <w:spacing w:after="0"/>
              <w:rPr>
                <w:sz w:val="20"/>
                <w:szCs w:val="20"/>
                <w:color w:val="auto"/>
              </w:rPr>
            </w:pPr>
            <w:r>
              <w:rPr>
                <w:rFonts w:ascii="Courier New" w:cs="Courier New" w:eastAsia="Courier New" w:hAnsi="Courier New"/>
                <w:sz w:val="15"/>
                <w:szCs w:val="15"/>
                <w:color w:val="auto"/>
                <w:w w:val="96"/>
              </w:rPr>
              <w:t>Year Ended May</w:t>
            </w: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w:t>
            </w:r>
          </w:p>
        </w:tc>
      </w:tr>
      <w:tr>
        <w:trPr>
          <w:trHeight w:val="170"/>
        </w:trPr>
        <w:tc>
          <w:tcPr>
            <w:tcW w:w="2080" w:type="dxa"/>
            <w:vAlign w:val="bottom"/>
          </w:tcPr>
          <w:p>
            <w:pPr>
              <w:spacing w:after="0"/>
              <w:rPr>
                <w:sz w:val="14"/>
                <w:szCs w:val="14"/>
                <w:color w:val="auto"/>
              </w:rPr>
            </w:pP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2004</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080" w:type="dxa"/>
            <w:vAlign w:val="bottom"/>
          </w:tcPr>
          <w:p>
            <w:pPr>
              <w:spacing w:after="0"/>
              <w:rPr>
                <w:sz w:val="14"/>
                <w:szCs w:val="14"/>
                <w:color w:val="auto"/>
              </w:rPr>
            </w:pPr>
          </w:p>
        </w:tc>
        <w:tc>
          <w:tcPr>
            <w:tcW w:w="2600" w:type="dxa"/>
            <w:vAlign w:val="bottom"/>
            <w:gridSpan w:val="2"/>
          </w:tcPr>
          <w:p>
            <w:pPr>
              <w:ind w:left="1360"/>
              <w:spacing w:after="0"/>
              <w:rPr>
                <w:sz w:val="20"/>
                <w:szCs w:val="20"/>
                <w:color w:val="auto"/>
              </w:rPr>
            </w:pPr>
            <w:r>
              <w:rPr>
                <w:rFonts w:ascii="Courier New" w:cs="Courier New" w:eastAsia="Courier New" w:hAnsi="Courier New"/>
                <w:sz w:val="15"/>
                <w:szCs w:val="15"/>
                <w:color w:val="auto"/>
                <w:w w:val="96"/>
              </w:rPr>
              <w:t>(in thousands)</w:t>
            </w:r>
          </w:p>
        </w:tc>
        <w:tc>
          <w:tcPr>
            <w:tcW w:w="520" w:type="dxa"/>
            <w:vAlign w:val="bottom"/>
          </w:tcPr>
          <w:p>
            <w:pPr>
              <w:spacing w:after="0"/>
              <w:rPr>
                <w:sz w:val="14"/>
                <w:szCs w:val="14"/>
                <w:color w:val="auto"/>
              </w:rPr>
            </w:pP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$18,799</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$20,471</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7,202</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7,273</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15,935</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15,927</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9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1,615</w:t>
            </w:r>
          </w:p>
        </w:tc>
      </w:tr>
    </w:tbl>
    <w:p>
      <w:pPr>
        <w:ind w:left="60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$42,936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$45,286</w:t>
            </w:r>
          </w:p>
        </w:tc>
      </w:tr>
    </w:tbl>
    <w:p>
      <w:pPr>
        <w:ind w:left="600"/>
        <w:spacing w:after="0"/>
        <w:rPr>
          <w:sz w:val="20"/>
          <w:szCs w:val="20"/>
          <w:color w:val="auto"/>
        </w:rPr>
      </w:pPr>
      <w:r>
        <w:rPr>
          <w:rFonts w:ascii="Courier New" w:cs="Courier New" w:eastAsia="Courier New" w:hAnsi="Courier New"/>
          <w:sz w:val="15"/>
          <w:szCs w:val="15"/>
          <w:color w:val="auto"/>
        </w:rPr>
        <w:t>----------------------------------------- ------------------</w:t>
      </w:r>
    </w:p>
    <w:p>
      <w:pPr>
        <w:spacing w:after="0" w:line="344" w:lineRule="exact"/>
        <w:rPr>
          <w:sz w:val="20"/>
          <w:szCs w:val="20"/>
          <w:color w:val="auto"/>
        </w:rPr>
      </w:pPr>
    </w:p>
    <w:p>
      <w:pPr>
        <w:ind w:right="3619" w:firstLine="431"/>
        <w:spacing w:after="0" w:line="235" w:lineRule="auto"/>
        <w:tabs>
          <w:tab w:leader="none" w:pos="70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0"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Year Ended May 31,</w:t>
            </w:r>
          </w:p>
        </w:tc>
      </w:tr>
      <w:tr>
        <w:trPr>
          <w:trHeight w:val="170"/>
        </w:trPr>
        <w:tc>
          <w:tcPr>
            <w:tcW w:w="2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300" w:type="dxa"/>
            <w:vAlign w:val="bottom"/>
          </w:tcPr>
          <w:p>
            <w:pPr>
              <w:spacing w:after="0"/>
              <w:rPr>
                <w:sz w:val="14"/>
                <w:szCs w:val="14"/>
                <w:color w:val="auto"/>
              </w:rPr>
            </w:pPr>
          </w:p>
        </w:tc>
        <w:tc>
          <w:tcPr>
            <w:tcW w:w="29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$3,989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$2,940</w:t>
            </w:r>
          </w:p>
        </w:tc>
      </w:t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38,947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42,346</w:t>
            </w:r>
          </w:p>
        </w:tc>
      </w:tr>
    </w:tbl>
    <w:p>
      <w:pPr>
        <w:ind w:left="60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16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$42,936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$45,286</w:t>
            </w:r>
          </w:p>
        </w:tc>
      </w:tr>
    </w:tbl>
    <w:p>
      <w:pPr>
        <w:ind w:left="60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791" w:right="1440" w:bottom="1440" w:gutter="0" w:footer="0" w:header="0"/>
        </w:sectPr>
      </w:pPr>
    </w:p>
    <w:bookmarkStart w:id="77" w:name="page78"/>
    <w:bookmarkEnd w:id="77"/>
    <w:p>
      <w:pPr>
        <w:ind w:left="-431" w:right="3359" w:firstLine="431"/>
        <w:spacing w:after="0" w:line="235" w:lineRule="auto"/>
        <w:tabs>
          <w:tab w:leader="none" w:pos="27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geographical area was as follows:</w:t>
      </w:r>
    </w:p>
    <w:p>
      <w:pPr>
        <w:spacing w:after="0" w:line="170"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182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$2,330</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$3,710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$5,091</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1,138</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1,842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2,157</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3,535</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5,271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5,552</w:t>
            </w:r>
          </w:p>
        </w:tc>
      </w:t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348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531</w:t>
            </w:r>
          </w:p>
        </w:tc>
      </w:tr>
    </w:tbl>
    <w:p>
      <w:pPr>
        <w:spacing w:after="0" w:line="5"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$7,305</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$11,171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$13,331</w:t>
            </w:r>
          </w:p>
        </w:tc>
      </w:tr>
    </w:tbl>
    <w:p>
      <w:pPr>
        <w:spacing w:after="0" w:line="5"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 ----------------- ------------------</w:t>
      </w:r>
    </w:p>
    <w:p>
      <w:pPr>
        <w:spacing w:after="0" w:line="350" w:lineRule="exact"/>
        <w:rPr>
          <w:sz w:val="20"/>
          <w:szCs w:val="20"/>
          <w:color w:val="auto"/>
        </w:rPr>
      </w:pPr>
    </w:p>
    <w:p>
      <w:pPr>
        <w:ind w:left="-431" w:right="3439" w:firstLine="431"/>
        <w:spacing w:after="0" w:line="235" w:lineRule="auto"/>
        <w:tabs>
          <w:tab w:leader="none" w:pos="27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business segment was as follows:</w:t>
      </w:r>
    </w:p>
    <w:p>
      <w:pPr>
        <w:spacing w:after="0" w:line="170"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20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$732</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$1,014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$995</w:t>
            </w:r>
          </w:p>
        </w:tc>
      </w:tr>
      <w:tr>
        <w:trPr>
          <w:trHeight w:val="170"/>
        </w:trPr>
        <w:tc>
          <w:tcPr>
            <w:tcW w:w="20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6,573</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10,157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12,336</w:t>
            </w:r>
          </w:p>
        </w:tc>
      </w:tr>
    </w:tbl>
    <w:p>
      <w:pPr>
        <w:spacing w:after="0" w:line="5"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$7,305</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$11,171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$13,331</w:t>
            </w:r>
          </w:p>
        </w:tc>
      </w:tr>
    </w:tbl>
    <w:p>
      <w:pPr>
        <w:spacing w:after="0" w:line="5"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 ----------------- ------------------</w:t>
      </w:r>
    </w:p>
    <w:p>
      <w:pPr>
        <w:spacing w:after="0" w:line="350"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 The distribution of total assets by geographical area was as follows:</w:t>
      </w:r>
    </w:p>
    <w:p>
      <w:pPr>
        <w:spacing w:after="0" w:line="175"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Year Ended May 31,</w:t>
            </w:r>
          </w:p>
        </w:tc>
        <w:tc>
          <w:tcPr>
            <w:tcW w:w="700" w:type="dxa"/>
            <w:vAlign w:val="bottom"/>
          </w:tcPr>
          <w:p>
            <w:pPr>
              <w:spacing w:after="0"/>
              <w:rPr>
                <w:sz w:val="14"/>
                <w:szCs w:val="14"/>
                <w:color w:val="auto"/>
              </w:rPr>
            </w:pPr>
          </w:p>
        </w:tc>
      </w:tr>
      <w:tr>
        <w:trPr>
          <w:trHeight w:val="170"/>
        </w:trPr>
        <w:tc>
          <w:tcPr>
            <w:tcW w:w="2080" w:type="dxa"/>
            <w:vAlign w:val="bottom"/>
          </w:tcPr>
          <w:p>
            <w:pPr>
              <w:spacing w:after="0"/>
              <w:rPr>
                <w:sz w:val="14"/>
                <w:szCs w:val="14"/>
                <w:color w:val="auto"/>
              </w:rPr>
            </w:pP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080" w:type="dxa"/>
            <w:vAlign w:val="bottom"/>
          </w:tcPr>
          <w:p>
            <w:pPr>
              <w:spacing w:after="0"/>
              <w:rPr>
                <w:sz w:val="14"/>
                <w:szCs w:val="14"/>
                <w:color w:val="auto"/>
              </w:rPr>
            </w:pPr>
          </w:p>
        </w:tc>
        <w:tc>
          <w:tcPr>
            <w:tcW w:w="2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 thousands)</w:t>
            </w:r>
          </w:p>
        </w:tc>
        <w:tc>
          <w:tcPr>
            <w:tcW w:w="700" w:type="dxa"/>
            <w:vAlign w:val="bottom"/>
          </w:tcPr>
          <w:p>
            <w:pPr>
              <w:spacing w:after="0"/>
              <w:rPr>
                <w:sz w:val="14"/>
                <w:szCs w:val="14"/>
                <w:color w:val="auto"/>
              </w:rPr>
            </w:pP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$76,165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$109,596</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115,056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79,878</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141,104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153,577</w:t>
            </w:r>
          </w:p>
        </w:tc>
      </w:tr>
      <w:tr>
        <w:trPr>
          <w:trHeight w:val="170"/>
        </w:trPr>
        <w:tc>
          <w:tcPr>
            <w:tcW w:w="2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4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2,998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4,502</w:t>
            </w:r>
          </w:p>
        </w:tc>
      </w:tr>
    </w:tbl>
    <w:p>
      <w:pPr>
        <w:ind w:left="169"/>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$335,323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$347,553</w:t>
            </w:r>
          </w:p>
        </w:tc>
      </w:tr>
    </w:tbl>
    <w:p>
      <w:pPr>
        <w:ind w:left="169"/>
        <w:spacing w:after="0"/>
        <w:rPr>
          <w:sz w:val="20"/>
          <w:szCs w:val="20"/>
          <w:color w:val="auto"/>
        </w:rPr>
      </w:pPr>
      <w:r>
        <w:rPr>
          <w:rFonts w:ascii="Courier New" w:cs="Courier New" w:eastAsia="Courier New" w:hAnsi="Courier New"/>
          <w:sz w:val="15"/>
          <w:szCs w:val="15"/>
          <w:color w:val="auto"/>
        </w:rPr>
        <w:t>------------------------------------------- ----------------</w:t>
      </w:r>
    </w:p>
    <w:p>
      <w:pPr>
        <w:spacing w:after="0" w:line="33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 The distribution of total assets by business segment was as follows:</w:t>
      </w:r>
    </w:p>
    <w:p>
      <w:pPr>
        <w:spacing w:after="0" w:line="16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27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May 31,</w:t>
            </w:r>
          </w:p>
        </w:tc>
      </w:tr>
      <w:tr>
        <w:trPr>
          <w:trHeight w:val="170"/>
        </w:trPr>
        <w:tc>
          <w:tcPr>
            <w:tcW w:w="2220" w:type="dxa"/>
            <w:vAlign w:val="bottom"/>
          </w:tcPr>
          <w:p>
            <w:pPr>
              <w:spacing w:after="0"/>
              <w:rPr>
                <w:sz w:val="14"/>
                <w:szCs w:val="14"/>
                <w:color w:val="auto"/>
              </w:rPr>
            </w:pPr>
          </w:p>
        </w:tc>
        <w:tc>
          <w:tcPr>
            <w:tcW w:w="19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220" w:type="dxa"/>
            <w:vAlign w:val="bottom"/>
          </w:tcPr>
          <w:p>
            <w:pPr>
              <w:spacing w:after="0"/>
              <w:rPr>
                <w:sz w:val="14"/>
                <w:szCs w:val="14"/>
                <w:color w:val="auto"/>
              </w:rPr>
            </w:pPr>
          </w:p>
        </w:tc>
        <w:tc>
          <w:tcPr>
            <w:tcW w:w="1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19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$20,343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$18,083</w:t>
            </w:r>
          </w:p>
        </w:tc>
      </w:t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19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314,980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329,470</w:t>
            </w:r>
          </w:p>
        </w:tc>
      </w:tr>
    </w:tbl>
    <w:p>
      <w:pPr>
        <w:ind w:left="169"/>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16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$335,323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$347,553</w:t>
            </w:r>
          </w:p>
        </w:tc>
      </w:tr>
    </w:tbl>
    <w:p>
      <w:pPr>
        <w:ind w:left="16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p>
      <w:pPr>
        <w:ind w:left="2989"/>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9788"/>
          </w:cols>
          <w:pgMar w:left="671" w:top="627" w:right="1440" w:bottom="1440" w:gutter="0" w:footer="0" w:header="0"/>
        </w:sectPr>
      </w:pPr>
    </w:p>
    <w:bookmarkStart w:id="78" w:name="page79"/>
    <w:bookmarkEnd w:id="78"/>
    <w:p>
      <w:pPr>
        <w:ind w:left="710" w:hanging="269"/>
        <w:spacing w:after="0"/>
        <w:tabs>
          <w:tab w:leader="none" w:pos="71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capital expenditures by geographical area was as</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172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1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4"/>
                <w:szCs w:val="14"/>
                <w:color w:val="auto"/>
              </w:rPr>
            </w:pP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$6,375</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$4,812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$6,583</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1,686</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2,167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2,168</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7,274</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5,826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5,873</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1,053</w:t>
            </w:r>
          </w:p>
        </w:tc>
      </w:tr>
    </w:tbl>
    <w:p>
      <w:pPr>
        <w:ind w:left="61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$15,993</w:t>
            </w:r>
          </w:p>
        </w:tc>
        <w:tc>
          <w:tcPr>
            <w:tcW w:w="1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$12,965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$15,677</w:t>
            </w:r>
          </w:p>
        </w:tc>
      </w:tr>
    </w:tbl>
    <w:p>
      <w:pPr>
        <w:ind w:left="610"/>
        <w:spacing w:after="0"/>
        <w:rPr>
          <w:sz w:val="20"/>
          <w:szCs w:val="20"/>
          <w:color w:val="auto"/>
        </w:rPr>
      </w:pPr>
      <w:r>
        <w:rPr>
          <w:rFonts w:ascii="Courier New" w:cs="Courier New" w:eastAsia="Courier New" w:hAnsi="Courier New"/>
          <w:sz w:val="15"/>
          <w:szCs w:val="15"/>
          <w:color w:val="auto"/>
        </w:rPr>
        <w:t>-------------------------------- ----------------- ------------------</w:t>
      </w:r>
    </w:p>
    <w:p>
      <w:pPr>
        <w:spacing w:after="0" w:line="338" w:lineRule="exact"/>
        <w:rPr>
          <w:sz w:val="20"/>
          <w:szCs w:val="20"/>
          <w:color w:val="auto"/>
        </w:rPr>
      </w:pPr>
    </w:p>
    <w:p>
      <w:pPr>
        <w:ind w:left="710" w:hanging="269"/>
        <w:spacing w:after="0"/>
        <w:tabs>
          <w:tab w:leader="none" w:pos="71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capital expenditures by business segment was as</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Year Ended May 31,</w:t>
            </w:r>
          </w:p>
        </w:tc>
        <w:tc>
          <w:tcPr>
            <w:tcW w:w="940" w:type="dxa"/>
            <w:vAlign w:val="bottom"/>
          </w:tcPr>
          <w:p>
            <w:pPr>
              <w:spacing w:after="0"/>
              <w:rPr>
                <w:sz w:val="14"/>
                <w:szCs w:val="14"/>
                <w:color w:val="auto"/>
              </w:rPr>
            </w:pPr>
          </w:p>
        </w:tc>
      </w:tr>
      <w:tr>
        <w:trPr>
          <w:trHeight w:val="170"/>
        </w:trPr>
        <w:tc>
          <w:tcPr>
            <w:tcW w:w="18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1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r>
      <w:tr>
        <w:trPr>
          <w:trHeight w:val="170"/>
        </w:trPr>
        <w:tc>
          <w:tcPr>
            <w:tcW w:w="186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$1,520</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$1,552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$ 965</w:t>
            </w:r>
          </w:p>
        </w:tc>
      </w:tr>
      <w:tr>
        <w:trPr>
          <w:trHeight w:val="170"/>
        </w:trPr>
        <w:tc>
          <w:tcPr>
            <w:tcW w:w="186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14,473</w:t>
            </w:r>
          </w:p>
        </w:tc>
        <w:tc>
          <w:tcPr>
            <w:tcW w:w="22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11,413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14,712</w:t>
            </w:r>
          </w:p>
        </w:tc>
      </w:tr>
    </w:tbl>
    <w:p>
      <w:pPr>
        <w:ind w:left="610"/>
        <w:spacing w:after="0"/>
        <w:rPr>
          <w:sz w:val="20"/>
          <w:szCs w:val="20"/>
          <w:color w:val="auto"/>
        </w:rPr>
      </w:pPr>
      <w:r>
        <w:rPr>
          <w:rFonts w:ascii="Courier New" w:cs="Courier New" w:eastAsia="Courier New" w:hAnsi="Courier New"/>
          <w:sz w:val="15"/>
          <w:szCs w:val="15"/>
          <w:color w:val="auto"/>
        </w:rPr>
        <w:t>------------------------------- ----------------- ------------------</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$15,993</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$12,965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$15,677</w:t>
            </w:r>
          </w:p>
        </w:tc>
      </w:tr>
    </w:tbl>
    <w:p>
      <w:pPr>
        <w:ind w:left="610"/>
        <w:spacing w:after="0"/>
        <w:rPr>
          <w:sz w:val="20"/>
          <w:szCs w:val="20"/>
          <w:color w:val="auto"/>
        </w:rPr>
      </w:pPr>
      <w:r>
        <w:rPr>
          <w:rFonts w:ascii="Courier New" w:cs="Courier New" w:eastAsia="Courier New" w:hAnsi="Courier New"/>
          <w:sz w:val="15"/>
          <w:szCs w:val="15"/>
          <w:color w:val="auto"/>
        </w:rPr>
        <w:t>------------------------------- ----------------- ------------------</w:t>
      </w:r>
    </w:p>
    <w:p>
      <w:pPr>
        <w:spacing w:after="0" w:line="344" w:lineRule="exact"/>
        <w:rPr>
          <w:sz w:val="20"/>
          <w:szCs w:val="20"/>
          <w:color w:val="auto"/>
        </w:rPr>
      </w:pPr>
    </w:p>
    <w:p>
      <w:pPr>
        <w:ind w:left="10" w:right="3179" w:firstLine="431"/>
        <w:spacing w:after="0" w:line="235" w:lineRule="auto"/>
        <w:tabs>
          <w:tab w:leader="none" w:pos="71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clients which represented 10% or more of the Company's net revenue in each of the periods set out below.</w:t>
      </w:r>
    </w:p>
    <w:p>
      <w:pPr>
        <w:spacing w:after="0" w:line="170"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920" w:type="dxa"/>
            <w:vAlign w:val="bottom"/>
          </w:tcPr>
          <w:p>
            <w:pPr>
              <w:spacing w:after="0"/>
              <w:rPr>
                <w:sz w:val="14"/>
                <w:szCs w:val="14"/>
                <w:color w:val="auto"/>
              </w:rPr>
            </w:pPr>
          </w:p>
        </w:tc>
      </w:tr>
      <w:tr>
        <w:trPr>
          <w:trHeight w:val="170"/>
        </w:trPr>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Client A</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Client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Client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1050" w:hanging="168"/>
        <w:spacing w:after="0"/>
        <w:tabs>
          <w:tab w:leader="none" w:pos="105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Revenue did not exceed 10%</w:t>
      </w:r>
    </w:p>
    <w:p>
      <w:pPr>
        <w:spacing w:after="0" w:line="338"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Disclosure of Cash Flow Information</w:t>
      </w:r>
    </w:p>
    <w:p>
      <w:pPr>
        <w:spacing w:after="0" w:line="16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Year Ended May 31,</w:t>
            </w:r>
          </w:p>
        </w:tc>
        <w:tc>
          <w:tcPr>
            <w:tcW w:w="74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2003</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0"/>
        </w:trPr>
        <w:tc>
          <w:tcPr>
            <w:tcW w:w="2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Cash paid for interest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w:t>
            </w:r>
          </w:p>
        </w:tc>
        <w:tc>
          <w:tcPr>
            <w:tcW w:w="22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$202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 ----------------- ----------------</w:t>
      </w:r>
    </w:p>
    <w:p>
      <w:pPr>
        <w:spacing w:after="0" w:line="17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Cash paid for income taxes</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$7,186</w:t>
            </w:r>
          </w:p>
        </w:tc>
        <w:tc>
          <w:tcPr>
            <w:tcW w:w="15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$5,731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$5,290</w:t>
            </w:r>
          </w:p>
        </w:tc>
      </w:tr>
    </w:tbl>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29"/>
          </w:cols>
          <w:pgMar w:left="230" w:top="62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19. New Accounting Pronouncements</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In December 2004, the FASB issued Statement No. 123R, "Share-Based Payment - An Amendment of FASB Statements No. 123 and 95 ("SFAS No.123R"), which is effective for public companies in periods beginning after June 15, 2005. We will implement the proposed standard no later than the year that begins January 1, 2006. The cumulative effect of adoption, if any, applied on a modified prospective basis, would be measured and recognized on March 31, 2006.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would require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are currently evaluating option valuation methodologies and assumptions in light of SFAS No. 123R related to employee stock options. Current estimates of option values using the Black-Scholes method (as reported) may not be indicative of results from valuation methodologies ultimately adopted.</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 capacity of the production facilities. We do not expect that the adoption of SFAS No. 151 will have a material impact on our financial position or results of operations.</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We do not expect that the adoption of SFAS No. 153 will have a material impact on our financial position or results of operations.</w:t>
      </w:r>
    </w:p>
    <w:p>
      <w:pPr>
        <w:spacing w:after="0" w:line="18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unrealised losses pertaining to securities classified as available-for-sale or held-to-maturity. In addition, EITF 03-1 requires certain disclosures about cost method investments. The recognition and measurement provisions of EITF 03-1 have been deferred until additional guidance is issued.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Related Parties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On February 6, 1998, ICON entered into an Option Agreement ("The Put Option") with Rosa Investment Limited ("Rosa"). Rosa's sole activity was to hold an investment in Clear Investments Limited ("Clear"), the sole activity of which was to hold Mr. Gray's option to exercise 54,000 ordinary shares. Mr. Gray is a director of Rosa and Clear. Rosa is owned by a trust of which Mr. Gray is a beneficiary. On the April 21, 2004, Mr. Gray subsequently acquired Clear from Rosa and exercised the Put Option in accordance with the terms of the Option Agreement. On April 22, 2004, pursuant to the Option Agreement, ICON purchased the outstanding share capital in Clear from Mr. Gray, the consideration for the acquisition being the issuance of 54,000 fully paid up ordinary shares in ICON, to Mr. Gray, such a sale being the economic equivalent of Mr. Gray exercising his stock options.</w:t>
      </w:r>
    </w:p>
    <w:p>
      <w:pPr>
        <w:spacing w:after="0" w:line="200" w:lineRule="exact"/>
        <w:rPr>
          <w:sz w:val="20"/>
          <w:szCs w:val="20"/>
          <w:color w:val="auto"/>
        </w:rPr>
      </w:pPr>
    </w:p>
    <w:p>
      <w:pPr>
        <w:spacing w:after="0" w:line="31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622" w:right="1440" w:bottom="1440" w:gutter="0" w:footer="0" w:header="0"/>
        </w:sectPr>
      </w:pPr>
    </w:p>
    <w:bookmarkStart w:id="80" w:name="page81"/>
    <w:bookmarkEnd w:id="80"/>
    <w:p>
      <w:pPr>
        <w:ind w:right="3179"/>
        <w:spacing w:after="0" w:line="238" w:lineRule="auto"/>
        <w:rPr>
          <w:sz w:val="20"/>
          <w:szCs w:val="20"/>
          <w:color w:val="auto"/>
        </w:rPr>
      </w:pPr>
      <w:r>
        <w:rPr>
          <w:rFonts w:ascii="Courier New" w:cs="Courier New" w:eastAsia="Courier New" w:hAnsi="Courier New"/>
          <w:sz w:val="15"/>
          <w:szCs w:val="15"/>
          <w:color w:val="auto"/>
        </w:rPr>
        <w:t>Amarin Corporation plc ("Amarin") is a neuroscience company focused on the research, development and commercialization of drugs for the treatment of central nervous system disorders. During fiscal 2005, Amarin contracted ICON Clinical Research Limited (a wholly owned subsidiary of ICON plc), to conduct a clinical trial on its behalf. The total potential value of this study is $2.7 million. As at July 27, 2005, Amarin Investment Holding Company Limited (a company controlled by Mr. Thomas Lynch), Sunninghill Limited (a company controlled by Dr. John Climax) and Dr. Ronan Lambe held 9.1 million, 5.6 million and 1.6 million shares respectively in Amarin Corporation plc. These respective holdings equate to approximately 18%, 11% and 3% of Amarin's issued share capital. Thomas Lynch also serves as chairman and non-executive director on the Board of Amarin. At May 31, 2005, $0.4m was outstanding to be received from Amarin on this trial.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627" w:right="1440" w:bottom="1440" w:gutter="0" w:footer="0" w:header="0"/>
        </w:sectPr>
      </w:pPr>
    </w:p>
    <w:bookmarkStart w:id="81" w:name="page82"/>
    <w:bookmarkEnd w:id="81"/>
    <w:p>
      <w:pPr>
        <w:ind w:left="1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Pursuant to the requirements of Section 12 of the Securities Exchange Act of 1934, the Registrant certifies that it meets all of the requirements for filing on Form 20-F and has duly caused this annual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ICON public limited company</w:t>
      </w:r>
    </w:p>
    <w:p>
      <w:pPr>
        <w:sectPr>
          <w:pgSz w:w="11900" w:h="16838" w:orient="portrait"/>
          <w:cols w:equalWidth="0" w:num="1">
            <w:col w:w="10229"/>
          </w:cols>
          <w:pgMar w:left="230" w:top="9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October 13, 2005</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Sean Leech</w:t>
      </w:r>
    </w:p>
    <w:p>
      <w:pPr>
        <w:ind w:left="1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Sean Leech</w:t>
      </w:r>
    </w:p>
    <w:p>
      <w:pPr>
        <w:spacing w:after="0" w:line="238" w:lineRule="auto"/>
        <w:rPr>
          <w:sz w:val="20"/>
          <w:szCs w:val="20"/>
          <w:color w:val="auto"/>
        </w:rPr>
      </w:pPr>
      <w:r>
        <w:rPr>
          <w:rFonts w:ascii="Courier New" w:cs="Courier New" w:eastAsia="Courier New" w:hAnsi="Courier New"/>
          <w:sz w:val="15"/>
          <w:szCs w:val="15"/>
          <w:color w:val="auto"/>
        </w:rPr>
        <w:t>Executive Vice President -</w:t>
      </w:r>
    </w:p>
    <w:p>
      <w:pPr>
        <w:spacing w:after="0"/>
        <w:rPr>
          <w:sz w:val="20"/>
          <w:szCs w:val="20"/>
          <w:color w:val="auto"/>
        </w:rPr>
      </w:pPr>
      <w:r>
        <w:rPr>
          <w:rFonts w:ascii="Courier New" w:cs="Courier New" w:eastAsia="Courier New" w:hAnsi="Courier New"/>
          <w:sz w:val="15"/>
          <w:szCs w:val="15"/>
          <w:color w:val="auto"/>
        </w:rPr>
        <w:t>Commercial and Organizational</w:t>
      </w:r>
    </w:p>
    <w:p>
      <w:pPr>
        <w:spacing w:after="0"/>
        <w:rPr>
          <w:sz w:val="20"/>
          <w:szCs w:val="20"/>
          <w:color w:val="auto"/>
        </w:rPr>
      </w:pPr>
      <w:r>
        <w:rPr>
          <w:rFonts w:ascii="Courier New" w:cs="Courier New" w:eastAsia="Courier New" w:hAnsi="Courier New"/>
          <w:sz w:val="15"/>
          <w:szCs w:val="15"/>
          <w:color w:val="auto"/>
        </w:rPr>
        <w:t>Development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ectPr>
          <w:pgSz w:w="11900" w:h="16838" w:orient="portrait"/>
          <w:cols w:equalWidth="0" w:num="2">
            <w:col w:w="3330" w:space="720"/>
            <w:col w:w="6179"/>
          </w:cols>
          <w:pgMar w:left="230" w:top="9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 w:right="3179" w:hanging="10"/>
        <w:spacing w:after="0" w:line="237" w:lineRule="auto"/>
        <w:tabs>
          <w:tab w:leader="none" w:pos="18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Sean Leech, Executive Vice President - Commercial and Organizational Development, was replaced by Ciaran Murray as the Chief Financial Officer of the Registrant on October 3, 2005. Sean Leech is the person performing the functions of the principal financial officer of the Registrant on an interim basis as of the date hereof.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29"/>
          </w:cols>
          <w:pgMar w:left="230" w:top="961" w:right="1440" w:bottom="1440" w:gutter="0" w:footer="0" w:header="0"/>
          <w:type w:val="continuous"/>
        </w:sectPr>
      </w:pPr>
    </w:p>
    <w:bookmarkStart w:id="82" w:name="page83"/>
    <w:bookmarkEnd w:id="82"/>
    <w:p>
      <w:pPr>
        <w:jc w:val="center"/>
        <w:ind w:right="3170"/>
        <w:spacing w:after="0"/>
        <w:rPr>
          <w:sz w:val="20"/>
          <w:szCs w:val="20"/>
          <w:color w:val="auto"/>
        </w:rPr>
      </w:pPr>
      <w:r>
        <w:rPr>
          <w:rFonts w:ascii="Courier New" w:cs="Courier New" w:eastAsia="Courier New" w:hAnsi="Courier New"/>
          <w:sz w:val="15"/>
          <w:szCs w:val="15"/>
          <w:color w:val="auto"/>
        </w:rPr>
        <w:t>Certification of Chief Executive Officer</w:t>
      </w:r>
    </w:p>
    <w:p>
      <w:pPr>
        <w:jc w:val="center"/>
        <w:ind w:right="3170"/>
        <w:spacing w:after="0"/>
        <w:rPr>
          <w:sz w:val="20"/>
          <w:szCs w:val="20"/>
          <w:color w:val="auto"/>
        </w:rPr>
      </w:pPr>
      <w:r>
        <w:rPr>
          <w:rFonts w:ascii="Courier New" w:cs="Courier New" w:eastAsia="Courier New" w:hAnsi="Courier New"/>
          <w:sz w:val="15"/>
          <w:szCs w:val="15"/>
          <w:color w:val="auto"/>
        </w:rPr>
        <w:t>Pursuant to Section 302 of</w:t>
      </w:r>
    </w:p>
    <w:p>
      <w:pPr>
        <w:jc w:val="center"/>
        <w:ind w:right="3170"/>
        <w:spacing w:after="0"/>
        <w:rPr>
          <w:sz w:val="20"/>
          <w:szCs w:val="20"/>
          <w:color w:val="auto"/>
        </w:rPr>
      </w:pPr>
      <w:r>
        <w:rPr>
          <w:rFonts w:ascii="Courier New" w:cs="Courier New" w:eastAsia="Courier New" w:hAnsi="Courier New"/>
          <w:sz w:val="15"/>
          <w:szCs w:val="15"/>
          <w:color w:val="auto"/>
        </w:rPr>
        <w:t>the Sarbanes-Oxley Act of 2002</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Peter Gray, certify that:</w:t>
      </w:r>
    </w:p>
    <w:p>
      <w:pPr>
        <w:spacing w:after="0" w:line="175" w:lineRule="exact"/>
        <w:rPr>
          <w:sz w:val="20"/>
          <w:szCs w:val="20"/>
          <w:color w:val="auto"/>
        </w:rPr>
      </w:pPr>
    </w:p>
    <w:p>
      <w:pPr>
        <w:ind w:left="10" w:right="4239" w:hanging="10"/>
        <w:spacing w:after="0" w:line="235" w:lineRule="auto"/>
        <w:tabs>
          <w:tab w:leader="none" w:pos="27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ICON plc ("the registrant").</w:t>
      </w:r>
    </w:p>
    <w:p>
      <w:pPr>
        <w:spacing w:after="0" w:line="175" w:lineRule="exact"/>
        <w:rPr>
          <w:rFonts w:ascii="Courier New" w:cs="Courier New" w:eastAsia="Courier New" w:hAnsi="Courier New"/>
          <w:sz w:val="15"/>
          <w:szCs w:val="15"/>
          <w:color w:val="auto"/>
        </w:rPr>
      </w:pPr>
    </w:p>
    <w:p>
      <w:pPr>
        <w:ind w:left="10" w:right="3179" w:hanging="10"/>
        <w:spacing w:after="0" w:line="237" w:lineRule="auto"/>
        <w:tabs>
          <w:tab w:leader="none" w:pos="27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Courier New" w:cs="Courier New" w:eastAsia="Courier New" w:hAnsi="Courier New"/>
          <w:sz w:val="15"/>
          <w:szCs w:val="15"/>
          <w:color w:val="auto"/>
        </w:rPr>
      </w:pPr>
    </w:p>
    <w:p>
      <w:pPr>
        <w:ind w:left="10" w:right="3179" w:hanging="10"/>
        <w:spacing w:after="0" w:line="237" w:lineRule="auto"/>
        <w:tabs>
          <w:tab w:leader="none" w:pos="27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ind w:left="10" w:right="3359" w:hanging="10"/>
        <w:spacing w:after="0" w:line="237" w:lineRule="auto"/>
        <w:tabs>
          <w:tab w:leader="none" w:pos="27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have:</w:t>
      </w:r>
    </w:p>
    <w:p>
      <w:pPr>
        <w:spacing w:after="0" w:line="174" w:lineRule="exact"/>
        <w:rPr>
          <w:rFonts w:ascii="Courier New" w:cs="Courier New" w:eastAsia="Courier New" w:hAnsi="Courier New"/>
          <w:sz w:val="15"/>
          <w:szCs w:val="15"/>
          <w:color w:val="auto"/>
        </w:rPr>
      </w:pPr>
    </w:p>
    <w:p>
      <w:pPr>
        <w:ind w:left="790" w:right="3359" w:firstLine="4"/>
        <w:spacing w:after="0" w:line="238" w:lineRule="auto"/>
        <w:tabs>
          <w:tab w:leader="none" w:pos="1054"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790" w:right="3259" w:firstLine="4"/>
        <w:spacing w:after="0" w:line="259" w:lineRule="auto"/>
        <w:tabs>
          <w:tab w:leader="none" w:pos="1054"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ind w:left="790" w:right="3259" w:firstLine="4"/>
        <w:spacing w:after="0" w:line="237" w:lineRule="auto"/>
        <w:tabs>
          <w:tab w:leader="none" w:pos="1054"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78" w:lineRule="exact"/>
        <w:rPr>
          <w:rFonts w:ascii="Courier New" w:cs="Courier New" w:eastAsia="Courier New" w:hAnsi="Courier New"/>
          <w:sz w:val="15"/>
          <w:szCs w:val="15"/>
          <w:color w:val="auto"/>
        </w:rPr>
      </w:pPr>
    </w:p>
    <w:p>
      <w:pPr>
        <w:ind w:left="10" w:right="3179" w:hanging="10"/>
        <w:spacing w:after="0" w:line="237" w:lineRule="auto"/>
        <w:tabs>
          <w:tab w:leader="none" w:pos="27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1" w:lineRule="exact"/>
        <w:rPr>
          <w:sz w:val="20"/>
          <w:szCs w:val="20"/>
          <w:color w:val="auto"/>
        </w:rPr>
      </w:pPr>
    </w:p>
    <w:p>
      <w:pPr>
        <w:ind w:left="270" w:hanging="270"/>
        <w:spacing w:after="0"/>
        <w:tabs>
          <w:tab w:leader="none" w:pos="2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w:t>
      </w:r>
    </w:p>
    <w:p>
      <w:pPr>
        <w:spacing w:after="0" w:line="5" w:lineRule="exact"/>
        <w:rPr>
          <w:rFonts w:ascii="Courier New" w:cs="Courier New" w:eastAsia="Courier New" w:hAnsi="Courier New"/>
          <w:sz w:val="15"/>
          <w:szCs w:val="15"/>
          <w:color w:val="auto"/>
        </w:rPr>
      </w:pPr>
    </w:p>
    <w:p>
      <w:pPr>
        <w:ind w:left="10" w:right="36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 of internal control over financial reporting which are reasonably likely to adversely affect the registrant's ability to record, process, summarize and report financial information; and</w:t>
      </w:r>
    </w:p>
    <w:p>
      <w:pPr>
        <w:spacing w:after="0" w:line="174" w:lineRule="exact"/>
        <w:rPr>
          <w:rFonts w:ascii="Courier New" w:cs="Courier New" w:eastAsia="Courier New" w:hAnsi="Courier New"/>
          <w:sz w:val="15"/>
          <w:szCs w:val="15"/>
          <w:color w:val="auto"/>
        </w:rPr>
      </w:pPr>
    </w:p>
    <w:p>
      <w:pPr>
        <w:ind w:left="10" w:right="3259" w:hanging="10"/>
        <w:spacing w:after="0" w:line="237" w:lineRule="auto"/>
        <w:tabs>
          <w:tab w:leader="none" w:pos="27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 October 13, 2005</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Peter Gray</w:t>
      </w:r>
    </w:p>
    <w:p>
      <w:pPr>
        <w:ind w:left="170" w:hanging="170"/>
        <w:spacing w:after="0"/>
        <w:tabs>
          <w:tab w:leader="none" w:pos="17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Gray</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29"/>
          </w:cols>
          <w:pgMar w:left="230" w:top="961" w:right="1440" w:bottom="1440" w:gutter="0" w:footer="0" w:header="0"/>
        </w:sectPr>
      </w:pPr>
    </w:p>
    <w:bookmarkStart w:id="83" w:name="page84"/>
    <w:bookmarkEnd w:id="83"/>
    <w:p>
      <w:pPr>
        <w:jc w:val="center"/>
        <w:ind w:right="3170"/>
        <w:spacing w:after="0"/>
        <w:rPr>
          <w:sz w:val="20"/>
          <w:szCs w:val="20"/>
          <w:color w:val="auto"/>
        </w:rPr>
      </w:pPr>
      <w:r>
        <w:rPr>
          <w:rFonts w:ascii="Courier New" w:cs="Courier New" w:eastAsia="Courier New" w:hAnsi="Courier New"/>
          <w:sz w:val="15"/>
          <w:szCs w:val="15"/>
          <w:color w:val="auto"/>
        </w:rPr>
        <w:t>Certification of Chief Financial Officer</w:t>
      </w:r>
    </w:p>
    <w:p>
      <w:pPr>
        <w:jc w:val="center"/>
        <w:ind w:right="3170"/>
        <w:spacing w:after="0"/>
        <w:rPr>
          <w:sz w:val="20"/>
          <w:szCs w:val="20"/>
          <w:color w:val="auto"/>
        </w:rPr>
      </w:pPr>
      <w:r>
        <w:rPr>
          <w:rFonts w:ascii="Courier New" w:cs="Courier New" w:eastAsia="Courier New" w:hAnsi="Courier New"/>
          <w:sz w:val="15"/>
          <w:szCs w:val="15"/>
          <w:color w:val="auto"/>
        </w:rPr>
        <w:t>Pursuant to Section 302 of</w:t>
      </w:r>
    </w:p>
    <w:p>
      <w:pPr>
        <w:jc w:val="center"/>
        <w:ind w:right="3170"/>
        <w:spacing w:after="0"/>
        <w:rPr>
          <w:sz w:val="20"/>
          <w:szCs w:val="20"/>
          <w:color w:val="auto"/>
        </w:rPr>
      </w:pPr>
      <w:r>
        <w:rPr>
          <w:rFonts w:ascii="Courier New" w:cs="Courier New" w:eastAsia="Courier New" w:hAnsi="Courier New"/>
          <w:sz w:val="15"/>
          <w:szCs w:val="15"/>
          <w:color w:val="auto"/>
        </w:rPr>
        <w:t>the Sarbanes-Oxley Act of 2002</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Sean Leech, certify that:</w:t>
      </w:r>
    </w:p>
    <w:p>
      <w:pPr>
        <w:spacing w:after="0" w:line="175" w:lineRule="exact"/>
        <w:rPr>
          <w:sz w:val="20"/>
          <w:szCs w:val="20"/>
          <w:color w:val="auto"/>
        </w:rPr>
      </w:pPr>
    </w:p>
    <w:p>
      <w:pPr>
        <w:ind w:left="10" w:right="4239" w:hanging="10"/>
        <w:spacing w:after="0" w:line="235" w:lineRule="auto"/>
        <w:tabs>
          <w:tab w:leader="none" w:pos="27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20-F of ICON plc ("the registrant").</w:t>
      </w:r>
    </w:p>
    <w:p>
      <w:pPr>
        <w:spacing w:after="0" w:line="175" w:lineRule="exact"/>
        <w:rPr>
          <w:rFonts w:ascii="Courier New" w:cs="Courier New" w:eastAsia="Courier New" w:hAnsi="Courier New"/>
          <w:sz w:val="15"/>
          <w:szCs w:val="15"/>
          <w:color w:val="auto"/>
        </w:rPr>
      </w:pPr>
    </w:p>
    <w:p>
      <w:pPr>
        <w:ind w:left="10" w:right="3179" w:hanging="10"/>
        <w:spacing w:after="0" w:line="237" w:lineRule="auto"/>
        <w:tabs>
          <w:tab w:leader="none" w:pos="27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Courier New" w:cs="Courier New" w:eastAsia="Courier New" w:hAnsi="Courier New"/>
          <w:sz w:val="15"/>
          <w:szCs w:val="15"/>
          <w:color w:val="auto"/>
        </w:rPr>
      </w:pPr>
    </w:p>
    <w:p>
      <w:pPr>
        <w:ind w:left="10" w:right="3179" w:hanging="10"/>
        <w:spacing w:after="0" w:line="237" w:lineRule="auto"/>
        <w:tabs>
          <w:tab w:leader="none" w:pos="27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ind w:left="10" w:right="3359" w:hanging="10"/>
        <w:spacing w:after="0" w:line="237" w:lineRule="auto"/>
        <w:tabs>
          <w:tab w:leader="none" w:pos="27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have:</w:t>
      </w:r>
    </w:p>
    <w:p>
      <w:pPr>
        <w:spacing w:after="0" w:line="174" w:lineRule="exact"/>
        <w:rPr>
          <w:rFonts w:ascii="Courier New" w:cs="Courier New" w:eastAsia="Courier New" w:hAnsi="Courier New"/>
          <w:sz w:val="15"/>
          <w:szCs w:val="15"/>
          <w:color w:val="auto"/>
        </w:rPr>
      </w:pPr>
    </w:p>
    <w:p>
      <w:pPr>
        <w:ind w:left="790" w:right="3359" w:firstLine="4"/>
        <w:spacing w:after="0" w:line="238" w:lineRule="auto"/>
        <w:tabs>
          <w:tab w:leader="none" w:pos="1054"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790" w:right="3259" w:firstLine="4"/>
        <w:spacing w:after="0" w:line="259" w:lineRule="auto"/>
        <w:tabs>
          <w:tab w:leader="none" w:pos="1054"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ind w:left="790" w:right="3259" w:firstLine="4"/>
        <w:spacing w:after="0" w:line="237" w:lineRule="auto"/>
        <w:tabs>
          <w:tab w:leader="none" w:pos="1054"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78" w:lineRule="exact"/>
        <w:rPr>
          <w:rFonts w:ascii="Courier New" w:cs="Courier New" w:eastAsia="Courier New" w:hAnsi="Courier New"/>
          <w:sz w:val="15"/>
          <w:szCs w:val="15"/>
          <w:color w:val="auto"/>
        </w:rPr>
      </w:pPr>
    </w:p>
    <w:p>
      <w:pPr>
        <w:ind w:left="10" w:right="3179" w:hanging="10"/>
        <w:spacing w:after="0" w:line="237" w:lineRule="auto"/>
        <w:tabs>
          <w:tab w:leader="none" w:pos="27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1" w:lineRule="exact"/>
        <w:rPr>
          <w:sz w:val="20"/>
          <w:szCs w:val="20"/>
          <w:color w:val="auto"/>
        </w:rPr>
      </w:pPr>
    </w:p>
    <w:p>
      <w:pPr>
        <w:ind w:left="270" w:hanging="270"/>
        <w:spacing w:after="0"/>
        <w:tabs>
          <w:tab w:leader="none" w:pos="27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w:t>
      </w:r>
    </w:p>
    <w:p>
      <w:pPr>
        <w:spacing w:after="0" w:line="5" w:lineRule="exact"/>
        <w:rPr>
          <w:rFonts w:ascii="Courier New" w:cs="Courier New" w:eastAsia="Courier New" w:hAnsi="Courier New"/>
          <w:sz w:val="15"/>
          <w:szCs w:val="15"/>
          <w:color w:val="auto"/>
        </w:rPr>
      </w:pPr>
    </w:p>
    <w:p>
      <w:pPr>
        <w:ind w:left="10" w:right="36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 of internal control over financial reporting which are reasonably likely to adversely affect the registrant's ability to record, process, summarize and report financial information; and</w:t>
      </w:r>
    </w:p>
    <w:p>
      <w:pPr>
        <w:spacing w:after="0" w:line="174" w:lineRule="exact"/>
        <w:rPr>
          <w:rFonts w:ascii="Courier New" w:cs="Courier New" w:eastAsia="Courier New" w:hAnsi="Courier New"/>
          <w:sz w:val="15"/>
          <w:szCs w:val="15"/>
          <w:color w:val="auto"/>
        </w:rPr>
      </w:pPr>
    </w:p>
    <w:p>
      <w:pPr>
        <w:ind w:left="10" w:right="3259" w:hanging="10"/>
        <w:spacing w:after="0" w:line="237" w:lineRule="auto"/>
        <w:tabs>
          <w:tab w:leader="none" w:pos="27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 October 13, 2005</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Sean Leech</w:t>
      </w:r>
    </w:p>
    <w:p>
      <w:pPr>
        <w:ind w:left="170" w:hanging="170"/>
        <w:spacing w:after="0"/>
        <w:tabs>
          <w:tab w:leader="none" w:pos="17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Sean Leech</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Financial Officer</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29"/>
          </w:cols>
          <w:pgMar w:left="230" w:top="961" w:right="1440" w:bottom="1440" w:gutter="0" w:footer="0" w:header="0"/>
        </w:sectPr>
      </w:pPr>
    </w:p>
    <w:bookmarkStart w:id="84" w:name="page85"/>
    <w:bookmarkEnd w:id="84"/>
    <w:p>
      <w:pPr>
        <w:jc w:val="center"/>
        <w:ind w:right="3090"/>
        <w:spacing w:after="0"/>
        <w:rPr>
          <w:sz w:val="20"/>
          <w:szCs w:val="20"/>
          <w:color w:val="auto"/>
        </w:rPr>
      </w:pPr>
      <w:r>
        <w:rPr>
          <w:rFonts w:ascii="Courier New" w:cs="Courier New" w:eastAsia="Courier New" w:hAnsi="Courier New"/>
          <w:sz w:val="15"/>
          <w:szCs w:val="15"/>
          <w:color w:val="auto"/>
        </w:rPr>
        <w:t>Certification Pursuant to 18 U.S.C. Section 1350,</w:t>
      </w:r>
    </w:p>
    <w:p>
      <w:pPr>
        <w:jc w:val="center"/>
        <w:ind w:right="3170"/>
        <w:spacing w:after="0"/>
        <w:rPr>
          <w:sz w:val="20"/>
          <w:szCs w:val="20"/>
          <w:color w:val="auto"/>
        </w:rPr>
      </w:pPr>
      <w:r>
        <w:rPr>
          <w:rFonts w:ascii="Courier New" w:cs="Courier New" w:eastAsia="Courier New" w:hAnsi="Courier New"/>
          <w:sz w:val="15"/>
          <w:szCs w:val="15"/>
          <w:color w:val="auto"/>
        </w:rPr>
        <w:t>As Adopted Pursuant to Section 906 of the Sarbanes-Oxley Act of 2002</w:t>
      </w:r>
    </w:p>
    <w:p>
      <w:pPr>
        <w:spacing w:after="0" w:line="34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connection with the Annual Report of ICON plc (the "Company") on Form 20-F for the period ending May 31, 2005, as filed with the Securities and Exchange Commission on the date hereof (the "Report"), I, Peter Gray, Chief Executive Officer of the Company, certify, pursuant to 18 U.S.C. ss. 1350, as adopted pursuant to ss.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 of operations of the Company.</w:t>
      </w:r>
    </w:p>
    <w:p>
      <w:pPr>
        <w:spacing w:after="0" w:line="173"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October 13, 2005</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Peter Gray</w:t>
      </w:r>
    </w:p>
    <w:p>
      <w:pPr>
        <w:ind w:left="170" w:hanging="170"/>
        <w:spacing w:after="0"/>
        <w:tabs>
          <w:tab w:leader="none" w:pos="17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Peter Gray</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340" w:lineRule="exact"/>
        <w:rPr>
          <w:sz w:val="20"/>
          <w:szCs w:val="20"/>
          <w:color w:val="auto"/>
        </w:rPr>
      </w:pPr>
    </w:p>
    <w:p>
      <w:pPr>
        <w:jc w:val="center"/>
        <w:ind w:right="3090"/>
        <w:spacing w:after="0"/>
        <w:rPr>
          <w:sz w:val="20"/>
          <w:szCs w:val="20"/>
          <w:color w:val="auto"/>
        </w:rPr>
      </w:pPr>
      <w:r>
        <w:rPr>
          <w:rFonts w:ascii="Courier New" w:cs="Courier New" w:eastAsia="Courier New" w:hAnsi="Courier New"/>
          <w:sz w:val="15"/>
          <w:szCs w:val="15"/>
          <w:color w:val="auto"/>
        </w:rPr>
        <w:t>Certification Pursuant to 18 U.S.C. Section 1350,</w:t>
      </w:r>
    </w:p>
    <w:p>
      <w:pPr>
        <w:jc w:val="center"/>
        <w:ind w:right="3170"/>
        <w:spacing w:after="0"/>
        <w:rPr>
          <w:sz w:val="20"/>
          <w:szCs w:val="20"/>
          <w:color w:val="auto"/>
        </w:rPr>
      </w:pPr>
      <w:r>
        <w:rPr>
          <w:rFonts w:ascii="Courier New" w:cs="Courier New" w:eastAsia="Courier New" w:hAnsi="Courier New"/>
          <w:sz w:val="15"/>
          <w:szCs w:val="15"/>
          <w:color w:val="auto"/>
        </w:rPr>
        <w:t>As Adopted Pursuant to 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connection with the Annual Report of ICON plc (the "Company") on Form 20-F for the period ending May 31, 2005, as filed with the Securities and Exchange Commission on the date hereof (the "Report"), I, Sean Leech, Chief Financial Officer of the Company, certify, pursuant to 18 U.S.C. ss. 1350, as adopted pursuant to ss.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 of operations of the Company.</w:t>
      </w:r>
    </w:p>
    <w:p>
      <w:pPr>
        <w:spacing w:after="0" w:line="173"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October 13, 2005</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Sean Leech</w:t>
      </w:r>
    </w:p>
    <w:p>
      <w:pPr>
        <w:ind w:left="170" w:hanging="170"/>
        <w:spacing w:after="0"/>
        <w:tabs>
          <w:tab w:leader="none" w:pos="1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Sean Leech</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Financial Officer</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29"/>
          </w:cols>
          <w:pgMar w:left="230" w:top="1130" w:right="1440" w:bottom="1440" w:gutter="0" w:footer="0" w:header="0"/>
        </w:sectPr>
      </w:pPr>
    </w:p>
    <w:bookmarkStart w:id="85" w:name="page86"/>
    <w:bookmarkEnd w:id="85"/>
    <w:p>
      <w:pPr>
        <w:ind w:left="104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ICON plc</w:t>
      </w:r>
    </w:p>
    <w:p>
      <w:pPr>
        <w:spacing w:after="0"/>
        <w:rPr>
          <w:sz w:val="20"/>
          <w:szCs w:val="20"/>
          <w:color w:val="auto"/>
        </w:rPr>
      </w:pPr>
      <w:r>
        <w:rPr>
          <w:rFonts w:ascii="Courier New" w:cs="Courier New" w:eastAsia="Courier New" w:hAnsi="Courier New"/>
          <w:sz w:val="15"/>
          <w:szCs w:val="15"/>
          <w:color w:val="auto"/>
        </w:rPr>
        <w:t>South County Business Park</w:t>
      </w:r>
    </w:p>
    <w:p>
      <w:pPr>
        <w:spacing w:after="0"/>
        <w:rPr>
          <w:sz w:val="20"/>
          <w:szCs w:val="20"/>
          <w:color w:val="auto"/>
        </w:rPr>
      </w:pPr>
      <w:r>
        <w:rPr>
          <w:rFonts w:ascii="Courier New" w:cs="Courier New" w:eastAsia="Courier New" w:hAnsi="Courier New"/>
          <w:sz w:val="15"/>
          <w:szCs w:val="15"/>
          <w:color w:val="auto"/>
        </w:rPr>
        <w:t>Leopardstown</w:t>
      </w:r>
    </w:p>
    <w:p>
      <w:pPr>
        <w:spacing w:after="0" w:line="238" w:lineRule="auto"/>
        <w:rPr>
          <w:sz w:val="20"/>
          <w:szCs w:val="20"/>
          <w:color w:val="auto"/>
        </w:rPr>
      </w:pPr>
      <w:r>
        <w:rPr>
          <w:rFonts w:ascii="Courier New" w:cs="Courier New" w:eastAsia="Courier New" w:hAnsi="Courier New"/>
          <w:sz w:val="15"/>
          <w:szCs w:val="15"/>
          <w:color w:val="auto"/>
        </w:rPr>
        <w:t>Dublin 18</w:t>
      </w:r>
    </w:p>
    <w:p>
      <w:pPr>
        <w:spacing w:after="0" w:line="34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Form S8 of ICON plc of our report dated July 27, 2005 with respect to the consolidated balance sheets of ICON plc as of May 31, 2004 and 2005, and the related consolidated statements of operations, shareholders' equity and comprehensive income and cash flows, for each of the years in the three-year period ended May 31, 2005, which report appears in the May 31, 2005, annual report on Form 20-F of ICON plc.</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w:t>
      </w:r>
    </w:p>
    <w:p>
      <w:pPr>
        <w:spacing w:after="0"/>
        <w:rPr>
          <w:sz w:val="20"/>
          <w:szCs w:val="20"/>
          <w:color w:val="auto"/>
        </w:rPr>
      </w:pPr>
      <w:r>
        <w:rPr>
          <w:rFonts w:ascii="Courier New" w:cs="Courier New" w:eastAsia="Courier New" w:hAnsi="Courier New"/>
          <w:sz w:val="15"/>
          <w:szCs w:val="15"/>
          <w:color w:val="auto"/>
        </w:rPr>
        <w:t>Public Accounting Firm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Ireland</w:t>
      </w:r>
    </w:p>
    <w:p>
      <w:pPr>
        <w:spacing w:after="0"/>
        <w:rPr>
          <w:sz w:val="20"/>
          <w:szCs w:val="20"/>
          <w:color w:val="auto"/>
        </w:rPr>
      </w:pPr>
      <w:r>
        <w:rPr>
          <w:rFonts w:ascii="Courier New" w:cs="Courier New" w:eastAsia="Courier New" w:hAnsi="Courier New"/>
          <w:sz w:val="15"/>
          <w:szCs w:val="15"/>
          <w:color w:val="auto"/>
        </w:rPr>
        <w:t>October 12, 2005</w:t>
      </w:r>
    </w:p>
    <w:sectPr>
      <w:pgSz w:w="11900" w:h="16838" w:orient="portrait"/>
      <w:cols w:equalWidth="0" w:num="1">
        <w:col w:w="10219"/>
      </w:cols>
      <w:pgMar w:left="240" w:top="13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o"/>
      <w:numFmt w:val="bullet"/>
      <w:start w:val="1"/>
    </w:lvl>
  </w:abstractNum>
  <w:abstractNum w:abstractNumId="5">
    <w:nsid w:val="22221A70"/>
    <w:multiLevelType w:val="hybridMultilevel"/>
    <w:lvl w:ilvl="0">
      <w:lvlJc w:val="left"/>
      <w:lvlText w:val="o"/>
      <w:numFmt w:val="bullet"/>
      <w:start w:val="1"/>
    </w:lvl>
  </w:abstractNum>
  <w:abstractNum w:abstractNumId="6">
    <w:nsid w:val="4516DDE9"/>
    <w:multiLevelType w:val="hybridMultilevel"/>
    <w:lvl w:ilvl="0">
      <w:lvlJc w:val="left"/>
      <w:lvlText w:val="o"/>
      <w:numFmt w:val="bullet"/>
      <w:start w:val="1"/>
    </w:lvl>
  </w:abstractNum>
  <w:abstractNum w:abstractNumId="7">
    <w:nsid w:val="3006C83E"/>
    <w:multiLevelType w:val="hybridMultilevel"/>
    <w:lvl w:ilvl="0">
      <w:lvlJc w:val="left"/>
      <w:lvlText w:val="o"/>
      <w:numFmt w:val="bullet"/>
      <w:start w:val="1"/>
    </w:lvl>
  </w:abstractNum>
  <w:abstractNum w:abstractNumId="8">
    <w:nsid w:val="614FD4A1"/>
    <w:multiLevelType w:val="hybridMultilevel"/>
    <w:lvl w:ilvl="0">
      <w:lvlJc w:val="left"/>
      <w:lvlText w:val="o"/>
      <w:numFmt w:val="bullet"/>
      <w:start w:val="1"/>
    </w:lvl>
  </w:abstractNum>
  <w:abstractNum w:abstractNumId="9">
    <w:nsid w:val="419AC241"/>
    <w:multiLevelType w:val="hybridMultilevel"/>
    <w:lvl w:ilvl="0">
      <w:lvlJc w:val="left"/>
      <w:lvlText w:val="o"/>
      <w:numFmt w:val="bullet"/>
      <w:start w:val="1"/>
    </w:lvl>
  </w:abstractNum>
  <w:abstractNum w:abstractNumId="10">
    <w:nsid w:val="5577F8E1"/>
    <w:multiLevelType w:val="hybridMultilevel"/>
    <w:lvl w:ilvl="0">
      <w:lvlJc w:val="left"/>
      <w:lvlText w:val="o"/>
      <w:numFmt w:val="bullet"/>
      <w:start w:val="1"/>
    </w:lvl>
  </w:abstractNum>
  <w:abstractNum w:abstractNumId="11">
    <w:nsid w:val="440BADFC"/>
    <w:multiLevelType w:val="hybridMultilevel"/>
    <w:lvl w:ilvl="0">
      <w:lvlJc w:val="left"/>
      <w:lvlText w:val="o"/>
      <w:numFmt w:val="bullet"/>
      <w:start w:val="1"/>
    </w:lvl>
  </w:abstractNum>
  <w:abstractNum w:abstractNumId="12">
    <w:nsid w:val="5072367"/>
    <w:multiLevelType w:val="hybridMultilevel"/>
    <w:lvl w:ilvl="0">
      <w:lvlJc w:val="left"/>
      <w:lvlText w:val="o"/>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amp;"/>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lowerLetter"/>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1)"/>
      <w:numFmt w:val="decimal"/>
      <w:start w:val="4"/>
    </w:lvl>
  </w:abstractNum>
  <w:abstractNum w:abstractNumId="21">
    <w:nsid w:val="580BD78F"/>
    <w:multiLevelType w:val="hybridMultilevel"/>
    <w:lvl w:ilvl="0">
      <w:lvlJc w:val="left"/>
      <w:lvlText w:val="o"/>
      <w:numFmt w:val="bullet"/>
      <w:start w:val="1"/>
    </w:lvl>
  </w:abstractNum>
  <w:abstractNum w:abstractNumId="22">
    <w:nsid w:val="153EA438"/>
    <w:multiLevelType w:val="hybridMultilevel"/>
    <w:lvl w:ilvl="0">
      <w:lvlJc w:val="left"/>
      <w:lvlText w:val="o"/>
      <w:numFmt w:val="bullet"/>
      <w:start w:val="1"/>
    </w:lvl>
  </w:abstractNum>
  <w:abstractNum w:abstractNumId="23">
    <w:nsid w:val="3855585C"/>
    <w:multiLevelType w:val="hybridMultilevel"/>
    <w:lvl w:ilvl="0">
      <w:lvlJc w:val="left"/>
      <w:lvlText w:val="o"/>
      <w:numFmt w:val="bullet"/>
      <w:start w:val="1"/>
    </w:lvl>
  </w:abstractNum>
  <w:abstractNum w:abstractNumId="24">
    <w:nsid w:val="70A64E2A"/>
    <w:multiLevelType w:val="hybridMultilevel"/>
    <w:lvl w:ilvl="0">
      <w:lvlJc w:val="left"/>
      <w:lvlText w:val="o"/>
      <w:numFmt w:val="bullet"/>
      <w:start w:val="1"/>
    </w:lvl>
  </w:abstractNum>
  <w:abstractNum w:abstractNumId="25">
    <w:nsid w:val="6A2342EC"/>
    <w:multiLevelType w:val="hybridMultilevel"/>
    <w:lvl w:ilvl="0">
      <w:lvlJc w:val="left"/>
      <w:lvlText w:val="o"/>
      <w:numFmt w:val="bullet"/>
      <w:start w:val="1"/>
    </w:lvl>
  </w:abstractNum>
  <w:abstractNum w:abstractNumId="26">
    <w:nsid w:val="2A487CB0"/>
    <w:multiLevelType w:val="hybridMultilevel"/>
    <w:lvl w:ilvl="0">
      <w:lvlJc w:val="left"/>
      <w:lvlText w:val="o"/>
      <w:numFmt w:val="bullet"/>
      <w:start w:val="1"/>
    </w:lvl>
  </w:abstractNum>
  <w:abstractNum w:abstractNumId="27">
    <w:nsid w:val="1D4ED43B"/>
    <w:multiLevelType w:val="hybridMultilevel"/>
    <w:lvl w:ilvl="0">
      <w:lvlJc w:val="left"/>
      <w:lvlText w:val="o"/>
      <w:numFmt w:val="bullet"/>
      <w:start w:val="1"/>
    </w:lvl>
  </w:abstractNum>
  <w:abstractNum w:abstractNumId="28">
    <w:nsid w:val="725A06FB"/>
    <w:multiLevelType w:val="hybridMultilevel"/>
    <w:lvl w:ilvl="0">
      <w:lvlJc w:val="left"/>
      <w:lvlText w:val="o"/>
      <w:numFmt w:val="bullet"/>
      <w:start w:val="1"/>
    </w:lvl>
  </w:abstractNum>
  <w:abstractNum w:abstractNumId="29">
    <w:nsid w:val="2CD89A32"/>
    <w:multiLevelType w:val="hybridMultilevel"/>
    <w:lvl w:ilvl="0">
      <w:lvlJc w:val="left"/>
      <w:lvlText w:val="o"/>
      <w:numFmt w:val="bullet"/>
      <w:start w:val="1"/>
    </w:lvl>
  </w:abstractNum>
  <w:abstractNum w:abstractNumId="30">
    <w:nsid w:val="57E4CCAF"/>
    <w:multiLevelType w:val="hybridMultilevel"/>
    <w:lvl w:ilvl="0">
      <w:lvlJc w:val="left"/>
      <w:lvlText w:val="o"/>
      <w:numFmt w:val="bullet"/>
      <w:start w:val="1"/>
    </w:lvl>
  </w:abstractNum>
  <w:abstractNum w:abstractNumId="31">
    <w:nsid w:val="7A6D8D3C"/>
    <w:multiLevelType w:val="hybridMultilevel"/>
    <w:lvl w:ilvl="0">
      <w:lvlJc w:val="left"/>
      <w:lvlText w:val="o"/>
      <w:numFmt w:val="bullet"/>
      <w:start w:val="1"/>
    </w:lvl>
  </w:abstractNum>
  <w:abstractNum w:abstractNumId="32">
    <w:nsid w:val="4B588F54"/>
    <w:multiLevelType w:val="hybridMultilevel"/>
    <w:lvl w:ilvl="0">
      <w:lvlJc w:val="left"/>
      <w:lvlText w:val="%1."/>
      <w:numFmt w:val="upperLetter"/>
      <w:start w:val="1"/>
    </w:lvl>
  </w:abstractNum>
  <w:abstractNum w:abstractNumId="33">
    <w:nsid w:val="542289EC"/>
    <w:multiLevelType w:val="hybridMultilevel"/>
    <w:lvl w:ilvl="0">
      <w:lvlJc w:val="left"/>
      <w:lvlText w:val="%1."/>
      <w:numFmt w:val="upperLetter"/>
      <w:start w:val="2"/>
    </w:lvl>
  </w:abstractNum>
  <w:abstractNum w:abstractNumId="34">
    <w:nsid w:val="6DE91B18"/>
    <w:multiLevelType w:val="hybridMultilevel"/>
    <w:lvl w:ilvl="0">
      <w:lvlJc w:val="left"/>
      <w:lvlText w:val="%1."/>
      <w:numFmt w:val="upperLetter"/>
      <w:start w:val="3"/>
    </w:lvl>
  </w:abstractNum>
  <w:abstractNum w:abstractNumId="35">
    <w:nsid w:val="38437FDB"/>
    <w:multiLevelType w:val="hybridMultilevel"/>
    <w:lvl w:ilvl="0">
      <w:lvlJc w:val="left"/>
      <w:lvlText w:val="(%1)"/>
      <w:numFmt w:val="decimal"/>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17"/>
    </w:lvl>
  </w:abstractNum>
  <w:abstractNum w:abstractNumId="40">
    <w:nsid w:val="749ABB43"/>
    <w:multiLevelType w:val="hybridMultilevel"/>
    <w:lvl w:ilvl="0">
      <w:lvlJc w:val="left"/>
      <w:lvlText w:val="%1)"/>
      <w:numFmt w:val="lowerLetter"/>
      <w:start w:val="3"/>
    </w:lvl>
  </w:abstractNum>
  <w:abstractNum w:abstractNumId="41">
    <w:nsid w:val="3DC240FB"/>
    <w:multiLevelType w:val="hybridMultilevel"/>
    <w:lvl w:ilvl="0">
      <w:lvlJc w:val="left"/>
      <w:lvlText w:val="%1)"/>
      <w:numFmt w:val="lowerLetter"/>
      <w:start w:val="4"/>
    </w:lvl>
  </w:abstractNum>
  <w:abstractNum w:abstractNumId="42">
    <w:nsid w:val="1BA026FA"/>
    <w:multiLevelType w:val="hybridMultilevel"/>
    <w:lvl w:ilvl="0">
      <w:lvlJc w:val="left"/>
      <w:lvlText w:val="%1)"/>
      <w:numFmt w:val="lowerLetter"/>
      <w:start w:val="5"/>
    </w:lvl>
  </w:abstractNum>
  <w:abstractNum w:abstractNumId="43">
    <w:nsid w:val="79A1DEAA"/>
    <w:multiLevelType w:val="hybridMultilevel"/>
    <w:lvl w:ilvl="0">
      <w:lvlJc w:val="left"/>
      <w:lvlText w:val="%1)"/>
      <w:numFmt w:val="lowerLetter"/>
      <w:start w:val="6"/>
    </w:lvl>
  </w:abstractNum>
  <w:abstractNum w:abstractNumId="44">
    <w:nsid w:val="75C6C33A"/>
    <w:multiLevelType w:val="hybridMultilevel"/>
    <w:lvl w:ilvl="0">
      <w:lvlJc w:val="left"/>
      <w:lvlText w:val="%1)"/>
      <w:numFmt w:val="lowerLetter"/>
      <w:start w:val="7"/>
    </w:lvl>
  </w:abstractNum>
  <w:abstractNum w:abstractNumId="45">
    <w:nsid w:val="12E685FB"/>
    <w:multiLevelType w:val="hybridMultilevel"/>
    <w:lvl w:ilvl="0">
      <w:lvlJc w:val="left"/>
      <w:lvlText w:val="%1)"/>
      <w:numFmt w:val="lowerLetter"/>
      <w:start w:val="8"/>
    </w:lvl>
  </w:abstractNum>
  <w:abstractNum w:abstractNumId="46">
    <w:nsid w:val="70C6A529"/>
    <w:multiLevelType w:val="hybridMultilevel"/>
    <w:lvl w:ilvl="0">
      <w:lvlJc w:val="left"/>
      <w:lvlText w:val="%1)"/>
      <w:numFmt w:val="lowerLetter"/>
      <w:start w:val="11"/>
    </w:lvl>
  </w:abstractNum>
  <w:abstractNum w:abstractNumId="47">
    <w:nsid w:val="520EEDD1"/>
    <w:multiLevelType w:val="hybridMultilevel"/>
    <w:lvl w:ilvl="0">
      <w:lvlJc w:val="left"/>
      <w:lvlText w:val="%1)"/>
      <w:numFmt w:val="lowerLetter"/>
      <w:start w:val="12"/>
    </w:lvl>
  </w:abstractNum>
  <w:abstractNum w:abstractNumId="48">
    <w:nsid w:val="374A3FE6"/>
    <w:multiLevelType w:val="hybridMultilevel"/>
    <w:lvl w:ilvl="0">
      <w:lvlJc w:val="left"/>
      <w:lvlText w:val="%1)"/>
      <w:numFmt w:val="lowerLetter"/>
      <w:start w:val="13"/>
    </w:lvl>
  </w:abstractNum>
  <w:abstractNum w:abstractNumId="49">
    <w:nsid w:val="4F4EF005"/>
    <w:multiLevelType w:val="hybridMultilevel"/>
    <w:lvl w:ilvl="0">
      <w:lvlJc w:val="left"/>
      <w:lvlText w:val="%1."/>
      <w:numFmt w:val="decimal"/>
      <w:start w:val="17"/>
    </w:lvl>
    <w:lvl w:ilvl="1">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1."/>
      <w:numFmt w:val="decimal"/>
      <w:start w:val="1"/>
    </w:lvl>
    <w:lvl w:ilvl="1">
      <w:lvlJc w:val="left"/>
      <w:lvlText w:val="%2)"/>
      <w:numFmt w:val="lowerLetter"/>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2019-12-14T19:52:54Z</dcterms:created>
  <dcterms:modified xsi:type="dcterms:W3CDTF">2019-12-14T19:52:54Z</dcterms:modified>
</cp:coreProperties>
</file>