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2010</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Ciaran Murray,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Ciaran.Murray@iconplc.com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July 27, 2010</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right="5460"/>
        <w:spacing w:after="0" w:line="435" w:lineRule="auto"/>
        <w:rPr>
          <w:sz w:val="20"/>
          <w:szCs w:val="20"/>
          <w:color w:val="auto"/>
        </w:rPr>
      </w:pPr>
      <w:r>
        <w:rPr>
          <w:rFonts w:ascii="Arial" w:cs="Arial" w:eastAsia="Arial" w:hAnsi="Arial"/>
          <w:sz w:val="22"/>
          <w:szCs w:val="22"/>
          <w:b w:val="1"/>
          <w:bCs w:val="1"/>
          <w:color w:val="auto"/>
        </w:rPr>
        <w:t>ICON Reports Revenues Up 2% And Strong New Business Wins Highlights – Second Quarter 2010</w:t>
      </w:r>
    </w:p>
    <w:p>
      <w:pPr>
        <w:spacing w:after="0" w:line="1" w:lineRule="exact"/>
        <w:rPr>
          <w:sz w:val="20"/>
          <w:szCs w:val="20"/>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Net revenue of $224 million a 2% increase on Q2 2009</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Operating margin of 11.5% compared to 13.3% last year</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EPS of 38 cent, the same as last year</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Net new business wins of $320m represent a strong book-to-bill ratio of 1.4</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Net cash of $221 million, up from $194 million at year end</w:t>
      </w:r>
    </w:p>
    <w:p>
      <w:pPr>
        <w:spacing w:after="0" w:line="212"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DUBLIN--(BUSINESS WIRE)--July 27, 2010--ICON (NASDAQ: ICLR) (ISIN:IE0005711209), a global provider of outsourced development services to the pharmaceutical, biotechnology and medical device industries, today reported its financial results for the second quarter ended June 30, 2010.</w:t>
      </w:r>
    </w:p>
    <w:p>
      <w:pPr>
        <w:spacing w:after="0" w:line="186"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Net revenues for the quarter were $224 million, representing a 2% increase over net revenues of $220 million for the same quarter last year. On a constant currency basis revenue grew by 3.1%. Year-to-date, net revenues were $443 million, representing a 1% increase over the same period last year.</w:t>
      </w:r>
    </w:p>
    <w:p>
      <w:pPr>
        <w:spacing w:after="0" w:line="186"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Income from operations was $25.7 million or 11.5% of revenue, compared to $29.3 million (before one-time net charges) or 13.3% for the same quarter last year. Constant currency operating margin was 11.8%. Net income was $22.9 million or 38 cents per share on a diluted basis, compared to $22.8 million or 38 cents per share last year.</w:t>
      </w:r>
    </w:p>
    <w:p>
      <w:pPr>
        <w:spacing w:after="0" w:line="186" w:lineRule="exact"/>
        <w:rPr>
          <w:sz w:val="20"/>
          <w:szCs w:val="20"/>
          <w:color w:val="auto"/>
        </w:rPr>
      </w:pPr>
    </w:p>
    <w:p>
      <w:pPr>
        <w:ind w:right="640"/>
        <w:spacing w:after="0"/>
        <w:rPr>
          <w:sz w:val="20"/>
          <w:szCs w:val="20"/>
          <w:color w:val="auto"/>
        </w:rPr>
      </w:pPr>
      <w:r>
        <w:rPr>
          <w:rFonts w:ascii="Arial" w:cs="Arial" w:eastAsia="Arial" w:hAnsi="Arial"/>
          <w:sz w:val="22"/>
          <w:szCs w:val="22"/>
          <w:color w:val="auto"/>
        </w:rPr>
        <w:t>Year-to-date income from operations was $52.5 million, compared to $56.2 million (before one-time net charges) last year representing a margin of 11.8% in 2010 and a margin of 12.8% in 2009. Net income was $45.1 million or 74 cents per share, compared with $43.7 million or 73 cents per share last year.</w:t>
      </w:r>
    </w:p>
    <w:p>
      <w:pPr>
        <w:spacing w:after="0" w:line="18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30 days at June 30, 2010, compared to 33 days at December 31, 2009.</w:t>
      </w:r>
    </w:p>
    <w:p>
      <w:pPr>
        <w:spacing w:after="0" w:line="173"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For the quarter ended June 30, 2010, cash provided from operating activities was $35 million and capital expenditure was $7.5 million. As a result, the company’s net cash, amounted to $221 million at June 30, 2010, compared to net cash of $194 million at December 31, 2009.</w:t>
      </w:r>
    </w:p>
    <w:p>
      <w:pPr>
        <w:spacing w:after="0" w:line="18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“Overall, we are pleased with our second quarter,” commented CEO Mr Peter Gray. “Our net booking of $320m was particularly satisfying, resulting in a strong book to bill of 1.4, and the growth in our backlog to $1.9 bn. However, we are not expecting revenue growth to respond quickly to these awards, and as a result we now anticipate that the outcome for 2010 will be at the lower end of the guidance range given in February”.</w:t>
      </w:r>
    </w:p>
    <w:p>
      <w:pPr>
        <w:spacing w:after="0" w:line="185"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88"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 xml:space="preserve">The company will hold its second quarter conference call today, July 27, 2010 at 9:00 EST [14:00 Ireland &amp; UK]. This call and linked slide presentation can be accessed live from our website at </w:t>
      </w:r>
      <w:r>
        <w:rPr>
          <w:rFonts w:ascii="Arial" w:cs="Arial" w:eastAsia="Arial" w:hAnsi="Arial"/>
          <w:sz w:val="21"/>
          <w:szCs w:val="21"/>
          <w:u w:val="single" w:color="auto"/>
          <w:color w:val="auto"/>
        </w:rPr>
        <w:t>http://www.iconplc.com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5"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8"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71 locations in 39 countries and has approximately 7,500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0" w:lineRule="exact"/>
        <w:rPr>
          <w:sz w:val="20"/>
          <w:szCs w:val="20"/>
          <w:color w:val="auto"/>
        </w:rPr>
      </w:pPr>
    </w:p>
    <w:p>
      <w:pPr>
        <w:spacing w:after="0" w:line="351"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10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rPr>
              <w:t>ICON plc</w:t>
            </w: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4"/>
                <w:szCs w:val="24"/>
                <w:color w:val="auto"/>
              </w:rPr>
            </w:pPr>
          </w:p>
        </w:tc>
        <w:tc>
          <w:tcPr>
            <w:tcW w:w="54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Consolidated Income Statements (Unaudited) (Before one time net charges)</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920" w:type="dxa"/>
            <w:vAlign w:val="bottom"/>
          </w:tcPr>
          <w:p>
            <w:pPr>
              <w:spacing w:after="0"/>
              <w:rPr>
                <w:sz w:val="24"/>
                <w:szCs w:val="24"/>
                <w:color w:val="auto"/>
              </w:rPr>
            </w:pPr>
          </w:p>
        </w:tc>
        <w:tc>
          <w:tcPr>
            <w:tcW w:w="54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Three and Six Months ended June 30, 2010 and June 30, 2009</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4380" w:type="dxa"/>
            <w:vAlign w:val="bottom"/>
            <w:gridSpan w:val="5"/>
          </w:tcPr>
          <w:p>
            <w:pPr>
              <w:jc w:val="center"/>
              <w:ind w:left="868"/>
              <w:spacing w:after="0"/>
              <w:rPr>
                <w:sz w:val="20"/>
                <w:szCs w:val="20"/>
                <w:color w:val="auto"/>
              </w:rPr>
            </w:pPr>
            <w:r>
              <w:rPr>
                <w:rFonts w:ascii="Arial" w:cs="Arial" w:eastAsia="Arial" w:hAnsi="Arial"/>
                <w:sz w:val="14"/>
                <w:szCs w:val="14"/>
                <w:b w:val="1"/>
                <w:bCs w:val="1"/>
                <w:color w:val="auto"/>
                <w:w w:val="91"/>
              </w:rPr>
              <w:t>(Dollars, in thousands, except share and per share data)</w:t>
            </w: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2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00" w:type="dxa"/>
            <w:vAlign w:val="bottom"/>
            <w:gridSpan w:val="4"/>
          </w:tcPr>
          <w:p>
            <w:pPr>
              <w:ind w:left="720"/>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gridSpan w:val="3"/>
          </w:tcPr>
          <w:p>
            <w:pPr>
              <w:ind w:left="860"/>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100" w:type="dxa"/>
            <w:vAlign w:val="bottom"/>
            <w:gridSpan w:val="4"/>
          </w:tcPr>
          <w:p>
            <w:pPr>
              <w:ind w:left="720"/>
              <w:spacing w:after="0"/>
              <w:rPr>
                <w:sz w:val="20"/>
                <w:szCs w:val="20"/>
                <w:color w:val="auto"/>
              </w:rPr>
            </w:pPr>
            <w:r>
              <w:rPr>
                <w:rFonts w:ascii="Arial" w:cs="Arial" w:eastAsia="Arial" w:hAnsi="Arial"/>
                <w:sz w:val="14"/>
                <w:szCs w:val="14"/>
                <w:b w:val="1"/>
                <w:bCs w:val="1"/>
                <w:color w:val="auto"/>
              </w:rPr>
              <w:t>June 30,</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2100" w:type="dxa"/>
            <w:vAlign w:val="bottom"/>
            <w:gridSpan w:val="3"/>
          </w:tcPr>
          <w:p>
            <w:pPr>
              <w:ind w:left="760"/>
              <w:spacing w:after="0"/>
              <w:rPr>
                <w:sz w:val="20"/>
                <w:szCs w:val="20"/>
                <w:color w:val="auto"/>
              </w:rPr>
            </w:pPr>
            <w:r>
              <w:rPr>
                <w:rFonts w:ascii="Arial" w:cs="Arial" w:eastAsia="Arial" w:hAnsi="Arial"/>
                <w:sz w:val="14"/>
                <w:szCs w:val="14"/>
                <w:b w:val="1"/>
                <w:bCs w:val="1"/>
                <w:color w:val="auto"/>
              </w:rPr>
              <w:t>June 30,</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3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2009</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Arial" w:cs="Arial" w:eastAsia="Arial" w:hAnsi="Arial"/>
                <w:sz w:val="14"/>
                <w:szCs w:val="14"/>
                <w:color w:val="auto"/>
              </w:rPr>
              <w:t>Gross Revenue</w:t>
            </w:r>
          </w:p>
        </w:tc>
        <w:tc>
          <w:tcPr>
            <w:tcW w:w="3560" w:type="dxa"/>
            <w:vAlign w:val="bottom"/>
            <w:gridSpan w:val="3"/>
          </w:tcPr>
          <w:p>
            <w:pPr>
              <w:jc w:val="right"/>
              <w:ind w:right="20"/>
              <w:spacing w:after="0"/>
              <w:rPr>
                <w:sz w:val="20"/>
                <w:szCs w:val="20"/>
                <w:color w:val="auto"/>
              </w:rPr>
            </w:pPr>
            <w:r>
              <w:rPr>
                <w:rFonts w:ascii="Arial" w:cs="Arial" w:eastAsia="Arial" w:hAnsi="Arial"/>
                <w:sz w:val="14"/>
                <w:szCs w:val="14"/>
                <w:color w:val="auto"/>
              </w:rPr>
              <w:t>313,087</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300,969</w:t>
            </w: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622,638</w:t>
            </w:r>
          </w:p>
        </w:tc>
        <w:tc>
          <w:tcPr>
            <w:tcW w:w="56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619,507</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Arial" w:cs="Arial" w:eastAsia="Arial" w:hAnsi="Arial"/>
                <w:sz w:val="14"/>
                <w:szCs w:val="14"/>
                <w:color w:val="auto"/>
              </w:rPr>
              <w:t>Reimbursable expenses</w:t>
            </w:r>
          </w:p>
        </w:tc>
        <w:tc>
          <w:tcPr>
            <w:tcW w:w="3560" w:type="dxa"/>
            <w:vAlign w:val="bottom"/>
            <w:gridSpan w:val="3"/>
          </w:tcPr>
          <w:p>
            <w:pPr>
              <w:jc w:val="right"/>
              <w:ind w:right="20"/>
              <w:spacing w:after="0"/>
              <w:rPr>
                <w:sz w:val="20"/>
                <w:szCs w:val="20"/>
                <w:color w:val="auto"/>
              </w:rPr>
            </w:pPr>
            <w:r>
              <w:rPr>
                <w:rFonts w:ascii="Arial" w:cs="Arial" w:eastAsia="Arial" w:hAnsi="Arial"/>
                <w:sz w:val="14"/>
                <w:szCs w:val="14"/>
                <w:color w:val="auto"/>
              </w:rPr>
              <w:t>89,336</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80,968</w:t>
            </w: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179,775</w:t>
            </w:r>
          </w:p>
        </w:tc>
        <w:tc>
          <w:tcPr>
            <w:tcW w:w="56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179,675</w:t>
            </w:r>
          </w:p>
        </w:tc>
        <w:tc>
          <w:tcPr>
            <w:tcW w:w="0" w:type="dxa"/>
            <w:vAlign w:val="bottom"/>
          </w:tcPr>
          <w:p>
            <w:pPr>
              <w:spacing w:after="0"/>
              <w:rPr>
                <w:sz w:val="1"/>
                <w:szCs w:val="1"/>
                <w:color w:val="auto"/>
              </w:rPr>
            </w:pPr>
          </w:p>
        </w:tc>
      </w:tr>
      <w:tr>
        <w:trPr>
          <w:trHeight w:val="174"/>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35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vMerge w:val="continue"/>
          </w:tcPr>
          <w:p>
            <w:pPr>
              <w:spacing w:after="0"/>
              <w:rPr>
                <w:sz w:val="15"/>
                <w:szCs w:val="15"/>
                <w:color w:val="auto"/>
              </w:rPr>
            </w:pPr>
          </w:p>
        </w:tc>
        <w:tc>
          <w:tcPr>
            <w:tcW w:w="2280" w:type="dxa"/>
            <w:vAlign w:val="bottom"/>
          </w:tcPr>
          <w:p>
            <w:pPr>
              <w:spacing w:after="0"/>
              <w:rPr>
                <w:sz w:val="15"/>
                <w:szCs w:val="15"/>
                <w:color w:val="auto"/>
              </w:rPr>
            </w:pPr>
          </w:p>
        </w:tc>
        <w:tc>
          <w:tcPr>
            <w:tcW w:w="1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223,751</w:t>
            </w:r>
          </w:p>
        </w:tc>
        <w:tc>
          <w:tcPr>
            <w:tcW w:w="2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220,001</w:t>
            </w:r>
          </w:p>
        </w:tc>
        <w:tc>
          <w:tcPr>
            <w:tcW w:w="36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442,863</w:t>
            </w:r>
          </w:p>
        </w:tc>
        <w:tc>
          <w:tcPr>
            <w:tcW w:w="2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439,832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292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Arial" w:cs="Arial" w:eastAsia="Arial" w:hAnsi="Arial"/>
                <w:sz w:val="14"/>
                <w:szCs w:val="14"/>
                <w:color w:val="auto"/>
              </w:rPr>
              <w:t>Direct costs</w:t>
            </w:r>
          </w:p>
        </w:tc>
        <w:tc>
          <w:tcPr>
            <w:tcW w:w="3560" w:type="dxa"/>
            <w:vAlign w:val="bottom"/>
            <w:gridSpan w:val="3"/>
          </w:tcPr>
          <w:p>
            <w:pPr>
              <w:jc w:val="right"/>
              <w:ind w:right="20"/>
              <w:spacing w:after="0"/>
              <w:rPr>
                <w:sz w:val="20"/>
                <w:szCs w:val="20"/>
                <w:color w:val="auto"/>
              </w:rPr>
            </w:pPr>
            <w:r>
              <w:rPr>
                <w:rFonts w:ascii="Arial" w:cs="Arial" w:eastAsia="Arial" w:hAnsi="Arial"/>
                <w:sz w:val="14"/>
                <w:szCs w:val="14"/>
                <w:color w:val="auto"/>
              </w:rPr>
              <w:t>130,869</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125,146</w:t>
            </w: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262,187</w:t>
            </w:r>
          </w:p>
        </w:tc>
        <w:tc>
          <w:tcPr>
            <w:tcW w:w="5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249,314</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3560" w:type="dxa"/>
            <w:vAlign w:val="bottom"/>
            <w:gridSpan w:val="3"/>
          </w:tcPr>
          <w:p>
            <w:pPr>
              <w:jc w:val="right"/>
              <w:ind w:right="20"/>
              <w:spacing w:after="0"/>
              <w:rPr>
                <w:sz w:val="20"/>
                <w:szCs w:val="20"/>
                <w:color w:val="auto"/>
              </w:rPr>
            </w:pPr>
            <w:r>
              <w:rPr>
                <w:rFonts w:ascii="Arial" w:cs="Arial" w:eastAsia="Arial" w:hAnsi="Arial"/>
                <w:sz w:val="14"/>
                <w:szCs w:val="14"/>
                <w:color w:val="auto"/>
              </w:rPr>
              <w:t>58,923</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58,010</w:t>
            </w: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111,217</w:t>
            </w:r>
          </w:p>
        </w:tc>
        <w:tc>
          <w:tcPr>
            <w:tcW w:w="5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119,268</w:t>
            </w:r>
          </w:p>
        </w:tc>
        <w:tc>
          <w:tcPr>
            <w:tcW w:w="0" w:type="dxa"/>
            <w:vAlign w:val="bottom"/>
          </w:tcPr>
          <w:p>
            <w:pPr>
              <w:spacing w:after="0"/>
              <w:rPr>
                <w:sz w:val="1"/>
                <w:szCs w:val="1"/>
                <w:color w:val="auto"/>
              </w:rPr>
            </w:pPr>
          </w:p>
        </w:tc>
      </w:tr>
      <w:tr>
        <w:trPr>
          <w:trHeight w:val="182"/>
        </w:trPr>
        <w:tc>
          <w:tcPr>
            <w:tcW w:w="29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3560" w:type="dxa"/>
            <w:vAlign w:val="bottom"/>
            <w:gridSpan w:val="3"/>
          </w:tcPr>
          <w:p>
            <w:pPr>
              <w:jc w:val="right"/>
              <w:ind w:right="20"/>
              <w:spacing w:after="0"/>
              <w:rPr>
                <w:sz w:val="20"/>
                <w:szCs w:val="20"/>
                <w:color w:val="auto"/>
              </w:rPr>
            </w:pPr>
            <w:r>
              <w:rPr>
                <w:rFonts w:ascii="Arial" w:cs="Arial" w:eastAsia="Arial" w:hAnsi="Arial"/>
                <w:sz w:val="14"/>
                <w:szCs w:val="14"/>
                <w:color w:val="auto"/>
              </w:rPr>
              <w:t>8,281</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7,526</w:t>
            </w: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17,003</w:t>
            </w:r>
          </w:p>
        </w:tc>
        <w:tc>
          <w:tcPr>
            <w:tcW w:w="5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15,016</w:t>
            </w:r>
          </w:p>
        </w:tc>
        <w:tc>
          <w:tcPr>
            <w:tcW w:w="0" w:type="dxa"/>
            <w:vAlign w:val="bottom"/>
          </w:tcPr>
          <w:p>
            <w:pPr>
              <w:spacing w:after="0"/>
              <w:rPr>
                <w:sz w:val="1"/>
                <w:szCs w:val="1"/>
                <w:color w:val="auto"/>
              </w:rPr>
            </w:pPr>
          </w:p>
        </w:tc>
      </w:tr>
      <w:tr>
        <w:trPr>
          <w:trHeight w:val="174"/>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Total costs and expenses</w:t>
            </w:r>
          </w:p>
        </w:tc>
        <w:tc>
          <w:tcPr>
            <w:tcW w:w="35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154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vMerge w:val="continue"/>
          </w:tcPr>
          <w:p>
            <w:pPr>
              <w:spacing w:after="0"/>
              <w:rPr>
                <w:sz w:val="15"/>
                <w:szCs w:val="15"/>
                <w:color w:val="auto"/>
              </w:rPr>
            </w:pPr>
          </w:p>
        </w:tc>
        <w:tc>
          <w:tcPr>
            <w:tcW w:w="2280" w:type="dxa"/>
            <w:vAlign w:val="bottom"/>
          </w:tcPr>
          <w:p>
            <w:pPr>
              <w:spacing w:after="0"/>
              <w:rPr>
                <w:sz w:val="15"/>
                <w:szCs w:val="15"/>
                <w:color w:val="auto"/>
              </w:rPr>
            </w:pPr>
          </w:p>
        </w:tc>
        <w:tc>
          <w:tcPr>
            <w:tcW w:w="1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198,073</w:t>
            </w:r>
          </w:p>
        </w:tc>
        <w:tc>
          <w:tcPr>
            <w:tcW w:w="2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190,682</w:t>
            </w:r>
          </w:p>
        </w:tc>
        <w:tc>
          <w:tcPr>
            <w:tcW w:w="36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390,407</w:t>
            </w:r>
          </w:p>
        </w:tc>
        <w:tc>
          <w:tcPr>
            <w:tcW w:w="2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383,598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292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3560" w:type="dxa"/>
            <w:vAlign w:val="bottom"/>
            <w:gridSpan w:val="3"/>
          </w:tcPr>
          <w:p>
            <w:pPr>
              <w:jc w:val="right"/>
              <w:ind w:right="20"/>
              <w:spacing w:after="0"/>
              <w:rPr>
                <w:sz w:val="20"/>
                <w:szCs w:val="20"/>
                <w:color w:val="auto"/>
              </w:rPr>
            </w:pPr>
            <w:r>
              <w:rPr>
                <w:rFonts w:ascii="Arial" w:cs="Arial" w:eastAsia="Arial" w:hAnsi="Arial"/>
                <w:sz w:val="14"/>
                <w:szCs w:val="14"/>
                <w:color w:val="auto"/>
              </w:rPr>
              <w:t>25,678</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29,319</w:t>
            </w: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52,456</w:t>
            </w:r>
          </w:p>
        </w:tc>
        <w:tc>
          <w:tcPr>
            <w:tcW w:w="56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56,234</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Arial" w:cs="Arial" w:eastAsia="Arial" w:hAnsi="Arial"/>
                <w:sz w:val="14"/>
                <w:szCs w:val="14"/>
                <w:color w:val="auto"/>
              </w:rPr>
              <w:t>Net interest income /(expense)</w:t>
            </w:r>
          </w:p>
        </w:tc>
        <w:tc>
          <w:tcPr>
            <w:tcW w:w="354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(875)</w:t>
            </w:r>
          </w:p>
        </w:tc>
        <w:tc>
          <w:tcPr>
            <w:tcW w:w="1300" w:type="dxa"/>
            <w:vAlign w:val="bottom"/>
          </w:tcPr>
          <w:p>
            <w:pPr>
              <w:jc w:val="right"/>
              <w:spacing w:after="0"/>
              <w:rPr>
                <w:sz w:val="20"/>
                <w:szCs w:val="20"/>
                <w:color w:val="auto"/>
              </w:rPr>
            </w:pPr>
            <w:r>
              <w:rPr>
                <w:rFonts w:ascii="Arial" w:cs="Arial" w:eastAsia="Arial" w:hAnsi="Arial"/>
                <w:sz w:val="14"/>
                <w:szCs w:val="14"/>
                <w:color w:val="auto"/>
              </w:rPr>
              <w:t>(131)</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(1,611)</w:t>
            </w:r>
          </w:p>
        </w:tc>
        <w:tc>
          <w:tcPr>
            <w:tcW w:w="0" w:type="dxa"/>
            <w:vAlign w:val="bottom"/>
          </w:tcPr>
          <w:p>
            <w:pPr>
              <w:spacing w:after="0"/>
              <w:rPr>
                <w:sz w:val="1"/>
                <w:szCs w:val="1"/>
                <w:color w:val="auto"/>
              </w:rPr>
            </w:pPr>
          </w:p>
        </w:tc>
      </w:tr>
      <w:tr>
        <w:trPr>
          <w:trHeight w:val="174"/>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Income before provision of income taxes</w:t>
            </w:r>
          </w:p>
        </w:tc>
        <w:tc>
          <w:tcPr>
            <w:tcW w:w="35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154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vMerge w:val="continue"/>
          </w:tcPr>
          <w:p>
            <w:pPr>
              <w:spacing w:after="0"/>
              <w:rPr>
                <w:sz w:val="15"/>
                <w:szCs w:val="15"/>
                <w:color w:val="auto"/>
              </w:rPr>
            </w:pPr>
          </w:p>
        </w:tc>
        <w:tc>
          <w:tcPr>
            <w:tcW w:w="2280" w:type="dxa"/>
            <w:vAlign w:val="bottom"/>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25,739</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28,444</w:t>
            </w:r>
          </w:p>
        </w:tc>
        <w:tc>
          <w:tcPr>
            <w:tcW w:w="36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52,325</w:t>
            </w:r>
          </w:p>
        </w:tc>
        <w:tc>
          <w:tcPr>
            <w:tcW w:w="2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54,623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292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3560" w:type="dxa"/>
            <w:vAlign w:val="bottom"/>
            <w:gridSpan w:val="3"/>
          </w:tcPr>
          <w:p>
            <w:pPr>
              <w:jc w:val="right"/>
              <w:ind w:right="20"/>
              <w:spacing w:after="0"/>
              <w:rPr>
                <w:sz w:val="20"/>
                <w:szCs w:val="20"/>
                <w:color w:val="auto"/>
              </w:rPr>
            </w:pPr>
            <w:r>
              <w:rPr>
                <w:rFonts w:ascii="Arial" w:cs="Arial" w:eastAsia="Arial" w:hAnsi="Arial"/>
                <w:sz w:val="14"/>
                <w:szCs w:val="14"/>
                <w:color w:val="auto"/>
              </w:rPr>
              <w:t>2,866</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5,687</w:t>
            </w: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7,253</w:t>
            </w:r>
          </w:p>
        </w:tc>
        <w:tc>
          <w:tcPr>
            <w:tcW w:w="56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10,922</w:t>
            </w:r>
          </w:p>
        </w:tc>
        <w:tc>
          <w:tcPr>
            <w:tcW w:w="0" w:type="dxa"/>
            <w:vAlign w:val="bottom"/>
          </w:tcPr>
          <w:p>
            <w:pPr>
              <w:spacing w:after="0"/>
              <w:rPr>
                <w:sz w:val="1"/>
                <w:szCs w:val="1"/>
                <w:color w:val="auto"/>
              </w:rPr>
            </w:pPr>
          </w:p>
        </w:tc>
      </w:tr>
      <w:tr>
        <w:trPr>
          <w:trHeight w:val="174"/>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Net income</w:t>
            </w:r>
          </w:p>
        </w:tc>
        <w:tc>
          <w:tcPr>
            <w:tcW w:w="228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2920" w:type="dxa"/>
            <w:vAlign w:val="bottom"/>
            <w:vMerge w:val="continue"/>
          </w:tcPr>
          <w:p>
            <w:pPr>
              <w:spacing w:after="0"/>
              <w:rPr>
                <w:sz w:val="24"/>
                <w:szCs w:val="24"/>
                <w:color w:val="auto"/>
              </w:rPr>
            </w:pPr>
          </w:p>
        </w:tc>
        <w:tc>
          <w:tcPr>
            <w:tcW w:w="3560" w:type="dxa"/>
            <w:vAlign w:val="bottom"/>
            <w:gridSpan w:val="3"/>
          </w:tcPr>
          <w:p>
            <w:pPr>
              <w:jc w:val="right"/>
              <w:ind w:right="20"/>
              <w:spacing w:after="0"/>
              <w:rPr>
                <w:sz w:val="20"/>
                <w:szCs w:val="20"/>
                <w:color w:val="auto"/>
              </w:rPr>
            </w:pPr>
            <w:r>
              <w:rPr>
                <w:rFonts w:ascii="Arial" w:cs="Arial" w:eastAsia="Arial" w:hAnsi="Arial"/>
                <w:sz w:val="14"/>
                <w:szCs w:val="14"/>
                <w:color w:val="auto"/>
              </w:rPr>
              <w:t>22,873</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22,757</w:t>
            </w: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45,072</w:t>
            </w:r>
          </w:p>
        </w:tc>
        <w:tc>
          <w:tcPr>
            <w:tcW w:w="56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43,701</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2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920" w:type="dxa"/>
            <w:vAlign w:val="bottom"/>
            <w:vMerge w:val="continue"/>
          </w:tcPr>
          <w:p>
            <w:pPr>
              <w:spacing w:after="0"/>
              <w:rPr>
                <w:sz w:val="24"/>
                <w:szCs w:val="24"/>
                <w:color w:val="auto"/>
              </w:rPr>
            </w:pP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920" w:type="dxa"/>
            <w:vAlign w:val="bottom"/>
          </w:tcPr>
          <w:p>
            <w:pPr>
              <w:spacing w:after="0"/>
              <w:rPr>
                <w:sz w:val="20"/>
                <w:szCs w:val="20"/>
                <w:color w:val="auto"/>
              </w:rPr>
            </w:pPr>
            <w:r>
              <w:rPr>
                <w:rFonts w:ascii="Arial" w:cs="Arial" w:eastAsia="Arial" w:hAnsi="Arial"/>
                <w:sz w:val="14"/>
                <w:szCs w:val="14"/>
                <w:color w:val="auto"/>
              </w:rPr>
              <w:t>Basic</w:t>
            </w:r>
          </w:p>
        </w:tc>
        <w:tc>
          <w:tcPr>
            <w:tcW w:w="2280" w:type="dxa"/>
            <w:vAlign w:val="bottom"/>
          </w:tcPr>
          <w:p>
            <w:pPr>
              <w:spacing w:after="0"/>
              <w:rPr>
                <w:sz w:val="15"/>
                <w:szCs w:val="15"/>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$0.38</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$0.39</w:t>
            </w: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$0.76</w:t>
            </w:r>
          </w:p>
        </w:tc>
        <w:tc>
          <w:tcPr>
            <w:tcW w:w="5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920" w:type="dxa"/>
            <w:vAlign w:val="bottom"/>
          </w:tcPr>
          <w:p>
            <w:pPr>
              <w:spacing w:after="0"/>
              <w:rPr>
                <w:sz w:val="20"/>
                <w:szCs w:val="20"/>
                <w:color w:val="auto"/>
              </w:rPr>
            </w:pPr>
            <w:r>
              <w:rPr>
                <w:rFonts w:ascii="Arial" w:cs="Arial" w:eastAsia="Arial" w:hAnsi="Arial"/>
                <w:sz w:val="14"/>
                <w:szCs w:val="14"/>
                <w:color w:val="auto"/>
              </w:rPr>
              <w:t>Diluted</w:t>
            </w:r>
          </w:p>
        </w:tc>
        <w:tc>
          <w:tcPr>
            <w:tcW w:w="228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$0.38</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$0.38</w:t>
            </w: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$0.74</w:t>
            </w:r>
          </w:p>
        </w:tc>
        <w:tc>
          <w:tcPr>
            <w:tcW w:w="56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$0.73</w:t>
            </w:r>
          </w:p>
        </w:tc>
        <w:tc>
          <w:tcPr>
            <w:tcW w:w="0" w:type="dxa"/>
            <w:vAlign w:val="bottom"/>
          </w:tcPr>
          <w:p>
            <w:pPr>
              <w:spacing w:after="0"/>
              <w:rPr>
                <w:sz w:val="1"/>
                <w:szCs w:val="1"/>
                <w:color w:val="auto"/>
              </w:rPr>
            </w:pPr>
          </w:p>
        </w:tc>
      </w:tr>
      <w:tr>
        <w:trPr>
          <w:trHeight w:val="339"/>
        </w:trPr>
        <w:tc>
          <w:tcPr>
            <w:tcW w:w="292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228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920" w:type="dxa"/>
            <w:vAlign w:val="bottom"/>
          </w:tcPr>
          <w:p>
            <w:pPr>
              <w:spacing w:after="0"/>
              <w:rPr>
                <w:sz w:val="20"/>
                <w:szCs w:val="20"/>
                <w:color w:val="auto"/>
              </w:rPr>
            </w:pPr>
            <w:r>
              <w:rPr>
                <w:rFonts w:ascii="Arial" w:cs="Arial" w:eastAsia="Arial" w:hAnsi="Arial"/>
                <w:sz w:val="14"/>
                <w:szCs w:val="14"/>
                <w:color w:val="auto"/>
              </w:rPr>
              <w:t>Basic</w:t>
            </w:r>
          </w:p>
        </w:tc>
        <w:tc>
          <w:tcPr>
            <w:tcW w:w="3540" w:type="dxa"/>
            <w:vAlign w:val="bottom"/>
            <w:gridSpan w:val="2"/>
          </w:tcPr>
          <w:p>
            <w:pPr>
              <w:jc w:val="right"/>
              <w:spacing w:after="0"/>
              <w:rPr>
                <w:sz w:val="20"/>
                <w:szCs w:val="20"/>
                <w:color w:val="auto"/>
              </w:rPr>
            </w:pPr>
            <w:r>
              <w:rPr>
                <w:rFonts w:ascii="Arial" w:cs="Arial" w:eastAsia="Arial" w:hAnsi="Arial"/>
                <w:sz w:val="14"/>
                <w:szCs w:val="14"/>
                <w:color w:val="auto"/>
              </w:rPr>
              <w:t>59,667,635</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w w:val="91"/>
              </w:rPr>
              <w:t>58,576,384</w:t>
            </w:r>
          </w:p>
        </w:tc>
        <w:tc>
          <w:tcPr>
            <w:tcW w:w="1300" w:type="dxa"/>
            <w:vAlign w:val="bottom"/>
          </w:tcPr>
          <w:p>
            <w:pPr>
              <w:jc w:val="right"/>
              <w:spacing w:after="0"/>
              <w:rPr>
                <w:sz w:val="20"/>
                <w:szCs w:val="20"/>
                <w:color w:val="auto"/>
              </w:rPr>
            </w:pPr>
            <w:r>
              <w:rPr>
                <w:rFonts w:ascii="Arial" w:cs="Arial" w:eastAsia="Arial" w:hAnsi="Arial"/>
                <w:sz w:val="14"/>
                <w:szCs w:val="14"/>
                <w:color w:val="auto"/>
              </w:rPr>
              <w:t>59,395,142</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58,557,089</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Arial" w:cs="Arial" w:eastAsia="Arial" w:hAnsi="Arial"/>
                <w:sz w:val="14"/>
                <w:szCs w:val="14"/>
                <w:color w:val="auto"/>
              </w:rPr>
              <w:t>Diluted</w:t>
            </w:r>
          </w:p>
        </w:tc>
        <w:tc>
          <w:tcPr>
            <w:tcW w:w="3540" w:type="dxa"/>
            <w:vAlign w:val="bottom"/>
            <w:gridSpan w:val="2"/>
          </w:tcPr>
          <w:p>
            <w:pPr>
              <w:jc w:val="right"/>
              <w:spacing w:after="0"/>
              <w:rPr>
                <w:sz w:val="20"/>
                <w:szCs w:val="20"/>
                <w:color w:val="auto"/>
              </w:rPr>
            </w:pPr>
            <w:r>
              <w:rPr>
                <w:rFonts w:ascii="Arial" w:cs="Arial" w:eastAsia="Arial" w:hAnsi="Arial"/>
                <w:sz w:val="14"/>
                <w:szCs w:val="14"/>
                <w:color w:val="auto"/>
              </w:rPr>
              <w:t>60,768,374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w w:val="91"/>
              </w:rPr>
              <w:t>59,674,939</w:t>
            </w:r>
          </w:p>
        </w:tc>
        <w:tc>
          <w:tcPr>
            <w:tcW w:w="1300" w:type="dxa"/>
            <w:vAlign w:val="bottom"/>
          </w:tcPr>
          <w:p>
            <w:pPr>
              <w:jc w:val="right"/>
              <w:spacing w:after="0"/>
              <w:rPr>
                <w:sz w:val="20"/>
                <w:szCs w:val="20"/>
                <w:color w:val="auto"/>
              </w:rPr>
            </w:pPr>
            <w:r>
              <w:rPr>
                <w:rFonts w:ascii="Arial" w:cs="Arial" w:eastAsia="Arial" w:hAnsi="Arial"/>
                <w:sz w:val="14"/>
                <w:szCs w:val="14"/>
                <w:color w:val="auto"/>
              </w:rPr>
              <w:t>60,557,687</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59,716,244</w:t>
            </w:r>
          </w:p>
        </w:tc>
        <w:tc>
          <w:tcPr>
            <w:tcW w:w="0" w:type="dxa"/>
            <w:vAlign w:val="bottom"/>
          </w:tcPr>
          <w:p>
            <w:pPr>
              <w:spacing w:after="0"/>
              <w:rPr>
                <w:sz w:val="1"/>
                <w:szCs w:val="1"/>
                <w:color w:val="auto"/>
              </w:rPr>
            </w:pPr>
          </w:p>
        </w:tc>
      </w:tr>
      <w:tr>
        <w:trPr>
          <w:trHeight w:val="743"/>
        </w:trPr>
        <w:tc>
          <w:tcPr>
            <w:tcW w:w="2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0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rPr>
              <w:t>ICON plc</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4"/>
                <w:szCs w:val="24"/>
                <w:color w:val="auto"/>
              </w:rPr>
            </w:pPr>
          </w:p>
        </w:tc>
        <w:tc>
          <w:tcPr>
            <w:tcW w:w="54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3"/>
              </w:rPr>
              <w:t>Consolidated Income Statements (Unaudited) (US GAAP)</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920" w:type="dxa"/>
            <w:vAlign w:val="bottom"/>
          </w:tcPr>
          <w:p>
            <w:pPr>
              <w:spacing w:after="0"/>
              <w:rPr>
                <w:sz w:val="24"/>
                <w:szCs w:val="24"/>
                <w:color w:val="auto"/>
              </w:rPr>
            </w:pPr>
          </w:p>
        </w:tc>
        <w:tc>
          <w:tcPr>
            <w:tcW w:w="54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Three and Six Months ended June 30, 2010 and June 30, 2009</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4380" w:type="dxa"/>
            <w:vAlign w:val="bottom"/>
            <w:gridSpan w:val="5"/>
          </w:tcPr>
          <w:p>
            <w:pPr>
              <w:jc w:val="center"/>
              <w:ind w:left="868"/>
              <w:spacing w:after="0"/>
              <w:rPr>
                <w:sz w:val="20"/>
                <w:szCs w:val="20"/>
                <w:color w:val="auto"/>
              </w:rPr>
            </w:pPr>
            <w:r>
              <w:rPr>
                <w:rFonts w:ascii="Arial" w:cs="Arial" w:eastAsia="Arial" w:hAnsi="Arial"/>
                <w:sz w:val="14"/>
                <w:szCs w:val="14"/>
                <w:b w:val="1"/>
                <w:bCs w:val="1"/>
                <w:color w:val="auto"/>
                <w:w w:val="91"/>
              </w:rPr>
              <w:t>(Dollars, in thousands, except share and per share data)</w:t>
            </w: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2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00" w:type="dxa"/>
            <w:vAlign w:val="bottom"/>
            <w:gridSpan w:val="4"/>
          </w:tcPr>
          <w:p>
            <w:pPr>
              <w:ind w:left="720"/>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gridSpan w:val="3"/>
          </w:tcPr>
          <w:p>
            <w:pPr>
              <w:ind w:left="860"/>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100" w:type="dxa"/>
            <w:vAlign w:val="bottom"/>
            <w:gridSpan w:val="4"/>
          </w:tcPr>
          <w:p>
            <w:pPr>
              <w:ind w:left="720"/>
              <w:spacing w:after="0"/>
              <w:rPr>
                <w:sz w:val="20"/>
                <w:szCs w:val="20"/>
                <w:color w:val="auto"/>
              </w:rPr>
            </w:pPr>
            <w:r>
              <w:rPr>
                <w:rFonts w:ascii="Arial" w:cs="Arial" w:eastAsia="Arial" w:hAnsi="Arial"/>
                <w:sz w:val="14"/>
                <w:szCs w:val="14"/>
                <w:b w:val="1"/>
                <w:bCs w:val="1"/>
                <w:color w:val="auto"/>
              </w:rPr>
              <w:t>June 30,</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2100" w:type="dxa"/>
            <w:vAlign w:val="bottom"/>
            <w:gridSpan w:val="3"/>
          </w:tcPr>
          <w:p>
            <w:pPr>
              <w:ind w:left="760"/>
              <w:spacing w:after="0"/>
              <w:rPr>
                <w:sz w:val="20"/>
                <w:szCs w:val="20"/>
                <w:color w:val="auto"/>
              </w:rPr>
            </w:pPr>
            <w:r>
              <w:rPr>
                <w:rFonts w:ascii="Arial" w:cs="Arial" w:eastAsia="Arial" w:hAnsi="Arial"/>
                <w:sz w:val="14"/>
                <w:szCs w:val="14"/>
                <w:b w:val="1"/>
                <w:bCs w:val="1"/>
                <w:color w:val="auto"/>
              </w:rPr>
              <w:t>June 30,</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3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2009</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Arial" w:cs="Arial" w:eastAsia="Arial" w:hAnsi="Arial"/>
                <w:sz w:val="14"/>
                <w:szCs w:val="14"/>
                <w:color w:val="auto"/>
              </w:rPr>
              <w:t>Gross Revenue</w:t>
            </w:r>
          </w:p>
        </w:tc>
        <w:tc>
          <w:tcPr>
            <w:tcW w:w="3560" w:type="dxa"/>
            <w:vAlign w:val="bottom"/>
            <w:gridSpan w:val="3"/>
          </w:tcPr>
          <w:p>
            <w:pPr>
              <w:jc w:val="right"/>
              <w:ind w:right="20"/>
              <w:spacing w:after="0"/>
              <w:rPr>
                <w:sz w:val="20"/>
                <w:szCs w:val="20"/>
                <w:color w:val="auto"/>
              </w:rPr>
            </w:pPr>
            <w:r>
              <w:rPr>
                <w:rFonts w:ascii="Arial" w:cs="Arial" w:eastAsia="Arial" w:hAnsi="Arial"/>
                <w:sz w:val="14"/>
                <w:szCs w:val="14"/>
                <w:color w:val="auto"/>
              </w:rPr>
              <w:t>313,087</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300,969</w:t>
            </w: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622,638</w:t>
            </w:r>
          </w:p>
        </w:tc>
        <w:tc>
          <w:tcPr>
            <w:tcW w:w="56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619,507</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Arial" w:cs="Arial" w:eastAsia="Arial" w:hAnsi="Arial"/>
                <w:sz w:val="14"/>
                <w:szCs w:val="14"/>
                <w:color w:val="auto"/>
              </w:rPr>
              <w:t>Reimbursable expenses</w:t>
            </w:r>
          </w:p>
        </w:tc>
        <w:tc>
          <w:tcPr>
            <w:tcW w:w="3560" w:type="dxa"/>
            <w:vAlign w:val="bottom"/>
            <w:gridSpan w:val="3"/>
          </w:tcPr>
          <w:p>
            <w:pPr>
              <w:jc w:val="right"/>
              <w:ind w:right="20"/>
              <w:spacing w:after="0"/>
              <w:rPr>
                <w:sz w:val="20"/>
                <w:szCs w:val="20"/>
                <w:color w:val="auto"/>
              </w:rPr>
            </w:pPr>
            <w:r>
              <w:rPr>
                <w:rFonts w:ascii="Arial" w:cs="Arial" w:eastAsia="Arial" w:hAnsi="Arial"/>
                <w:sz w:val="14"/>
                <w:szCs w:val="14"/>
                <w:color w:val="auto"/>
              </w:rPr>
              <w:t>89,336</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80,968</w:t>
            </w: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179,775</w:t>
            </w:r>
          </w:p>
        </w:tc>
        <w:tc>
          <w:tcPr>
            <w:tcW w:w="56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179,675</w:t>
            </w:r>
          </w:p>
        </w:tc>
        <w:tc>
          <w:tcPr>
            <w:tcW w:w="0" w:type="dxa"/>
            <w:vAlign w:val="bottom"/>
          </w:tcPr>
          <w:p>
            <w:pPr>
              <w:spacing w:after="0"/>
              <w:rPr>
                <w:sz w:val="1"/>
                <w:szCs w:val="1"/>
                <w:color w:val="auto"/>
              </w:rPr>
            </w:pPr>
          </w:p>
        </w:tc>
      </w:tr>
      <w:tr>
        <w:trPr>
          <w:trHeight w:val="174"/>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356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154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vMerge w:val="continue"/>
          </w:tcPr>
          <w:p>
            <w:pPr>
              <w:spacing w:after="0"/>
              <w:rPr>
                <w:sz w:val="15"/>
                <w:szCs w:val="15"/>
                <w:color w:val="auto"/>
              </w:rPr>
            </w:pPr>
          </w:p>
        </w:tc>
        <w:tc>
          <w:tcPr>
            <w:tcW w:w="2280" w:type="dxa"/>
            <w:vAlign w:val="bottom"/>
          </w:tcPr>
          <w:p>
            <w:pPr>
              <w:spacing w:after="0"/>
              <w:rPr>
                <w:sz w:val="15"/>
                <w:szCs w:val="15"/>
                <w:color w:val="auto"/>
              </w:rPr>
            </w:pPr>
          </w:p>
        </w:tc>
        <w:tc>
          <w:tcPr>
            <w:tcW w:w="1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223,751</w:t>
            </w:r>
          </w:p>
        </w:tc>
        <w:tc>
          <w:tcPr>
            <w:tcW w:w="2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220,001</w:t>
            </w:r>
          </w:p>
        </w:tc>
        <w:tc>
          <w:tcPr>
            <w:tcW w:w="36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442,863</w:t>
            </w:r>
          </w:p>
        </w:tc>
        <w:tc>
          <w:tcPr>
            <w:tcW w:w="2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439,832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292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Arial" w:cs="Arial" w:eastAsia="Arial" w:hAnsi="Arial"/>
                <w:sz w:val="14"/>
                <w:szCs w:val="14"/>
                <w:color w:val="auto"/>
              </w:rPr>
              <w:t>Direct costs</w:t>
            </w:r>
          </w:p>
        </w:tc>
        <w:tc>
          <w:tcPr>
            <w:tcW w:w="3560" w:type="dxa"/>
            <w:vAlign w:val="bottom"/>
            <w:gridSpan w:val="3"/>
          </w:tcPr>
          <w:p>
            <w:pPr>
              <w:jc w:val="right"/>
              <w:ind w:right="20"/>
              <w:spacing w:after="0"/>
              <w:rPr>
                <w:sz w:val="20"/>
                <w:szCs w:val="20"/>
                <w:color w:val="auto"/>
              </w:rPr>
            </w:pPr>
            <w:r>
              <w:rPr>
                <w:rFonts w:ascii="Arial" w:cs="Arial" w:eastAsia="Arial" w:hAnsi="Arial"/>
                <w:sz w:val="14"/>
                <w:szCs w:val="14"/>
                <w:color w:val="auto"/>
              </w:rPr>
              <w:t>130,869</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125,146</w:t>
            </w: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262,187</w:t>
            </w:r>
          </w:p>
        </w:tc>
        <w:tc>
          <w:tcPr>
            <w:tcW w:w="5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249,314</w:t>
            </w:r>
          </w:p>
        </w:tc>
        <w:tc>
          <w:tcPr>
            <w:tcW w:w="0" w:type="dxa"/>
            <w:vAlign w:val="bottom"/>
          </w:tcPr>
          <w:p>
            <w:pPr>
              <w:spacing w:after="0"/>
              <w:rPr>
                <w:sz w:val="1"/>
                <w:szCs w:val="1"/>
                <w:color w:val="auto"/>
              </w:rPr>
            </w:pPr>
          </w:p>
        </w:tc>
      </w:tr>
      <w:tr>
        <w:trPr>
          <w:trHeight w:val="182"/>
        </w:trPr>
        <w:tc>
          <w:tcPr>
            <w:tcW w:w="292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3560" w:type="dxa"/>
            <w:vAlign w:val="bottom"/>
            <w:gridSpan w:val="3"/>
          </w:tcPr>
          <w:p>
            <w:pPr>
              <w:jc w:val="right"/>
              <w:ind w:right="20"/>
              <w:spacing w:after="0"/>
              <w:rPr>
                <w:sz w:val="20"/>
                <w:szCs w:val="20"/>
                <w:color w:val="auto"/>
              </w:rPr>
            </w:pPr>
            <w:r>
              <w:rPr>
                <w:rFonts w:ascii="Arial" w:cs="Arial" w:eastAsia="Arial" w:hAnsi="Arial"/>
                <w:sz w:val="14"/>
                <w:szCs w:val="14"/>
                <w:color w:val="auto"/>
              </w:rPr>
              <w:t>58,923</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58,010</w:t>
            </w: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111,217</w:t>
            </w:r>
          </w:p>
        </w:tc>
        <w:tc>
          <w:tcPr>
            <w:tcW w:w="5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119,268</w:t>
            </w:r>
          </w:p>
        </w:tc>
        <w:tc>
          <w:tcPr>
            <w:tcW w:w="0" w:type="dxa"/>
            <w:vAlign w:val="bottom"/>
          </w:tcPr>
          <w:p>
            <w:pPr>
              <w:spacing w:after="0"/>
              <w:rPr>
                <w:sz w:val="1"/>
                <w:szCs w:val="1"/>
                <w:color w:val="auto"/>
              </w:rPr>
            </w:pPr>
          </w:p>
        </w:tc>
      </w:tr>
    </w:tbl>
    <w:p>
      <w:pPr>
        <w:sectPr>
          <w:pgSz w:w="11900" w:h="16926" w:orient="portrait"/>
          <w:cols w:equalWidth="0" w:num="1">
            <w:col w:w="11420"/>
          </w:cols>
          <w:pgMar w:left="240" w:top="118"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6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3760" w:type="dxa"/>
            <w:vAlign w:val="bottom"/>
            <w:gridSpan w:val="4"/>
          </w:tcPr>
          <w:p>
            <w:pPr>
              <w:jc w:val="right"/>
              <w:ind w:right="40"/>
              <w:spacing w:after="0"/>
              <w:rPr>
                <w:sz w:val="20"/>
                <w:szCs w:val="20"/>
                <w:color w:val="auto"/>
              </w:rPr>
            </w:pPr>
            <w:r>
              <w:rPr>
                <w:rFonts w:ascii="Arial" w:cs="Arial" w:eastAsia="Arial" w:hAnsi="Arial"/>
                <w:sz w:val="14"/>
                <w:szCs w:val="14"/>
                <w:color w:val="auto"/>
              </w:rPr>
              <w:t>8,281</w:t>
            </w:r>
          </w:p>
        </w:tc>
        <w:tc>
          <w:tcPr>
            <w:tcW w:w="20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7,526</w:t>
            </w:r>
          </w:p>
        </w:tc>
        <w:tc>
          <w:tcPr>
            <w:tcW w:w="1760" w:type="dxa"/>
            <w:vAlign w:val="bottom"/>
            <w:gridSpan w:val="3"/>
          </w:tcPr>
          <w:p>
            <w:pPr>
              <w:jc w:val="right"/>
              <w:ind w:right="240"/>
              <w:spacing w:after="0"/>
              <w:rPr>
                <w:sz w:val="20"/>
                <w:szCs w:val="20"/>
                <w:color w:val="auto"/>
              </w:rPr>
            </w:pPr>
            <w:r>
              <w:rPr>
                <w:rFonts w:ascii="Arial" w:cs="Arial" w:eastAsia="Arial" w:hAnsi="Arial"/>
                <w:sz w:val="14"/>
                <w:szCs w:val="14"/>
                <w:color w:val="auto"/>
              </w:rPr>
              <w:t>17,003</w:t>
            </w: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15,016</w:t>
            </w: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4"/>
                <w:szCs w:val="14"/>
                <w:color w:val="auto"/>
              </w:rPr>
              <w:t>One off items</w:t>
            </w:r>
          </w:p>
        </w:tc>
        <w:tc>
          <w:tcPr>
            <w:tcW w:w="2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8,941</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8,941</w:t>
            </w:r>
          </w:p>
        </w:tc>
        <w:tc>
          <w:tcPr>
            <w:tcW w:w="0" w:type="dxa"/>
            <w:vAlign w:val="bottom"/>
          </w:tcPr>
          <w:p>
            <w:pPr>
              <w:spacing w:after="0"/>
              <w:rPr>
                <w:sz w:val="1"/>
                <w:szCs w:val="1"/>
                <w:color w:val="auto"/>
              </w:rPr>
            </w:pPr>
          </w:p>
        </w:tc>
      </w:tr>
      <w:tr>
        <w:trPr>
          <w:trHeight w:val="176"/>
        </w:trPr>
        <w:tc>
          <w:tcPr>
            <w:tcW w:w="2860" w:type="dxa"/>
            <w:vAlign w:val="bottom"/>
          </w:tcPr>
          <w:p>
            <w:pPr>
              <w:ind w:left="120"/>
              <w:spacing w:after="0"/>
              <w:rPr>
                <w:sz w:val="20"/>
                <w:szCs w:val="20"/>
                <w:color w:val="auto"/>
              </w:rPr>
            </w:pPr>
            <w:r>
              <w:rPr>
                <w:rFonts w:ascii="Arial" w:cs="Arial" w:eastAsia="Arial" w:hAnsi="Arial"/>
                <w:sz w:val="14"/>
                <w:szCs w:val="14"/>
                <w:b w:val="1"/>
                <w:bCs w:val="1"/>
                <w:color w:val="auto"/>
              </w:rPr>
              <w:t>Total costs and expenses</w:t>
            </w:r>
          </w:p>
        </w:tc>
        <w:tc>
          <w:tcPr>
            <w:tcW w:w="2460" w:type="dxa"/>
            <w:vAlign w:val="bottom"/>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198,073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199,623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390,407</w:t>
            </w:r>
          </w:p>
        </w:tc>
        <w:tc>
          <w:tcPr>
            <w:tcW w:w="24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392,539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2860" w:type="dxa"/>
            <w:vAlign w:val="bottom"/>
          </w:tcPr>
          <w:p>
            <w:pPr>
              <w:ind w:left="120"/>
              <w:spacing w:after="0"/>
              <w:rPr>
                <w:sz w:val="20"/>
                <w:szCs w:val="20"/>
                <w:color w:val="auto"/>
              </w:rPr>
            </w:pPr>
            <w:r>
              <w:rPr>
                <w:rFonts w:ascii="Arial" w:cs="Arial" w:eastAsia="Arial" w:hAnsi="Arial"/>
                <w:sz w:val="14"/>
                <w:szCs w:val="14"/>
                <w:b w:val="1"/>
                <w:bCs w:val="1"/>
                <w:color w:val="auto"/>
              </w:rPr>
              <w:t>Income from operations</w:t>
            </w:r>
          </w:p>
        </w:tc>
        <w:tc>
          <w:tcPr>
            <w:tcW w:w="3760" w:type="dxa"/>
            <w:vAlign w:val="bottom"/>
            <w:gridSpan w:val="4"/>
          </w:tcPr>
          <w:p>
            <w:pPr>
              <w:jc w:val="right"/>
              <w:ind w:right="40"/>
              <w:spacing w:after="0"/>
              <w:rPr>
                <w:sz w:val="20"/>
                <w:szCs w:val="20"/>
                <w:color w:val="auto"/>
              </w:rPr>
            </w:pPr>
            <w:r>
              <w:rPr>
                <w:rFonts w:ascii="Arial" w:cs="Arial" w:eastAsia="Arial" w:hAnsi="Arial"/>
                <w:sz w:val="14"/>
                <w:szCs w:val="14"/>
                <w:color w:val="auto"/>
              </w:rPr>
              <w:t>25,678</w:t>
            </w:r>
          </w:p>
        </w:tc>
        <w:tc>
          <w:tcPr>
            <w:tcW w:w="20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20,378</w:t>
            </w:r>
          </w:p>
        </w:tc>
        <w:tc>
          <w:tcPr>
            <w:tcW w:w="1760" w:type="dxa"/>
            <w:vAlign w:val="bottom"/>
            <w:gridSpan w:val="3"/>
          </w:tcPr>
          <w:p>
            <w:pPr>
              <w:jc w:val="right"/>
              <w:ind w:right="240"/>
              <w:spacing w:after="0"/>
              <w:rPr>
                <w:sz w:val="20"/>
                <w:szCs w:val="20"/>
                <w:color w:val="auto"/>
              </w:rPr>
            </w:pPr>
            <w:r>
              <w:rPr>
                <w:rFonts w:ascii="Arial" w:cs="Arial" w:eastAsia="Arial" w:hAnsi="Arial"/>
                <w:sz w:val="14"/>
                <w:szCs w:val="14"/>
                <w:color w:val="auto"/>
              </w:rPr>
              <w:t>52,456</w:t>
            </w: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47,293</w:t>
            </w:r>
          </w:p>
        </w:tc>
        <w:tc>
          <w:tcPr>
            <w:tcW w:w="0" w:type="dxa"/>
            <w:vAlign w:val="bottom"/>
          </w:tcPr>
          <w:p>
            <w:pPr>
              <w:spacing w:after="0"/>
              <w:rPr>
                <w:sz w:val="1"/>
                <w:szCs w:val="1"/>
                <w:color w:val="auto"/>
              </w:rPr>
            </w:pPr>
          </w:p>
        </w:tc>
      </w:tr>
      <w:tr>
        <w:trPr>
          <w:trHeight w:val="351"/>
        </w:trPr>
        <w:tc>
          <w:tcPr>
            <w:tcW w:w="2860" w:type="dxa"/>
            <w:vAlign w:val="bottom"/>
          </w:tcPr>
          <w:p>
            <w:pPr>
              <w:ind w:left="120"/>
              <w:spacing w:after="0"/>
              <w:rPr>
                <w:sz w:val="20"/>
                <w:szCs w:val="20"/>
                <w:color w:val="auto"/>
              </w:rPr>
            </w:pPr>
            <w:r>
              <w:rPr>
                <w:rFonts w:ascii="Arial" w:cs="Arial" w:eastAsia="Arial" w:hAnsi="Arial"/>
                <w:sz w:val="14"/>
                <w:szCs w:val="14"/>
                <w:color w:val="auto"/>
              </w:rPr>
              <w:t>Net interest income/(expense)</w:t>
            </w:r>
          </w:p>
        </w:tc>
        <w:tc>
          <w:tcPr>
            <w:tcW w:w="3740" w:type="dxa"/>
            <w:vAlign w:val="bottom"/>
            <w:gridSpan w:val="3"/>
          </w:tcPr>
          <w:p>
            <w:pPr>
              <w:jc w:val="right"/>
              <w:ind w:right="20"/>
              <w:spacing w:after="0"/>
              <w:rPr>
                <w:sz w:val="20"/>
                <w:szCs w:val="20"/>
                <w:color w:val="auto"/>
              </w:rPr>
            </w:pPr>
            <w:r>
              <w:rPr>
                <w:rFonts w:ascii="Arial" w:cs="Arial" w:eastAsia="Arial" w:hAnsi="Arial"/>
                <w:sz w:val="14"/>
                <w:szCs w:val="14"/>
                <w:color w:val="auto"/>
              </w:rPr>
              <w:t>61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(875)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(131)</w:t>
            </w:r>
          </w:p>
        </w:tc>
        <w:tc>
          <w:tcPr>
            <w:tcW w:w="24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(1,611)</w:t>
            </w:r>
          </w:p>
        </w:tc>
        <w:tc>
          <w:tcPr>
            <w:tcW w:w="0" w:type="dxa"/>
            <w:vAlign w:val="bottom"/>
          </w:tcPr>
          <w:p>
            <w:pPr>
              <w:spacing w:after="0"/>
              <w:rPr>
                <w:sz w:val="1"/>
                <w:szCs w:val="1"/>
                <w:color w:val="auto"/>
              </w:rPr>
            </w:pPr>
          </w:p>
        </w:tc>
      </w:tr>
      <w:tr>
        <w:trPr>
          <w:trHeight w:val="174"/>
        </w:trPr>
        <w:tc>
          <w:tcPr>
            <w:tcW w:w="286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9"/>
              </w:rPr>
              <w:t>Income before provision of income taxes</w:t>
            </w:r>
          </w:p>
        </w:tc>
        <w:tc>
          <w:tcPr>
            <w:tcW w:w="3760" w:type="dxa"/>
            <w:vAlign w:val="bottom"/>
            <w:gridSpan w:val="4"/>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spacing w:after="0"/>
              <w:rPr>
                <w:sz w:val="15"/>
                <w:szCs w:val="15"/>
                <w:color w:val="auto"/>
              </w:rPr>
            </w:pPr>
          </w:p>
        </w:tc>
        <w:tc>
          <w:tcPr>
            <w:tcW w:w="1760" w:type="dxa"/>
            <w:vAlign w:val="bottom"/>
            <w:gridSpan w:val="3"/>
          </w:tcPr>
          <w:p>
            <w:pPr>
              <w:spacing w:after="0"/>
              <w:rPr>
                <w:sz w:val="15"/>
                <w:szCs w:val="15"/>
                <w:color w:val="auto"/>
              </w:rPr>
            </w:pPr>
          </w:p>
        </w:tc>
        <w:tc>
          <w:tcPr>
            <w:tcW w:w="13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1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25,739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19,503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52,325</w:t>
            </w:r>
          </w:p>
        </w:tc>
        <w:tc>
          <w:tcPr>
            <w:tcW w:w="24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45,682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286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3760" w:type="dxa"/>
            <w:vAlign w:val="bottom"/>
            <w:gridSpan w:val="4"/>
          </w:tcPr>
          <w:p>
            <w:pPr>
              <w:jc w:val="right"/>
              <w:ind w:right="40"/>
              <w:spacing w:after="0"/>
              <w:rPr>
                <w:sz w:val="20"/>
                <w:szCs w:val="20"/>
                <w:color w:val="auto"/>
              </w:rPr>
            </w:pPr>
            <w:r>
              <w:rPr>
                <w:rFonts w:ascii="Arial" w:cs="Arial" w:eastAsia="Arial" w:hAnsi="Arial"/>
                <w:sz w:val="14"/>
                <w:szCs w:val="14"/>
                <w:color w:val="auto"/>
              </w:rPr>
              <w:t>2,866</w:t>
            </w:r>
          </w:p>
        </w:tc>
        <w:tc>
          <w:tcPr>
            <w:tcW w:w="20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973</w:t>
            </w:r>
          </w:p>
        </w:tc>
        <w:tc>
          <w:tcPr>
            <w:tcW w:w="1760" w:type="dxa"/>
            <w:vAlign w:val="bottom"/>
            <w:gridSpan w:val="3"/>
          </w:tcPr>
          <w:p>
            <w:pPr>
              <w:jc w:val="right"/>
              <w:ind w:right="240"/>
              <w:spacing w:after="0"/>
              <w:rPr>
                <w:sz w:val="20"/>
                <w:szCs w:val="20"/>
                <w:color w:val="auto"/>
              </w:rPr>
            </w:pPr>
            <w:r>
              <w:rPr>
                <w:rFonts w:ascii="Arial" w:cs="Arial" w:eastAsia="Arial" w:hAnsi="Arial"/>
                <w:sz w:val="14"/>
                <w:szCs w:val="14"/>
                <w:color w:val="auto"/>
              </w:rPr>
              <w:t>7,253</w:t>
            </w: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6,208</w:t>
            </w:r>
          </w:p>
        </w:tc>
        <w:tc>
          <w:tcPr>
            <w:tcW w:w="0" w:type="dxa"/>
            <w:vAlign w:val="bottom"/>
          </w:tcPr>
          <w:p>
            <w:pPr>
              <w:spacing w:after="0"/>
              <w:rPr>
                <w:sz w:val="1"/>
                <w:szCs w:val="1"/>
                <w:color w:val="auto"/>
              </w:rPr>
            </w:pPr>
          </w:p>
        </w:tc>
      </w:tr>
      <w:tr>
        <w:trPr>
          <w:trHeight w:val="174"/>
        </w:trPr>
        <w:tc>
          <w:tcPr>
            <w:tcW w:w="2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Net income</w:t>
            </w:r>
          </w:p>
        </w:tc>
        <w:tc>
          <w:tcPr>
            <w:tcW w:w="2460" w:type="dxa"/>
            <w:vAlign w:val="bottom"/>
          </w:tcPr>
          <w:p>
            <w:pPr>
              <w:spacing w:after="0"/>
              <w:rPr>
                <w:sz w:val="15"/>
                <w:szCs w:val="15"/>
                <w:color w:val="auto"/>
              </w:rPr>
            </w:pPr>
          </w:p>
        </w:tc>
        <w:tc>
          <w:tcPr>
            <w:tcW w:w="1300" w:type="dxa"/>
            <w:vAlign w:val="bottom"/>
            <w:tcBorders>
              <w:bottom w:val="single" w:sz="8" w:color="auto"/>
            </w:tcBorders>
            <w:gridSpan w:val="3"/>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2860" w:type="dxa"/>
            <w:vAlign w:val="bottom"/>
            <w:vMerge w:val="continue"/>
          </w:tcPr>
          <w:p>
            <w:pPr>
              <w:spacing w:after="0"/>
              <w:rPr>
                <w:sz w:val="24"/>
                <w:szCs w:val="24"/>
                <w:color w:val="auto"/>
              </w:rPr>
            </w:pPr>
          </w:p>
        </w:tc>
        <w:tc>
          <w:tcPr>
            <w:tcW w:w="3760" w:type="dxa"/>
            <w:vAlign w:val="bottom"/>
            <w:gridSpan w:val="4"/>
          </w:tcPr>
          <w:p>
            <w:pPr>
              <w:jc w:val="right"/>
              <w:ind w:right="40"/>
              <w:spacing w:after="0"/>
              <w:rPr>
                <w:sz w:val="20"/>
                <w:szCs w:val="20"/>
                <w:color w:val="auto"/>
              </w:rPr>
            </w:pPr>
            <w:r>
              <w:rPr>
                <w:rFonts w:ascii="Arial" w:cs="Arial" w:eastAsia="Arial" w:hAnsi="Arial"/>
                <w:sz w:val="14"/>
                <w:szCs w:val="14"/>
                <w:color w:val="auto"/>
              </w:rPr>
              <w:t>22,873</w:t>
            </w:r>
          </w:p>
        </w:tc>
        <w:tc>
          <w:tcPr>
            <w:tcW w:w="20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18,530</w:t>
            </w:r>
          </w:p>
        </w:tc>
        <w:tc>
          <w:tcPr>
            <w:tcW w:w="1760" w:type="dxa"/>
            <w:vAlign w:val="bottom"/>
            <w:gridSpan w:val="3"/>
          </w:tcPr>
          <w:p>
            <w:pPr>
              <w:jc w:val="right"/>
              <w:ind w:right="240"/>
              <w:spacing w:after="0"/>
              <w:rPr>
                <w:sz w:val="20"/>
                <w:szCs w:val="20"/>
                <w:color w:val="auto"/>
              </w:rPr>
            </w:pPr>
            <w:r>
              <w:rPr>
                <w:rFonts w:ascii="Arial" w:cs="Arial" w:eastAsia="Arial" w:hAnsi="Arial"/>
                <w:sz w:val="14"/>
                <w:szCs w:val="14"/>
                <w:color w:val="auto"/>
              </w:rPr>
              <w:t>45,072</w:t>
            </w: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39,474</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120"/>
              <w:spacing w:after="0"/>
              <w:rPr>
                <w:sz w:val="20"/>
                <w:szCs w:val="20"/>
                <w:color w:val="auto"/>
              </w:rPr>
            </w:pPr>
            <w:r>
              <w:rPr>
                <w:rFonts w:ascii="Arial" w:cs="Arial" w:eastAsia="Arial" w:hAnsi="Arial"/>
                <w:sz w:val="14"/>
                <w:szCs w:val="14"/>
                <w:color w:val="auto"/>
              </w:rPr>
              <w:t>Net income per ordinary share</w:t>
            </w:r>
          </w:p>
        </w:tc>
        <w:tc>
          <w:tcPr>
            <w:tcW w:w="24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860" w:type="dxa"/>
            <w:vAlign w:val="bottom"/>
            <w:vMerge w:val="continue"/>
          </w:tcPr>
          <w:p>
            <w:pPr>
              <w:spacing w:after="0"/>
              <w:rPr>
                <w:sz w:val="24"/>
                <w:szCs w:val="24"/>
                <w:color w:val="auto"/>
              </w:rPr>
            </w:pPr>
          </w:p>
        </w:tc>
        <w:tc>
          <w:tcPr>
            <w:tcW w:w="2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4"/>
                <w:szCs w:val="14"/>
                <w:color w:val="auto"/>
              </w:rPr>
              <w:t>Basic</w:t>
            </w:r>
          </w:p>
        </w:tc>
        <w:tc>
          <w:tcPr>
            <w:tcW w:w="2460" w:type="dxa"/>
            <w:vAlign w:val="bottom"/>
          </w:tcPr>
          <w:p>
            <w:pPr>
              <w:spacing w:after="0"/>
              <w:rPr>
                <w:sz w:val="15"/>
                <w:szCs w:val="15"/>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4"/>
                <w:szCs w:val="14"/>
                <w:color w:val="auto"/>
              </w:rPr>
              <w:t>$0.38</w:t>
            </w:r>
          </w:p>
        </w:tc>
        <w:tc>
          <w:tcPr>
            <w:tcW w:w="20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$0.32</w:t>
            </w:r>
          </w:p>
        </w:tc>
        <w:tc>
          <w:tcPr>
            <w:tcW w:w="1760" w:type="dxa"/>
            <w:vAlign w:val="bottom"/>
            <w:gridSpan w:val="3"/>
          </w:tcPr>
          <w:p>
            <w:pPr>
              <w:jc w:val="right"/>
              <w:ind w:right="240"/>
              <w:spacing w:after="0"/>
              <w:rPr>
                <w:sz w:val="20"/>
                <w:szCs w:val="20"/>
                <w:color w:val="auto"/>
              </w:rPr>
            </w:pPr>
            <w:r>
              <w:rPr>
                <w:rFonts w:ascii="Arial" w:cs="Arial" w:eastAsia="Arial" w:hAnsi="Arial"/>
                <w:sz w:val="14"/>
                <w:szCs w:val="14"/>
                <w:color w:val="auto"/>
              </w:rPr>
              <w:t>$0.76</w:t>
            </w: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860" w:type="dxa"/>
            <w:vAlign w:val="bottom"/>
          </w:tcPr>
          <w:p>
            <w:pPr>
              <w:ind w:left="120"/>
              <w:spacing w:after="0"/>
              <w:rPr>
                <w:sz w:val="20"/>
                <w:szCs w:val="20"/>
                <w:color w:val="auto"/>
              </w:rPr>
            </w:pPr>
            <w:r>
              <w:rPr>
                <w:rFonts w:ascii="Arial" w:cs="Arial" w:eastAsia="Arial" w:hAnsi="Arial"/>
                <w:sz w:val="14"/>
                <w:szCs w:val="14"/>
                <w:color w:val="auto"/>
              </w:rPr>
              <w:t>Diluted</w:t>
            </w:r>
          </w:p>
        </w:tc>
        <w:tc>
          <w:tcPr>
            <w:tcW w:w="2460" w:type="dxa"/>
            <w:vAlign w:val="bottom"/>
          </w:tcPr>
          <w:p>
            <w:pPr>
              <w:spacing w:after="0"/>
              <w:rPr>
                <w:sz w:val="24"/>
                <w:szCs w:val="24"/>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4"/>
                <w:szCs w:val="14"/>
                <w:color w:val="auto"/>
              </w:rPr>
              <w:t>$0.38</w:t>
            </w:r>
          </w:p>
        </w:tc>
        <w:tc>
          <w:tcPr>
            <w:tcW w:w="20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$0.31</w:t>
            </w:r>
          </w:p>
        </w:tc>
        <w:tc>
          <w:tcPr>
            <w:tcW w:w="1760" w:type="dxa"/>
            <w:vAlign w:val="bottom"/>
            <w:gridSpan w:val="3"/>
          </w:tcPr>
          <w:p>
            <w:pPr>
              <w:jc w:val="right"/>
              <w:ind w:right="240"/>
              <w:spacing w:after="0"/>
              <w:rPr>
                <w:sz w:val="20"/>
                <w:szCs w:val="20"/>
                <w:color w:val="auto"/>
              </w:rPr>
            </w:pPr>
            <w:r>
              <w:rPr>
                <w:rFonts w:ascii="Arial" w:cs="Arial" w:eastAsia="Arial" w:hAnsi="Arial"/>
                <w:sz w:val="14"/>
                <w:szCs w:val="14"/>
                <w:color w:val="auto"/>
              </w:rPr>
              <w:t>$0.74</w:t>
            </w: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$0.66</w:t>
            </w:r>
          </w:p>
        </w:tc>
        <w:tc>
          <w:tcPr>
            <w:tcW w:w="0" w:type="dxa"/>
            <w:vAlign w:val="bottom"/>
          </w:tcPr>
          <w:p>
            <w:pPr>
              <w:spacing w:after="0"/>
              <w:rPr>
                <w:sz w:val="1"/>
                <w:szCs w:val="1"/>
                <w:color w:val="auto"/>
              </w:rPr>
            </w:pPr>
          </w:p>
        </w:tc>
      </w:tr>
      <w:tr>
        <w:trPr>
          <w:trHeight w:val="339"/>
        </w:trPr>
        <w:tc>
          <w:tcPr>
            <w:tcW w:w="2860" w:type="dxa"/>
            <w:vAlign w:val="bottom"/>
          </w:tcPr>
          <w:p>
            <w:pPr>
              <w:ind w:left="120"/>
              <w:spacing w:after="0"/>
              <w:rPr>
                <w:sz w:val="20"/>
                <w:szCs w:val="20"/>
                <w:color w:val="auto"/>
              </w:rPr>
            </w:pPr>
            <w:r>
              <w:rPr>
                <w:rFonts w:ascii="Arial" w:cs="Arial" w:eastAsia="Arial" w:hAnsi="Arial"/>
                <w:sz w:val="14"/>
                <w:szCs w:val="14"/>
                <w:color w:val="auto"/>
                <w:w w:val="96"/>
              </w:rPr>
              <w:t>Weighted average number of ordinary shares</w:t>
            </w:r>
          </w:p>
        </w:tc>
        <w:tc>
          <w:tcPr>
            <w:tcW w:w="24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860" w:type="dxa"/>
            <w:vAlign w:val="bottom"/>
          </w:tcPr>
          <w:p>
            <w:pPr>
              <w:ind w:left="120"/>
              <w:spacing w:after="0"/>
              <w:rPr>
                <w:sz w:val="20"/>
                <w:szCs w:val="20"/>
                <w:color w:val="auto"/>
              </w:rPr>
            </w:pPr>
            <w:r>
              <w:rPr>
                <w:rFonts w:ascii="Arial" w:cs="Arial" w:eastAsia="Arial" w:hAnsi="Arial"/>
                <w:sz w:val="14"/>
                <w:szCs w:val="14"/>
                <w:color w:val="auto"/>
              </w:rPr>
              <w:t>Basic</w:t>
            </w:r>
          </w:p>
        </w:tc>
        <w:tc>
          <w:tcPr>
            <w:tcW w:w="3740" w:type="dxa"/>
            <w:vAlign w:val="bottom"/>
            <w:gridSpan w:val="3"/>
          </w:tcPr>
          <w:p>
            <w:pPr>
              <w:jc w:val="right"/>
              <w:ind w:right="20"/>
              <w:spacing w:after="0"/>
              <w:rPr>
                <w:sz w:val="20"/>
                <w:szCs w:val="20"/>
                <w:color w:val="auto"/>
              </w:rPr>
            </w:pPr>
            <w:r>
              <w:rPr>
                <w:rFonts w:ascii="Arial" w:cs="Arial" w:eastAsia="Arial" w:hAnsi="Arial"/>
                <w:sz w:val="14"/>
                <w:szCs w:val="14"/>
                <w:color w:val="auto"/>
              </w:rPr>
              <w:t>59,667,635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58,576,384</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59,395,142</w:t>
            </w:r>
          </w:p>
        </w:tc>
        <w:tc>
          <w:tcPr>
            <w:tcW w:w="240" w:type="dxa"/>
            <w:vAlign w:val="bottom"/>
          </w:tcPr>
          <w:p>
            <w:pPr>
              <w:spacing w:after="0"/>
              <w:rPr>
                <w:sz w:val="15"/>
                <w:szCs w:val="15"/>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58,557,089</w:t>
            </w:r>
          </w:p>
        </w:tc>
        <w:tc>
          <w:tcPr>
            <w:tcW w:w="0" w:type="dxa"/>
            <w:vAlign w:val="bottom"/>
          </w:tcPr>
          <w:p>
            <w:pPr>
              <w:spacing w:after="0"/>
              <w:rPr>
                <w:sz w:val="1"/>
                <w:szCs w:val="1"/>
                <w:color w:val="auto"/>
              </w:rPr>
            </w:pPr>
          </w:p>
        </w:tc>
      </w:tr>
      <w:tr>
        <w:trPr>
          <w:trHeight w:val="351"/>
        </w:trPr>
        <w:tc>
          <w:tcPr>
            <w:tcW w:w="2860" w:type="dxa"/>
            <w:vAlign w:val="bottom"/>
          </w:tcPr>
          <w:p>
            <w:pPr>
              <w:ind w:left="120"/>
              <w:spacing w:after="0"/>
              <w:rPr>
                <w:sz w:val="20"/>
                <w:szCs w:val="20"/>
                <w:color w:val="auto"/>
              </w:rPr>
            </w:pPr>
            <w:r>
              <w:rPr>
                <w:rFonts w:ascii="Arial" w:cs="Arial" w:eastAsia="Arial" w:hAnsi="Arial"/>
                <w:sz w:val="14"/>
                <w:szCs w:val="14"/>
                <w:color w:val="auto"/>
              </w:rPr>
              <w:t>Diluted</w:t>
            </w:r>
          </w:p>
        </w:tc>
        <w:tc>
          <w:tcPr>
            <w:tcW w:w="3740" w:type="dxa"/>
            <w:vAlign w:val="bottom"/>
            <w:gridSpan w:val="3"/>
          </w:tcPr>
          <w:p>
            <w:pPr>
              <w:jc w:val="right"/>
              <w:ind w:right="20"/>
              <w:spacing w:after="0"/>
              <w:rPr>
                <w:sz w:val="20"/>
                <w:szCs w:val="20"/>
                <w:color w:val="auto"/>
              </w:rPr>
            </w:pPr>
            <w:r>
              <w:rPr>
                <w:rFonts w:ascii="Arial" w:cs="Arial" w:eastAsia="Arial" w:hAnsi="Arial"/>
                <w:sz w:val="14"/>
                <w:szCs w:val="14"/>
                <w:color w:val="auto"/>
              </w:rPr>
              <w:t>60,768,374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59,674,939</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60,557,687</w:t>
            </w:r>
          </w:p>
        </w:tc>
        <w:tc>
          <w:tcPr>
            <w:tcW w:w="24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59,716,244</w:t>
            </w:r>
          </w:p>
        </w:tc>
        <w:tc>
          <w:tcPr>
            <w:tcW w:w="0" w:type="dxa"/>
            <w:vAlign w:val="bottom"/>
          </w:tcPr>
          <w:p>
            <w:pPr>
              <w:spacing w:after="0"/>
              <w:rPr>
                <w:sz w:val="1"/>
                <w:szCs w:val="1"/>
                <w:color w:val="auto"/>
              </w:rPr>
            </w:pPr>
          </w:p>
        </w:tc>
      </w:tr>
      <w:tr>
        <w:trPr>
          <w:trHeight w:val="567"/>
        </w:trPr>
        <w:tc>
          <w:tcPr>
            <w:tcW w:w="28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50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rPr>
              <w:t>ICON plc</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860" w:type="dxa"/>
            <w:vAlign w:val="bottom"/>
          </w:tcPr>
          <w:p>
            <w:pPr>
              <w:spacing w:after="0"/>
              <w:rPr>
                <w:sz w:val="24"/>
                <w:szCs w:val="24"/>
                <w:color w:val="auto"/>
              </w:rPr>
            </w:pPr>
          </w:p>
        </w:tc>
        <w:tc>
          <w:tcPr>
            <w:tcW w:w="3960" w:type="dxa"/>
            <w:vAlign w:val="bottom"/>
            <w:gridSpan w:val="5"/>
          </w:tcPr>
          <w:p>
            <w:pPr>
              <w:jc w:val="center"/>
              <w:ind w:left="1528"/>
              <w:spacing w:after="0"/>
              <w:rPr>
                <w:sz w:val="20"/>
                <w:szCs w:val="20"/>
                <w:color w:val="auto"/>
              </w:rPr>
            </w:pPr>
            <w:r>
              <w:rPr>
                <w:rFonts w:ascii="Arial" w:cs="Arial" w:eastAsia="Arial" w:hAnsi="Arial"/>
                <w:sz w:val="14"/>
                <w:szCs w:val="14"/>
                <w:b w:val="1"/>
                <w:bCs w:val="1"/>
                <w:color w:val="auto"/>
                <w:w w:val="93"/>
              </w:rPr>
              <w:t>Summary Balance Sheet Data</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2860" w:type="dxa"/>
            <w:vAlign w:val="bottom"/>
          </w:tcPr>
          <w:p>
            <w:pPr>
              <w:spacing w:after="0"/>
              <w:rPr>
                <w:sz w:val="24"/>
                <w:szCs w:val="24"/>
                <w:color w:val="auto"/>
              </w:rPr>
            </w:pPr>
          </w:p>
        </w:tc>
        <w:tc>
          <w:tcPr>
            <w:tcW w:w="3960" w:type="dxa"/>
            <w:vAlign w:val="bottom"/>
            <w:gridSpan w:val="5"/>
          </w:tcPr>
          <w:p>
            <w:pPr>
              <w:jc w:val="center"/>
              <w:ind w:left="1508"/>
              <w:spacing w:after="0"/>
              <w:rPr>
                <w:sz w:val="20"/>
                <w:szCs w:val="20"/>
                <w:color w:val="auto"/>
              </w:rPr>
            </w:pPr>
            <w:r>
              <w:rPr>
                <w:rFonts w:ascii="Arial" w:cs="Arial" w:eastAsia="Arial" w:hAnsi="Arial"/>
                <w:sz w:val="14"/>
                <w:szCs w:val="14"/>
                <w:b w:val="1"/>
                <w:bCs w:val="1"/>
                <w:color w:val="auto"/>
                <w:w w:val="92"/>
              </w:rPr>
              <w:t>June 30, 2010 and December 31, 2009</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3960" w:type="dxa"/>
            <w:vAlign w:val="bottom"/>
            <w:gridSpan w:val="5"/>
          </w:tcPr>
          <w:p>
            <w:pPr>
              <w:jc w:val="center"/>
              <w:ind w:left="1528"/>
              <w:spacing w:after="0"/>
              <w:rPr>
                <w:sz w:val="20"/>
                <w:szCs w:val="20"/>
                <w:color w:val="auto"/>
              </w:rPr>
            </w:pPr>
            <w:r>
              <w:rPr>
                <w:rFonts w:ascii="Arial" w:cs="Arial" w:eastAsia="Arial" w:hAnsi="Arial"/>
                <w:sz w:val="14"/>
                <w:szCs w:val="14"/>
                <w:b w:val="1"/>
                <w:bCs w:val="1"/>
                <w:color w:val="auto"/>
                <w:w w:val="92"/>
              </w:rPr>
              <w:t>(Dollars, in thousands)</w:t>
            </w: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28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1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28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(Unaudited)</w:t>
            </w:r>
          </w:p>
        </w:tc>
        <w:tc>
          <w:tcPr>
            <w:tcW w:w="1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527"/>
        </w:trPr>
        <w:tc>
          <w:tcPr>
            <w:tcW w:w="2860" w:type="dxa"/>
            <w:vAlign w:val="bottom"/>
          </w:tcPr>
          <w:p>
            <w:pPr>
              <w:spacing w:after="0"/>
              <w:rPr>
                <w:sz w:val="20"/>
                <w:szCs w:val="20"/>
                <w:color w:val="auto"/>
              </w:rPr>
            </w:pPr>
            <w:r>
              <w:rPr>
                <w:rFonts w:ascii="Arial" w:cs="Arial" w:eastAsia="Arial" w:hAnsi="Arial"/>
                <w:sz w:val="14"/>
                <w:szCs w:val="14"/>
                <w:color w:val="auto"/>
              </w:rPr>
              <w:t>Net cash</w:t>
            </w:r>
          </w:p>
        </w:tc>
        <w:tc>
          <w:tcPr>
            <w:tcW w:w="2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548"/>
              <w:spacing w:after="0"/>
              <w:rPr>
                <w:sz w:val="20"/>
                <w:szCs w:val="20"/>
                <w:color w:val="auto"/>
              </w:rPr>
            </w:pPr>
            <w:r>
              <w:rPr>
                <w:rFonts w:ascii="Arial" w:cs="Arial" w:eastAsia="Arial" w:hAnsi="Arial"/>
                <w:sz w:val="14"/>
                <w:szCs w:val="14"/>
                <w:color w:val="auto"/>
              </w:rPr>
              <w:t>220,762</w:t>
            </w: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194,028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860" w:type="dxa"/>
            <w:vAlign w:val="bottom"/>
          </w:tcPr>
          <w:p>
            <w:pPr>
              <w:spacing w:after="0"/>
              <w:rPr>
                <w:sz w:val="20"/>
                <w:szCs w:val="20"/>
                <w:color w:val="auto"/>
              </w:rPr>
            </w:pPr>
            <w:r>
              <w:rPr>
                <w:rFonts w:ascii="Arial" w:cs="Arial" w:eastAsia="Arial" w:hAnsi="Arial"/>
                <w:sz w:val="14"/>
                <w:szCs w:val="14"/>
                <w:color w:val="auto"/>
              </w:rPr>
              <w:t>Accounts receivable</w:t>
            </w:r>
          </w:p>
        </w:tc>
        <w:tc>
          <w:tcPr>
            <w:tcW w:w="2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548"/>
              <w:spacing w:after="0"/>
              <w:rPr>
                <w:sz w:val="20"/>
                <w:szCs w:val="20"/>
                <w:color w:val="auto"/>
              </w:rPr>
            </w:pPr>
            <w:r>
              <w:rPr>
                <w:rFonts w:ascii="Arial" w:cs="Arial" w:eastAsia="Arial" w:hAnsi="Arial"/>
                <w:sz w:val="14"/>
                <w:szCs w:val="14"/>
                <w:color w:val="auto"/>
              </w:rPr>
              <w:t>157,303</w:t>
            </w: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191,924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860" w:type="dxa"/>
            <w:vAlign w:val="bottom"/>
          </w:tcPr>
          <w:p>
            <w:pPr>
              <w:spacing w:after="0"/>
              <w:rPr>
                <w:sz w:val="20"/>
                <w:szCs w:val="20"/>
                <w:color w:val="auto"/>
              </w:rPr>
            </w:pPr>
            <w:r>
              <w:rPr>
                <w:rFonts w:ascii="Arial" w:cs="Arial" w:eastAsia="Arial" w:hAnsi="Arial"/>
                <w:sz w:val="14"/>
                <w:szCs w:val="14"/>
                <w:color w:val="auto"/>
              </w:rPr>
              <w:t>Unbilled revenue</w:t>
            </w:r>
          </w:p>
        </w:tc>
        <w:tc>
          <w:tcPr>
            <w:tcW w:w="2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548"/>
              <w:spacing w:after="0"/>
              <w:rPr>
                <w:sz w:val="20"/>
                <w:szCs w:val="20"/>
                <w:color w:val="auto"/>
              </w:rPr>
            </w:pPr>
            <w:r>
              <w:rPr>
                <w:rFonts w:ascii="Arial" w:cs="Arial" w:eastAsia="Arial" w:hAnsi="Arial"/>
                <w:sz w:val="14"/>
                <w:szCs w:val="14"/>
                <w:color w:val="auto"/>
              </w:rPr>
              <w:t>86,631</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92,080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Pr>
          <w:p>
            <w:pPr>
              <w:spacing w:after="0"/>
              <w:rPr>
                <w:sz w:val="20"/>
                <w:szCs w:val="20"/>
                <w:color w:val="auto"/>
              </w:rPr>
            </w:pPr>
            <w:r>
              <w:rPr>
                <w:rFonts w:ascii="Arial" w:cs="Arial" w:eastAsia="Arial" w:hAnsi="Arial"/>
                <w:sz w:val="14"/>
                <w:szCs w:val="14"/>
                <w:color w:val="auto"/>
              </w:rPr>
              <w:t>Payments on account</w:t>
            </w:r>
          </w:p>
        </w:tc>
        <w:tc>
          <w:tcPr>
            <w:tcW w:w="2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548"/>
              <w:spacing w:after="0"/>
              <w:rPr>
                <w:sz w:val="20"/>
                <w:szCs w:val="20"/>
                <w:color w:val="auto"/>
              </w:rPr>
            </w:pPr>
            <w:r>
              <w:rPr>
                <w:rFonts w:ascii="Arial" w:cs="Arial" w:eastAsia="Arial" w:hAnsi="Arial"/>
                <w:sz w:val="14"/>
                <w:szCs w:val="14"/>
                <w:color w:val="auto"/>
              </w:rPr>
              <w:t>(141,338)</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(165,198)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60" w:type="dxa"/>
            <w:vAlign w:val="bottom"/>
          </w:tcPr>
          <w:p>
            <w:pPr>
              <w:spacing w:after="0"/>
              <w:rPr>
                <w:sz w:val="20"/>
                <w:szCs w:val="20"/>
                <w:color w:val="auto"/>
              </w:rPr>
            </w:pPr>
            <w:r>
              <w:rPr>
                <w:rFonts w:ascii="Arial" w:cs="Arial" w:eastAsia="Arial" w:hAnsi="Arial"/>
                <w:sz w:val="14"/>
                <w:szCs w:val="14"/>
                <w:color w:val="auto"/>
              </w:rPr>
              <w:t>Total</w:t>
            </w:r>
          </w:p>
        </w:tc>
        <w:tc>
          <w:tcPr>
            <w:tcW w:w="2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548"/>
              <w:spacing w:after="0"/>
              <w:rPr>
                <w:sz w:val="20"/>
                <w:szCs w:val="20"/>
                <w:color w:val="auto"/>
              </w:rPr>
            </w:pPr>
            <w:r>
              <w:rPr>
                <w:rFonts w:ascii="Arial" w:cs="Arial" w:eastAsia="Arial" w:hAnsi="Arial"/>
                <w:sz w:val="14"/>
                <w:szCs w:val="14"/>
                <w:color w:val="auto"/>
              </w:rPr>
              <w:t>102,596</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118,806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2860" w:type="dxa"/>
            <w:vAlign w:val="bottom"/>
          </w:tcPr>
          <w:p>
            <w:pPr>
              <w:spacing w:after="0"/>
              <w:rPr>
                <w:sz w:val="20"/>
                <w:szCs w:val="20"/>
                <w:color w:val="auto"/>
              </w:rPr>
            </w:pPr>
            <w:r>
              <w:rPr>
                <w:rFonts w:ascii="Arial" w:cs="Arial" w:eastAsia="Arial" w:hAnsi="Arial"/>
                <w:sz w:val="14"/>
                <w:szCs w:val="14"/>
                <w:color w:val="auto"/>
              </w:rPr>
              <w:t>Working Capital</w:t>
            </w:r>
          </w:p>
        </w:tc>
        <w:tc>
          <w:tcPr>
            <w:tcW w:w="2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548"/>
              <w:spacing w:after="0"/>
              <w:rPr>
                <w:sz w:val="20"/>
                <w:szCs w:val="20"/>
                <w:color w:val="auto"/>
              </w:rPr>
            </w:pPr>
            <w:r>
              <w:rPr>
                <w:rFonts w:ascii="Arial" w:cs="Arial" w:eastAsia="Arial" w:hAnsi="Arial"/>
                <w:sz w:val="14"/>
                <w:szCs w:val="14"/>
                <w:color w:val="auto"/>
              </w:rPr>
              <w:t>280,122</w:t>
            </w: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235,906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860" w:type="dxa"/>
            <w:vAlign w:val="bottom"/>
          </w:tcPr>
          <w:p>
            <w:pPr>
              <w:spacing w:after="0"/>
              <w:rPr>
                <w:sz w:val="20"/>
                <w:szCs w:val="20"/>
                <w:color w:val="auto"/>
              </w:rPr>
            </w:pPr>
            <w:r>
              <w:rPr>
                <w:rFonts w:ascii="Arial" w:cs="Arial" w:eastAsia="Arial" w:hAnsi="Arial"/>
                <w:sz w:val="14"/>
                <w:szCs w:val="14"/>
                <w:color w:val="auto"/>
              </w:rPr>
              <w:t>Total Assets</w:t>
            </w:r>
          </w:p>
        </w:tc>
        <w:tc>
          <w:tcPr>
            <w:tcW w:w="2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548"/>
              <w:spacing w:after="0"/>
              <w:rPr>
                <w:sz w:val="20"/>
                <w:szCs w:val="20"/>
                <w:color w:val="auto"/>
              </w:rPr>
            </w:pPr>
            <w:r>
              <w:rPr>
                <w:rFonts w:ascii="Arial" w:cs="Arial" w:eastAsia="Arial" w:hAnsi="Arial"/>
                <w:sz w:val="14"/>
                <w:szCs w:val="14"/>
                <w:color w:val="auto"/>
              </w:rPr>
              <w:t>882,356</w:t>
            </w: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908,398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860" w:type="dxa"/>
            <w:vAlign w:val="bottom"/>
          </w:tcPr>
          <w:p>
            <w:pPr>
              <w:spacing w:after="0"/>
              <w:rPr>
                <w:sz w:val="20"/>
                <w:szCs w:val="20"/>
                <w:color w:val="auto"/>
              </w:rPr>
            </w:pPr>
            <w:r>
              <w:rPr>
                <w:rFonts w:ascii="Arial" w:cs="Arial" w:eastAsia="Arial" w:hAnsi="Arial"/>
                <w:sz w:val="14"/>
                <w:szCs w:val="14"/>
                <w:color w:val="auto"/>
              </w:rPr>
              <w:t>Shareholder's Equity</w:t>
            </w:r>
          </w:p>
        </w:tc>
        <w:tc>
          <w:tcPr>
            <w:tcW w:w="2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548"/>
              <w:spacing w:after="0"/>
              <w:rPr>
                <w:sz w:val="20"/>
                <w:szCs w:val="20"/>
                <w:color w:val="auto"/>
              </w:rPr>
            </w:pPr>
            <w:r>
              <w:rPr>
                <w:rFonts w:ascii="Arial" w:cs="Arial" w:eastAsia="Arial" w:hAnsi="Arial"/>
                <w:sz w:val="14"/>
                <w:szCs w:val="14"/>
                <w:color w:val="auto"/>
              </w:rPr>
              <w:t>598,127</w:t>
            </w: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572,246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860" w:type="dxa"/>
            <w:vAlign w:val="bottom"/>
          </w:tcPr>
          <w:p>
            <w:pPr>
              <w:spacing w:after="0"/>
              <w:rPr>
                <w:sz w:val="20"/>
                <w:szCs w:val="20"/>
                <w:color w:val="auto"/>
              </w:rPr>
            </w:pPr>
            <w:r>
              <w:rPr>
                <w:rFonts w:ascii="Arial" w:cs="Arial" w:eastAsia="Arial" w:hAnsi="Arial"/>
                <w:sz w:val="14"/>
                <w:szCs w:val="14"/>
                <w:b w:val="1"/>
                <w:bCs w:val="1"/>
                <w:color w:val="auto"/>
              </w:rPr>
              <w:t>Source:</w:t>
            </w:r>
          </w:p>
        </w:tc>
        <w:tc>
          <w:tcPr>
            <w:tcW w:w="3960" w:type="dxa"/>
            <w:vAlign w:val="bottom"/>
            <w:gridSpan w:val="5"/>
          </w:tcPr>
          <w:p>
            <w:pPr>
              <w:ind w:left="140"/>
              <w:spacing w:after="0"/>
              <w:rPr>
                <w:sz w:val="20"/>
                <w:szCs w:val="20"/>
                <w:color w:val="auto"/>
              </w:rPr>
            </w:pPr>
            <w:r>
              <w:rPr>
                <w:rFonts w:ascii="Arial" w:cs="Arial" w:eastAsia="Arial" w:hAnsi="Arial"/>
                <w:sz w:val="14"/>
                <w:szCs w:val="14"/>
                <w:color w:val="auto"/>
              </w:rPr>
              <w:t>ICON plc</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860" w:type="dxa"/>
            <w:vAlign w:val="bottom"/>
          </w:tcPr>
          <w:p>
            <w:pPr>
              <w:spacing w:after="0"/>
              <w:rPr>
                <w:sz w:val="20"/>
                <w:szCs w:val="20"/>
                <w:color w:val="auto"/>
              </w:rPr>
            </w:pPr>
            <w:r>
              <w:rPr>
                <w:rFonts w:ascii="Arial" w:cs="Arial" w:eastAsia="Arial" w:hAnsi="Arial"/>
                <w:sz w:val="14"/>
                <w:szCs w:val="14"/>
                <w:b w:val="1"/>
                <w:bCs w:val="1"/>
                <w:color w:val="auto"/>
              </w:rPr>
              <w:t>Contact:</w:t>
            </w:r>
          </w:p>
        </w:tc>
        <w:tc>
          <w:tcPr>
            <w:tcW w:w="3960" w:type="dxa"/>
            <w:vAlign w:val="bottom"/>
            <w:gridSpan w:val="5"/>
          </w:tcPr>
          <w:p>
            <w:pPr>
              <w:ind w:left="140"/>
              <w:spacing w:after="0"/>
              <w:rPr>
                <w:sz w:val="20"/>
                <w:szCs w:val="20"/>
                <w:color w:val="auto"/>
              </w:rPr>
            </w:pPr>
            <w:r>
              <w:rPr>
                <w:rFonts w:ascii="Arial" w:cs="Arial" w:eastAsia="Arial" w:hAnsi="Arial"/>
                <w:sz w:val="14"/>
                <w:szCs w:val="14"/>
                <w:color w:val="auto"/>
              </w:rPr>
              <w:t>Investor Relations 1-888-381-7923 or</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3960" w:type="dxa"/>
            <w:vAlign w:val="bottom"/>
            <w:gridSpan w:val="5"/>
          </w:tcPr>
          <w:p>
            <w:pPr>
              <w:ind w:left="140"/>
              <w:spacing w:after="0"/>
              <w:rPr>
                <w:sz w:val="20"/>
                <w:szCs w:val="20"/>
                <w:color w:val="auto"/>
              </w:rPr>
            </w:pPr>
            <w:r>
              <w:rPr>
                <w:rFonts w:ascii="Arial" w:cs="Arial" w:eastAsia="Arial" w:hAnsi="Arial"/>
                <w:sz w:val="14"/>
                <w:szCs w:val="14"/>
                <w:color w:val="auto"/>
              </w:rPr>
              <w:t>Ciaran Murray CFO + 353 1 291 2000</w:t>
            </w: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000"/>
        <w:spacing w:after="0" w:line="229" w:lineRule="auto"/>
        <w:rPr>
          <w:sz w:val="20"/>
          <w:szCs w:val="20"/>
          <w:color w:val="auto"/>
        </w:rPr>
      </w:pPr>
      <w:r>
        <w:rPr>
          <w:rFonts w:ascii="Arial" w:cs="Arial" w:eastAsia="Arial" w:hAnsi="Arial"/>
          <w:sz w:val="14"/>
          <w:szCs w:val="14"/>
          <w:color w:val="auto"/>
        </w:rPr>
        <w:t>Brendan Brennan VP Corp FP&amp;A +353 12912000</w:t>
      </w:r>
    </w:p>
    <w:p>
      <w:pPr>
        <w:ind w:left="3000"/>
        <w:spacing w:after="0"/>
        <w:rPr>
          <w:sz w:val="20"/>
          <w:szCs w:val="20"/>
          <w:color w:val="auto"/>
        </w:rPr>
      </w:pPr>
      <w:r>
        <w:rPr>
          <w:rFonts w:ascii="Arial" w:cs="Arial" w:eastAsia="Arial" w:hAnsi="Arial"/>
          <w:sz w:val="14"/>
          <w:szCs w:val="14"/>
          <w:color w:val="auto"/>
        </w:rPr>
        <w:t>All at ICON.</w:t>
      </w:r>
    </w:p>
    <w:p>
      <w:pPr>
        <w:spacing w:after="0" w:line="178" w:lineRule="exact"/>
        <w:rPr>
          <w:sz w:val="20"/>
          <w:szCs w:val="20"/>
          <w:color w:val="auto"/>
        </w:rPr>
      </w:pPr>
    </w:p>
    <w:p>
      <w:pPr>
        <w:ind w:left="3000"/>
        <w:spacing w:after="0"/>
        <w:rPr>
          <w:sz w:val="20"/>
          <w:szCs w:val="20"/>
          <w:color w:val="auto"/>
        </w:rPr>
      </w:pPr>
      <w:r>
        <w:rPr>
          <w:rFonts w:ascii="Arial" w:cs="Arial" w:eastAsia="Arial" w:hAnsi="Arial"/>
          <w:sz w:val="14"/>
          <w:szCs w:val="14"/>
          <w:u w:val="single" w:color="auto"/>
          <w:color w:val="auto"/>
        </w:rPr>
        <w:t>http://www.iconplc.com</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Ciaran Murray Chief Financial Officer</w:t>
      </w:r>
    </w:p>
    <w:p>
      <w:pPr>
        <w:ind w:right="9600" w:firstLine="8"/>
        <w:spacing w:after="0" w:line="230" w:lineRule="auto"/>
        <w:tabs>
          <w:tab w:leader="none" w:pos="176"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Brendan Brennan Corporate VP Corp FP&amp;A</w:t>
      </w:r>
    </w:p>
    <w:p>
      <w:pPr>
        <w:ind w:left="180" w:hanging="172"/>
        <w:spacing w:after="0"/>
        <w:tabs>
          <w:tab w:leader="none" w:pos="180"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 –1-291-2000</w:t>
      </w:r>
    </w:p>
    <w:sectPr>
      <w:pgSz w:w="11900" w:h="16838" w:orient="portrait"/>
      <w:cols w:equalWidth="0" w:num="1">
        <w:col w:w="11280"/>
      </w:cols>
      <w:pgMar w:left="240" w:top="14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2019-12-10T16:43:43Z</dcterms:created>
  <dcterms:modified xsi:type="dcterms:W3CDTF">2019-12-10T16:43:43Z</dcterms:modified>
</cp:coreProperties>
</file>